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8760C9">
      <w:pPr>
        <w:jc w:val="center"/>
        <w:rPr>
          <w:rFonts w:hint="eastAsia" w:asciiTheme="minorEastAsia" w:hAnsiTheme="minorEastAsia" w:eastAsiaTheme="minorEastAsia" w:cstheme="minorEastAsia"/>
          <w:b/>
          <w:color w:val="auto"/>
          <w:sz w:val="44"/>
          <w:szCs w:val="44"/>
          <w:highlight w:val="none"/>
          <w:lang w:val="en-US" w:eastAsia="zh-CN"/>
        </w:rPr>
      </w:pPr>
      <w:bookmarkStart w:id="0" w:name="_Toc4356"/>
      <w:bookmarkStart w:id="1" w:name="_Toc18686"/>
      <w:bookmarkStart w:id="2" w:name="_Toc20019"/>
      <w:bookmarkStart w:id="3" w:name="_Toc10603"/>
      <w:bookmarkStart w:id="4" w:name="_Toc2564"/>
      <w:bookmarkStart w:id="5" w:name="_Toc8824"/>
      <w:bookmarkStart w:id="6" w:name="_Toc26137"/>
      <w:bookmarkStart w:id="7" w:name="_Toc5999"/>
      <w:bookmarkStart w:id="8" w:name="_Toc20801"/>
      <w:bookmarkStart w:id="9" w:name="_Toc15073"/>
      <w:bookmarkStart w:id="10" w:name="_Toc29215"/>
      <w:bookmarkStart w:id="11" w:name="_Toc11897"/>
      <w:bookmarkStart w:id="12" w:name="_Toc8973"/>
      <w:bookmarkStart w:id="13" w:name="_Toc23011"/>
      <w:bookmarkStart w:id="14" w:name="_Toc3602"/>
      <w:bookmarkStart w:id="15" w:name="_Toc14230"/>
      <w:bookmarkStart w:id="16" w:name="_Toc2646"/>
      <w:bookmarkStart w:id="17" w:name="_Toc18807"/>
      <w:bookmarkStart w:id="18" w:name="_Toc32150"/>
      <w:bookmarkStart w:id="19" w:name="_Toc18025"/>
      <w:bookmarkStart w:id="20" w:name="_Toc11099"/>
      <w:bookmarkStart w:id="21" w:name="_Toc27615"/>
      <w:bookmarkStart w:id="22" w:name="_Toc223673332"/>
      <w:r>
        <w:rPr>
          <w:rFonts w:hint="eastAsia" w:asciiTheme="minorEastAsia" w:hAnsiTheme="minorEastAsia" w:eastAsiaTheme="minorEastAsia" w:cstheme="minorEastAsia"/>
          <w:b/>
          <w:color w:val="auto"/>
          <w:sz w:val="44"/>
          <w:szCs w:val="44"/>
          <w:highlight w:val="none"/>
          <w:lang w:val="en-US" w:eastAsia="zh-CN"/>
        </w:rPr>
        <w:t xml:space="preserve">                                              </w:t>
      </w:r>
    </w:p>
    <w:p w14:paraId="4C4BFC82">
      <w:pPr>
        <w:jc w:val="center"/>
        <w:rPr>
          <w:rFonts w:hint="eastAsia" w:asciiTheme="minorEastAsia" w:hAnsiTheme="minorEastAsia" w:eastAsiaTheme="minorEastAsia" w:cstheme="minorEastAsia"/>
          <w:b/>
          <w:color w:val="auto"/>
          <w:sz w:val="44"/>
          <w:szCs w:val="44"/>
          <w:highlight w:val="none"/>
          <w:lang w:eastAsia="zh-CN"/>
        </w:rPr>
      </w:pPr>
    </w:p>
    <w:p w14:paraId="1257C2E3">
      <w:pPr>
        <w:jc w:val="center"/>
        <w:rPr>
          <w:rFonts w:hint="eastAsia" w:asciiTheme="minorEastAsia" w:hAnsiTheme="minorEastAsia" w:eastAsiaTheme="minorEastAsia" w:cstheme="minorEastAsia"/>
          <w:b/>
          <w:color w:val="auto"/>
          <w:sz w:val="44"/>
          <w:szCs w:val="44"/>
          <w:highlight w:val="none"/>
          <w:lang w:eastAsia="zh-CN"/>
        </w:rPr>
      </w:pPr>
    </w:p>
    <w:p w14:paraId="045C84F0">
      <w:pPr>
        <w:jc w:val="center"/>
        <w:rPr>
          <w:rFonts w:hint="eastAsia" w:asciiTheme="minorEastAsia" w:hAnsiTheme="minorEastAsia" w:eastAsiaTheme="minorEastAsia" w:cstheme="minorEastAsia"/>
          <w:b/>
          <w:color w:val="auto"/>
          <w:sz w:val="44"/>
          <w:szCs w:val="44"/>
          <w:highlight w:val="none"/>
          <w:lang w:eastAsia="zh-CN"/>
        </w:rPr>
      </w:pPr>
    </w:p>
    <w:p w14:paraId="2E11643E">
      <w:pPr>
        <w:jc w:val="center"/>
        <w:rPr>
          <w:rFonts w:hint="eastAsia" w:asciiTheme="minorEastAsia" w:hAnsiTheme="minorEastAsia" w:eastAsiaTheme="minorEastAsia" w:cstheme="minorEastAsia"/>
          <w:b/>
          <w:color w:val="auto"/>
          <w:sz w:val="44"/>
          <w:szCs w:val="44"/>
          <w:highlight w:val="none"/>
          <w:lang w:eastAsia="zh-CN"/>
        </w:rPr>
      </w:pPr>
      <w:r>
        <w:rPr>
          <w:rFonts w:hint="default" w:asciiTheme="minorEastAsia" w:hAnsiTheme="minorEastAsia" w:eastAsiaTheme="minorEastAsia" w:cstheme="minorEastAsia"/>
          <w:b/>
          <w:color w:val="auto"/>
          <w:sz w:val="44"/>
          <w:szCs w:val="44"/>
          <w:highlight w:val="none"/>
          <w:lang w:val="en-US" w:eastAsia="zh-CN"/>
        </w:rPr>
        <w:t>黑龙江嘉龙环保科技有限公司</w:t>
      </w:r>
      <w:r>
        <w:rPr>
          <w:rFonts w:hint="eastAsia" w:asciiTheme="minorEastAsia" w:hAnsiTheme="minorEastAsia" w:eastAsiaTheme="minorEastAsia" w:cstheme="minorEastAsia"/>
          <w:b/>
          <w:color w:val="auto"/>
          <w:sz w:val="44"/>
          <w:szCs w:val="44"/>
          <w:highlight w:val="none"/>
          <w:lang w:val="en-US" w:eastAsia="zh-CN"/>
        </w:rPr>
        <w:t>灰渣回填复垦利用项目</w:t>
      </w:r>
    </w:p>
    <w:p w14:paraId="736D8B4D">
      <w:pPr>
        <w:jc w:val="center"/>
        <w:rPr>
          <w:rFonts w:hint="eastAsia" w:asciiTheme="minorEastAsia" w:hAnsiTheme="minorEastAsia" w:eastAsiaTheme="minorEastAsia" w:cstheme="minorEastAsia"/>
          <w:b/>
          <w:color w:val="auto"/>
          <w:sz w:val="84"/>
          <w:szCs w:val="84"/>
          <w:highlight w:val="none"/>
        </w:rPr>
      </w:pPr>
      <w:r>
        <w:rPr>
          <w:rFonts w:hint="eastAsia" w:asciiTheme="minorEastAsia" w:hAnsiTheme="minorEastAsia" w:eastAsiaTheme="minorEastAsia" w:cstheme="minorEastAsia"/>
          <w:b/>
          <w:color w:val="auto"/>
          <w:sz w:val="84"/>
          <w:szCs w:val="84"/>
          <w:highlight w:val="none"/>
        </w:rPr>
        <w:t>环境影响报告书</w:t>
      </w:r>
    </w:p>
    <w:p w14:paraId="56D23AE8">
      <w:pPr>
        <w:rPr>
          <w:rFonts w:hint="eastAsia" w:asciiTheme="minorEastAsia" w:hAnsiTheme="minorEastAsia" w:eastAsiaTheme="minorEastAsia" w:cstheme="minorEastAsia"/>
          <w:color w:val="auto"/>
          <w:sz w:val="52"/>
          <w:szCs w:val="52"/>
          <w:highlight w:val="none"/>
        </w:rPr>
      </w:pPr>
    </w:p>
    <w:p w14:paraId="1F8B6AAC">
      <w:pPr>
        <w:rPr>
          <w:rFonts w:hint="eastAsia" w:asciiTheme="minorEastAsia" w:hAnsiTheme="minorEastAsia" w:eastAsiaTheme="minorEastAsia" w:cstheme="minorEastAsia"/>
          <w:color w:val="auto"/>
          <w:sz w:val="52"/>
          <w:szCs w:val="52"/>
          <w:highlight w:val="none"/>
        </w:rPr>
      </w:pPr>
    </w:p>
    <w:p w14:paraId="272B1472">
      <w:pPr>
        <w:rPr>
          <w:rFonts w:hint="eastAsia" w:asciiTheme="minorEastAsia" w:hAnsiTheme="minorEastAsia" w:eastAsiaTheme="minorEastAsia" w:cstheme="minorEastAsia"/>
          <w:color w:val="auto"/>
          <w:sz w:val="52"/>
          <w:szCs w:val="52"/>
          <w:highlight w:val="none"/>
        </w:rPr>
      </w:pPr>
    </w:p>
    <w:p w14:paraId="36AD4F95">
      <w:pPr>
        <w:rPr>
          <w:rFonts w:hint="eastAsia" w:asciiTheme="minorEastAsia" w:hAnsiTheme="minorEastAsia" w:eastAsiaTheme="minorEastAsia" w:cstheme="minorEastAsia"/>
          <w:color w:val="auto"/>
          <w:sz w:val="32"/>
          <w:szCs w:val="32"/>
          <w:highlight w:val="none"/>
        </w:rPr>
      </w:pPr>
    </w:p>
    <w:p w14:paraId="6617FCA9">
      <w:pPr>
        <w:rPr>
          <w:rFonts w:hint="eastAsia" w:asciiTheme="minorEastAsia" w:hAnsiTheme="minorEastAsia" w:eastAsiaTheme="minorEastAsia" w:cstheme="minorEastAsia"/>
          <w:color w:val="auto"/>
          <w:sz w:val="32"/>
          <w:szCs w:val="32"/>
          <w:highlight w:val="none"/>
        </w:rPr>
      </w:pPr>
    </w:p>
    <w:p w14:paraId="583A0B1E">
      <w:pPr>
        <w:rPr>
          <w:rFonts w:hint="eastAsia" w:asciiTheme="minorEastAsia" w:hAnsiTheme="minorEastAsia" w:eastAsiaTheme="minorEastAsia" w:cstheme="minorEastAsia"/>
          <w:color w:val="auto"/>
          <w:sz w:val="32"/>
          <w:szCs w:val="32"/>
          <w:highlight w:val="none"/>
        </w:rPr>
      </w:pPr>
    </w:p>
    <w:p w14:paraId="551569FF">
      <w:pPr>
        <w:rPr>
          <w:rFonts w:hint="eastAsia" w:asciiTheme="minorEastAsia" w:hAnsiTheme="minorEastAsia" w:eastAsiaTheme="minorEastAsia" w:cstheme="minorEastAsia"/>
          <w:color w:val="auto"/>
          <w:sz w:val="32"/>
          <w:szCs w:val="32"/>
          <w:highlight w:val="none"/>
        </w:rPr>
      </w:pPr>
    </w:p>
    <w:p w14:paraId="0FF17A4B">
      <w:pPr>
        <w:pStyle w:val="2"/>
        <w:ind w:left="0" w:leftChars="0" w:firstLine="0" w:firstLineChars="0"/>
        <w:rPr>
          <w:rFonts w:hint="eastAsia" w:asciiTheme="minorEastAsia" w:hAnsiTheme="minorEastAsia" w:eastAsiaTheme="minorEastAsia" w:cstheme="minorEastAsia"/>
          <w:color w:val="auto"/>
          <w:highlight w:val="none"/>
        </w:rPr>
      </w:pPr>
    </w:p>
    <w:p w14:paraId="3A8D4A71">
      <w:pPr>
        <w:rPr>
          <w:rFonts w:hint="eastAsia" w:asciiTheme="minorEastAsia" w:hAnsiTheme="minorEastAsia" w:eastAsiaTheme="minorEastAsia" w:cstheme="minorEastAsia"/>
          <w:color w:val="auto"/>
          <w:sz w:val="32"/>
          <w:szCs w:val="32"/>
          <w:highlight w:val="none"/>
        </w:rPr>
      </w:pPr>
    </w:p>
    <w:p w14:paraId="25931F3F">
      <w:pPr>
        <w:rPr>
          <w:rFonts w:hint="eastAsia" w:asciiTheme="minorEastAsia" w:hAnsiTheme="minorEastAsia" w:eastAsiaTheme="minorEastAsia" w:cstheme="minorEastAsia"/>
          <w:color w:val="auto"/>
          <w:sz w:val="32"/>
          <w:szCs w:val="32"/>
          <w:highlight w:val="none"/>
        </w:rPr>
      </w:pPr>
    </w:p>
    <w:p w14:paraId="42EA9792">
      <w:pPr>
        <w:widowControl/>
        <w:spacing w:line="360" w:lineRule="auto"/>
        <w:jc w:val="center"/>
        <w:rPr>
          <w:rFonts w:hint="eastAsia" w:asciiTheme="minorEastAsia" w:hAnsiTheme="minorEastAsia" w:eastAsiaTheme="minorEastAsia" w:cstheme="minorEastAsia"/>
          <w:b/>
          <w:color w:val="auto"/>
          <w:sz w:val="36"/>
          <w:szCs w:val="36"/>
          <w:highlight w:val="none"/>
          <w:lang w:eastAsia="zh-CN"/>
        </w:rPr>
      </w:pPr>
      <w:r>
        <w:rPr>
          <w:rFonts w:hint="eastAsia" w:asciiTheme="minorEastAsia" w:hAnsiTheme="minorEastAsia" w:eastAsiaTheme="minorEastAsia" w:cstheme="minorEastAsia"/>
          <w:b/>
          <w:color w:val="auto"/>
          <w:sz w:val="36"/>
          <w:szCs w:val="36"/>
          <w:highlight w:val="none"/>
        </w:rPr>
        <w:t>建设单位：</w:t>
      </w:r>
      <w:r>
        <w:rPr>
          <w:rFonts w:hint="eastAsia" w:asciiTheme="minorEastAsia" w:hAnsiTheme="minorEastAsia" w:eastAsiaTheme="minorEastAsia" w:cstheme="minorEastAsia"/>
          <w:b/>
          <w:color w:val="auto"/>
          <w:sz w:val="36"/>
          <w:szCs w:val="36"/>
          <w:highlight w:val="none"/>
          <w:lang w:val="en-US" w:eastAsia="zh-CN"/>
        </w:rPr>
        <w:t>黑龙江嘉龙环保科技有限公司</w:t>
      </w:r>
    </w:p>
    <w:p w14:paraId="59387E03">
      <w:pPr>
        <w:spacing w:line="360" w:lineRule="auto"/>
        <w:jc w:val="center"/>
        <w:rPr>
          <w:rFonts w:hint="eastAsia" w:asciiTheme="minorEastAsia" w:hAnsiTheme="minorEastAsia" w:eastAsiaTheme="minorEastAsia" w:cstheme="minorEastAsia"/>
          <w:b/>
          <w:color w:val="auto"/>
          <w:sz w:val="36"/>
          <w:szCs w:val="36"/>
          <w:highlight w:val="none"/>
          <w:lang w:eastAsia="zh-CN"/>
        </w:rPr>
      </w:pPr>
      <w:r>
        <w:rPr>
          <w:rFonts w:hint="eastAsia" w:asciiTheme="minorEastAsia" w:hAnsiTheme="minorEastAsia" w:eastAsiaTheme="minorEastAsia" w:cstheme="minorEastAsia"/>
          <w:b/>
          <w:color w:val="auto"/>
          <w:sz w:val="36"/>
          <w:szCs w:val="36"/>
          <w:highlight w:val="none"/>
        </w:rPr>
        <w:t>环评单位：</w:t>
      </w:r>
      <w:r>
        <w:rPr>
          <w:rFonts w:hint="default" w:asciiTheme="minorEastAsia" w:hAnsiTheme="minorEastAsia" w:eastAsiaTheme="minorEastAsia" w:cstheme="minorEastAsia"/>
          <w:b/>
          <w:color w:val="auto"/>
          <w:sz w:val="36"/>
          <w:szCs w:val="36"/>
          <w:highlight w:val="none"/>
          <w:lang w:val="en-US" w:eastAsia="zh-CN"/>
        </w:rPr>
        <w:t>黑龙江绿夏环保科技有限公司</w:t>
      </w:r>
    </w:p>
    <w:p w14:paraId="139D67C8">
      <w:pPr>
        <w:adjustRightInd w:val="0"/>
        <w:snapToGrid w:val="0"/>
        <w:spacing w:line="288" w:lineRule="auto"/>
        <w:jc w:val="center"/>
        <w:rPr>
          <w:rFonts w:hint="eastAsia" w:asciiTheme="minorEastAsia" w:hAnsiTheme="minorEastAsia" w:eastAsiaTheme="minorEastAsia" w:cstheme="minorEastAsia"/>
          <w:color w:val="auto"/>
          <w:sz w:val="36"/>
          <w:szCs w:val="36"/>
          <w:highlight w:val="none"/>
        </w:rPr>
      </w:pPr>
      <w:r>
        <w:rPr>
          <w:rFonts w:hint="eastAsia" w:asciiTheme="minorEastAsia" w:hAnsiTheme="minorEastAsia" w:eastAsiaTheme="minorEastAsia" w:cstheme="minorEastAsia"/>
          <w:b/>
          <w:color w:val="auto"/>
          <w:sz w:val="36"/>
          <w:szCs w:val="36"/>
          <w:highlight w:val="none"/>
        </w:rPr>
        <w:t>202</w:t>
      </w:r>
      <w:r>
        <w:rPr>
          <w:rFonts w:hint="eastAsia" w:asciiTheme="minorEastAsia" w:hAnsiTheme="minorEastAsia" w:eastAsiaTheme="minorEastAsia" w:cstheme="minorEastAsia"/>
          <w:b/>
          <w:color w:val="auto"/>
          <w:sz w:val="36"/>
          <w:szCs w:val="36"/>
          <w:highlight w:val="none"/>
          <w:lang w:val="en-US" w:eastAsia="zh-CN"/>
        </w:rPr>
        <w:t>6</w:t>
      </w:r>
      <w:r>
        <w:rPr>
          <w:rFonts w:hint="eastAsia" w:asciiTheme="minorEastAsia" w:hAnsiTheme="minorEastAsia" w:eastAsiaTheme="minorEastAsia" w:cstheme="minorEastAsia"/>
          <w:b/>
          <w:color w:val="auto"/>
          <w:sz w:val="36"/>
          <w:szCs w:val="36"/>
          <w:highlight w:val="none"/>
        </w:rPr>
        <w:t>年</w:t>
      </w:r>
      <w:r>
        <w:rPr>
          <w:rFonts w:hint="eastAsia" w:asciiTheme="minorEastAsia" w:hAnsiTheme="minorEastAsia" w:eastAsiaTheme="minorEastAsia" w:cstheme="minorEastAsia"/>
          <w:b/>
          <w:color w:val="auto"/>
          <w:sz w:val="36"/>
          <w:szCs w:val="36"/>
          <w:highlight w:val="none"/>
          <w:lang w:val="en-US" w:eastAsia="zh-CN"/>
        </w:rPr>
        <w:t>7</w:t>
      </w:r>
      <w:r>
        <w:rPr>
          <w:rFonts w:hint="eastAsia" w:asciiTheme="minorEastAsia" w:hAnsiTheme="minorEastAsia" w:eastAsiaTheme="minorEastAsia" w:cstheme="minorEastAsia"/>
          <w:b/>
          <w:color w:val="auto"/>
          <w:sz w:val="36"/>
          <w:szCs w:val="36"/>
          <w:highlight w:val="none"/>
        </w:rPr>
        <w:t>月</w:t>
      </w:r>
    </w:p>
    <w:p w14:paraId="10EBDA31">
      <w:pPr>
        <w:adjustRightInd w:val="0"/>
        <w:snapToGrid w:val="0"/>
        <w:spacing w:line="288" w:lineRule="auto"/>
        <w:ind w:firstLine="1040"/>
        <w:rPr>
          <w:rFonts w:hint="eastAsia" w:asciiTheme="minorEastAsia" w:hAnsiTheme="minorEastAsia" w:eastAsiaTheme="minorEastAsia" w:cstheme="minorEastAsia"/>
          <w:color w:val="auto"/>
          <w:sz w:val="36"/>
          <w:szCs w:val="36"/>
          <w:highlight w:val="none"/>
        </w:rPr>
        <w:sectPr>
          <w:footerReference r:id="rId3" w:type="default"/>
          <w:footerReference r:id="rId4" w:type="even"/>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3FCF9C73">
      <w:pPr>
        <w:adjustRightInd w:val="0"/>
        <w:snapToGrid w:val="0"/>
        <w:spacing w:line="288" w:lineRule="auto"/>
        <w:rPr>
          <w:rFonts w:hint="eastAsia" w:asciiTheme="minorEastAsia" w:hAnsiTheme="minorEastAsia" w:eastAsiaTheme="minorEastAsia" w:cstheme="minorEastAsia"/>
          <w:color w:val="auto"/>
          <w:sz w:val="36"/>
          <w:szCs w:val="36"/>
          <w:highlight w:val="none"/>
        </w:rPr>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23990C41">
      <w:pPr>
        <w:pStyle w:val="57"/>
        <w:jc w:val="center"/>
        <w:rPr>
          <w:rFonts w:hint="eastAsia" w:asciiTheme="minorEastAsia" w:hAnsiTheme="minorEastAsia" w:eastAsiaTheme="minorEastAsia" w:cstheme="minorEastAsia"/>
          <w:color w:val="auto"/>
          <w:sz w:val="36"/>
          <w:szCs w:val="36"/>
          <w:highlight w:val="none"/>
        </w:rPr>
      </w:pPr>
      <w:r>
        <w:rPr>
          <w:rFonts w:hint="eastAsia" w:asciiTheme="minorEastAsia" w:hAnsiTheme="minorEastAsia" w:eastAsiaTheme="minorEastAsia" w:cstheme="minorEastAsia"/>
          <w:color w:val="auto"/>
          <w:sz w:val="36"/>
          <w:szCs w:val="36"/>
          <w:highlight w:val="none"/>
        </w:rPr>
        <w:t>目    录</w:t>
      </w:r>
    </w:p>
    <w:p w14:paraId="1CD375F2">
      <w:pPr>
        <w:pStyle w:val="57"/>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TOC \o "1-2" \h \u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_Toc2083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1概述</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_Toc2083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30229FDB">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_Toc24895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1.1建设项目由来</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_Toc24895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2FA7051E">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_Toc5087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1.2项目特点</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_Toc5087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- 2 -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F9BE379">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_Toc22035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1.3环境影响评价的工作过程</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_Toc22035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- 8 -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E46AAF0">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_Toc18665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1.4分析判定相关情况</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_Toc18665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- 10 -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5F51F230">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_Toc12161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1.5关注的主要环境问题及环境影响</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_Toc12161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- 33 -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65CD8F9B">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_Toc14227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1.6 评价工作主要结论</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_Toc14227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- 35 -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8710412">
      <w:pPr>
        <w:pStyle w:val="57"/>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_Toc16123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2总则</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_Toc16123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- 36 -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28C3778C">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_Toc4182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2.1编制依据</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_Toc4182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- 36 -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57843CA8">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_Toc21051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2.2</w:t>
      </w:r>
      <w:r>
        <w:rPr>
          <w:rFonts w:hint="eastAsia" w:ascii="宋体" w:hAnsi="宋体" w:eastAsia="宋体" w:cs="宋体"/>
          <w:snapToGrid w:val="0"/>
          <w:color w:val="auto"/>
          <w:sz w:val="24"/>
          <w:szCs w:val="24"/>
          <w:highlight w:val="none"/>
        </w:rPr>
        <w:t>评价目的与原则</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_Toc21051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- 40 -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6A9587F0">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_Toc25757 </w:instrText>
      </w:r>
      <w:r>
        <w:rPr>
          <w:rFonts w:hint="eastAsia" w:ascii="宋体" w:hAnsi="宋体" w:eastAsia="宋体" w:cs="宋体"/>
          <w:color w:val="auto"/>
          <w:sz w:val="24"/>
          <w:szCs w:val="24"/>
          <w:highlight w:val="none"/>
        </w:rPr>
        <w:fldChar w:fldCharType="separate"/>
      </w:r>
      <w:r>
        <w:rPr>
          <w:rFonts w:hint="eastAsia" w:ascii="宋体" w:hAnsi="宋体" w:eastAsia="宋体" w:cs="宋体"/>
          <w:snapToGrid w:val="0"/>
          <w:color w:val="auto"/>
          <w:sz w:val="24"/>
          <w:szCs w:val="24"/>
          <w:highlight w:val="none"/>
        </w:rPr>
        <w:t>2.3评价内容及评价重点</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_Toc25757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- 41 -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56BC65B">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_Toc30586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2.4环境影响识别与评价因子筛选</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_Toc30586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- 41 -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977B2F6">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_Toc10823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rPr>
        <w:t>评价工作等级和评价范围</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_Toc10823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- 44 -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6377AF00">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_Toc13153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环境保护目标</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_Toc13153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- 59 -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7045D21F">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_Toc18563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kern w:val="0"/>
          <w:sz w:val="24"/>
          <w:szCs w:val="24"/>
          <w:highlight w:val="none"/>
        </w:rPr>
        <w:t>2.</w:t>
      </w:r>
      <w:r>
        <w:rPr>
          <w:rFonts w:hint="eastAsia" w:ascii="宋体" w:hAnsi="宋体" w:eastAsia="宋体" w:cs="宋体"/>
          <w:color w:val="auto"/>
          <w:kern w:val="0"/>
          <w:sz w:val="24"/>
          <w:szCs w:val="24"/>
          <w:highlight w:val="none"/>
          <w:lang w:val="en-US" w:eastAsia="zh-CN"/>
        </w:rPr>
        <w:t>7</w:t>
      </w:r>
      <w:r>
        <w:rPr>
          <w:rFonts w:hint="eastAsia" w:ascii="宋体" w:hAnsi="宋体" w:eastAsia="宋体" w:cs="宋体"/>
          <w:color w:val="auto"/>
          <w:kern w:val="0"/>
          <w:sz w:val="24"/>
          <w:szCs w:val="24"/>
          <w:highlight w:val="none"/>
        </w:rPr>
        <w:t>区域环境功能区划</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_Toc18563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- 60 -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6A28152">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_Toc30976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kern w:val="0"/>
          <w:sz w:val="24"/>
          <w:szCs w:val="24"/>
          <w:highlight w:val="none"/>
        </w:rPr>
        <w:t>2.</w:t>
      </w:r>
      <w:r>
        <w:rPr>
          <w:rFonts w:hint="eastAsia" w:ascii="宋体" w:hAnsi="宋体" w:eastAsia="宋体" w:cs="宋体"/>
          <w:color w:val="auto"/>
          <w:kern w:val="0"/>
          <w:sz w:val="24"/>
          <w:szCs w:val="24"/>
          <w:highlight w:val="none"/>
          <w:lang w:val="en-US" w:eastAsia="zh-CN"/>
        </w:rPr>
        <w:t>8</w:t>
      </w:r>
      <w:r>
        <w:rPr>
          <w:rFonts w:hint="eastAsia" w:ascii="宋体" w:hAnsi="宋体" w:eastAsia="宋体" w:cs="宋体"/>
          <w:color w:val="auto"/>
          <w:kern w:val="0"/>
          <w:sz w:val="24"/>
          <w:szCs w:val="24"/>
          <w:highlight w:val="none"/>
        </w:rPr>
        <w:t>评价标准</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_Toc30976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- 61 -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62D7B0F4">
      <w:pPr>
        <w:pStyle w:val="57"/>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_Toc21581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3建设项目工程分析</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_Toc21581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- 67 -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7FDEF7C5">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_Toc1741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lang w:val="en-US" w:eastAsia="zh-CN"/>
        </w:rPr>
        <w:t>3.1工程</w:t>
      </w:r>
      <w:r>
        <w:rPr>
          <w:rFonts w:hint="eastAsia" w:ascii="宋体" w:hAnsi="宋体" w:eastAsia="宋体" w:cs="宋体"/>
          <w:color w:val="auto"/>
          <w:sz w:val="24"/>
          <w:szCs w:val="24"/>
          <w:highlight w:val="none"/>
        </w:rPr>
        <w:t>概况</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_Toc1741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- 67 -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17FE4D54">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_Toc16903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3.2工程分析</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_Toc16903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- 81 -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68FA1BAD">
      <w:pPr>
        <w:pStyle w:val="57"/>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_Toc30809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4环境现状调查与评价</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_Toc30809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- 92 -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10ADA603">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_Toc15568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4.1自然环境</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_Toc15568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- 92 -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07E4DE06">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_Toc6868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4.2环境保护目标调查</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_Toc6868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- 101 -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38CA22E9">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_Toc6523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4.3环境质量现状调查与评价</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_Toc6523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- 104 -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0181228E">
      <w:pPr>
        <w:pStyle w:val="57"/>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_Toc17055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5环境影响预测与评价</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_Toc17055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- 124 -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79592B36">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_Toc19030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5.1施工期环境影响分析</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_Toc19030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- 124 -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34F3DFDC">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_Toc4729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5.2回填复垦期环境影响分析</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_Toc4729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- 124 -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2F9EB66C">
      <w:pPr>
        <w:pStyle w:val="57"/>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_Toc8743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6环境保护措施及其可行性论证</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_Toc8743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- 140 -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82C9F33">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_Toc26891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6.1施工期污染防治措施</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_Toc26891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- 140 -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3FD2AD0C">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_Toc26626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6.2回填期污染防治措施</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_Toc26626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- 140 -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5070A49">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_Toc4065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6.</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环保投资</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_Toc4065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- 145 -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1D397EB8">
      <w:pPr>
        <w:pStyle w:val="57"/>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_Toc2795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7环境经济损益分析</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_Toc2795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- 146 -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59A2D343">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_Toc24332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7.1社会效益分析</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_Toc24332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- 146 -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69B073C4">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_Toc25351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7.2经济效益分析</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_Toc25351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- 146 -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26FA4BC6">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_Toc8742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7.3环境效益分析</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_Toc8742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- 146 -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51F15186">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_Toc16022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7.4小结</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_Toc16022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- 147 -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F911711">
      <w:pPr>
        <w:pStyle w:val="57"/>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_Toc26448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8环境管理和环境监测计划</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_Toc26448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- 148 -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A5FA8CA">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_Toc4273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8.1环境管理</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_Toc4273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- 148 -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52057989">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_Toc4310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8.2环境监测计划</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_Toc4310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- 151 -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044E25AE">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_Toc9917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8.3排污许可证制度衔接</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_Toc9917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- 154 -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178AD24F">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_Toc16504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8.4污染物总量控制分析</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_Toc16504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- 155 -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6CE2A490">
      <w:pPr>
        <w:pStyle w:val="70"/>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_Toc17827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8.5环保设施“三同时”验收</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_Toc17827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- 155 -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610F316">
      <w:pPr>
        <w:pStyle w:val="57"/>
        <w:tabs>
          <w:tab w:val="right" w:leader="dot" w:pos="8766"/>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\l _Toc20736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9评价结论</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_Toc20736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- 157 -</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2CA993A7">
      <w:pPr>
        <w:pStyle w:val="57"/>
        <w:tabs>
          <w:tab w:val="right" w:leader="dot" w:pos="8765"/>
        </w:tabs>
        <w:spacing w:line="360" w:lineRule="auto"/>
        <w:rPr>
          <w:rFonts w:hint="eastAsia" w:asciiTheme="minorEastAsia" w:hAnsiTheme="minorEastAsia" w:eastAsiaTheme="minorEastAsia" w:cstheme="minorEastAsia"/>
          <w:color w:val="auto"/>
          <w:highlight w:val="none"/>
        </w:rPr>
      </w:pPr>
      <w:r>
        <w:rPr>
          <w:rFonts w:hint="eastAsia" w:ascii="宋体" w:hAnsi="宋体" w:eastAsia="宋体" w:cs="宋体"/>
          <w:color w:val="auto"/>
          <w:sz w:val="24"/>
          <w:szCs w:val="24"/>
          <w:highlight w:val="none"/>
        </w:rPr>
        <w:fldChar w:fldCharType="end"/>
      </w:r>
    </w:p>
    <w:p w14:paraId="06A3BA44">
      <w:pPr>
        <w:pStyle w:val="5"/>
        <w:bidi w:val="0"/>
        <w:rPr>
          <w:rFonts w:hint="eastAsia" w:asciiTheme="minorEastAsia" w:hAnsiTheme="minorEastAsia" w:eastAsiaTheme="minorEastAsia" w:cstheme="minorEastAsia"/>
          <w:color w:val="auto"/>
          <w:highlight w:val="none"/>
        </w:rPr>
        <w:sectPr>
          <w:headerReference r:id="rId5" w:type="default"/>
          <w:footerReference r:id="rId6" w:type="default"/>
          <w:pgSz w:w="11907" w:h="16840"/>
          <w:pgMar w:top="1440" w:right="1440" w:bottom="1440" w:left="1701" w:header="851" w:footer="992" w:gutter="0"/>
          <w:pgBorders>
            <w:top w:val="none" w:sz="0" w:space="0"/>
            <w:left w:val="none" w:sz="0" w:space="0"/>
            <w:bottom w:val="none" w:sz="0" w:space="0"/>
            <w:right w:val="none" w:sz="0" w:space="0"/>
          </w:pgBorders>
          <w:pgNumType w:fmt="numberInDash" w:start="1"/>
          <w:cols w:space="720" w:num="1"/>
          <w:docGrid w:linePitch="312" w:charSpace="0"/>
        </w:sectPr>
      </w:pPr>
    </w:p>
    <w:p w14:paraId="01397085">
      <w:pPr>
        <w:pStyle w:val="5"/>
        <w:bidi w:val="0"/>
        <w:rPr>
          <w:rFonts w:hint="eastAsia" w:asciiTheme="minorEastAsia" w:hAnsiTheme="minorEastAsia" w:eastAsiaTheme="minorEastAsia" w:cstheme="minorEastAsia"/>
          <w:color w:val="auto"/>
          <w:highlight w:val="none"/>
        </w:rPr>
      </w:pPr>
      <w:bookmarkStart w:id="23" w:name="_Toc2083"/>
      <w:r>
        <w:rPr>
          <w:rFonts w:hint="eastAsia" w:asciiTheme="minorEastAsia" w:hAnsiTheme="minorEastAsia" w:eastAsiaTheme="minorEastAsia" w:cstheme="minorEastAsia"/>
          <w:color w:val="auto"/>
          <w:highlight w:val="none"/>
        </w:rPr>
        <w:t>1概述</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3"/>
    </w:p>
    <w:p w14:paraId="25CD1BFE">
      <w:pPr>
        <w:pStyle w:val="6"/>
        <w:bidi w:val="0"/>
        <w:rPr>
          <w:rFonts w:hint="eastAsia" w:asciiTheme="minorEastAsia" w:hAnsiTheme="minorEastAsia" w:eastAsiaTheme="minorEastAsia" w:cstheme="minorEastAsia"/>
          <w:color w:val="auto"/>
          <w:highlight w:val="none"/>
        </w:rPr>
      </w:pPr>
      <w:bookmarkStart w:id="24" w:name="_Toc24355"/>
      <w:bookmarkStart w:id="25" w:name="_Toc19206"/>
      <w:bookmarkStart w:id="26" w:name="_Toc12204"/>
      <w:bookmarkStart w:id="27" w:name="_Toc30410"/>
      <w:bookmarkStart w:id="28" w:name="_Toc2375"/>
      <w:bookmarkStart w:id="29" w:name="_Toc302"/>
      <w:bookmarkStart w:id="30" w:name="_Toc19550"/>
      <w:bookmarkStart w:id="31" w:name="_Toc146"/>
      <w:bookmarkStart w:id="32" w:name="_Toc24895"/>
      <w:bookmarkStart w:id="33" w:name="_Toc2625"/>
      <w:bookmarkStart w:id="34" w:name="_Toc1208"/>
      <w:bookmarkStart w:id="35" w:name="_Toc2810"/>
      <w:bookmarkStart w:id="36" w:name="_Toc6675"/>
      <w:bookmarkStart w:id="37" w:name="_Toc8918"/>
      <w:bookmarkStart w:id="38" w:name="_Toc20006"/>
      <w:bookmarkStart w:id="39" w:name="_Toc23177"/>
      <w:bookmarkStart w:id="40" w:name="_Toc11443"/>
      <w:bookmarkStart w:id="41" w:name="_Toc2329"/>
      <w:bookmarkStart w:id="42" w:name="_Toc563"/>
      <w:bookmarkStart w:id="43" w:name="_Toc13554"/>
      <w:bookmarkStart w:id="44" w:name="_Toc15247"/>
      <w:bookmarkStart w:id="45" w:name="_Toc19808"/>
      <w:r>
        <w:rPr>
          <w:rFonts w:hint="eastAsia" w:asciiTheme="minorEastAsia" w:hAnsiTheme="minorEastAsia" w:eastAsiaTheme="minorEastAsia" w:cstheme="minorEastAsia"/>
          <w:color w:val="auto"/>
          <w:highlight w:val="none"/>
        </w:rPr>
        <w:t>1.1</w:t>
      </w:r>
      <w:bookmarkEnd w:id="24"/>
      <w:bookmarkEnd w:id="25"/>
      <w:bookmarkEnd w:id="26"/>
      <w:bookmarkEnd w:id="27"/>
      <w:r>
        <w:rPr>
          <w:rFonts w:hint="eastAsia" w:asciiTheme="minorEastAsia" w:hAnsiTheme="minorEastAsia" w:eastAsiaTheme="minorEastAsia" w:cstheme="minorEastAsia"/>
          <w:color w:val="auto"/>
          <w:highlight w:val="none"/>
        </w:rPr>
        <w:t>建设项目由来</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7737AA8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 w:val="24"/>
          <w:szCs w:val="24"/>
          <w:highlight w:val="none"/>
          <w:lang w:val="en-US" w:eastAsia="zh-CN"/>
        </w:rPr>
        <w:t>尚志市元宝镇元宝村新村北侧252米，通达路西侧现有一处无主废弃采砂坑，由于疏于管理由附近村民修建建筑物盗采所形成。经过露天开采，采砂坑范围内及周边的地形地貌及地质环境都遭到了破坏，并且存在一定的安全隐患。露天采坑若不及时进行生态修复，不仅对周边自然景观、生态环境造成破坏，而且存在发生人畜掉落、坑体滑坡等安全隐患，同时会造成土地资源的浪费。</w:t>
      </w:r>
    </w:p>
    <w:p w14:paraId="63DCD00E">
      <w:pPr>
        <w:widowControl w:val="0"/>
        <w:snapToGrid w:val="0"/>
        <w:spacing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露天采坑复垦回填需消耗大量土石资源，如单纯异地取土进行回填得不偿失。</w:t>
      </w:r>
      <w:r>
        <w:rPr>
          <w:rFonts w:hint="eastAsia" w:asciiTheme="minorEastAsia" w:hAnsiTheme="minorEastAsia" w:eastAsiaTheme="minorEastAsia" w:cstheme="minorEastAsia"/>
          <w:color w:val="auto"/>
          <w:szCs w:val="24"/>
          <w:highlight w:val="none"/>
          <w:lang w:val="en-US" w:eastAsia="zh-CN"/>
        </w:rPr>
        <w:t>依据</w:t>
      </w:r>
      <w:r>
        <w:rPr>
          <w:rFonts w:hint="eastAsia" w:asciiTheme="minorEastAsia" w:hAnsiTheme="minorEastAsia" w:eastAsiaTheme="minorEastAsia" w:cstheme="minorEastAsia"/>
          <w:color w:val="auto"/>
          <w:szCs w:val="24"/>
          <w:highlight w:val="none"/>
        </w:rPr>
        <w:t>《一般工业固体废物贮存和填埋污染控制标准》（GB18599-2020）中关于回填的定义：在复垦、景观恢复、建设用地平整、农业用地平整以及防止地表塌陷的地貌保护等工程中，以土地复垦为目的，利用一般工业固体废物替代土、砂、石等生产材料填充地下采空空间、露天开采地表挖掘区、取土场、地下开采塌陷区以及天然坑洼区的活动。因此</w:t>
      </w:r>
      <w:r>
        <w:rPr>
          <w:rFonts w:hint="eastAsia" w:ascii="Times New Roman" w:hAnsi="宋体" w:eastAsia="宋体" w:cs="Times New Roman"/>
          <w:color w:val="auto"/>
          <w:kern w:val="0"/>
          <w:sz w:val="24"/>
          <w:szCs w:val="24"/>
          <w:highlight w:val="none"/>
          <w:lang w:val="en-US" w:eastAsia="zh-CN"/>
        </w:rPr>
        <w:t>黑龙江嘉龙环保科技有限公司</w:t>
      </w:r>
      <w:r>
        <w:rPr>
          <w:rFonts w:hint="eastAsia" w:asciiTheme="minorEastAsia" w:hAnsiTheme="minorEastAsia" w:eastAsiaTheme="minorEastAsia" w:cstheme="minorEastAsia"/>
          <w:color w:val="auto"/>
          <w:sz w:val="24"/>
          <w:szCs w:val="24"/>
          <w:highlight w:val="none"/>
          <w:u w:val="none"/>
          <w:lang w:val="en-US" w:eastAsia="zh-CN"/>
        </w:rPr>
        <w:t>拟利用尚志周边企业锅炉产生的</w:t>
      </w:r>
      <w:r>
        <w:rPr>
          <w:rFonts w:hint="eastAsia" w:asciiTheme="minorEastAsia" w:hAnsiTheme="minorEastAsia" w:eastAsiaTheme="minorEastAsia" w:cstheme="minorEastAsia"/>
          <w:color w:val="auto"/>
          <w:kern w:val="2"/>
          <w:szCs w:val="24"/>
          <w:highlight w:val="none"/>
          <w:lang w:val="en-US" w:eastAsia="zh-CN"/>
        </w:rPr>
        <w:t>燃煤炉渣、生物质灰渣（以下统称为灰渣）</w:t>
      </w:r>
      <w:r>
        <w:rPr>
          <w:rFonts w:hint="eastAsia" w:asciiTheme="minorEastAsia" w:hAnsiTheme="minorEastAsia" w:eastAsiaTheme="minorEastAsia" w:cstheme="minorEastAsia"/>
          <w:color w:val="auto"/>
          <w:szCs w:val="24"/>
          <w:highlight w:val="none"/>
          <w:u w:val="none"/>
          <w:lang w:val="en-US" w:eastAsia="zh-CN"/>
        </w:rPr>
        <w:t>作为</w:t>
      </w:r>
      <w:r>
        <w:rPr>
          <w:rFonts w:hint="eastAsia" w:asciiTheme="minorEastAsia" w:hAnsiTheme="minorEastAsia" w:eastAsiaTheme="minorEastAsia" w:cstheme="minorEastAsia"/>
          <w:color w:val="auto"/>
          <w:szCs w:val="24"/>
          <w:highlight w:val="none"/>
          <w:u w:val="none"/>
        </w:rPr>
        <w:t>回填材料，</w:t>
      </w:r>
      <w:r>
        <w:rPr>
          <w:rFonts w:hint="eastAsia" w:asciiTheme="minorEastAsia" w:hAnsiTheme="minorEastAsia" w:eastAsiaTheme="minorEastAsia" w:cstheme="minorEastAsia"/>
          <w:color w:val="auto"/>
          <w:sz w:val="24"/>
          <w:szCs w:val="24"/>
          <w:highlight w:val="none"/>
          <w:u w:val="none"/>
        </w:rPr>
        <w:t>对该废弃</w:t>
      </w:r>
      <w:r>
        <w:rPr>
          <w:rFonts w:hint="eastAsia" w:asciiTheme="minorEastAsia" w:hAnsiTheme="minorEastAsia" w:eastAsiaTheme="minorEastAsia" w:cstheme="minorEastAsia"/>
          <w:color w:val="auto"/>
          <w:sz w:val="24"/>
          <w:szCs w:val="24"/>
          <w:highlight w:val="none"/>
          <w:lang w:val="en-US" w:eastAsia="zh-CN"/>
        </w:rPr>
        <w:t>采砂坑</w:t>
      </w:r>
      <w:r>
        <w:rPr>
          <w:rFonts w:hint="eastAsia" w:asciiTheme="minorEastAsia" w:hAnsiTheme="minorEastAsia" w:eastAsiaTheme="minorEastAsia" w:cstheme="minorEastAsia"/>
          <w:color w:val="auto"/>
          <w:szCs w:val="24"/>
          <w:highlight w:val="none"/>
          <w:u w:val="none"/>
        </w:rPr>
        <w:t>进行回填，按标准要求进行封场</w:t>
      </w:r>
      <w:r>
        <w:rPr>
          <w:rFonts w:hint="eastAsia" w:asciiTheme="minorEastAsia" w:hAnsiTheme="minorEastAsia" w:eastAsiaTheme="minorEastAsia" w:cstheme="minorEastAsia"/>
          <w:color w:val="auto"/>
          <w:szCs w:val="24"/>
          <w:highlight w:val="none"/>
          <w:u w:val="none"/>
          <w:lang w:eastAsia="zh-CN"/>
        </w:rPr>
        <w:t>，</w:t>
      </w:r>
      <w:r>
        <w:rPr>
          <w:rFonts w:ascii="Times New Roman" w:hAnsi="Times New Roman" w:eastAsia="宋体" w:cs="Times New Roman"/>
          <w:color w:val="auto"/>
          <w:sz w:val="24"/>
          <w:szCs w:val="24"/>
          <w:highlight w:val="none"/>
        </w:rPr>
        <w:t>封场期采用</w:t>
      </w:r>
      <w:r>
        <w:rPr>
          <w:rFonts w:hint="eastAsia" w:ascii="Times New Roman" w:hAnsi="Times New Roman" w:eastAsia="宋体" w:cs="Times New Roman"/>
          <w:color w:val="auto"/>
          <w:sz w:val="24"/>
          <w:szCs w:val="24"/>
          <w:highlight w:val="none"/>
          <w:lang w:val="en-US" w:eastAsia="zh-CN"/>
        </w:rPr>
        <w:t>当地高标准农田建设</w:t>
      </w:r>
      <w:r>
        <w:rPr>
          <w:rFonts w:ascii="Times New Roman" w:hAnsi="Times New Roman" w:eastAsia="宋体" w:cs="Times New Roman"/>
          <w:color w:val="auto"/>
          <w:sz w:val="24"/>
          <w:szCs w:val="24"/>
          <w:highlight w:val="none"/>
        </w:rPr>
        <w:t>剥离的</w:t>
      </w:r>
      <w:r>
        <w:rPr>
          <w:rFonts w:hint="eastAsia" w:ascii="Times New Roman" w:hAnsi="Times New Roman" w:eastAsia="宋体" w:cs="Times New Roman"/>
          <w:color w:val="auto"/>
          <w:sz w:val="24"/>
          <w:szCs w:val="24"/>
          <w:highlight w:val="none"/>
          <w:lang w:val="en-US" w:eastAsia="zh-CN"/>
        </w:rPr>
        <w:t>种植</w:t>
      </w:r>
      <w:r>
        <w:rPr>
          <w:rFonts w:ascii="Times New Roman" w:hAnsi="Times New Roman" w:eastAsia="宋体" w:cs="Times New Roman"/>
          <w:color w:val="auto"/>
          <w:sz w:val="24"/>
          <w:szCs w:val="24"/>
          <w:highlight w:val="none"/>
        </w:rPr>
        <w:t>表土进行回填，将治理区恢复为</w:t>
      </w:r>
      <w:r>
        <w:rPr>
          <w:rFonts w:hint="eastAsia" w:ascii="Times New Roman" w:hAnsi="Times New Roman" w:eastAsia="宋体" w:cs="Times New Roman"/>
          <w:color w:val="auto"/>
          <w:sz w:val="24"/>
          <w:szCs w:val="24"/>
          <w:highlight w:val="none"/>
          <w:lang w:val="en-US" w:eastAsia="zh-CN"/>
        </w:rPr>
        <w:t>林</w:t>
      </w:r>
      <w:r>
        <w:rPr>
          <w:rFonts w:ascii="Times New Roman" w:hAnsi="Times New Roman" w:eastAsia="宋体" w:cs="Times New Roman"/>
          <w:color w:val="auto"/>
          <w:sz w:val="24"/>
          <w:szCs w:val="24"/>
          <w:highlight w:val="none"/>
        </w:rPr>
        <w:t>地</w:t>
      </w:r>
      <w:r>
        <w:rPr>
          <w:rFonts w:hint="eastAsia" w:asciiTheme="minorEastAsia" w:hAnsiTheme="minorEastAsia" w:eastAsiaTheme="minorEastAsia" w:cstheme="minorEastAsia"/>
          <w:color w:val="auto"/>
          <w:szCs w:val="24"/>
          <w:highlight w:val="none"/>
          <w:u w:val="none"/>
        </w:rPr>
        <w:t>。</w:t>
      </w:r>
      <w:r>
        <w:rPr>
          <w:rFonts w:hint="eastAsia" w:asciiTheme="minorEastAsia" w:hAnsiTheme="minorEastAsia" w:eastAsiaTheme="minorEastAsia" w:cstheme="minorEastAsia"/>
          <w:color w:val="auto"/>
          <w:kern w:val="0"/>
          <w:sz w:val="24"/>
          <w:szCs w:val="24"/>
          <w:highlight w:val="none"/>
          <w:lang w:val="en-US" w:eastAsia="zh-CN" w:bidi="ar"/>
        </w:rPr>
        <w:t>此方法不仅可以使地区一般工业固体废物得到规范处置，而且实现废弃资源综合利用，同时通过对废弃</w:t>
      </w:r>
      <w:r>
        <w:rPr>
          <w:rFonts w:hint="eastAsia" w:asciiTheme="minorEastAsia" w:hAnsiTheme="minorEastAsia" w:eastAsiaTheme="minorEastAsia" w:cstheme="minorEastAsia"/>
          <w:color w:val="auto"/>
          <w:sz w:val="24"/>
          <w:szCs w:val="24"/>
          <w:highlight w:val="none"/>
          <w:lang w:val="en-US" w:eastAsia="zh-CN"/>
        </w:rPr>
        <w:t>采砂坑</w:t>
      </w:r>
      <w:r>
        <w:rPr>
          <w:rFonts w:hint="eastAsia" w:asciiTheme="minorEastAsia" w:hAnsiTheme="minorEastAsia" w:eastAsiaTheme="minorEastAsia" w:cstheme="minorEastAsia"/>
          <w:color w:val="auto"/>
          <w:kern w:val="0"/>
          <w:sz w:val="24"/>
          <w:szCs w:val="24"/>
          <w:highlight w:val="none"/>
          <w:lang w:val="en-US" w:eastAsia="zh-CN" w:bidi="ar"/>
        </w:rPr>
        <w:t>合理地进行复垦，对恢复生态、保护环境具有重要意义。</w:t>
      </w:r>
    </w:p>
    <w:p w14:paraId="0B4F7C28">
      <w:pPr>
        <w:widowControl w:val="0"/>
        <w:snapToGrid w:val="0"/>
        <w:spacing w:line="360" w:lineRule="auto"/>
        <w:ind w:firstLine="480" w:firstLineChars="200"/>
        <w:jc w:val="both"/>
        <w:rPr>
          <w:rFonts w:hint="eastAsia" w:ascii="Times New Roman" w:hAnsi="Times New Roman" w:eastAsia="宋体" w:cs="Times New Roman"/>
          <w:color w:val="auto"/>
          <w:sz w:val="24"/>
          <w:szCs w:val="24"/>
          <w:highlight w:val="none"/>
          <w:lang w:val="en-US" w:eastAsia="zh-CN"/>
        </w:rPr>
      </w:pPr>
      <w:r>
        <w:rPr>
          <w:rFonts w:ascii="Times New Roman" w:hAnsi="Times New Roman" w:eastAsia="宋体" w:cs="Times New Roman"/>
          <w:color w:val="auto"/>
          <w:sz w:val="24"/>
          <w:szCs w:val="24"/>
          <w:highlight w:val="none"/>
        </w:rPr>
        <w:t>根据《中华人民共和国环境保护法》（中华人民共和国主席令第九号，2015年1月1日起施行）、《中华人民共和国环境影响评价法》（中华人民共和国主席令第四十八号，2016年9月1日起施行）和《建设项目环境影响评价分类管理名录（2021年版）》（生态环境部部令第16号，2021年1月1日起施行）等法律法规</w:t>
      </w:r>
      <w:r>
        <w:rPr>
          <w:rFonts w:hint="eastAsia" w:ascii="Times New Roman" w:hAnsi="Times New Roman" w:eastAsia="宋体" w:cs="Times New Roman"/>
          <w:color w:val="auto"/>
          <w:sz w:val="24"/>
          <w:szCs w:val="24"/>
          <w:highlight w:val="none"/>
          <w:lang w:eastAsia="zh-CN"/>
        </w:rPr>
        <w:t>。</w:t>
      </w:r>
      <w:r>
        <w:rPr>
          <w:rFonts w:ascii="Times New Roman" w:hAnsi="Times New Roman" w:eastAsia="宋体" w:cs="Times New Roman"/>
          <w:color w:val="auto"/>
          <w:sz w:val="24"/>
          <w:szCs w:val="24"/>
          <w:highlight w:val="none"/>
        </w:rPr>
        <w:t>本</w:t>
      </w:r>
      <w:r>
        <w:rPr>
          <w:rFonts w:hint="eastAsia" w:ascii="Times New Roman" w:hAnsi="Times New Roman" w:eastAsia="宋体" w:cs="Times New Roman"/>
          <w:color w:val="auto"/>
          <w:sz w:val="24"/>
          <w:szCs w:val="24"/>
          <w:highlight w:val="none"/>
          <w:lang w:val="en-US" w:eastAsia="zh-CN"/>
        </w:rPr>
        <w:t>项目采用回填修复方式，材料为灰渣。灰渣具有一般工业固体废物特性，在使用其修复过程中，具有填埋影响特征。因此，项目参照</w:t>
      </w:r>
      <w:r>
        <w:rPr>
          <w:rFonts w:hint="eastAsia" w:ascii="Times New Roman" w:hAnsi="Times New Roman" w:eastAsia="宋体" w:cs="Times New Roman"/>
          <w:color w:val="auto"/>
          <w:sz w:val="24"/>
          <w:szCs w:val="24"/>
          <w:highlight w:val="none"/>
        </w:rPr>
        <w:t>四十七项“生态保护和环境治理业”类别中“103、一般工业固体废物（含污泥）处置及综合利用</w:t>
      </w:r>
      <w:r>
        <w:rPr>
          <w:rFonts w:hint="eastAsia" w:ascii="Times New Roman" w:hAnsi="Times New Roman" w:eastAsia="宋体" w:cs="Times New Roman"/>
          <w:color w:val="auto"/>
          <w:sz w:val="24"/>
          <w:szCs w:val="24"/>
          <w:highlight w:val="none"/>
          <w:lang w:eastAsia="zh-CN"/>
        </w:rPr>
        <w:t>：</w:t>
      </w:r>
      <w:r>
        <w:rPr>
          <w:rFonts w:hint="eastAsia" w:ascii="Times New Roman" w:hAnsi="Times New Roman" w:eastAsia="宋体" w:cs="Times New Roman"/>
          <w:color w:val="auto"/>
          <w:sz w:val="24"/>
          <w:szCs w:val="24"/>
          <w:highlight w:val="none"/>
        </w:rPr>
        <w:t>一般工业固体废物（含污水处理污泥）采取填埋、焚烧（水泥窑协同处置的改造项目除外）方式的”需要编制环境影响报告书</w:t>
      </w:r>
      <w:r>
        <w:rPr>
          <w:rFonts w:hint="eastAsia" w:ascii="Times New Roman" w:hAnsi="Times New Roman" w:eastAsia="宋体" w:cs="Times New Roman"/>
          <w:color w:val="auto"/>
          <w:sz w:val="24"/>
          <w:szCs w:val="24"/>
          <w:highlight w:val="none"/>
          <w:lang w:eastAsia="zh-CN"/>
        </w:rPr>
        <w:t>。</w:t>
      </w:r>
    </w:p>
    <w:p w14:paraId="7CDC2C5A">
      <w:pPr>
        <w:spacing w:line="360" w:lineRule="auto"/>
        <w:ind w:firstLine="480"/>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受</w:t>
      </w:r>
      <w:r>
        <w:rPr>
          <w:rFonts w:hint="eastAsia" w:ascii="Times New Roman" w:hAnsi="宋体" w:eastAsia="宋体" w:cs="Times New Roman"/>
          <w:color w:val="auto"/>
          <w:kern w:val="0"/>
          <w:sz w:val="24"/>
          <w:szCs w:val="24"/>
          <w:highlight w:val="none"/>
          <w:lang w:val="en-US" w:eastAsia="zh-CN"/>
        </w:rPr>
        <w:t>黑龙江嘉龙环保科技有限公司</w:t>
      </w:r>
      <w:r>
        <w:rPr>
          <w:rFonts w:hint="eastAsia" w:asciiTheme="minorEastAsia" w:hAnsiTheme="minorEastAsia" w:eastAsiaTheme="minorEastAsia" w:cstheme="minorEastAsia"/>
          <w:color w:val="auto"/>
          <w:szCs w:val="24"/>
          <w:highlight w:val="none"/>
        </w:rPr>
        <w:t>的委托</w:t>
      </w:r>
      <w:r>
        <w:rPr>
          <w:rFonts w:hint="eastAsia" w:asciiTheme="minorEastAsia" w:hAnsiTheme="minorEastAsia" w:eastAsiaTheme="minorEastAsia" w:cstheme="minorEastAsia"/>
          <w:color w:val="auto"/>
          <w:szCs w:val="24"/>
          <w:highlight w:val="none"/>
          <w:lang w:eastAsia="zh-CN"/>
        </w:rPr>
        <w:t>，</w:t>
      </w:r>
      <w:r>
        <w:rPr>
          <w:rFonts w:hint="default" w:ascii="Times New Roman" w:hAnsi="Times New Roman" w:eastAsia="宋体" w:cs="Times New Roman"/>
          <w:color w:val="auto"/>
          <w:sz w:val="24"/>
          <w:szCs w:val="24"/>
          <w:highlight w:val="none"/>
          <w:lang w:val="en-US" w:eastAsia="zh-CN"/>
        </w:rPr>
        <w:t>黑龙江绿夏环保科技有限公司</w:t>
      </w:r>
      <w:r>
        <w:rPr>
          <w:rFonts w:hint="eastAsia" w:asciiTheme="minorEastAsia" w:hAnsiTheme="minorEastAsia" w:eastAsiaTheme="minorEastAsia" w:cstheme="minorEastAsia"/>
          <w:color w:val="auto"/>
          <w:szCs w:val="24"/>
          <w:highlight w:val="none"/>
        </w:rPr>
        <w:t>承担该项目的环境影响评价工作。</w:t>
      </w:r>
      <w:r>
        <w:rPr>
          <w:rFonts w:hint="eastAsia" w:asciiTheme="minorEastAsia" w:hAnsiTheme="minorEastAsia" w:eastAsiaTheme="minorEastAsia" w:cstheme="minorEastAsia"/>
          <w:color w:val="auto"/>
          <w:szCs w:val="24"/>
          <w:highlight w:val="none"/>
          <w:lang w:val="en-US" w:eastAsia="zh-CN"/>
        </w:rPr>
        <w:t>依据</w:t>
      </w:r>
      <w:r>
        <w:rPr>
          <w:rFonts w:hint="eastAsia" w:asciiTheme="minorEastAsia" w:hAnsiTheme="minorEastAsia" w:eastAsiaTheme="minorEastAsia" w:cstheme="minorEastAsia"/>
          <w:color w:val="auto"/>
          <w:szCs w:val="24"/>
          <w:highlight w:val="none"/>
        </w:rPr>
        <w:t>《中华人民共和国环境保护法》、《中华人民共和国环境影响评价法》和《建设项目环境保护管理条例》依法进行评价。我单位接受委托后，立即开展了现场踏勘、资料收集及监测工作，对项目可能造成的环境影响进行分析、预测和评估，最终提出减缓不利环境影响的对策与措施，从环境保护角度论证项目建设的可行性，按照环境影响评价技术导则的要求编制了拟建项目环境影响报告书。</w:t>
      </w:r>
    </w:p>
    <w:p w14:paraId="07547B3D">
      <w:pPr>
        <w:pStyle w:val="6"/>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color w:val="auto"/>
          <w:highlight w:val="none"/>
        </w:rPr>
      </w:pPr>
      <w:bookmarkStart w:id="46" w:name="_Toc506120762"/>
      <w:bookmarkStart w:id="47" w:name="_Toc23359"/>
      <w:bookmarkStart w:id="48" w:name="_Toc26035"/>
      <w:bookmarkStart w:id="49" w:name="_Toc19002"/>
      <w:bookmarkStart w:id="50" w:name="_Toc25575"/>
      <w:bookmarkStart w:id="51" w:name="_Toc23916"/>
      <w:bookmarkStart w:id="52" w:name="_Toc26635"/>
      <w:bookmarkStart w:id="53" w:name="_Toc21683"/>
      <w:bookmarkStart w:id="54" w:name="_Toc10474"/>
      <w:bookmarkStart w:id="55" w:name="_Toc24714"/>
      <w:bookmarkStart w:id="56" w:name="_Toc15666"/>
      <w:bookmarkStart w:id="57" w:name="_Toc17082"/>
      <w:bookmarkStart w:id="58" w:name="_Toc5087"/>
      <w:bookmarkStart w:id="59" w:name="_Toc12909"/>
      <w:bookmarkStart w:id="60" w:name="_Toc18179"/>
      <w:bookmarkStart w:id="61" w:name="_Toc22759"/>
      <w:bookmarkStart w:id="62" w:name="_Toc28231"/>
      <w:r>
        <w:rPr>
          <w:rFonts w:hint="eastAsia" w:asciiTheme="minorEastAsia" w:hAnsiTheme="minorEastAsia" w:eastAsiaTheme="minorEastAsia" w:cstheme="minorEastAsia"/>
          <w:color w:val="auto"/>
          <w:highlight w:val="none"/>
        </w:rPr>
        <w:t>1.2项目特点</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4C91C23">
      <w:pPr>
        <w:pStyle w:val="77"/>
        <w:widowControl w:val="0"/>
        <w:snapToGrid w:val="0"/>
        <w:spacing w:before="0" w:beforeAutospacing="0" w:after="0" w:afterAutospacing="0" w:line="360" w:lineRule="auto"/>
        <w:ind w:firstLine="482" w:firstLineChars="200"/>
        <w:jc w:val="both"/>
        <w:rPr>
          <w:rFonts w:hint="eastAsia" w:asciiTheme="minorEastAsia" w:hAnsiTheme="minorEastAsia" w:eastAsiaTheme="minorEastAsia" w:cstheme="minorEastAsia"/>
          <w:b/>
          <w:color w:val="auto"/>
          <w:szCs w:val="24"/>
          <w:highlight w:val="none"/>
        </w:rPr>
      </w:pPr>
      <w:r>
        <w:rPr>
          <w:rFonts w:hint="eastAsia" w:asciiTheme="minorEastAsia" w:hAnsiTheme="minorEastAsia" w:eastAsiaTheme="minorEastAsia" w:cstheme="minorEastAsia"/>
          <w:b/>
          <w:color w:val="auto"/>
          <w:szCs w:val="24"/>
          <w:highlight w:val="none"/>
          <w:lang w:val="en-US" w:eastAsia="zh-CN"/>
        </w:rPr>
        <w:t>1.2.1</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b/>
          <w:color w:val="auto"/>
          <w:szCs w:val="24"/>
          <w:highlight w:val="none"/>
        </w:rPr>
        <w:t>特点</w:t>
      </w:r>
    </w:p>
    <w:p w14:paraId="7EE9F609">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kern w:val="0"/>
          <w:sz w:val="24"/>
          <w:szCs w:val="24"/>
          <w:highlight w:val="none"/>
          <w:lang w:val="en-US" w:eastAsia="zh-CN" w:bidi="ar"/>
        </w:rPr>
      </w:pPr>
      <w:r>
        <w:rPr>
          <w:rFonts w:hint="eastAsia" w:asciiTheme="minorEastAsia" w:hAnsiTheme="minorEastAsia" w:eastAsiaTheme="minorEastAsia" w:cstheme="minorEastAsia"/>
          <w:color w:val="auto"/>
          <w:kern w:val="0"/>
          <w:sz w:val="24"/>
          <w:szCs w:val="24"/>
          <w:highlight w:val="none"/>
          <w:lang w:val="en-US" w:eastAsia="zh-CN" w:bidi="ar"/>
        </w:rPr>
        <w:t>（1）</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kern w:val="0"/>
          <w:sz w:val="24"/>
          <w:szCs w:val="24"/>
          <w:highlight w:val="none"/>
          <w:lang w:val="en-US" w:eastAsia="zh-CN" w:bidi="ar"/>
        </w:rPr>
        <w:t>概况</w:t>
      </w:r>
    </w:p>
    <w:p w14:paraId="08E72C54">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kern w:val="0"/>
          <w:sz w:val="24"/>
          <w:szCs w:val="24"/>
          <w:highlight w:val="none"/>
          <w:lang w:val="en-US" w:eastAsia="zh-CN" w:bidi="ar"/>
        </w:rPr>
      </w:pPr>
      <w:r>
        <w:rPr>
          <w:rFonts w:hint="eastAsia" w:asciiTheme="minorEastAsia" w:hAnsiTheme="minorEastAsia" w:eastAsiaTheme="minorEastAsia" w:cstheme="minorEastAsia"/>
          <w:color w:val="auto"/>
          <w:sz w:val="24"/>
          <w:szCs w:val="24"/>
          <w:highlight w:val="none"/>
          <w:lang w:val="en-US" w:eastAsia="zh-CN"/>
        </w:rPr>
        <w:t>尚志市元宝镇元宝村新村北侧</w:t>
      </w:r>
      <w:r>
        <w:rPr>
          <w:rFonts w:hint="eastAsia" w:asciiTheme="minorEastAsia" w:hAnsiTheme="minorEastAsia" w:eastAsiaTheme="minorEastAsia" w:cstheme="minorEastAsia"/>
          <w:color w:val="auto"/>
          <w:kern w:val="0"/>
          <w:sz w:val="24"/>
          <w:szCs w:val="24"/>
          <w:highlight w:val="none"/>
          <w:lang w:val="en-US" w:eastAsia="zh-CN" w:bidi="ar"/>
        </w:rPr>
        <w:t>存在一处废弃露天</w:t>
      </w:r>
      <w:r>
        <w:rPr>
          <w:rFonts w:hint="eastAsia" w:asciiTheme="minorEastAsia" w:hAnsiTheme="minorEastAsia" w:eastAsiaTheme="minorEastAsia" w:cstheme="minorEastAsia"/>
          <w:color w:val="auto"/>
          <w:sz w:val="24"/>
          <w:szCs w:val="24"/>
          <w:highlight w:val="none"/>
          <w:lang w:val="en-US" w:eastAsia="zh-CN"/>
        </w:rPr>
        <w:t>采砂坑</w:t>
      </w:r>
      <w:r>
        <w:rPr>
          <w:rFonts w:hint="eastAsia" w:asciiTheme="minorEastAsia" w:hAnsiTheme="minorEastAsia" w:eastAsiaTheme="minorEastAsia" w:cstheme="minorEastAsia"/>
          <w:color w:val="auto"/>
          <w:kern w:val="0"/>
          <w:sz w:val="24"/>
          <w:szCs w:val="24"/>
          <w:highlight w:val="none"/>
          <w:lang w:val="en-US" w:eastAsia="zh-CN" w:bidi="ar"/>
        </w:rPr>
        <w:t>（中心坐标东经128°16'39.19"，北纬45°16'18.86"），</w:t>
      </w:r>
      <w:r>
        <w:rPr>
          <w:rFonts w:hint="eastAsia" w:asciiTheme="minorEastAsia" w:hAnsiTheme="minorEastAsia" w:eastAsiaTheme="minorEastAsia" w:cstheme="minorEastAsia"/>
          <w:color w:val="auto"/>
          <w:szCs w:val="24"/>
          <w:highlight w:val="none"/>
        </w:rPr>
        <w:t>该露天采坑</w:t>
      </w:r>
      <w:r>
        <w:rPr>
          <w:rFonts w:hint="eastAsia" w:asciiTheme="minorEastAsia" w:hAnsiTheme="minorEastAsia" w:eastAsiaTheme="minorEastAsia" w:cstheme="minorEastAsia"/>
          <w:color w:val="auto"/>
          <w:sz w:val="24"/>
          <w:szCs w:val="24"/>
          <w:highlight w:val="none"/>
          <w:lang w:val="en-US" w:eastAsia="zh-CN"/>
        </w:rPr>
        <w:t>由附近村民修建建筑物盗采形成</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kern w:val="0"/>
          <w:sz w:val="24"/>
          <w:szCs w:val="24"/>
          <w:highlight w:val="none"/>
          <w:lang w:val="en-US" w:eastAsia="zh-CN" w:bidi="ar"/>
        </w:rPr>
        <w:t>权属为</w:t>
      </w:r>
      <w:r>
        <w:rPr>
          <w:rFonts w:hint="eastAsia" w:asciiTheme="minorEastAsia" w:hAnsiTheme="minorEastAsia" w:eastAsiaTheme="minorEastAsia" w:cstheme="minorEastAsia"/>
          <w:color w:val="auto"/>
          <w:sz w:val="24"/>
          <w:szCs w:val="24"/>
          <w:highlight w:val="none"/>
          <w:lang w:val="en-US" w:eastAsia="zh-CN"/>
        </w:rPr>
        <w:t>尚志市元宝镇元宝村</w:t>
      </w:r>
      <w:r>
        <w:rPr>
          <w:rFonts w:hint="eastAsia" w:asciiTheme="minorEastAsia" w:hAnsiTheme="minorEastAsia" w:eastAsiaTheme="minorEastAsia" w:cstheme="minorEastAsia"/>
          <w:color w:val="auto"/>
          <w:kern w:val="0"/>
          <w:sz w:val="24"/>
          <w:szCs w:val="24"/>
          <w:highlight w:val="none"/>
          <w:lang w:val="en-US" w:eastAsia="zh-CN" w:bidi="ar"/>
        </w:rPr>
        <w:t>，</w:t>
      </w:r>
      <w:r>
        <w:rPr>
          <w:rFonts w:hint="eastAsia" w:asciiTheme="minorEastAsia" w:hAnsiTheme="minorEastAsia" w:eastAsiaTheme="minorEastAsia" w:cstheme="minorEastAsia"/>
          <w:color w:val="auto"/>
          <w:sz w:val="24"/>
          <w:szCs w:val="24"/>
          <w:highlight w:val="none"/>
          <w:lang w:val="en-US" w:eastAsia="zh-CN"/>
        </w:rPr>
        <w:t>采砂坑</w:t>
      </w:r>
      <w:r>
        <w:rPr>
          <w:rFonts w:hint="eastAsia" w:asciiTheme="minorEastAsia" w:hAnsiTheme="minorEastAsia" w:eastAsiaTheme="minorEastAsia" w:cstheme="minorEastAsia"/>
          <w:color w:val="auto"/>
          <w:kern w:val="0"/>
          <w:sz w:val="24"/>
          <w:szCs w:val="24"/>
          <w:highlight w:val="none"/>
          <w:lang w:val="en-US" w:eastAsia="zh-CN" w:bidi="ar"/>
        </w:rPr>
        <w:t>面积约11296.10m</w:t>
      </w:r>
      <w:r>
        <w:rPr>
          <w:rFonts w:hint="eastAsia" w:asciiTheme="minorEastAsia" w:hAnsiTheme="minorEastAsia" w:eastAsiaTheme="minorEastAsia" w:cstheme="minorEastAsia"/>
          <w:color w:val="auto"/>
          <w:kern w:val="0"/>
          <w:sz w:val="24"/>
          <w:szCs w:val="24"/>
          <w:highlight w:val="none"/>
          <w:vertAlign w:val="superscript"/>
          <w:lang w:val="en-US" w:eastAsia="zh-CN" w:bidi="ar"/>
        </w:rPr>
        <w:t>2</w:t>
      </w:r>
      <w:r>
        <w:rPr>
          <w:rFonts w:hint="eastAsia" w:asciiTheme="minorEastAsia" w:hAnsiTheme="minorEastAsia" w:eastAsiaTheme="minorEastAsia" w:cstheme="minorEastAsia"/>
          <w:color w:val="auto"/>
          <w:kern w:val="0"/>
          <w:sz w:val="24"/>
          <w:szCs w:val="24"/>
          <w:highlight w:val="none"/>
          <w:lang w:val="en-US" w:eastAsia="zh-CN" w:bidi="ar"/>
        </w:rPr>
        <w:t>，坑深约0.5-8.5m不等，</w:t>
      </w:r>
      <w:r>
        <w:rPr>
          <w:rFonts w:ascii="Times New Roman" w:hAnsi="Times New Roman" w:eastAsia="宋体" w:cs="Times New Roman"/>
          <w:color w:val="auto"/>
          <w:sz w:val="24"/>
          <w:szCs w:val="24"/>
          <w:highlight w:val="none"/>
        </w:rPr>
        <w:t>回填采坑为不规则圆形，采坑</w:t>
      </w:r>
      <w:r>
        <w:rPr>
          <w:rFonts w:hint="eastAsia" w:ascii="Times New Roman" w:hAnsi="Times New Roman" w:eastAsia="宋体" w:cs="Times New Roman"/>
          <w:color w:val="auto"/>
          <w:sz w:val="24"/>
          <w:szCs w:val="24"/>
          <w:highlight w:val="none"/>
          <w:lang w:val="en-US" w:eastAsia="zh-CN"/>
        </w:rPr>
        <w:t>西</w:t>
      </w:r>
      <w:r>
        <w:rPr>
          <w:rFonts w:ascii="Times New Roman" w:hAnsi="Times New Roman" w:eastAsia="宋体" w:cs="Times New Roman"/>
          <w:color w:val="auto"/>
          <w:sz w:val="24"/>
          <w:szCs w:val="24"/>
          <w:highlight w:val="none"/>
        </w:rPr>
        <w:t>高</w:t>
      </w:r>
      <w:r>
        <w:rPr>
          <w:rFonts w:hint="eastAsia" w:ascii="Times New Roman" w:hAnsi="Times New Roman" w:eastAsia="宋体" w:cs="Times New Roman"/>
          <w:color w:val="auto"/>
          <w:sz w:val="24"/>
          <w:szCs w:val="24"/>
          <w:highlight w:val="none"/>
          <w:lang w:val="en-US" w:eastAsia="zh-CN"/>
        </w:rPr>
        <w:t>东</w:t>
      </w:r>
      <w:r>
        <w:rPr>
          <w:rFonts w:ascii="Times New Roman" w:hAnsi="Times New Roman" w:eastAsia="宋体" w:cs="Times New Roman"/>
          <w:color w:val="auto"/>
          <w:sz w:val="24"/>
          <w:szCs w:val="24"/>
          <w:highlight w:val="none"/>
        </w:rPr>
        <w:t>低、北高南低</w:t>
      </w:r>
      <w:r>
        <w:rPr>
          <w:rFonts w:hint="eastAsia" w:ascii="Times New Roman" w:hAnsi="Times New Roman" w:eastAsia="宋体" w:cs="Times New Roman"/>
          <w:color w:val="auto"/>
          <w:sz w:val="24"/>
          <w:szCs w:val="24"/>
          <w:highlight w:val="none"/>
          <w:lang w:eastAsia="zh-CN"/>
        </w:rPr>
        <w:t>，</w:t>
      </w:r>
      <w:r>
        <w:rPr>
          <w:rFonts w:hint="eastAsia" w:asciiTheme="minorEastAsia" w:hAnsiTheme="minorEastAsia" w:eastAsiaTheme="minorEastAsia" w:cstheme="minorEastAsia"/>
          <w:color w:val="auto"/>
          <w:kern w:val="0"/>
          <w:sz w:val="24"/>
          <w:szCs w:val="24"/>
          <w:highlight w:val="none"/>
          <w:lang w:val="en-US" w:eastAsia="zh-CN" w:bidi="ar"/>
        </w:rPr>
        <w:t>长期以来处于无法利用的废弃状态，目前坑内主要为杂草，无积水，没有形成开采台阶，没有发现残留化学品以及异常气味、表面金属析出等污染痕迹，现场无崩塌、滑坡、地面沉陷等地质环境问题。</w:t>
      </w:r>
    </w:p>
    <w:tbl>
      <w:tblPr>
        <w:tblStyle w:val="8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20"/>
        <w:gridCol w:w="4462"/>
      </w:tblGrid>
      <w:tr w14:paraId="2413F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93" w:type="dxa"/>
            <w:noWrap w:val="0"/>
            <w:vAlign w:val="top"/>
          </w:tcPr>
          <w:p w14:paraId="4C3C65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drawing>
                <wp:inline distT="0" distB="0" distL="114300" distR="114300">
                  <wp:extent cx="2548890" cy="1911985"/>
                  <wp:effectExtent l="0" t="0" r="3810" b="5715"/>
                  <wp:docPr id="15" name="图片 15" descr="c71dabf5cf6de1c8b9819c924a2a58a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71dabf5cf6de1c8b9819c924a2a58a3_"/>
                          <pic:cNvPicPr>
                            <a:picLocks noChangeAspect="1"/>
                          </pic:cNvPicPr>
                        </pic:nvPicPr>
                        <pic:blipFill>
                          <a:blip r:embed="rId16"/>
                          <a:stretch>
                            <a:fillRect/>
                          </a:stretch>
                        </pic:blipFill>
                        <pic:spPr>
                          <a:xfrm>
                            <a:off x="0" y="0"/>
                            <a:ext cx="2548890" cy="1911985"/>
                          </a:xfrm>
                          <a:prstGeom prst="rect">
                            <a:avLst/>
                          </a:prstGeom>
                        </pic:spPr>
                      </pic:pic>
                    </a:graphicData>
                  </a:graphic>
                </wp:inline>
              </w:drawing>
            </w:r>
          </w:p>
        </w:tc>
        <w:tc>
          <w:tcPr>
            <w:tcW w:w="4736" w:type="dxa"/>
            <w:noWrap w:val="0"/>
            <w:vAlign w:val="top"/>
          </w:tcPr>
          <w:p w14:paraId="078FD7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drawing>
                <wp:inline distT="0" distB="0" distL="114300" distR="114300">
                  <wp:extent cx="2509520" cy="1882140"/>
                  <wp:effectExtent l="0" t="0" r="5080" b="10160"/>
                  <wp:docPr id="16" name="图片 16" descr="240c653f34eb3b568064203cbac7a32b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40c653f34eb3b568064203cbac7a32b_"/>
                          <pic:cNvPicPr>
                            <a:picLocks noChangeAspect="1"/>
                          </pic:cNvPicPr>
                        </pic:nvPicPr>
                        <pic:blipFill>
                          <a:blip r:embed="rId17"/>
                          <a:stretch>
                            <a:fillRect/>
                          </a:stretch>
                        </pic:blipFill>
                        <pic:spPr>
                          <a:xfrm>
                            <a:off x="0" y="0"/>
                            <a:ext cx="2509520" cy="1882140"/>
                          </a:xfrm>
                          <a:prstGeom prst="rect">
                            <a:avLst/>
                          </a:prstGeom>
                        </pic:spPr>
                      </pic:pic>
                    </a:graphicData>
                  </a:graphic>
                </wp:inline>
              </w:drawing>
            </w:r>
          </w:p>
        </w:tc>
      </w:tr>
      <w:tr w14:paraId="7325C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29" w:type="dxa"/>
            <w:gridSpan w:val="2"/>
            <w:noWrap w:val="0"/>
            <w:vAlign w:val="top"/>
          </w:tcPr>
          <w:p w14:paraId="120899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highlight w:val="none"/>
                <w:vertAlign w:val="baseline"/>
                <w:lang w:val="en-US" w:eastAsia="zh-CN"/>
              </w:rPr>
            </w:pPr>
            <w:r>
              <w:rPr>
                <w:rFonts w:hint="eastAsia" w:ascii="Times New Roman" w:hAnsi="Times New Roman" w:eastAsia="宋体" w:cs="Times New Roman"/>
                <w:color w:val="auto"/>
                <w:highlight w:val="none"/>
                <w:vertAlign w:val="baseline"/>
                <w:lang w:val="en-US" w:eastAsia="zh-CN"/>
              </w:rPr>
              <w:t>现状照片</w:t>
            </w:r>
          </w:p>
        </w:tc>
      </w:tr>
    </w:tbl>
    <w:p w14:paraId="6300B9FA">
      <w:pPr>
        <w:pStyle w:val="77"/>
        <w:widowControl w:val="0"/>
        <w:snapToGrid w:val="0"/>
        <w:spacing w:before="0" w:beforeAutospacing="0" w:after="0" w:afterAutospacing="0" w:line="240" w:lineRule="auto"/>
        <w:jc w:val="center"/>
        <w:rPr>
          <w:rFonts w:hint="eastAsia" w:asciiTheme="minorEastAsia" w:hAnsiTheme="minorEastAsia" w:eastAsiaTheme="minorEastAsia" w:cstheme="minorEastAsia"/>
          <w:b/>
          <w:bCs/>
          <w:color w:val="auto"/>
          <w:szCs w:val="24"/>
          <w:highlight w:val="none"/>
          <w:lang w:val="en-US" w:eastAsia="zh-CN"/>
        </w:rPr>
      </w:pPr>
      <w:r>
        <w:rPr>
          <w:rFonts w:hint="eastAsia" w:asciiTheme="minorEastAsia" w:hAnsiTheme="minorEastAsia" w:eastAsiaTheme="minorEastAsia" w:cstheme="minorEastAsia"/>
          <w:b/>
          <w:bCs/>
          <w:color w:val="auto"/>
          <w:szCs w:val="24"/>
          <w:highlight w:val="none"/>
          <w:lang w:val="en-US" w:eastAsia="zh-CN"/>
        </w:rPr>
        <w:t xml:space="preserve">图1.2-1  </w:t>
      </w:r>
      <w:r>
        <w:rPr>
          <w:rFonts w:hint="eastAsia" w:asciiTheme="minorEastAsia" w:hAnsiTheme="minorEastAsia" w:eastAsiaTheme="minorEastAsia" w:cstheme="minorEastAsia"/>
          <w:b/>
          <w:bCs/>
          <w:color w:val="auto"/>
          <w:sz w:val="24"/>
          <w:szCs w:val="24"/>
          <w:highlight w:val="none"/>
          <w:lang w:val="en-US" w:eastAsia="zh-CN"/>
        </w:rPr>
        <w:t>采砂坑</w:t>
      </w:r>
      <w:r>
        <w:rPr>
          <w:rFonts w:hint="eastAsia" w:asciiTheme="minorEastAsia" w:hAnsiTheme="minorEastAsia" w:eastAsiaTheme="minorEastAsia" w:cstheme="minorEastAsia"/>
          <w:b/>
          <w:bCs/>
          <w:color w:val="auto"/>
          <w:szCs w:val="24"/>
          <w:highlight w:val="none"/>
          <w:lang w:val="en-US" w:eastAsia="zh-CN"/>
        </w:rPr>
        <w:t>现状照片</w:t>
      </w:r>
    </w:p>
    <w:p w14:paraId="1398ADA4">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w:t>
      </w:r>
      <w:r>
        <w:rPr>
          <w:rFonts w:hint="eastAsia" w:asciiTheme="minorEastAsia" w:hAnsiTheme="minorEastAsia" w:eastAsiaTheme="minorEastAsia" w:cstheme="minorEastAsia"/>
          <w:color w:val="auto"/>
          <w:szCs w:val="24"/>
          <w:highlight w:val="none"/>
          <w:lang w:val="en-US" w:eastAsia="zh-CN"/>
        </w:rPr>
        <w:t>2</w:t>
      </w:r>
      <w:r>
        <w:rPr>
          <w:rFonts w:hint="eastAsia" w:asciiTheme="minorEastAsia" w:hAnsiTheme="minorEastAsia" w:eastAsiaTheme="minorEastAsia" w:cstheme="minorEastAsia"/>
          <w:color w:val="auto"/>
          <w:szCs w:val="24"/>
          <w:highlight w:val="none"/>
        </w:rPr>
        <w:t>）回填材料</w:t>
      </w:r>
    </w:p>
    <w:p w14:paraId="594F23F7">
      <w:pPr>
        <w:autoSpaceDE w:val="0"/>
        <w:autoSpaceDN w:val="0"/>
        <w:adjustRightInd w:val="0"/>
        <w:spacing w:line="360" w:lineRule="auto"/>
        <w:ind w:firstLine="480"/>
        <w:rPr>
          <w:rFonts w:hint="eastAsia" w:ascii="Times New Roman" w:eastAsia="宋体"/>
          <w:color w:val="auto"/>
          <w:highlight w:val="none"/>
          <w:lang w:val="en-US" w:eastAsia="zh-CN"/>
        </w:rPr>
      </w:pPr>
      <w:r>
        <w:rPr>
          <w:rFonts w:ascii="Times New Roman"/>
          <w:color w:val="auto"/>
          <w:highlight w:val="none"/>
        </w:rPr>
        <w:t>项目</w:t>
      </w:r>
      <w:r>
        <w:rPr>
          <w:rFonts w:hint="eastAsia" w:ascii="Times New Roman"/>
          <w:color w:val="auto"/>
          <w:highlight w:val="none"/>
        </w:rPr>
        <w:t>区域内</w:t>
      </w:r>
      <w:r>
        <w:rPr>
          <w:rFonts w:ascii="Times New Roman"/>
          <w:color w:val="auto"/>
          <w:highlight w:val="none"/>
        </w:rPr>
        <w:t>回填物主要为</w:t>
      </w:r>
      <w:r>
        <w:rPr>
          <w:rFonts w:hint="eastAsia" w:ascii="Times New Roman"/>
          <w:color w:val="auto"/>
          <w:highlight w:val="none"/>
        </w:rPr>
        <w:t>灰渣，</w:t>
      </w:r>
      <w:r>
        <w:rPr>
          <w:rFonts w:ascii="Times New Roman"/>
          <w:color w:val="auto"/>
          <w:highlight w:val="none"/>
        </w:rPr>
        <w:t>回填物</w:t>
      </w:r>
      <w:r>
        <w:rPr>
          <w:rFonts w:hint="default" w:ascii="Times New Roman" w:hAnsi="Times New Roman" w:eastAsia="宋体"/>
          <w:color w:val="auto"/>
          <w:sz w:val="24"/>
          <w:highlight w:val="none"/>
          <w:lang w:val="en-US" w:eastAsia="zh-CN"/>
        </w:rPr>
        <w:t>灰渣源</w:t>
      </w:r>
      <w:r>
        <w:rPr>
          <w:rFonts w:hint="eastAsia" w:ascii="Times New Roman" w:hAnsi="Times New Roman" w:eastAsia="宋体"/>
          <w:color w:val="auto"/>
          <w:sz w:val="24"/>
          <w:highlight w:val="none"/>
          <w:lang w:val="en-US" w:eastAsia="zh-CN"/>
        </w:rPr>
        <w:t>于</w:t>
      </w:r>
      <w:r>
        <w:rPr>
          <w:rFonts w:hint="eastAsia" w:ascii="Times New Roman"/>
          <w:color w:val="auto"/>
          <w:sz w:val="24"/>
          <w:highlight w:val="none"/>
          <w:lang w:val="en-US" w:eastAsia="zh-CN"/>
        </w:rPr>
        <w:t>黑龙江瑞和热电有限公司、尚志市正德金环境科技有限公司</w:t>
      </w:r>
      <w:r>
        <w:rPr>
          <w:rFonts w:hint="eastAsia" w:ascii="Times New Roman"/>
          <w:color w:val="auto"/>
          <w:highlight w:val="none"/>
          <w:lang w:val="en-US" w:eastAsia="zh-CN"/>
        </w:rPr>
        <w:t>和苇河林业局供热站</w:t>
      </w:r>
      <w:r>
        <w:rPr>
          <w:rFonts w:hint="eastAsia" w:ascii="Times New Roman" w:hAnsi="Times New Roman" w:eastAsia="宋体"/>
          <w:color w:val="auto"/>
          <w:sz w:val="24"/>
          <w:highlight w:val="none"/>
          <w:lang w:val="en-US" w:eastAsia="zh-CN"/>
        </w:rPr>
        <w:t>。</w:t>
      </w:r>
      <w:r>
        <w:rPr>
          <w:rFonts w:hint="eastAsia" w:ascii="Times New Roman"/>
          <w:color w:val="auto"/>
          <w:highlight w:val="none"/>
          <w:lang w:val="en-US" w:eastAsia="zh-CN"/>
        </w:rPr>
        <w:t>三家单位总计可提供</w:t>
      </w:r>
      <w:r>
        <w:rPr>
          <w:rFonts w:hint="eastAsia" w:ascii="Times New Roman"/>
          <w:color w:val="auto"/>
          <w:highlight w:val="none"/>
        </w:rPr>
        <w:t>灰渣</w:t>
      </w:r>
      <w:r>
        <w:rPr>
          <w:rFonts w:hint="eastAsia" w:ascii="Times New Roman"/>
          <w:color w:val="auto"/>
          <w:highlight w:val="none"/>
          <w:lang w:val="en-US" w:eastAsia="zh-CN"/>
        </w:rPr>
        <w:t>量为</w:t>
      </w:r>
      <w:r>
        <w:rPr>
          <w:rFonts w:hint="eastAsia" w:ascii="Times New Roman" w:hAnsi="Times New Roman" w:eastAsia="宋体" w:cs="Times New Roman"/>
          <w:color w:val="auto"/>
          <w:sz w:val="24"/>
          <w:szCs w:val="24"/>
          <w:highlight w:val="none"/>
        </w:rPr>
        <w:t>80760.03</w:t>
      </w:r>
      <w:r>
        <w:rPr>
          <w:rFonts w:hint="default" w:ascii="Times New Roman" w:hAnsi="Times New Roman" w:eastAsia="宋体"/>
          <w:color w:val="auto"/>
          <w:sz w:val="24"/>
          <w:highlight w:val="none"/>
          <w:lang w:val="en-US" w:eastAsia="zh-CN"/>
        </w:rPr>
        <w:t>m</w:t>
      </w:r>
      <w:r>
        <w:rPr>
          <w:rFonts w:hint="default" w:ascii="Times New Roman" w:hAnsi="Times New Roman" w:eastAsia="宋体"/>
          <w:color w:val="auto"/>
          <w:sz w:val="24"/>
          <w:highlight w:val="none"/>
          <w:vertAlign w:val="superscript"/>
          <w:lang w:val="en-US" w:eastAsia="zh-CN"/>
        </w:rPr>
        <w:t>3</w:t>
      </w:r>
      <w:r>
        <w:rPr>
          <w:rFonts w:hint="eastAsia" w:ascii="Times New Roman" w:hAnsi="Times New Roman" w:eastAsia="宋体"/>
          <w:color w:val="auto"/>
          <w:sz w:val="24"/>
          <w:highlight w:val="none"/>
          <w:vertAlign w:val="baseline"/>
          <w:lang w:val="en-US" w:eastAsia="zh-CN"/>
        </w:rPr>
        <w:t>。</w:t>
      </w:r>
      <w:r>
        <w:rPr>
          <w:rFonts w:hint="eastAsia" w:ascii="Times New Roman" w:hAnsi="Times New Roman" w:eastAsia="宋体"/>
          <w:color w:val="auto"/>
          <w:sz w:val="24"/>
          <w:highlight w:val="none"/>
          <w:lang w:val="en-US" w:eastAsia="zh-CN"/>
        </w:rPr>
        <w:t>灰渣比例约为1:3。</w:t>
      </w:r>
    </w:p>
    <w:p w14:paraId="387D8B86">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lang w:eastAsia="zh-CN"/>
        </w:rPr>
      </w:pPr>
      <w:r>
        <w:rPr>
          <w:rFonts w:hint="eastAsia" w:asciiTheme="minorEastAsia" w:hAnsiTheme="minorEastAsia" w:eastAsiaTheme="minorEastAsia" w:cstheme="minorEastAsia"/>
          <w:color w:val="auto"/>
          <w:szCs w:val="24"/>
          <w:highlight w:val="none"/>
        </w:rPr>
        <w:t>根据灰渣浸出液</w:t>
      </w:r>
      <w:r>
        <w:rPr>
          <w:rFonts w:hint="eastAsia" w:asciiTheme="minorEastAsia" w:hAnsiTheme="minorEastAsia" w:eastAsiaTheme="minorEastAsia" w:cstheme="minorEastAsia"/>
          <w:color w:val="auto"/>
          <w:szCs w:val="24"/>
          <w:highlight w:val="none"/>
          <w:lang w:val="en-US" w:eastAsia="zh-CN"/>
        </w:rPr>
        <w:t>检测结果：</w:t>
      </w:r>
      <w:r>
        <w:rPr>
          <w:rFonts w:hint="eastAsia" w:asciiTheme="minorEastAsia" w:hAnsiTheme="minorEastAsia" w:eastAsiaTheme="minorEastAsia" w:cstheme="minorEastAsia"/>
          <w:color w:val="auto"/>
          <w:sz w:val="24"/>
          <w:szCs w:val="22"/>
          <w:highlight w:val="none"/>
          <w:lang w:val="en-US" w:eastAsia="zh-CN" w:bidi="ar-SA"/>
        </w:rPr>
        <w:t>灰渣浸出液中任何一种污染物的浓度均未超过《污水综合排放标准》（GB 8978-1996）中最高允许排放浓度，且pH值在6-9范围之内，因此本项目使用的</w:t>
      </w:r>
      <w:r>
        <w:rPr>
          <w:rFonts w:hint="eastAsia" w:asciiTheme="minorEastAsia" w:hAnsiTheme="minorEastAsia" w:eastAsiaTheme="minorEastAsia" w:cstheme="minorEastAsia"/>
          <w:color w:val="auto"/>
          <w:szCs w:val="24"/>
          <w:highlight w:val="none"/>
        </w:rPr>
        <w:t>灰渣</w:t>
      </w:r>
      <w:r>
        <w:rPr>
          <w:rFonts w:hint="eastAsia" w:asciiTheme="minorEastAsia" w:hAnsiTheme="minorEastAsia" w:eastAsiaTheme="minorEastAsia" w:cstheme="minorEastAsia"/>
          <w:color w:val="auto"/>
          <w:highlight w:val="none"/>
          <w:shd w:val="clear" w:color="auto" w:fill="FFFFFF"/>
        </w:rPr>
        <w:t>属于“</w:t>
      </w:r>
      <w:r>
        <w:rPr>
          <w:rFonts w:hint="eastAsia" w:asciiTheme="minorEastAsia" w:hAnsiTheme="minorEastAsia" w:eastAsiaTheme="minorEastAsia" w:cstheme="minorEastAsia"/>
          <w:color w:val="auto"/>
          <w:kern w:val="2"/>
          <w:szCs w:val="22"/>
          <w:highlight w:val="none"/>
          <w:lang w:bidi="ar"/>
        </w:rPr>
        <w:t>第I类一般工业固体废物</w:t>
      </w:r>
      <w:r>
        <w:rPr>
          <w:rFonts w:hint="eastAsia" w:asciiTheme="minorEastAsia" w:hAnsiTheme="minorEastAsia" w:eastAsiaTheme="minorEastAsia" w:cstheme="minorEastAsia"/>
          <w:color w:val="auto"/>
          <w:highlight w:val="none"/>
          <w:shd w:val="clear" w:color="auto" w:fill="FFFFFF"/>
        </w:rPr>
        <w:t>”</w:t>
      </w:r>
      <w:r>
        <w:rPr>
          <w:rFonts w:hint="eastAsia" w:asciiTheme="minorEastAsia" w:hAnsiTheme="minorEastAsia" w:eastAsiaTheme="minorEastAsia" w:cstheme="minorEastAsia"/>
          <w:color w:val="auto"/>
          <w:kern w:val="2"/>
          <w:szCs w:val="22"/>
          <w:highlight w:val="none"/>
          <w:lang w:bidi="ar"/>
        </w:rPr>
        <w:t>，</w:t>
      </w:r>
      <w:r>
        <w:rPr>
          <w:rFonts w:hint="eastAsia" w:asciiTheme="minorEastAsia" w:hAnsiTheme="minorEastAsia" w:eastAsiaTheme="minorEastAsia" w:cstheme="minorEastAsia"/>
          <w:color w:val="auto"/>
          <w:kern w:val="2"/>
          <w:szCs w:val="22"/>
          <w:highlight w:val="none"/>
          <w:lang w:val="en-US" w:eastAsia="zh-CN" w:bidi="ar"/>
        </w:rPr>
        <w:t>且有机质含量小于2%，水溶性盐总量小于2%，</w:t>
      </w:r>
      <w:r>
        <w:rPr>
          <w:rFonts w:hint="eastAsia" w:asciiTheme="minorEastAsia" w:hAnsiTheme="minorEastAsia" w:eastAsiaTheme="minorEastAsia" w:cstheme="minorEastAsia"/>
          <w:color w:val="auto"/>
          <w:kern w:val="2"/>
          <w:szCs w:val="22"/>
          <w:highlight w:val="none"/>
          <w:lang w:bidi="ar"/>
        </w:rPr>
        <w:t>满足《一般工业固体废物贮存和填埋污染控制标准》中充填及回填利用</w:t>
      </w:r>
      <w:r>
        <w:rPr>
          <w:rFonts w:hint="eastAsia" w:asciiTheme="minorEastAsia" w:hAnsiTheme="minorEastAsia" w:eastAsiaTheme="minorEastAsia" w:cstheme="minorEastAsia"/>
          <w:color w:val="auto"/>
          <w:kern w:val="2"/>
          <w:szCs w:val="22"/>
          <w:highlight w:val="none"/>
          <w:lang w:eastAsia="zh-CN" w:bidi="ar"/>
        </w:rPr>
        <w:t>、</w:t>
      </w:r>
      <w:r>
        <w:rPr>
          <w:rFonts w:hint="eastAsia" w:asciiTheme="minorEastAsia" w:hAnsiTheme="minorEastAsia" w:eastAsiaTheme="minorEastAsia" w:cstheme="minorEastAsia"/>
          <w:color w:val="auto"/>
          <w:kern w:val="2"/>
          <w:szCs w:val="22"/>
          <w:highlight w:val="none"/>
          <w:lang w:val="en-US" w:eastAsia="zh-CN" w:bidi="ar"/>
        </w:rPr>
        <w:t>封填及土地复垦</w:t>
      </w:r>
      <w:r>
        <w:rPr>
          <w:rFonts w:hint="eastAsia" w:asciiTheme="minorEastAsia" w:hAnsiTheme="minorEastAsia" w:eastAsiaTheme="minorEastAsia" w:cstheme="minorEastAsia"/>
          <w:color w:val="auto"/>
          <w:kern w:val="2"/>
          <w:szCs w:val="22"/>
          <w:highlight w:val="none"/>
          <w:lang w:bidi="ar"/>
        </w:rPr>
        <w:t>要求</w:t>
      </w:r>
      <w:r>
        <w:rPr>
          <w:rFonts w:hint="eastAsia" w:asciiTheme="minorEastAsia" w:hAnsiTheme="minorEastAsia" w:eastAsiaTheme="minorEastAsia" w:cstheme="minorEastAsia"/>
          <w:color w:val="auto"/>
          <w:kern w:val="2"/>
          <w:szCs w:val="22"/>
          <w:highlight w:val="none"/>
          <w:lang w:eastAsia="zh-CN" w:bidi="ar"/>
        </w:rPr>
        <w:t>。</w:t>
      </w:r>
      <w:r>
        <w:rPr>
          <w:rFonts w:hint="eastAsia" w:ascii="Times New Roman"/>
          <w:color w:val="auto"/>
          <w:sz w:val="24"/>
          <w:szCs w:val="24"/>
          <w:highlight w:val="none"/>
        </w:rPr>
        <w:t>共计</w:t>
      </w:r>
      <w:r>
        <w:rPr>
          <w:rFonts w:hint="eastAsia" w:ascii="Times New Roman"/>
          <w:color w:val="auto"/>
          <w:sz w:val="24"/>
          <w:szCs w:val="24"/>
          <w:highlight w:val="none"/>
          <w:lang w:val="en-US" w:eastAsia="zh-CN"/>
        </w:rPr>
        <w:t>灰渣</w:t>
      </w:r>
      <w:r>
        <w:rPr>
          <w:rFonts w:hint="default" w:ascii="Times New Roman" w:hAnsi="Times New Roman" w:cs="Times New Roman"/>
          <w:color w:val="auto"/>
          <w:sz w:val="24"/>
          <w:szCs w:val="24"/>
          <w:highlight w:val="none"/>
        </w:rPr>
        <w:t>填</w:t>
      </w:r>
      <w:r>
        <w:rPr>
          <w:rFonts w:hint="eastAsia" w:cs="Times New Roman"/>
          <w:color w:val="auto"/>
          <w:sz w:val="24"/>
          <w:szCs w:val="24"/>
          <w:highlight w:val="none"/>
          <w:lang w:val="en-US" w:eastAsia="zh-CN"/>
        </w:rPr>
        <w:t>充</w:t>
      </w:r>
      <w:r>
        <w:rPr>
          <w:rFonts w:hint="default" w:ascii="Times New Roman" w:hAnsi="Times New Roman" w:cs="Times New Roman"/>
          <w:color w:val="auto"/>
          <w:sz w:val="24"/>
          <w:szCs w:val="24"/>
          <w:highlight w:val="none"/>
        </w:rPr>
        <w:t>量</w:t>
      </w:r>
      <w:r>
        <w:rPr>
          <w:rFonts w:hint="eastAsia" w:ascii="Times New Roman"/>
          <w:color w:val="auto"/>
          <w:sz w:val="24"/>
          <w:szCs w:val="24"/>
          <w:highlight w:val="none"/>
        </w:rPr>
        <w:t>为</w:t>
      </w:r>
      <w:r>
        <w:rPr>
          <w:rFonts w:hint="eastAsia" w:ascii="Times New Roman" w:hAnsi="Times New Roman" w:eastAsia="宋体" w:cs="Times New Roman"/>
          <w:color w:val="auto"/>
          <w:sz w:val="24"/>
          <w:szCs w:val="24"/>
          <w:highlight w:val="none"/>
        </w:rPr>
        <w:t>80760.03</w:t>
      </w:r>
      <w:r>
        <w:rPr>
          <w:rFonts w:hint="default" w:ascii="Times New Roman" w:hAnsi="Times New Roman" w:eastAsia="宋体"/>
          <w:color w:val="auto"/>
          <w:sz w:val="24"/>
          <w:szCs w:val="24"/>
          <w:highlight w:val="none"/>
          <w:lang w:val="en-US" w:eastAsia="zh-CN"/>
        </w:rPr>
        <w:t>m</w:t>
      </w:r>
      <w:r>
        <w:rPr>
          <w:rFonts w:hint="default" w:ascii="Times New Roman" w:hAnsi="Times New Roman" w:eastAsia="宋体"/>
          <w:color w:val="auto"/>
          <w:sz w:val="24"/>
          <w:szCs w:val="24"/>
          <w:highlight w:val="none"/>
          <w:vertAlign w:val="superscript"/>
          <w:lang w:val="en-US" w:eastAsia="zh-CN"/>
        </w:rPr>
        <w:t>3</w:t>
      </w:r>
      <w:r>
        <w:rPr>
          <w:rFonts w:hint="eastAsia" w:ascii="Times New Roman"/>
          <w:color w:val="auto"/>
          <w:sz w:val="24"/>
          <w:szCs w:val="24"/>
          <w:highlight w:val="none"/>
          <w:lang w:eastAsia="zh-CN"/>
        </w:rPr>
        <w:t>，</w:t>
      </w:r>
      <w:r>
        <w:rPr>
          <w:rFonts w:hint="default" w:ascii="Times New Roman" w:hAnsi="Times New Roman" w:eastAsia="宋体"/>
          <w:color w:val="auto"/>
          <w:sz w:val="24"/>
          <w:szCs w:val="24"/>
          <w:highlight w:val="none"/>
          <w:lang w:val="en-US" w:eastAsia="zh-CN"/>
        </w:rPr>
        <w:t>覆土所需土壤来源于</w:t>
      </w:r>
      <w:r>
        <w:rPr>
          <w:rFonts w:hint="eastAsia" w:ascii="Times New Roman" w:hAnsi="Times New Roman" w:eastAsia="宋体" w:cs="Times New Roman"/>
          <w:color w:val="auto"/>
          <w:sz w:val="24"/>
          <w:szCs w:val="24"/>
          <w:highlight w:val="none"/>
          <w:lang w:val="en-US" w:eastAsia="zh-CN"/>
        </w:rPr>
        <w:t>当地高标准农田建设</w:t>
      </w:r>
      <w:r>
        <w:rPr>
          <w:rFonts w:ascii="Times New Roman" w:hAnsi="Times New Roman" w:eastAsia="宋体" w:cs="Times New Roman"/>
          <w:color w:val="auto"/>
          <w:sz w:val="24"/>
          <w:szCs w:val="24"/>
          <w:highlight w:val="none"/>
        </w:rPr>
        <w:t>剥离的</w:t>
      </w:r>
      <w:r>
        <w:rPr>
          <w:rFonts w:hint="eastAsia" w:ascii="Times New Roman" w:hAnsi="Times New Roman" w:eastAsia="宋体" w:cs="Times New Roman"/>
          <w:color w:val="auto"/>
          <w:sz w:val="24"/>
          <w:szCs w:val="24"/>
          <w:highlight w:val="none"/>
          <w:lang w:val="en-US" w:eastAsia="zh-CN"/>
        </w:rPr>
        <w:t>种植</w:t>
      </w:r>
      <w:r>
        <w:rPr>
          <w:rFonts w:ascii="Times New Roman" w:hAnsi="Times New Roman" w:eastAsia="宋体" w:cs="Times New Roman"/>
          <w:color w:val="auto"/>
          <w:sz w:val="24"/>
          <w:szCs w:val="24"/>
          <w:highlight w:val="none"/>
        </w:rPr>
        <w:t>表土</w:t>
      </w:r>
      <w:r>
        <w:rPr>
          <w:rFonts w:hint="eastAsia" w:ascii="Times New Roman" w:hAnsi="Times New Roman" w:eastAsia="宋体" w:cs="Times New Roman"/>
          <w:color w:val="auto"/>
          <w:sz w:val="24"/>
          <w:szCs w:val="24"/>
          <w:highlight w:val="none"/>
          <w:lang w:eastAsia="zh-CN"/>
        </w:rPr>
        <w:t>，</w:t>
      </w:r>
      <w:r>
        <w:rPr>
          <w:rFonts w:hint="eastAsia" w:ascii="Times New Roman" w:hAnsi="Times New Roman" w:eastAsia="宋体"/>
          <w:color w:val="auto"/>
          <w:sz w:val="24"/>
          <w:szCs w:val="24"/>
          <w:highlight w:val="none"/>
          <w:lang w:val="en-US" w:eastAsia="zh-CN"/>
        </w:rPr>
        <w:t>覆</w:t>
      </w:r>
      <w:r>
        <w:rPr>
          <w:rFonts w:hint="default" w:ascii="Times New Roman" w:hAnsi="Times New Roman" w:eastAsia="宋体"/>
          <w:color w:val="auto"/>
          <w:sz w:val="24"/>
          <w:szCs w:val="24"/>
          <w:highlight w:val="none"/>
          <w:lang w:val="en-US" w:eastAsia="zh-CN"/>
        </w:rPr>
        <w:t>土量为</w:t>
      </w:r>
      <w:r>
        <w:rPr>
          <w:rFonts w:hint="eastAsia" w:ascii="Times New Roman" w:hAnsi="Times New Roman" w:eastAsia="宋体" w:cs="Times New Roman"/>
          <w:color w:val="auto"/>
          <w:sz w:val="24"/>
          <w:szCs w:val="24"/>
          <w:highlight w:val="none"/>
          <w:lang w:val="en-US" w:eastAsia="zh-CN"/>
        </w:rPr>
        <w:t>5422</w:t>
      </w:r>
      <w:r>
        <w:rPr>
          <w:rFonts w:hint="default" w:ascii="Times New Roman" w:hAnsi="Times New Roman" w:eastAsia="宋体"/>
          <w:color w:val="auto"/>
          <w:sz w:val="24"/>
          <w:szCs w:val="24"/>
          <w:highlight w:val="none"/>
          <w:lang w:val="en-US" w:eastAsia="zh-CN"/>
        </w:rPr>
        <w:t>m</w:t>
      </w:r>
      <w:r>
        <w:rPr>
          <w:rFonts w:hint="default" w:ascii="Times New Roman" w:hAnsi="Times New Roman" w:eastAsia="宋体"/>
          <w:color w:val="auto"/>
          <w:sz w:val="24"/>
          <w:szCs w:val="24"/>
          <w:highlight w:val="none"/>
          <w:vertAlign w:val="superscript"/>
          <w:lang w:val="en-US" w:eastAsia="zh-CN"/>
        </w:rPr>
        <w:t>3</w:t>
      </w:r>
      <w:r>
        <w:rPr>
          <w:rFonts w:hint="eastAsia" w:ascii="Times New Roman" w:hAnsi="Times New Roman" w:eastAsia="宋体"/>
          <w:color w:val="auto"/>
          <w:sz w:val="24"/>
          <w:szCs w:val="24"/>
          <w:highlight w:val="none"/>
          <w:vertAlign w:val="baseline"/>
          <w:lang w:val="en-US" w:eastAsia="zh-CN"/>
        </w:rPr>
        <w:t>。</w:t>
      </w:r>
    </w:p>
    <w:p w14:paraId="7B469FA6">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w:t>
      </w:r>
      <w:r>
        <w:rPr>
          <w:rFonts w:hint="eastAsia" w:asciiTheme="minorEastAsia" w:hAnsiTheme="minorEastAsia" w:eastAsiaTheme="minorEastAsia" w:cstheme="minorEastAsia"/>
          <w:color w:val="auto"/>
          <w:szCs w:val="24"/>
          <w:highlight w:val="none"/>
          <w:lang w:val="en-US" w:eastAsia="zh-CN"/>
        </w:rPr>
        <w:t>3</w:t>
      </w:r>
      <w:r>
        <w:rPr>
          <w:rFonts w:hint="eastAsia" w:asciiTheme="minorEastAsia" w:hAnsiTheme="minorEastAsia" w:eastAsiaTheme="minorEastAsia" w:cstheme="minorEastAsia"/>
          <w:color w:val="auto"/>
          <w:szCs w:val="24"/>
          <w:highlight w:val="none"/>
        </w:rPr>
        <w:t>）回填复垦工艺</w:t>
      </w:r>
      <w:r>
        <w:rPr>
          <w:rFonts w:hint="eastAsia" w:asciiTheme="minorEastAsia" w:hAnsiTheme="minorEastAsia" w:eastAsiaTheme="minorEastAsia" w:cstheme="minorEastAsia"/>
          <w:color w:val="auto"/>
          <w:szCs w:val="24"/>
          <w:highlight w:val="none"/>
          <w:lang w:val="en-US" w:eastAsia="zh-CN"/>
        </w:rPr>
        <w:t>及修复概况</w:t>
      </w:r>
    </w:p>
    <w:p w14:paraId="14325BED">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回填过程采用“分层摊铺、往返碾压、分单元作业”的回填处理工艺，摊铺作业方法采用下推法。每层摊铺厚度不大于1m，压实系数不小于</w:t>
      </w:r>
      <w:r>
        <w:rPr>
          <w:rFonts w:hint="eastAsia" w:asciiTheme="minorEastAsia" w:hAnsiTheme="minorEastAsia" w:eastAsiaTheme="minorEastAsia" w:cstheme="minorEastAsia"/>
          <w:color w:val="auto"/>
          <w:szCs w:val="24"/>
          <w:highlight w:val="none"/>
          <w:lang w:val="en-US" w:eastAsia="zh-CN"/>
        </w:rPr>
        <w:t>0.9</w:t>
      </w:r>
      <w:r>
        <w:rPr>
          <w:rFonts w:hint="eastAsia" w:asciiTheme="minorEastAsia" w:hAnsiTheme="minorEastAsia" w:eastAsiaTheme="minorEastAsia" w:cstheme="minorEastAsia"/>
          <w:color w:val="auto"/>
          <w:szCs w:val="24"/>
          <w:highlight w:val="none"/>
        </w:rPr>
        <w:t>，单元作业面积</w:t>
      </w:r>
      <w:r>
        <w:rPr>
          <w:rFonts w:hint="eastAsia" w:asciiTheme="minorEastAsia" w:hAnsiTheme="minorEastAsia" w:eastAsiaTheme="minorEastAsia" w:cstheme="minorEastAsia"/>
          <w:color w:val="auto"/>
          <w:szCs w:val="24"/>
          <w:highlight w:val="none"/>
          <w:lang w:val="en-US" w:eastAsia="zh-CN"/>
        </w:rPr>
        <w:t>1200</w:t>
      </w:r>
      <w:r>
        <w:rPr>
          <w:rFonts w:hint="eastAsia" w:asciiTheme="minorEastAsia" w:hAnsiTheme="minorEastAsia" w:eastAsiaTheme="minorEastAsia" w:cstheme="minorEastAsia"/>
          <w:color w:val="auto"/>
          <w:szCs w:val="24"/>
          <w:highlight w:val="none"/>
        </w:rPr>
        <w:t>m</w:t>
      </w:r>
      <w:r>
        <w:rPr>
          <w:rFonts w:hint="eastAsia" w:asciiTheme="minorEastAsia" w:hAnsiTheme="minorEastAsia" w:eastAsiaTheme="minorEastAsia" w:cstheme="minorEastAsia"/>
          <w:color w:val="auto"/>
          <w:szCs w:val="24"/>
          <w:highlight w:val="none"/>
          <w:vertAlign w:val="superscript"/>
        </w:rPr>
        <w:t>2</w:t>
      </w:r>
      <w:r>
        <w:rPr>
          <w:rFonts w:hint="eastAsia" w:asciiTheme="minorEastAsia" w:hAnsiTheme="minorEastAsia" w:eastAsiaTheme="minorEastAsia" w:cstheme="minorEastAsia"/>
          <w:color w:val="auto"/>
          <w:szCs w:val="24"/>
          <w:highlight w:val="none"/>
        </w:rPr>
        <w:t>，修复完毕后，在回填平整完成的基础上表层覆土并压实，覆土厚度80cm，可保证回填后地质稳定性</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本项目回填单元达到</w:t>
      </w:r>
      <w:r>
        <w:rPr>
          <w:rFonts w:hint="eastAsia" w:asciiTheme="minorEastAsia" w:hAnsiTheme="minorEastAsia" w:eastAsiaTheme="minorEastAsia" w:cstheme="minorEastAsia"/>
          <w:color w:val="auto"/>
          <w:szCs w:val="24"/>
          <w:highlight w:val="none"/>
        </w:rPr>
        <w:t>复垦条件时及时覆土恢复成</w:t>
      </w:r>
      <w:r>
        <w:rPr>
          <w:rFonts w:hint="eastAsia" w:asciiTheme="minorEastAsia" w:hAnsiTheme="minorEastAsia" w:eastAsiaTheme="minorEastAsia" w:cstheme="minorEastAsia"/>
          <w:color w:val="auto"/>
          <w:szCs w:val="24"/>
          <w:highlight w:val="none"/>
          <w:lang w:val="en-US" w:eastAsia="zh-CN"/>
        </w:rPr>
        <w:t>林</w:t>
      </w:r>
      <w:r>
        <w:rPr>
          <w:rFonts w:hint="eastAsia" w:asciiTheme="minorEastAsia" w:hAnsiTheme="minorEastAsia" w:eastAsiaTheme="minorEastAsia" w:cstheme="minorEastAsia"/>
          <w:color w:val="auto"/>
          <w:szCs w:val="24"/>
          <w:highlight w:val="none"/>
          <w:lang w:eastAsia="zh-CN"/>
        </w:rPr>
        <w:t>地</w:t>
      </w:r>
      <w:r>
        <w:rPr>
          <w:rFonts w:hint="eastAsia" w:asciiTheme="minorEastAsia" w:hAnsiTheme="minorEastAsia" w:eastAsiaTheme="minorEastAsia" w:cstheme="minorEastAsia"/>
          <w:color w:val="auto"/>
          <w:szCs w:val="24"/>
          <w:highlight w:val="none"/>
        </w:rPr>
        <w:t>。</w:t>
      </w:r>
    </w:p>
    <w:p w14:paraId="17D6FE0B">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单个回填单元达到设计标高后进行覆土80cm，压实系数0.9，与周边地面持平，修复成</w:t>
      </w:r>
      <w:r>
        <w:rPr>
          <w:rFonts w:hint="eastAsia" w:asciiTheme="minorEastAsia" w:hAnsiTheme="minorEastAsia" w:eastAsiaTheme="minorEastAsia" w:cstheme="minorEastAsia"/>
          <w:color w:val="auto"/>
          <w:szCs w:val="24"/>
          <w:highlight w:val="none"/>
          <w:lang w:val="en-US" w:eastAsia="zh-CN"/>
        </w:rPr>
        <w:t>林</w:t>
      </w:r>
      <w:r>
        <w:rPr>
          <w:rFonts w:hint="eastAsia" w:asciiTheme="minorEastAsia" w:hAnsiTheme="minorEastAsia" w:eastAsiaTheme="minorEastAsia" w:cstheme="minorEastAsia"/>
          <w:color w:val="auto"/>
          <w:szCs w:val="24"/>
          <w:highlight w:val="none"/>
        </w:rPr>
        <w:t>地，修复面积为</w:t>
      </w:r>
      <w:r>
        <w:rPr>
          <w:rFonts w:hint="eastAsia" w:asciiTheme="minorEastAsia" w:hAnsiTheme="minorEastAsia" w:eastAsiaTheme="minorEastAsia" w:cstheme="minorEastAsia"/>
          <w:color w:val="auto"/>
          <w:kern w:val="0"/>
          <w:sz w:val="24"/>
          <w:szCs w:val="24"/>
          <w:highlight w:val="none"/>
          <w:lang w:val="en-US" w:eastAsia="zh-CN" w:bidi="ar"/>
        </w:rPr>
        <w:t>11296.10</w:t>
      </w:r>
      <w:r>
        <w:rPr>
          <w:rFonts w:hint="eastAsia" w:asciiTheme="minorEastAsia" w:hAnsiTheme="minorEastAsia" w:eastAsiaTheme="minorEastAsia" w:cstheme="minorEastAsia"/>
          <w:color w:val="auto"/>
          <w:szCs w:val="24"/>
          <w:highlight w:val="none"/>
        </w:rPr>
        <w:t>m</w:t>
      </w:r>
      <w:r>
        <w:rPr>
          <w:rFonts w:hint="eastAsia" w:asciiTheme="minorEastAsia" w:hAnsiTheme="minorEastAsia" w:eastAsiaTheme="minorEastAsia" w:cstheme="minorEastAsia"/>
          <w:color w:val="auto"/>
          <w:szCs w:val="24"/>
          <w:highlight w:val="none"/>
          <w:vertAlign w:val="superscript"/>
        </w:rPr>
        <w:t>2</w:t>
      </w:r>
      <w:r>
        <w:rPr>
          <w:rFonts w:hint="eastAsia" w:asciiTheme="minorEastAsia" w:hAnsiTheme="minorEastAsia" w:eastAsiaTheme="minorEastAsia" w:cstheme="minorEastAsia"/>
          <w:color w:val="auto"/>
          <w:szCs w:val="24"/>
          <w:highlight w:val="none"/>
        </w:rPr>
        <w:t>，</w:t>
      </w:r>
      <w:r>
        <w:rPr>
          <w:rFonts w:hint="eastAsia" w:ascii="Times New Roman" w:hAnsi="Times New Roman" w:cs="Times New Roman"/>
          <w:color w:val="auto"/>
          <w:sz w:val="24"/>
          <w:szCs w:val="24"/>
          <w:highlight w:val="none"/>
          <w:lang w:eastAsia="zh-CN"/>
        </w:rPr>
        <w:t>采用树穴换土的方式栽植耐旱性较好的樟子松及针叶林。</w:t>
      </w:r>
    </w:p>
    <w:p w14:paraId="26B49AB0">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highlight w:val="none"/>
          <w:lang w:val="en-US"/>
        </w:rPr>
      </w:pPr>
      <w:r>
        <w:rPr>
          <w:rFonts w:hint="eastAsia" w:asciiTheme="minorEastAsia" w:hAnsiTheme="minorEastAsia" w:eastAsiaTheme="minorEastAsia" w:cstheme="minorEastAsia"/>
          <w:color w:val="auto"/>
          <w:szCs w:val="24"/>
          <w:highlight w:val="none"/>
        </w:rPr>
        <w:t>根据《一般工业固体废物贮存和填埋污染控制标准》（GB18599-2020）、《土地复垦质量控制标准》（TD/T1036-2013）相关规范的要求，在采砂坑回填压实完成的基础上覆表土，有效土层厚度</w:t>
      </w:r>
      <w:r>
        <w:rPr>
          <w:rFonts w:hint="eastAsia" w:asciiTheme="minorEastAsia" w:hAnsiTheme="minorEastAsia" w:eastAsiaTheme="minorEastAsia" w:cstheme="minorEastAsia"/>
          <w:color w:val="auto"/>
          <w:szCs w:val="24"/>
          <w:highlight w:val="none"/>
          <w:lang w:val="en-US" w:eastAsia="zh-CN"/>
        </w:rPr>
        <w:t>满足规范要求</w:t>
      </w:r>
      <w:r>
        <w:rPr>
          <w:rFonts w:hint="eastAsia" w:asciiTheme="minorEastAsia" w:hAnsiTheme="minorEastAsia" w:eastAsiaTheme="minorEastAsia" w:cstheme="minorEastAsia"/>
          <w:color w:val="auto"/>
          <w:szCs w:val="24"/>
          <w:highlight w:val="none"/>
        </w:rPr>
        <w:t>≥</w:t>
      </w:r>
      <w:r>
        <w:rPr>
          <w:rFonts w:hint="eastAsia" w:asciiTheme="minorEastAsia" w:hAnsiTheme="minorEastAsia" w:eastAsiaTheme="minorEastAsia" w:cstheme="minorEastAsia"/>
          <w:color w:val="auto"/>
          <w:szCs w:val="24"/>
          <w:highlight w:val="none"/>
          <w:lang w:val="en-US" w:eastAsia="zh-CN"/>
        </w:rPr>
        <w:t>4</w:t>
      </w:r>
      <w:r>
        <w:rPr>
          <w:rFonts w:hint="eastAsia" w:asciiTheme="minorEastAsia" w:hAnsiTheme="minorEastAsia" w:eastAsiaTheme="minorEastAsia" w:cstheme="minorEastAsia"/>
          <w:color w:val="auto"/>
          <w:szCs w:val="24"/>
          <w:highlight w:val="none"/>
        </w:rPr>
        <w:t>0cm。土壤质量应满足《土壤环境质量农用地土壤污染风险管控标准（试行）》（GB15618-2018）要求，土地复垦实施过程应满足《土地复垦质量控制标准》（TD/T1036-2013）规定的相关土地复垦质量控制要求。</w:t>
      </w:r>
    </w:p>
    <w:p w14:paraId="51C1E69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sz w:val="24"/>
          <w:szCs w:val="24"/>
          <w:highlight w:val="none"/>
          <w:lang w:val="zh-CN" w:eastAsia="zh-CN"/>
        </w:rPr>
      </w:pPr>
      <w:r>
        <w:rPr>
          <w:rFonts w:hint="eastAsia" w:ascii="Times New Roman" w:hAnsi="Times New Roman" w:eastAsia="宋体" w:cs="Times New Roman"/>
          <w:color w:val="auto"/>
          <w:sz w:val="24"/>
          <w:szCs w:val="24"/>
          <w:highlight w:val="none"/>
          <w:lang w:val="en-US" w:eastAsia="zh-CN"/>
        </w:rPr>
        <w:t>（</w:t>
      </w:r>
      <w:r>
        <w:rPr>
          <w:rFonts w:hint="eastAsia" w:ascii="Times New Roman" w:cs="Times New Roman"/>
          <w:color w:val="auto"/>
          <w:sz w:val="24"/>
          <w:szCs w:val="24"/>
          <w:highlight w:val="none"/>
          <w:lang w:val="en-US" w:eastAsia="zh-CN"/>
        </w:rPr>
        <w:t>4</w:t>
      </w:r>
      <w:r>
        <w:rPr>
          <w:rFonts w:hint="eastAsia" w:ascii="Times New Roman" w:hAnsi="Times New Roman" w:eastAsia="宋体" w:cs="Times New Roman"/>
          <w:color w:val="auto"/>
          <w:sz w:val="24"/>
          <w:szCs w:val="24"/>
          <w:highlight w:val="none"/>
          <w:lang w:val="en-US" w:eastAsia="zh-CN"/>
        </w:rPr>
        <w:t>）建设施工特点</w:t>
      </w:r>
    </w:p>
    <w:p w14:paraId="2BE604F8">
      <w:pPr>
        <w:autoSpaceDE w:val="0"/>
        <w:autoSpaceDN w:val="0"/>
        <w:adjustRightInd w:val="0"/>
        <w:spacing w:line="360" w:lineRule="auto"/>
        <w:ind w:firstLine="480"/>
        <w:rPr>
          <w:rFonts w:hint="eastAsia" w:ascii="Times New Roman" w:eastAsia="宋体"/>
          <w:color w:val="auto"/>
          <w:sz w:val="24"/>
          <w:szCs w:val="24"/>
          <w:highlight w:val="none"/>
          <w:lang w:val="zh-CN" w:eastAsia="zh-CN"/>
        </w:rPr>
      </w:pPr>
      <w:r>
        <w:rPr>
          <w:rFonts w:hint="eastAsia" w:ascii="Times New Roman"/>
          <w:color w:val="auto"/>
          <w:sz w:val="24"/>
          <w:szCs w:val="24"/>
          <w:highlight w:val="none"/>
          <w:lang w:val="en-US" w:eastAsia="zh-CN"/>
        </w:rPr>
        <w:t>本次对</w:t>
      </w:r>
      <w:r>
        <w:rPr>
          <w:rFonts w:hint="default" w:ascii="Times New Roman" w:hAnsi="宋体" w:eastAsia="宋体" w:cs="Times New Roman"/>
          <w:color w:val="auto"/>
          <w:kern w:val="0"/>
          <w:sz w:val="24"/>
          <w:szCs w:val="24"/>
          <w:highlight w:val="none"/>
          <w:lang w:val="en-US" w:eastAsia="zh-CN"/>
        </w:rPr>
        <w:t>尚志市元宝镇元宝村新村北侧</w:t>
      </w:r>
      <w:r>
        <w:rPr>
          <w:rFonts w:hint="eastAsia" w:ascii="Times New Roman" w:hAnsi="宋体" w:cs="Times New Roman"/>
          <w:color w:val="auto"/>
          <w:kern w:val="0"/>
          <w:sz w:val="24"/>
          <w:szCs w:val="24"/>
          <w:highlight w:val="none"/>
          <w:lang w:val="en-US" w:eastAsia="zh-CN"/>
        </w:rPr>
        <w:t>废弃</w:t>
      </w:r>
      <w:r>
        <w:rPr>
          <w:rFonts w:hint="eastAsia" w:asciiTheme="minorEastAsia" w:hAnsiTheme="minorEastAsia" w:eastAsiaTheme="minorEastAsia" w:cstheme="minorEastAsia"/>
          <w:color w:val="auto"/>
          <w:szCs w:val="24"/>
          <w:highlight w:val="none"/>
        </w:rPr>
        <w:t>采砂坑</w:t>
      </w:r>
      <w:r>
        <w:rPr>
          <w:rFonts w:hint="eastAsia" w:ascii="Times New Roman"/>
          <w:color w:val="auto"/>
          <w:sz w:val="24"/>
          <w:szCs w:val="24"/>
          <w:highlight w:val="none"/>
          <w:lang w:val="en-US" w:eastAsia="zh-CN"/>
        </w:rPr>
        <w:t>进行</w:t>
      </w:r>
      <w:r>
        <w:rPr>
          <w:rFonts w:hint="eastAsia" w:ascii="Times New Roman"/>
          <w:color w:val="auto"/>
          <w:sz w:val="24"/>
          <w:szCs w:val="24"/>
          <w:highlight w:val="none"/>
          <w:lang w:val="zh-CN"/>
        </w:rPr>
        <w:t>生态修复，</w:t>
      </w:r>
      <w:r>
        <w:rPr>
          <w:rFonts w:hint="eastAsia" w:ascii="Times New Roman"/>
          <w:color w:val="auto"/>
          <w:highlight w:val="none"/>
          <w:lang w:val="zh-CN"/>
        </w:rPr>
        <w:t>主要对</w:t>
      </w:r>
      <w:r>
        <w:rPr>
          <w:rFonts w:hint="eastAsia" w:ascii="Times New Roman" w:hAnsi="宋体" w:cs="Times New Roman"/>
          <w:color w:val="auto"/>
          <w:kern w:val="0"/>
          <w:sz w:val="24"/>
          <w:szCs w:val="24"/>
          <w:highlight w:val="none"/>
          <w:lang w:val="en-US" w:eastAsia="zh-CN"/>
        </w:rPr>
        <w:t>废弃</w:t>
      </w:r>
      <w:r>
        <w:rPr>
          <w:rFonts w:hint="eastAsia" w:asciiTheme="minorEastAsia" w:hAnsiTheme="minorEastAsia" w:eastAsiaTheme="minorEastAsia" w:cstheme="minorEastAsia"/>
          <w:color w:val="auto"/>
          <w:szCs w:val="24"/>
          <w:highlight w:val="none"/>
        </w:rPr>
        <w:t>采砂坑</w:t>
      </w:r>
      <w:r>
        <w:rPr>
          <w:rFonts w:hint="eastAsia" w:ascii="Times New Roman"/>
          <w:color w:val="auto"/>
          <w:highlight w:val="none"/>
          <w:lang w:val="zh-CN"/>
        </w:rPr>
        <w:t>进行回填及</w:t>
      </w:r>
      <w:r>
        <w:rPr>
          <w:rFonts w:ascii="Times New Roman"/>
          <w:color w:val="auto"/>
          <w:highlight w:val="none"/>
          <w:lang w:val="zh-CN"/>
        </w:rPr>
        <w:t>恢复</w:t>
      </w:r>
      <w:r>
        <w:rPr>
          <w:rFonts w:hint="eastAsia" w:ascii="Times New Roman"/>
          <w:color w:val="auto"/>
          <w:highlight w:val="none"/>
          <w:lang w:val="zh-CN"/>
        </w:rPr>
        <w:t>治理，拟修复</w:t>
      </w:r>
      <w:r>
        <w:rPr>
          <w:rFonts w:hint="eastAsia" w:ascii="Times New Roman"/>
          <w:color w:val="auto"/>
          <w:sz w:val="24"/>
          <w:szCs w:val="24"/>
          <w:highlight w:val="none"/>
          <w:lang w:val="zh-CN"/>
        </w:rPr>
        <w:t>面积</w:t>
      </w:r>
      <w:r>
        <w:rPr>
          <w:rFonts w:hint="eastAsia" w:asciiTheme="minorEastAsia" w:hAnsiTheme="minorEastAsia" w:eastAsiaTheme="minorEastAsia" w:cstheme="minorEastAsia"/>
          <w:color w:val="auto"/>
          <w:kern w:val="0"/>
          <w:sz w:val="24"/>
          <w:szCs w:val="24"/>
          <w:highlight w:val="none"/>
          <w:lang w:val="en-US" w:eastAsia="zh-CN" w:bidi="ar"/>
        </w:rPr>
        <w:t>11296.10</w:t>
      </w:r>
      <w:r>
        <w:rPr>
          <w:rFonts w:hint="eastAsia" w:ascii="Times New Roman"/>
          <w:color w:val="auto"/>
          <w:sz w:val="24"/>
          <w:szCs w:val="24"/>
          <w:highlight w:val="none"/>
          <w:lang w:val="zh-CN"/>
        </w:rPr>
        <w:t>m</w:t>
      </w:r>
      <w:r>
        <w:rPr>
          <w:rFonts w:hint="eastAsia" w:ascii="Times New Roman"/>
          <w:color w:val="auto"/>
          <w:sz w:val="24"/>
          <w:szCs w:val="24"/>
          <w:highlight w:val="none"/>
          <w:vertAlign w:val="superscript"/>
          <w:lang w:val="zh-CN"/>
        </w:rPr>
        <w:t>2</w:t>
      </w:r>
      <w:r>
        <w:rPr>
          <w:rFonts w:hint="eastAsia" w:ascii="Times New Roman"/>
          <w:color w:val="auto"/>
          <w:sz w:val="24"/>
          <w:szCs w:val="24"/>
          <w:highlight w:val="none"/>
          <w:vertAlign w:val="baseline"/>
          <w:lang w:val="en-US" w:eastAsia="zh-CN"/>
        </w:rPr>
        <w:t>。</w:t>
      </w:r>
      <w:r>
        <w:rPr>
          <w:rFonts w:ascii="Times New Roman"/>
          <w:color w:val="auto"/>
          <w:sz w:val="24"/>
          <w:szCs w:val="24"/>
          <w:highlight w:val="none"/>
          <w:lang w:val="zh-CN"/>
        </w:rPr>
        <w:t>恢复区种植表土</w:t>
      </w:r>
      <w:r>
        <w:rPr>
          <w:rFonts w:hint="eastAsia" w:ascii="Times New Roman"/>
          <w:color w:val="auto"/>
          <w:sz w:val="24"/>
          <w:szCs w:val="24"/>
          <w:highlight w:val="none"/>
          <w:lang w:val="en-US" w:eastAsia="zh-CN"/>
        </w:rPr>
        <w:t>来自于</w:t>
      </w:r>
      <w:r>
        <w:rPr>
          <w:rFonts w:hint="eastAsia" w:ascii="Times New Roman" w:hAnsi="Times New Roman" w:eastAsia="宋体" w:cs="Times New Roman"/>
          <w:color w:val="auto"/>
          <w:sz w:val="24"/>
          <w:szCs w:val="24"/>
          <w:highlight w:val="none"/>
          <w:lang w:val="en-US" w:eastAsia="zh-CN"/>
        </w:rPr>
        <w:t>当地高标准农田建设</w:t>
      </w:r>
      <w:r>
        <w:rPr>
          <w:rFonts w:ascii="Times New Roman" w:hAnsi="Times New Roman" w:eastAsia="宋体" w:cs="Times New Roman"/>
          <w:color w:val="auto"/>
          <w:sz w:val="24"/>
          <w:szCs w:val="24"/>
          <w:highlight w:val="none"/>
        </w:rPr>
        <w:t>剥离的</w:t>
      </w:r>
      <w:r>
        <w:rPr>
          <w:rFonts w:hint="eastAsia" w:ascii="Times New Roman" w:hAnsi="Times New Roman" w:eastAsia="宋体" w:cs="Times New Roman"/>
          <w:color w:val="auto"/>
          <w:sz w:val="24"/>
          <w:szCs w:val="24"/>
          <w:highlight w:val="none"/>
          <w:lang w:val="en-US" w:eastAsia="zh-CN"/>
        </w:rPr>
        <w:t>种植</w:t>
      </w:r>
      <w:r>
        <w:rPr>
          <w:rFonts w:ascii="Times New Roman" w:hAnsi="Times New Roman" w:eastAsia="宋体" w:cs="Times New Roman"/>
          <w:color w:val="auto"/>
          <w:sz w:val="24"/>
          <w:szCs w:val="24"/>
          <w:highlight w:val="none"/>
        </w:rPr>
        <w:t>表土</w:t>
      </w:r>
      <w:r>
        <w:rPr>
          <w:rFonts w:ascii="Times New Roman"/>
          <w:color w:val="auto"/>
          <w:sz w:val="24"/>
          <w:szCs w:val="24"/>
          <w:highlight w:val="none"/>
          <w:lang w:val="zh-CN"/>
        </w:rPr>
        <w:t>，</w:t>
      </w:r>
      <w:r>
        <w:rPr>
          <w:rFonts w:hint="eastAsia" w:ascii="Times New Roman"/>
          <w:color w:val="auto"/>
          <w:sz w:val="24"/>
          <w:szCs w:val="24"/>
          <w:highlight w:val="none"/>
          <w:lang w:val="zh-CN"/>
        </w:rPr>
        <w:t>覆土厚度达到0.80m，</w:t>
      </w:r>
      <w:r>
        <w:rPr>
          <w:rFonts w:hint="eastAsia" w:ascii="Times New Roman"/>
          <w:color w:val="auto"/>
          <w:sz w:val="24"/>
          <w:szCs w:val="24"/>
          <w:highlight w:val="none"/>
          <w:lang w:val="en-US" w:eastAsia="zh-CN"/>
        </w:rPr>
        <w:t>总覆</w:t>
      </w:r>
      <w:r>
        <w:rPr>
          <w:rFonts w:hint="eastAsia" w:ascii="Times New Roman" w:hAnsi="Times New Roman" w:eastAsia="宋体"/>
          <w:color w:val="auto"/>
          <w:sz w:val="24"/>
          <w:highlight w:val="none"/>
          <w:lang w:val="en-US" w:eastAsia="zh-CN"/>
        </w:rPr>
        <w:t>壤</w:t>
      </w:r>
      <w:r>
        <w:rPr>
          <w:rFonts w:hint="default" w:ascii="Times New Roman" w:hAnsi="Times New Roman" w:eastAsia="宋体"/>
          <w:color w:val="auto"/>
          <w:sz w:val="24"/>
          <w:highlight w:val="none"/>
          <w:lang w:val="en-US" w:eastAsia="zh-CN"/>
        </w:rPr>
        <w:t>土量为</w:t>
      </w:r>
      <w:r>
        <w:rPr>
          <w:rFonts w:hint="eastAsia" w:ascii="Times New Roman" w:hAnsi="Times New Roman" w:eastAsia="宋体" w:cs="Times New Roman"/>
          <w:color w:val="auto"/>
          <w:sz w:val="24"/>
          <w:szCs w:val="24"/>
          <w:highlight w:val="none"/>
          <w:lang w:val="en-US" w:eastAsia="zh-CN"/>
        </w:rPr>
        <w:t>5422</w:t>
      </w:r>
      <w:r>
        <w:rPr>
          <w:rFonts w:hint="default" w:ascii="Times New Roman" w:hAnsi="Times New Roman" w:eastAsia="宋体"/>
          <w:color w:val="auto"/>
          <w:sz w:val="24"/>
          <w:highlight w:val="none"/>
          <w:lang w:val="en-US" w:eastAsia="zh-CN"/>
        </w:rPr>
        <w:t>m</w:t>
      </w:r>
      <w:r>
        <w:rPr>
          <w:rFonts w:hint="default" w:ascii="Times New Roman" w:hAnsi="Times New Roman" w:eastAsia="宋体"/>
          <w:color w:val="auto"/>
          <w:sz w:val="24"/>
          <w:highlight w:val="none"/>
          <w:vertAlign w:val="superscript"/>
          <w:lang w:val="en-US" w:eastAsia="zh-CN"/>
        </w:rPr>
        <w:t>3</w:t>
      </w:r>
      <w:r>
        <w:rPr>
          <w:rFonts w:hint="eastAsia" w:ascii="Times New Roman"/>
          <w:color w:val="auto"/>
          <w:sz w:val="24"/>
          <w:szCs w:val="24"/>
          <w:highlight w:val="none"/>
          <w:lang w:val="zh-CN"/>
        </w:rPr>
        <w:t>，</w:t>
      </w:r>
      <w:r>
        <w:rPr>
          <w:rFonts w:hint="eastAsia" w:ascii="Times New Roman"/>
          <w:color w:val="auto"/>
          <w:highlight w:val="none"/>
          <w:lang w:val="zh-CN"/>
        </w:rPr>
        <w:t>满足</w:t>
      </w:r>
      <w:r>
        <w:rPr>
          <w:rFonts w:hint="eastAsia" w:ascii="Times New Roman"/>
          <w:color w:val="auto"/>
          <w:highlight w:val="none"/>
          <w:lang w:val="en-US" w:eastAsia="zh-CN"/>
        </w:rPr>
        <w:t>修复绿化</w:t>
      </w:r>
      <w:r>
        <w:rPr>
          <w:rFonts w:hint="eastAsia" w:ascii="Times New Roman"/>
          <w:color w:val="auto"/>
          <w:highlight w:val="none"/>
          <w:lang w:val="zh-CN"/>
        </w:rPr>
        <w:t>需求。在项目区外围</w:t>
      </w:r>
      <w:r>
        <w:rPr>
          <w:rFonts w:hint="eastAsia" w:ascii="Times New Roman"/>
          <w:color w:val="auto"/>
          <w:highlight w:val="none"/>
          <w:lang w:val="en-US" w:eastAsia="zh-CN"/>
        </w:rPr>
        <w:t>设置</w:t>
      </w:r>
      <w:r>
        <w:rPr>
          <w:rFonts w:hint="eastAsia" w:ascii="Times New Roman"/>
          <w:color w:val="auto"/>
          <w:highlight w:val="none"/>
          <w:lang w:val="zh-CN"/>
        </w:rPr>
        <w:t>隔声隔尘挡板，防治</w:t>
      </w:r>
      <w:r>
        <w:rPr>
          <w:rFonts w:hint="eastAsia" w:ascii="Times New Roman"/>
          <w:color w:val="auto"/>
          <w:highlight w:val="none"/>
          <w:lang w:val="en-US" w:eastAsia="zh-CN"/>
        </w:rPr>
        <w:t>扬</w:t>
      </w:r>
      <w:r>
        <w:rPr>
          <w:rFonts w:hint="eastAsia" w:ascii="Times New Roman"/>
          <w:color w:val="auto"/>
          <w:highlight w:val="none"/>
          <w:lang w:val="zh-CN"/>
        </w:rPr>
        <w:t>尘对周围环境</w:t>
      </w:r>
      <w:r>
        <w:rPr>
          <w:rFonts w:hint="eastAsia" w:ascii="Times New Roman"/>
          <w:color w:val="auto"/>
          <w:highlight w:val="none"/>
          <w:lang w:val="en-US" w:eastAsia="zh-CN"/>
        </w:rPr>
        <w:t>的</w:t>
      </w:r>
      <w:r>
        <w:rPr>
          <w:rFonts w:hint="eastAsia" w:ascii="Times New Roman"/>
          <w:color w:val="auto"/>
          <w:highlight w:val="none"/>
          <w:lang w:val="zh-CN"/>
        </w:rPr>
        <w:t>污染。在回填区</w:t>
      </w:r>
      <w:r>
        <w:rPr>
          <w:rFonts w:hint="eastAsia" w:ascii="Times New Roman"/>
          <w:color w:val="auto"/>
          <w:highlight w:val="none"/>
          <w:lang w:val="en-US" w:eastAsia="zh-CN"/>
        </w:rPr>
        <w:t>北</w:t>
      </w:r>
      <w:r>
        <w:rPr>
          <w:rFonts w:hint="eastAsia" w:ascii="Times New Roman"/>
          <w:color w:val="auto"/>
          <w:highlight w:val="none"/>
          <w:lang w:val="zh-CN"/>
        </w:rPr>
        <w:t>侧和</w:t>
      </w:r>
      <w:r>
        <w:rPr>
          <w:rFonts w:hint="eastAsia" w:ascii="Times New Roman"/>
          <w:color w:val="auto"/>
          <w:highlight w:val="none"/>
          <w:lang w:val="en-US" w:eastAsia="zh-CN"/>
        </w:rPr>
        <w:t>西</w:t>
      </w:r>
      <w:r>
        <w:rPr>
          <w:rFonts w:hint="eastAsia" w:ascii="Times New Roman"/>
          <w:color w:val="auto"/>
          <w:highlight w:val="none"/>
          <w:lang w:val="zh-CN"/>
        </w:rPr>
        <w:t>侧设置拦挡埂，减少雨水对覆盖土的冲刷和向</w:t>
      </w:r>
      <w:r>
        <w:rPr>
          <w:rFonts w:hint="eastAsia" w:ascii="Times New Roman"/>
          <w:color w:val="auto"/>
          <w:highlight w:val="none"/>
          <w:lang w:val="en-US" w:eastAsia="zh-CN"/>
        </w:rPr>
        <w:t>采砂坑</w:t>
      </w:r>
      <w:r>
        <w:rPr>
          <w:rFonts w:hint="eastAsia" w:ascii="Times New Roman"/>
          <w:color w:val="auto"/>
          <w:highlight w:val="none"/>
          <w:lang w:val="zh-CN"/>
        </w:rPr>
        <w:t>的渗漏。</w:t>
      </w:r>
      <w:r>
        <w:rPr>
          <w:color w:val="auto"/>
          <w:highlight w:val="none"/>
        </w:rPr>
        <w:t>回填区库底</w:t>
      </w:r>
      <w:r>
        <w:rPr>
          <w:rFonts w:hint="eastAsia"/>
          <w:color w:val="auto"/>
          <w:highlight w:val="none"/>
          <w:lang w:val="en-US" w:eastAsia="zh-CN"/>
        </w:rPr>
        <w:t>西北</w:t>
      </w:r>
      <w:r>
        <w:rPr>
          <w:color w:val="auto"/>
          <w:highlight w:val="none"/>
        </w:rPr>
        <w:t>至</w:t>
      </w:r>
      <w:r>
        <w:rPr>
          <w:rFonts w:hint="eastAsia"/>
          <w:color w:val="auto"/>
          <w:highlight w:val="none"/>
          <w:lang w:val="en-US" w:eastAsia="zh-CN"/>
        </w:rPr>
        <w:t>东南</w:t>
      </w:r>
      <w:r>
        <w:rPr>
          <w:color w:val="auto"/>
          <w:highlight w:val="none"/>
        </w:rPr>
        <w:t>方向设置1条</w:t>
      </w:r>
      <w:r>
        <w:rPr>
          <w:rFonts w:hint="eastAsia" w:ascii="宋体" w:hAnsi="宋体" w:eastAsia="宋体" w:cs="宋体"/>
          <w:bCs/>
          <w:color w:val="auto"/>
          <w:kern w:val="0"/>
          <w:sz w:val="24"/>
          <w:szCs w:val="22"/>
          <w:highlight w:val="none"/>
          <w:lang w:val="en-US" w:eastAsia="zh-CN"/>
        </w:rPr>
        <w:t>淋滤水</w:t>
      </w:r>
      <w:r>
        <w:rPr>
          <w:color w:val="auto"/>
          <w:highlight w:val="none"/>
        </w:rPr>
        <w:t>导排沟</w:t>
      </w:r>
      <w:r>
        <w:rPr>
          <w:rFonts w:hint="eastAsia"/>
          <w:color w:val="auto"/>
          <w:highlight w:val="none"/>
          <w:lang w:eastAsia="zh-CN"/>
        </w:rPr>
        <w:t>，</w:t>
      </w:r>
      <w:r>
        <w:rPr>
          <w:color w:val="auto"/>
          <w:highlight w:val="none"/>
        </w:rPr>
        <w:t>将降雨时期产生的淋</w:t>
      </w:r>
      <w:r>
        <w:rPr>
          <w:rFonts w:hint="eastAsia"/>
          <w:color w:val="auto"/>
          <w:highlight w:val="none"/>
          <w:lang w:val="en-US" w:eastAsia="zh-CN"/>
        </w:rPr>
        <w:t>滤</w:t>
      </w:r>
      <w:r>
        <w:rPr>
          <w:color w:val="auto"/>
          <w:highlight w:val="none"/>
        </w:rPr>
        <w:t>水经导排系统收集后</w:t>
      </w:r>
      <w:r>
        <w:rPr>
          <w:color w:val="auto"/>
          <w:sz w:val="24"/>
          <w:szCs w:val="24"/>
          <w:highlight w:val="none"/>
        </w:rPr>
        <w:t>排入</w:t>
      </w:r>
      <w:r>
        <w:rPr>
          <w:rFonts w:hint="eastAsia"/>
          <w:color w:val="auto"/>
          <w:sz w:val="24"/>
          <w:szCs w:val="24"/>
          <w:highlight w:val="none"/>
          <w:lang w:val="en-US" w:eastAsia="zh-CN"/>
        </w:rPr>
        <w:t>120</w:t>
      </w:r>
      <w:r>
        <w:rPr>
          <w:color w:val="auto"/>
          <w:sz w:val="24"/>
          <w:szCs w:val="24"/>
          <w:highlight w:val="none"/>
        </w:rPr>
        <w:t>m</w:t>
      </w:r>
      <w:r>
        <w:rPr>
          <w:color w:val="auto"/>
          <w:sz w:val="24"/>
          <w:szCs w:val="24"/>
          <w:highlight w:val="none"/>
          <w:vertAlign w:val="superscript"/>
        </w:rPr>
        <w:t>3</w:t>
      </w:r>
      <w:r>
        <w:rPr>
          <w:rFonts w:hint="eastAsia"/>
          <w:color w:val="auto"/>
          <w:sz w:val="24"/>
          <w:szCs w:val="24"/>
          <w:highlight w:val="none"/>
          <w:lang w:val="en-US" w:eastAsia="zh-CN"/>
        </w:rPr>
        <w:t>沉淀</w:t>
      </w:r>
      <w:r>
        <w:rPr>
          <w:color w:val="auto"/>
          <w:sz w:val="24"/>
          <w:szCs w:val="24"/>
          <w:highlight w:val="none"/>
        </w:rPr>
        <w:t>池</w:t>
      </w:r>
      <w:r>
        <w:rPr>
          <w:rFonts w:hint="eastAsia"/>
          <w:color w:val="auto"/>
          <w:sz w:val="24"/>
          <w:szCs w:val="24"/>
          <w:highlight w:val="none"/>
          <w:lang w:eastAsia="zh-CN"/>
        </w:rPr>
        <w:t>。</w:t>
      </w:r>
    </w:p>
    <w:p w14:paraId="040B205C">
      <w:pPr>
        <w:autoSpaceDE w:val="0"/>
        <w:autoSpaceDN w:val="0"/>
        <w:adjustRightInd w:val="0"/>
        <w:spacing w:line="360" w:lineRule="auto"/>
        <w:ind w:firstLine="480"/>
        <w:rPr>
          <w:rFonts w:hint="default" w:ascii="Times New Roman" w:eastAsia="宋体"/>
          <w:color w:val="auto"/>
          <w:highlight w:val="none"/>
          <w:lang w:val="en-US" w:eastAsia="zh-CN"/>
        </w:rPr>
      </w:pPr>
      <w:r>
        <w:rPr>
          <w:rFonts w:ascii="Times New Roman"/>
          <w:color w:val="auto"/>
          <w:sz w:val="24"/>
          <w:szCs w:val="24"/>
          <w:highlight w:val="none"/>
          <w:shd w:val="clear" w:color="auto" w:fill="FFFFFF"/>
        </w:rPr>
        <w:t>项目</w:t>
      </w:r>
      <w:r>
        <w:rPr>
          <w:rFonts w:hint="eastAsia" w:ascii="Times New Roman"/>
          <w:color w:val="auto"/>
          <w:sz w:val="24"/>
          <w:szCs w:val="24"/>
          <w:highlight w:val="none"/>
          <w:shd w:val="clear" w:color="auto" w:fill="FFFFFF"/>
          <w:lang w:val="en-US" w:eastAsia="zh-CN"/>
        </w:rPr>
        <w:t>回填区</w:t>
      </w:r>
      <w:r>
        <w:rPr>
          <w:rFonts w:ascii="Times New Roman"/>
          <w:color w:val="auto"/>
          <w:sz w:val="24"/>
          <w:szCs w:val="24"/>
          <w:highlight w:val="none"/>
          <w:shd w:val="clear" w:color="auto" w:fill="FFFFFF"/>
        </w:rPr>
        <w:t>分区回填，</w:t>
      </w:r>
      <w:r>
        <w:rPr>
          <w:rFonts w:hint="eastAsia" w:ascii="Times New Roman"/>
          <w:color w:val="auto"/>
          <w:sz w:val="24"/>
          <w:szCs w:val="24"/>
          <w:highlight w:val="none"/>
          <w:shd w:val="clear" w:color="auto" w:fill="FFFFFF"/>
          <w:lang w:val="en-US" w:eastAsia="zh-CN"/>
        </w:rPr>
        <w:t>灰渣</w:t>
      </w:r>
      <w:r>
        <w:rPr>
          <w:rFonts w:ascii="Times New Roman"/>
          <w:color w:val="auto"/>
          <w:sz w:val="24"/>
          <w:szCs w:val="24"/>
          <w:highlight w:val="none"/>
          <w:shd w:val="clear" w:color="auto" w:fill="FFFFFF"/>
        </w:rPr>
        <w:t>回填</w:t>
      </w:r>
      <w:r>
        <w:rPr>
          <w:rFonts w:hint="eastAsia" w:ascii="Times New Roman" w:hAnsi="Times New Roman" w:eastAsia="宋体" w:cs="Times New Roman"/>
          <w:color w:val="auto"/>
          <w:kern w:val="2"/>
          <w:sz w:val="24"/>
          <w:szCs w:val="24"/>
          <w:highlight w:val="none"/>
          <w:lang w:val="en-US" w:eastAsia="zh-CN" w:bidi="ar"/>
        </w:rPr>
        <w:t>采用</w:t>
      </w:r>
      <w:r>
        <w:rPr>
          <w:rFonts w:hint="eastAsia"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分层摊铺、往返碾压、分单元作业</w:t>
      </w:r>
      <w:r>
        <w:rPr>
          <w:rFonts w:hint="eastAsia"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的回填处理工艺</w:t>
      </w:r>
      <w:r>
        <w:rPr>
          <w:rFonts w:hint="eastAsia" w:ascii="Times New Roman" w:hAnsi="Times New Roman" w:eastAsia="宋体" w:cs="Times New Roman"/>
          <w:color w:val="auto"/>
          <w:sz w:val="24"/>
          <w:szCs w:val="24"/>
          <w:highlight w:val="none"/>
          <w:lang w:eastAsia="zh-CN"/>
        </w:rPr>
        <w:t>，</w:t>
      </w:r>
      <w:r>
        <w:rPr>
          <w:rFonts w:hint="eastAsia" w:ascii="Times New Roman"/>
          <w:color w:val="auto"/>
          <w:sz w:val="24"/>
          <w:szCs w:val="24"/>
          <w:highlight w:val="none"/>
          <w:shd w:val="clear" w:color="auto" w:fill="FFFFFF"/>
        </w:rPr>
        <w:t>单元作业面积</w:t>
      </w:r>
      <w:r>
        <w:rPr>
          <w:rFonts w:hint="eastAsia" w:ascii="Times New Roman"/>
          <w:color w:val="auto"/>
          <w:sz w:val="24"/>
          <w:szCs w:val="24"/>
          <w:highlight w:val="none"/>
          <w:shd w:val="clear" w:color="auto" w:fill="FFFFFF"/>
          <w:lang w:val="en-US" w:eastAsia="zh-CN"/>
        </w:rPr>
        <w:t>120</w:t>
      </w:r>
      <w:r>
        <w:rPr>
          <w:rFonts w:hint="eastAsia" w:ascii="Times New Roman"/>
          <w:color w:val="auto"/>
          <w:sz w:val="24"/>
          <w:szCs w:val="24"/>
          <w:highlight w:val="none"/>
          <w:shd w:val="clear" w:color="auto" w:fill="FFFFFF"/>
        </w:rPr>
        <w:t>0m</w:t>
      </w:r>
      <w:r>
        <w:rPr>
          <w:rFonts w:hint="eastAsia" w:ascii="Times New Roman"/>
          <w:color w:val="auto"/>
          <w:sz w:val="24"/>
          <w:szCs w:val="24"/>
          <w:highlight w:val="none"/>
          <w:shd w:val="clear" w:color="auto" w:fill="FFFFFF"/>
          <w:vertAlign w:val="superscript"/>
        </w:rPr>
        <w:t>2</w:t>
      </w:r>
      <w:r>
        <w:rPr>
          <w:rFonts w:hint="eastAsia" w:ascii="Times New Roman"/>
          <w:color w:val="auto"/>
          <w:sz w:val="24"/>
          <w:szCs w:val="24"/>
          <w:highlight w:val="none"/>
          <w:shd w:val="clear" w:color="auto" w:fill="FFFFFF"/>
        </w:rPr>
        <w:t>，每层摊铺厚度不大于1m，压实系数不小于0.9。设置隔声隔尘挡板，高度不小于</w:t>
      </w:r>
      <w:r>
        <w:rPr>
          <w:rFonts w:hint="eastAsia" w:ascii="Times New Roman"/>
          <w:color w:val="auto"/>
          <w:sz w:val="24"/>
          <w:szCs w:val="24"/>
          <w:highlight w:val="none"/>
          <w:shd w:val="clear" w:color="auto" w:fill="FFFFFF"/>
          <w:lang w:val="en-US" w:eastAsia="zh-CN"/>
        </w:rPr>
        <w:t>3</w:t>
      </w:r>
      <w:r>
        <w:rPr>
          <w:rFonts w:hint="eastAsia" w:ascii="Times New Roman"/>
          <w:color w:val="auto"/>
          <w:sz w:val="24"/>
          <w:szCs w:val="24"/>
          <w:highlight w:val="none"/>
          <w:shd w:val="clear" w:color="auto" w:fill="FFFFFF"/>
        </w:rPr>
        <w:t>m，</w:t>
      </w:r>
      <w:r>
        <w:rPr>
          <w:rFonts w:hint="eastAsia" w:ascii="Times New Roman"/>
          <w:color w:val="auto"/>
          <w:sz w:val="24"/>
          <w:szCs w:val="24"/>
          <w:highlight w:val="none"/>
          <w:shd w:val="clear" w:color="auto" w:fill="FFFFFF"/>
          <w:lang w:val="en-US" w:eastAsia="zh-CN"/>
        </w:rPr>
        <w:t>定期洒水降尘。</w:t>
      </w:r>
      <w:r>
        <w:rPr>
          <w:rFonts w:hint="eastAsia" w:ascii="Times New Roman"/>
          <w:color w:val="auto"/>
          <w:sz w:val="24"/>
          <w:szCs w:val="24"/>
          <w:highlight w:val="none"/>
          <w:shd w:val="clear" w:color="auto" w:fill="FFFFFF"/>
        </w:rPr>
        <w:t>每日作业后对表面进行苫布覆盖，非作业面以及已碾实的</w:t>
      </w:r>
      <w:r>
        <w:rPr>
          <w:rFonts w:hint="eastAsia" w:ascii="Times New Roman"/>
          <w:color w:val="auto"/>
          <w:sz w:val="24"/>
          <w:szCs w:val="24"/>
          <w:highlight w:val="none"/>
          <w:shd w:val="clear" w:color="auto" w:fill="FFFFFF"/>
          <w:lang w:val="en-US" w:eastAsia="zh-CN"/>
        </w:rPr>
        <w:t>灰渣</w:t>
      </w:r>
      <w:r>
        <w:rPr>
          <w:rFonts w:hint="eastAsia" w:ascii="Times New Roman"/>
          <w:color w:val="auto"/>
          <w:sz w:val="24"/>
          <w:szCs w:val="24"/>
          <w:highlight w:val="none"/>
          <w:shd w:val="clear" w:color="auto" w:fill="FFFFFF"/>
        </w:rPr>
        <w:t>表面采用密目网或苫布覆盖。</w:t>
      </w:r>
      <w:r>
        <w:rPr>
          <w:rFonts w:ascii="Times New Roman"/>
          <w:color w:val="auto"/>
          <w:highlight w:val="none"/>
        </w:rPr>
        <w:t>回填物主要为</w:t>
      </w:r>
      <w:r>
        <w:rPr>
          <w:rFonts w:hint="eastAsia" w:ascii="Times New Roman"/>
          <w:color w:val="auto"/>
          <w:highlight w:val="none"/>
        </w:rPr>
        <w:t>灰渣，比例为</w:t>
      </w:r>
      <w:r>
        <w:rPr>
          <w:rFonts w:hint="eastAsia"/>
          <w:color w:val="auto"/>
          <w:highlight w:val="none"/>
          <w:lang w:val="en-US" w:eastAsia="zh-CN"/>
        </w:rPr>
        <w:t>1:3</w:t>
      </w:r>
      <w:r>
        <w:rPr>
          <w:rFonts w:hint="eastAsia"/>
          <w:color w:val="auto"/>
          <w:highlight w:val="none"/>
          <w:lang w:eastAsia="zh-CN"/>
        </w:rPr>
        <w:t>，</w:t>
      </w:r>
      <w:r>
        <w:rPr>
          <w:rFonts w:hint="default" w:ascii="Times New Roman" w:hAnsi="Times New Roman" w:eastAsia="宋体"/>
          <w:color w:val="auto"/>
          <w:sz w:val="24"/>
          <w:highlight w:val="none"/>
          <w:lang w:val="en-US" w:eastAsia="zh-CN"/>
        </w:rPr>
        <w:t>共计</w:t>
      </w:r>
      <w:r>
        <w:rPr>
          <w:rFonts w:hint="eastAsia" w:ascii="Times New Roman" w:hAnsi="Times New Roman" w:eastAsia="宋体"/>
          <w:color w:val="auto"/>
          <w:sz w:val="24"/>
          <w:highlight w:val="none"/>
          <w:lang w:val="en-US" w:eastAsia="zh-CN"/>
        </w:rPr>
        <w:t>填充</w:t>
      </w:r>
      <w:r>
        <w:rPr>
          <w:rFonts w:hint="default" w:ascii="Times New Roman" w:hAnsi="Times New Roman" w:eastAsia="宋体"/>
          <w:color w:val="auto"/>
          <w:sz w:val="24"/>
          <w:highlight w:val="none"/>
          <w:lang w:val="en-US" w:eastAsia="zh-CN"/>
        </w:rPr>
        <w:t>量</w:t>
      </w:r>
      <w:r>
        <w:rPr>
          <w:rFonts w:hint="eastAsia" w:ascii="Times New Roman" w:hAnsi="Times New Roman" w:eastAsia="宋体" w:cs="Times New Roman"/>
          <w:color w:val="auto"/>
          <w:sz w:val="24"/>
          <w:szCs w:val="24"/>
          <w:highlight w:val="none"/>
        </w:rPr>
        <w:t>80760.03</w:t>
      </w:r>
      <w:r>
        <w:rPr>
          <w:rFonts w:hint="default" w:ascii="Times New Roman" w:hAnsi="Times New Roman" w:eastAsia="宋体"/>
          <w:color w:val="auto"/>
          <w:sz w:val="24"/>
          <w:highlight w:val="none"/>
          <w:lang w:val="en-US" w:eastAsia="zh-CN"/>
        </w:rPr>
        <w:t>m</w:t>
      </w:r>
      <w:r>
        <w:rPr>
          <w:rFonts w:hint="default" w:ascii="Times New Roman" w:hAnsi="Times New Roman" w:eastAsia="宋体"/>
          <w:color w:val="auto"/>
          <w:sz w:val="24"/>
          <w:highlight w:val="none"/>
          <w:vertAlign w:val="superscript"/>
          <w:lang w:val="en-US" w:eastAsia="zh-CN"/>
        </w:rPr>
        <w:t>3</w:t>
      </w:r>
      <w:r>
        <w:rPr>
          <w:rFonts w:hint="eastAsia"/>
          <w:color w:val="auto"/>
          <w:highlight w:val="none"/>
          <w:lang w:val="en-US" w:eastAsia="zh-CN"/>
        </w:rPr>
        <w:t>，</w:t>
      </w:r>
      <w:r>
        <w:rPr>
          <w:rFonts w:hint="eastAsia" w:ascii="Times New Roman"/>
          <w:color w:val="auto"/>
          <w:highlight w:val="none"/>
        </w:rPr>
        <w:t>修复完毕后标高范围为</w:t>
      </w:r>
      <w:r>
        <w:rPr>
          <w:rFonts w:hint="eastAsia"/>
          <w:color w:val="auto"/>
          <w:highlight w:val="none"/>
          <w:lang w:val="en-US" w:eastAsia="zh-CN"/>
        </w:rPr>
        <w:t>196.5</w:t>
      </w:r>
      <w:r>
        <w:rPr>
          <w:color w:val="auto"/>
          <w:highlight w:val="none"/>
        </w:rPr>
        <w:t>~</w:t>
      </w:r>
      <w:r>
        <w:rPr>
          <w:rFonts w:hint="eastAsia"/>
          <w:color w:val="auto"/>
          <w:highlight w:val="none"/>
          <w:lang w:val="en-US" w:eastAsia="zh-CN"/>
        </w:rPr>
        <w:t>206.5</w:t>
      </w:r>
      <w:r>
        <w:rPr>
          <w:rFonts w:hint="eastAsia" w:ascii="Times New Roman"/>
          <w:color w:val="auto"/>
          <w:highlight w:val="none"/>
        </w:rPr>
        <w:t>m</w:t>
      </w:r>
      <w:r>
        <w:rPr>
          <w:rFonts w:hint="eastAsia"/>
          <w:color w:val="auto"/>
          <w:highlight w:val="none"/>
          <w:lang w:eastAsia="zh-CN"/>
        </w:rPr>
        <w:t>，</w:t>
      </w:r>
      <w:r>
        <w:rPr>
          <w:rFonts w:hint="eastAsia"/>
          <w:color w:val="auto"/>
          <w:highlight w:val="none"/>
          <w:lang w:val="en-US" w:eastAsia="zh-CN"/>
        </w:rPr>
        <w:t>灰渣量能够满足充填修复要求。</w:t>
      </w:r>
    </w:p>
    <w:p w14:paraId="398F7CEA">
      <w:pPr>
        <w:autoSpaceDE w:val="0"/>
        <w:autoSpaceDN w:val="0"/>
        <w:adjustRightInd w:val="0"/>
        <w:spacing w:line="360" w:lineRule="auto"/>
        <w:ind w:firstLine="480"/>
        <w:rPr>
          <w:rFonts w:hint="eastAsia" w:ascii="Times New Roman" w:hAnsi="Times New Roman" w:cs="Times New Roman"/>
          <w:color w:val="auto"/>
          <w:sz w:val="24"/>
          <w:szCs w:val="24"/>
          <w:highlight w:val="none"/>
          <w:lang w:val="en-US" w:eastAsia="zh-CN"/>
        </w:rPr>
      </w:pPr>
      <w:r>
        <w:rPr>
          <w:rFonts w:hint="eastAsia" w:ascii="Times New Roman" w:hAnsi="Times New Roman" w:cs="Times New Roman"/>
          <w:color w:val="auto"/>
          <w:sz w:val="24"/>
          <w:szCs w:val="24"/>
          <w:highlight w:val="none"/>
          <w:lang w:val="en-US" w:eastAsia="zh-CN"/>
        </w:rPr>
        <w:t>根据《一般工业固体废物贮存和填埋污染控制标准》（GB18599-2020）中充填及回填利用污染控制要求，第Ⅱ类一般工业固体废物以及不符合8.1条（8.1 第I类一般工业固体废物可按下列途径进行充填或回填作业：a.粉煤灰可在煤炭开采矿区的采空区中充填或回填；b.煤矸石可在煤炭开采矿井、矿坑等采空区中充填或回填；c.尾矿、矿山废石等可在原矿开采区的矿井、矿坑等采空区中充填或回填）充填或回填途径的第I类一般工业固体废物，其充填或回填活动前应开展环境本底调查，并按照HJ25.3等相关标准进行环境风险评估，重点评估对地下水、地表水及周边土壤的环境污染风险，确保环境风险可接受。本项目已开展环境风险评估，根据《</w:t>
      </w:r>
      <w:r>
        <w:rPr>
          <w:rFonts w:hint="default" w:ascii="宋体" w:hAnsi="宋体" w:eastAsia="宋体" w:cs="Times New Roman"/>
          <w:color w:val="auto"/>
          <w:sz w:val="24"/>
          <w:szCs w:val="24"/>
          <w:highlight w:val="none"/>
          <w:lang w:val="en-US" w:eastAsia="zh-CN"/>
        </w:rPr>
        <w:t>黑龙江嘉龙环保科技有限公司</w:t>
      </w:r>
      <w:r>
        <w:rPr>
          <w:rFonts w:hint="eastAsia" w:ascii="宋体" w:hAnsi="宋体" w:eastAsia="宋体" w:cs="Times New Roman"/>
          <w:color w:val="auto"/>
          <w:sz w:val="24"/>
          <w:szCs w:val="24"/>
          <w:highlight w:val="none"/>
          <w:lang w:val="en-US" w:eastAsia="zh-CN"/>
        </w:rPr>
        <w:t>灰渣回填复垦利用项目</w:t>
      </w:r>
      <w:r>
        <w:rPr>
          <w:rFonts w:hint="eastAsia" w:ascii="Times New Roman" w:hAnsi="Times New Roman" w:cs="Times New Roman"/>
          <w:color w:val="auto"/>
          <w:sz w:val="24"/>
          <w:szCs w:val="24"/>
          <w:highlight w:val="none"/>
          <w:lang w:val="en-US" w:eastAsia="zh-CN"/>
        </w:rPr>
        <w:t>环境风险评估报告》及专家评审意见（附件4），本项目</w:t>
      </w:r>
      <w:r>
        <w:rPr>
          <w:rFonts w:hint="eastAsia" w:ascii="Times New Roman"/>
          <w:color w:val="auto"/>
          <w:highlight w:val="none"/>
          <w:lang w:val="en-US" w:eastAsia="zh-CN"/>
        </w:rPr>
        <w:t>使用灰渣作为治理修复回填原料，</w:t>
      </w:r>
      <w:r>
        <w:rPr>
          <w:rFonts w:hint="eastAsia" w:ascii="Times New Roman"/>
          <w:color w:val="auto"/>
          <w:highlight w:val="none"/>
          <w:lang w:val="zh-CN"/>
        </w:rPr>
        <w:t>对历史遗留</w:t>
      </w:r>
      <w:r>
        <w:rPr>
          <w:rFonts w:hint="eastAsia" w:ascii="Times New Roman"/>
          <w:color w:val="auto"/>
          <w:highlight w:val="none"/>
          <w:lang w:val="en-US" w:eastAsia="zh-CN"/>
        </w:rPr>
        <w:t>采砂坑</w:t>
      </w:r>
      <w:r>
        <w:rPr>
          <w:rFonts w:hint="eastAsia" w:ascii="Times New Roman"/>
          <w:color w:val="auto"/>
          <w:highlight w:val="none"/>
          <w:lang w:val="zh-CN"/>
        </w:rPr>
        <w:t>进行</w:t>
      </w:r>
      <w:r>
        <w:rPr>
          <w:rFonts w:ascii="Times New Roman"/>
          <w:color w:val="auto"/>
          <w:highlight w:val="none"/>
          <w:lang w:val="zh-CN"/>
        </w:rPr>
        <w:t>恢复</w:t>
      </w:r>
      <w:r>
        <w:rPr>
          <w:rFonts w:hint="eastAsia" w:ascii="Times New Roman"/>
          <w:color w:val="auto"/>
          <w:highlight w:val="none"/>
          <w:lang w:val="zh-CN"/>
        </w:rPr>
        <w:t>治理</w:t>
      </w:r>
      <w:r>
        <w:rPr>
          <w:rFonts w:hint="eastAsia" w:ascii="Times New Roman" w:hAnsi="Times New Roman" w:cs="Times New Roman"/>
          <w:color w:val="auto"/>
          <w:sz w:val="24"/>
          <w:szCs w:val="24"/>
          <w:highlight w:val="none"/>
          <w:lang w:val="en-US" w:eastAsia="zh-CN"/>
        </w:rPr>
        <w:t>，设计方案可行，对地下水、地表水及周边土壤的环境污染风险可接受。</w:t>
      </w:r>
    </w:p>
    <w:p w14:paraId="46285C08">
      <w:pPr>
        <w:keepNext w:val="0"/>
        <w:keepLines w:val="0"/>
        <w:pageBreakBefore w:val="0"/>
        <w:widowControl w:val="0"/>
        <w:kinsoku/>
        <w:wordWrap/>
        <w:overflowPunct/>
        <w:topLinePunct/>
        <w:autoSpaceDE w:val="0"/>
        <w:autoSpaceDN w:val="0"/>
        <w:bidi w:val="0"/>
        <w:adjustRightInd w:val="0"/>
        <w:snapToGrid/>
        <w:spacing w:line="360" w:lineRule="auto"/>
        <w:ind w:firstLine="480"/>
        <w:textAlignment w:val="auto"/>
        <w:rPr>
          <w:rFonts w:ascii="Times New Roman"/>
          <w:color w:val="auto"/>
          <w:highlight w:val="none"/>
        </w:rPr>
      </w:pPr>
      <w:r>
        <w:rPr>
          <w:rFonts w:ascii="Times New Roman" w:hAnsi="Times New Roman" w:eastAsia="宋体" w:cs="Times New Roman"/>
          <w:color w:val="auto"/>
          <w:sz w:val="24"/>
          <w:szCs w:val="24"/>
          <w:highlight w:val="none"/>
        </w:rPr>
        <w:t>根据《</w:t>
      </w:r>
      <w:r>
        <w:rPr>
          <w:rFonts w:hint="eastAsia" w:ascii="Times New Roman" w:hAnsi="Times New Roman" w:eastAsia="宋体" w:cs="Times New Roman"/>
          <w:color w:val="auto"/>
          <w:sz w:val="24"/>
          <w:szCs w:val="24"/>
          <w:highlight w:val="none"/>
          <w:lang w:val="en-US" w:eastAsia="zh-CN"/>
        </w:rPr>
        <w:t>黑龙江</w:t>
      </w:r>
      <w:r>
        <w:rPr>
          <w:rFonts w:hint="eastAsia" w:ascii="Times New Roman" w:hAnsi="Times New Roman" w:eastAsia="宋体" w:cs="Times New Roman"/>
          <w:color w:val="auto"/>
          <w:sz w:val="24"/>
          <w:szCs w:val="24"/>
          <w:highlight w:val="none"/>
        </w:rPr>
        <w:t>嘉龙环保科技有限公司灰渣回填复垦</w:t>
      </w:r>
      <w:r>
        <w:rPr>
          <w:rFonts w:hint="eastAsia" w:ascii="Times New Roman" w:hAnsi="Times New Roman" w:eastAsia="宋体" w:cs="Times New Roman"/>
          <w:color w:val="auto"/>
          <w:sz w:val="24"/>
          <w:szCs w:val="24"/>
          <w:highlight w:val="none"/>
          <w:lang w:val="en-US" w:eastAsia="zh-CN"/>
        </w:rPr>
        <w:t>利用</w:t>
      </w:r>
      <w:r>
        <w:rPr>
          <w:rFonts w:ascii="Times New Roman" w:hAnsi="Times New Roman" w:eastAsia="宋体" w:cs="Times New Roman"/>
          <w:color w:val="auto"/>
          <w:sz w:val="24"/>
          <w:szCs w:val="24"/>
          <w:highlight w:val="none"/>
        </w:rPr>
        <w:t>项目岩土工程勘察报告》（</w:t>
      </w:r>
      <w:r>
        <w:rPr>
          <w:rFonts w:hint="eastAsia" w:ascii="Times New Roman" w:hAnsi="Times New Roman" w:eastAsia="宋体" w:cs="Times New Roman"/>
          <w:color w:val="auto"/>
          <w:sz w:val="24"/>
          <w:szCs w:val="24"/>
          <w:highlight w:val="none"/>
        </w:rPr>
        <w:t>中城科泽工程设计集团有限责任公司</w:t>
      </w:r>
      <w:r>
        <w:rPr>
          <w:rFonts w:ascii="Times New Roman" w:hAnsi="Times New Roman" w:eastAsia="宋体" w:cs="Times New Roman"/>
          <w:color w:val="auto"/>
          <w:sz w:val="24"/>
          <w:szCs w:val="24"/>
          <w:highlight w:val="none"/>
        </w:rPr>
        <w:t>）相关内容可知，拟建场地</w:t>
      </w:r>
      <w:r>
        <w:rPr>
          <w:rFonts w:hint="eastAsia" w:ascii="Times New Roman" w:hAnsi="Times New Roman" w:eastAsia="宋体" w:cs="Times New Roman"/>
          <w:color w:val="auto"/>
          <w:sz w:val="24"/>
          <w:szCs w:val="24"/>
          <w:highlight w:val="none"/>
          <w:lang w:val="en-US" w:eastAsia="zh-CN"/>
        </w:rPr>
        <w:t>坡面顶部</w:t>
      </w:r>
      <w:r>
        <w:rPr>
          <w:rFonts w:ascii="Times New Roman" w:hAnsi="Times New Roman" w:eastAsia="宋体" w:cs="Times New Roman"/>
          <w:color w:val="auto"/>
          <w:sz w:val="24"/>
          <w:szCs w:val="24"/>
          <w:highlight w:val="none"/>
        </w:rPr>
        <w:t>杂填土层厚度</w:t>
      </w:r>
      <w:r>
        <w:rPr>
          <w:rFonts w:hint="eastAsia" w:ascii="Times New Roman" w:hAnsi="Times New Roman" w:eastAsia="宋体" w:cs="Times New Roman"/>
          <w:color w:val="auto"/>
          <w:sz w:val="24"/>
          <w:szCs w:val="24"/>
          <w:highlight w:val="none"/>
        </w:rPr>
        <w:t>0.30-2.70m</w:t>
      </w:r>
      <w:r>
        <w:rPr>
          <w:rFonts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rPr>
        <w:t>粉质粘土层厚1.90-2.40m</w:t>
      </w:r>
      <w:r>
        <w:rPr>
          <w:rFonts w:hint="eastAsia" w:ascii="Times New Roman" w:hAnsi="Times New Roman" w:eastAsia="宋体" w:cs="Times New Roman"/>
          <w:color w:val="auto"/>
          <w:sz w:val="24"/>
          <w:szCs w:val="24"/>
          <w:highlight w:val="none"/>
          <w:lang w:eastAsia="zh-CN"/>
        </w:rPr>
        <w:t>，</w:t>
      </w:r>
      <w:r>
        <w:rPr>
          <w:rFonts w:ascii="Times New Roman" w:hAnsi="Times New Roman" w:eastAsia="宋体" w:cs="Times New Roman"/>
          <w:color w:val="auto"/>
          <w:sz w:val="24"/>
          <w:szCs w:val="24"/>
          <w:highlight w:val="none"/>
        </w:rPr>
        <w:t>渗透系数</w:t>
      </w:r>
      <w:r>
        <w:rPr>
          <w:rFonts w:hint="eastAsia" w:ascii="Times New Roman" w:hAnsi="Times New Roman" w:eastAsia="宋体" w:cs="Times New Roman"/>
          <w:color w:val="auto"/>
          <w:sz w:val="24"/>
          <w:szCs w:val="24"/>
          <w:highlight w:val="none"/>
          <w:lang w:val="en-US" w:eastAsia="zh-CN"/>
        </w:rPr>
        <w:t>5</w:t>
      </w:r>
      <w:r>
        <w:rPr>
          <w:rFonts w:ascii="Times New Roman" w:hAnsi="Times New Roman" w:eastAsia="宋体" w:cs="Times New Roman"/>
          <w:color w:val="auto"/>
          <w:sz w:val="24"/>
          <w:szCs w:val="24"/>
          <w:highlight w:val="none"/>
        </w:rPr>
        <w:t>×10</w:t>
      </w:r>
      <w:r>
        <w:rPr>
          <w:rFonts w:ascii="Times New Roman" w:hAnsi="Times New Roman" w:eastAsia="宋体" w:cs="Times New Roman"/>
          <w:color w:val="auto"/>
          <w:sz w:val="24"/>
          <w:szCs w:val="24"/>
          <w:highlight w:val="none"/>
          <w:vertAlign w:val="superscript"/>
        </w:rPr>
        <w:t>-</w:t>
      </w:r>
      <w:r>
        <w:rPr>
          <w:rFonts w:hint="eastAsia" w:ascii="Times New Roman" w:hAnsi="Times New Roman" w:eastAsia="宋体" w:cs="Times New Roman"/>
          <w:color w:val="auto"/>
          <w:sz w:val="24"/>
          <w:szCs w:val="24"/>
          <w:highlight w:val="none"/>
          <w:vertAlign w:val="superscript"/>
          <w:lang w:val="en-US" w:eastAsia="zh-CN"/>
        </w:rPr>
        <w:t>7</w:t>
      </w:r>
      <w:r>
        <w:rPr>
          <w:rFonts w:ascii="Times New Roman" w:hAnsi="Times New Roman" w:eastAsia="宋体" w:cs="Times New Roman"/>
          <w:color w:val="auto"/>
          <w:sz w:val="24"/>
          <w:szCs w:val="24"/>
          <w:highlight w:val="none"/>
        </w:rPr>
        <w:t>cm/s ，</w:t>
      </w:r>
      <w:r>
        <w:rPr>
          <w:rFonts w:hint="eastAsia" w:ascii="Times New Roman" w:hAnsi="Times New Roman" w:eastAsia="宋体" w:cs="Times New Roman"/>
          <w:color w:val="auto"/>
          <w:sz w:val="24"/>
          <w:szCs w:val="24"/>
          <w:highlight w:val="none"/>
          <w:lang w:val="en-US" w:eastAsia="zh-CN"/>
        </w:rPr>
        <w:t>坡面临空面及采坑底部基本全为</w:t>
      </w:r>
      <w:r>
        <w:rPr>
          <w:rFonts w:ascii="Times New Roman" w:hAnsi="Times New Roman" w:eastAsia="宋体" w:cs="Times New Roman"/>
          <w:color w:val="auto"/>
          <w:sz w:val="24"/>
          <w:szCs w:val="24"/>
          <w:highlight w:val="none"/>
        </w:rPr>
        <w:t>全风化砂岩厚度</w:t>
      </w:r>
      <w:r>
        <w:rPr>
          <w:rFonts w:hint="eastAsia" w:ascii="Times New Roman" w:hAnsi="Times New Roman" w:eastAsia="宋体" w:cs="Times New Roman"/>
          <w:color w:val="auto"/>
          <w:sz w:val="24"/>
          <w:szCs w:val="24"/>
          <w:highlight w:val="none"/>
        </w:rPr>
        <w:t>1.90-5.0m</w:t>
      </w:r>
      <w:r>
        <w:rPr>
          <w:rFonts w:ascii="Times New Roman" w:hAnsi="Times New Roman" w:eastAsia="宋体" w:cs="Times New Roman"/>
          <w:color w:val="auto"/>
          <w:sz w:val="24"/>
          <w:szCs w:val="24"/>
          <w:highlight w:val="none"/>
        </w:rPr>
        <w:t>，渗透系数</w:t>
      </w:r>
      <w:r>
        <w:rPr>
          <w:rFonts w:hint="eastAsia" w:ascii="Times New Roman" w:hAnsi="Times New Roman" w:eastAsia="宋体" w:cs="Times New Roman"/>
          <w:color w:val="auto"/>
          <w:sz w:val="24"/>
          <w:szCs w:val="24"/>
          <w:highlight w:val="none"/>
          <w:lang w:val="en-US" w:eastAsia="zh-CN"/>
        </w:rPr>
        <w:t>9</w:t>
      </w:r>
      <w:r>
        <w:rPr>
          <w:rFonts w:ascii="Times New Roman" w:hAnsi="Times New Roman" w:eastAsia="宋体" w:cs="Times New Roman"/>
          <w:color w:val="auto"/>
          <w:sz w:val="24"/>
          <w:szCs w:val="24"/>
          <w:highlight w:val="none"/>
        </w:rPr>
        <w:t>.0×10</w:t>
      </w:r>
      <w:r>
        <w:rPr>
          <w:rFonts w:ascii="Times New Roman" w:hAnsi="Times New Roman" w:eastAsia="宋体" w:cs="Times New Roman"/>
          <w:color w:val="auto"/>
          <w:sz w:val="24"/>
          <w:szCs w:val="24"/>
          <w:highlight w:val="none"/>
          <w:vertAlign w:val="superscript"/>
        </w:rPr>
        <w:t>-</w:t>
      </w:r>
      <w:r>
        <w:rPr>
          <w:rFonts w:hint="eastAsia" w:ascii="Times New Roman" w:hAnsi="Times New Roman" w:eastAsia="宋体" w:cs="Times New Roman"/>
          <w:color w:val="auto"/>
          <w:sz w:val="24"/>
          <w:szCs w:val="24"/>
          <w:highlight w:val="none"/>
          <w:vertAlign w:val="superscript"/>
          <w:lang w:val="en-US" w:eastAsia="zh-CN"/>
        </w:rPr>
        <w:t>3</w:t>
      </w:r>
      <w:r>
        <w:rPr>
          <w:rFonts w:ascii="Times New Roman" w:hAnsi="Times New Roman" w:eastAsia="宋体" w:cs="Times New Roman"/>
          <w:color w:val="auto"/>
          <w:sz w:val="24"/>
          <w:szCs w:val="24"/>
          <w:highlight w:val="none"/>
        </w:rPr>
        <w:t>cm/s</w:t>
      </w:r>
      <w:r>
        <w:rPr>
          <w:rFonts w:hint="eastAsia" w:ascii="Times New Roman" w:hAnsi="Times New Roman" w:eastAsia="宋体" w:cs="Times New Roman"/>
          <w:color w:val="auto"/>
          <w:sz w:val="24"/>
          <w:szCs w:val="24"/>
          <w:highlight w:val="none"/>
          <w:lang w:eastAsia="zh-CN"/>
        </w:rPr>
        <w:t>，</w:t>
      </w:r>
      <w:r>
        <w:rPr>
          <w:rFonts w:hint="eastAsia" w:ascii="Times New Roman" w:hAnsi="Times New Roman" w:cs="Times New Roman"/>
          <w:color w:val="auto"/>
          <w:sz w:val="24"/>
          <w:szCs w:val="24"/>
          <w:highlight w:val="none"/>
          <w:lang w:val="en-US" w:eastAsia="zh-CN"/>
        </w:rPr>
        <w:t>不能满足自然防渗要求，须对填埋场底部及边坡采取人工防渗措施。本项目在场地底部及边坡做基础防渗层，K≤1.0×10</w:t>
      </w:r>
      <w:r>
        <w:rPr>
          <w:rFonts w:hint="eastAsia" w:ascii="Times New Roman" w:hAnsi="Times New Roman" w:cs="Times New Roman"/>
          <w:color w:val="auto"/>
          <w:sz w:val="24"/>
          <w:szCs w:val="24"/>
          <w:highlight w:val="none"/>
          <w:vertAlign w:val="superscript"/>
          <w:lang w:val="en-US" w:eastAsia="zh-CN"/>
        </w:rPr>
        <w:t>-7</w:t>
      </w:r>
      <w:r>
        <w:rPr>
          <w:rFonts w:hint="eastAsia" w:ascii="Times New Roman" w:hAnsi="Times New Roman" w:cs="Times New Roman"/>
          <w:color w:val="auto"/>
          <w:sz w:val="24"/>
          <w:szCs w:val="24"/>
          <w:highlight w:val="none"/>
          <w:lang w:val="en-US" w:eastAsia="zh-CN"/>
        </w:rPr>
        <w:t>cm/s，能够满足《一般工业固体废物贮存和填埋污染控制标准》（GB18599-2020）I类一般工业固体废物填埋场设置要求。同时配套</w:t>
      </w:r>
      <w:r>
        <w:rPr>
          <w:color w:val="auto"/>
          <w:highlight w:val="none"/>
        </w:rPr>
        <w:t>1条</w:t>
      </w:r>
      <w:r>
        <w:rPr>
          <w:rFonts w:hint="eastAsia" w:cs="Times New Roman"/>
          <w:color w:val="auto"/>
          <w:highlight w:val="none"/>
          <w:lang w:eastAsia="zh-CN"/>
        </w:rPr>
        <w:t>淋滤水</w:t>
      </w:r>
      <w:r>
        <w:rPr>
          <w:color w:val="auto"/>
          <w:highlight w:val="none"/>
        </w:rPr>
        <w:t>导排沟</w:t>
      </w:r>
      <w:r>
        <w:rPr>
          <w:rFonts w:hint="eastAsia"/>
          <w:color w:val="auto"/>
          <w:highlight w:val="none"/>
          <w:lang w:eastAsia="zh-CN"/>
        </w:rPr>
        <w:t>，</w:t>
      </w:r>
      <w:r>
        <w:rPr>
          <w:rFonts w:hint="eastAsia"/>
          <w:color w:val="auto"/>
          <w:highlight w:val="none"/>
          <w:lang w:val="en-US" w:eastAsia="zh-CN"/>
        </w:rPr>
        <w:t>在回填区东南侧设1座120m</w:t>
      </w:r>
      <w:r>
        <w:rPr>
          <w:rFonts w:hint="eastAsia"/>
          <w:color w:val="auto"/>
          <w:highlight w:val="none"/>
          <w:vertAlign w:val="superscript"/>
          <w:lang w:val="en-US" w:eastAsia="zh-CN"/>
        </w:rPr>
        <w:t>3</w:t>
      </w:r>
      <w:r>
        <w:rPr>
          <w:rFonts w:hint="eastAsia"/>
          <w:color w:val="auto"/>
          <w:highlight w:val="none"/>
          <w:lang w:val="en-US" w:eastAsia="zh-CN"/>
        </w:rPr>
        <w:t>的沉淀池。</w:t>
      </w:r>
    </w:p>
    <w:p w14:paraId="3AEF6E3F">
      <w:pPr>
        <w:pStyle w:val="77"/>
        <w:widowControl w:val="0"/>
        <w:snapToGrid w:val="0"/>
        <w:spacing w:before="0" w:beforeAutospacing="0" w:after="0" w:afterAutospacing="0" w:line="360" w:lineRule="auto"/>
        <w:ind w:firstLine="482" w:firstLineChars="200"/>
        <w:jc w:val="both"/>
        <w:rPr>
          <w:rFonts w:hint="eastAsia" w:asciiTheme="minorEastAsia" w:hAnsiTheme="minorEastAsia" w:eastAsiaTheme="minorEastAsia" w:cstheme="minorEastAsia"/>
          <w:b/>
          <w:color w:val="auto"/>
          <w:szCs w:val="24"/>
          <w:highlight w:val="none"/>
        </w:rPr>
      </w:pPr>
      <w:r>
        <w:rPr>
          <w:rFonts w:hint="eastAsia" w:asciiTheme="minorEastAsia" w:hAnsiTheme="minorEastAsia" w:eastAsiaTheme="minorEastAsia" w:cstheme="minorEastAsia"/>
          <w:b/>
          <w:color w:val="auto"/>
          <w:szCs w:val="24"/>
          <w:highlight w:val="none"/>
          <w:lang w:val="en-US" w:eastAsia="zh-CN"/>
        </w:rPr>
        <w:t>1.2.2</w:t>
      </w:r>
      <w:r>
        <w:rPr>
          <w:rFonts w:hint="eastAsia" w:asciiTheme="minorEastAsia" w:hAnsiTheme="minorEastAsia" w:eastAsiaTheme="minorEastAsia" w:cstheme="minorEastAsia"/>
          <w:b/>
          <w:color w:val="auto"/>
          <w:szCs w:val="24"/>
          <w:highlight w:val="none"/>
        </w:rPr>
        <w:t>项目排污特点</w:t>
      </w:r>
    </w:p>
    <w:p w14:paraId="0DC65857">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（1）废气</w:t>
      </w:r>
    </w:p>
    <w:p w14:paraId="1F865290">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default"/>
          <w:color w:val="auto"/>
          <w:highlight w:val="none"/>
          <w:lang w:val="en-US" w:eastAsia="zh-CN"/>
        </w:rPr>
        <w:t>废气主要为回填堆存过程产生的扬尘</w:t>
      </w:r>
      <w:r>
        <w:rPr>
          <w:rFonts w:hint="eastAsia"/>
          <w:color w:val="auto"/>
          <w:highlight w:val="none"/>
          <w:lang w:val="en-US" w:eastAsia="zh-CN"/>
        </w:rPr>
        <w:t>、运输扬尘和施工机械废气。在项目区外围设置隔声隔尘挡板、定期</w:t>
      </w:r>
      <w:r>
        <w:rPr>
          <w:rFonts w:hint="default"/>
          <w:color w:val="auto"/>
          <w:highlight w:val="none"/>
          <w:lang w:val="en-US" w:eastAsia="zh-CN"/>
        </w:rPr>
        <w:t>洒水降尘</w:t>
      </w:r>
      <w:r>
        <w:rPr>
          <w:rFonts w:hint="eastAsia"/>
          <w:color w:val="auto"/>
          <w:highlight w:val="none"/>
          <w:lang w:val="en-US" w:eastAsia="zh-CN"/>
        </w:rPr>
        <w:t>，</w:t>
      </w:r>
      <w:r>
        <w:rPr>
          <w:rFonts w:hint="default"/>
          <w:color w:val="auto"/>
          <w:highlight w:val="none"/>
          <w:lang w:val="en-US" w:eastAsia="zh-CN"/>
        </w:rPr>
        <w:t>运输车辆加盖苫布等遮盖物</w:t>
      </w:r>
      <w:r>
        <w:rPr>
          <w:rFonts w:hint="eastAsia"/>
          <w:color w:val="auto"/>
          <w:highlight w:val="none"/>
          <w:lang w:val="en-US" w:eastAsia="zh-CN"/>
        </w:rPr>
        <w:t>，</w:t>
      </w:r>
      <w:r>
        <w:rPr>
          <w:rFonts w:hint="default"/>
          <w:color w:val="auto"/>
          <w:highlight w:val="none"/>
          <w:lang w:val="en-US" w:eastAsia="zh-CN"/>
        </w:rPr>
        <w:t>严格限制车辆运输过程中超载、超速，</w:t>
      </w:r>
      <w:r>
        <w:rPr>
          <w:rFonts w:hint="eastAsia"/>
          <w:color w:val="auto"/>
          <w:highlight w:val="none"/>
          <w:lang w:val="en-US" w:eastAsia="zh-CN"/>
        </w:rPr>
        <w:t>从而减少扬尘</w:t>
      </w:r>
      <w:r>
        <w:rPr>
          <w:rFonts w:hint="default"/>
          <w:color w:val="auto"/>
          <w:highlight w:val="none"/>
          <w:lang w:val="en-US" w:eastAsia="zh-CN"/>
        </w:rPr>
        <w:t>对周围环境</w:t>
      </w:r>
      <w:r>
        <w:rPr>
          <w:rFonts w:hint="eastAsia"/>
          <w:color w:val="auto"/>
          <w:highlight w:val="none"/>
          <w:lang w:val="en-US" w:eastAsia="zh-CN"/>
        </w:rPr>
        <w:t>的影响</w:t>
      </w:r>
      <w:r>
        <w:rPr>
          <w:rFonts w:hint="default"/>
          <w:color w:val="auto"/>
          <w:highlight w:val="none"/>
          <w:lang w:val="en-US" w:eastAsia="zh-CN"/>
        </w:rPr>
        <w:t>。选用质量好、环保型机械设备和运输车辆</w:t>
      </w:r>
      <w:r>
        <w:rPr>
          <w:rFonts w:hint="eastAsia"/>
          <w:color w:val="auto"/>
          <w:highlight w:val="none"/>
          <w:lang w:val="en-US" w:eastAsia="zh-CN"/>
        </w:rPr>
        <w:t>，</w:t>
      </w:r>
      <w:r>
        <w:rPr>
          <w:rFonts w:hint="default"/>
          <w:color w:val="auto"/>
          <w:highlight w:val="none"/>
          <w:lang w:val="en-US" w:eastAsia="zh-CN"/>
        </w:rPr>
        <w:t>定期进行维护</w:t>
      </w:r>
      <w:r>
        <w:rPr>
          <w:rFonts w:hint="eastAsia"/>
          <w:color w:val="auto"/>
          <w:highlight w:val="none"/>
          <w:lang w:val="en-US" w:eastAsia="zh-CN"/>
        </w:rPr>
        <w:t>保养，无组织排放的废气</w:t>
      </w:r>
      <w:r>
        <w:rPr>
          <w:rFonts w:hint="default"/>
          <w:color w:val="auto"/>
          <w:highlight w:val="none"/>
          <w:lang w:val="en-US" w:eastAsia="zh-CN"/>
        </w:rPr>
        <w:t>对周围环境影响较小。</w:t>
      </w:r>
      <w:r>
        <w:rPr>
          <w:rFonts w:hint="eastAsia" w:asciiTheme="minorEastAsia" w:hAnsiTheme="minorEastAsia" w:eastAsiaTheme="minorEastAsia" w:cstheme="minorEastAsia"/>
          <w:color w:val="auto"/>
          <w:highlight w:val="none"/>
          <w:lang w:val="en-US" w:eastAsia="zh-CN"/>
        </w:rPr>
        <w:t>厂界颗粒物满足</w:t>
      </w:r>
      <w:r>
        <w:rPr>
          <w:rFonts w:hint="eastAsia" w:asciiTheme="minorEastAsia" w:hAnsiTheme="minorEastAsia" w:eastAsiaTheme="minorEastAsia" w:cstheme="minorEastAsia"/>
          <w:color w:val="auto"/>
          <w:highlight w:val="none"/>
        </w:rPr>
        <w:t>《大气污染物综合排放标准》（GB16297-1996）中表2排放标准无组织排放监控浓度限值。</w:t>
      </w:r>
      <w:r>
        <w:rPr>
          <w:rFonts w:hint="eastAsia" w:asciiTheme="minorEastAsia" w:hAnsiTheme="minorEastAsia" w:eastAsiaTheme="minorEastAsia" w:cstheme="minorEastAsia"/>
          <w:bCs/>
          <w:color w:val="auto"/>
          <w:highlight w:val="none"/>
          <w:lang w:val="en-US" w:eastAsia="zh-CN"/>
        </w:rPr>
        <w:t>最大落地浓度未超过环境质量标准，无需设置大气环境防护距离，对环境空气影响较小。</w:t>
      </w:r>
    </w:p>
    <w:p w14:paraId="7E2637BD">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（2）废水</w:t>
      </w:r>
    </w:p>
    <w:p w14:paraId="308AC81F">
      <w:pPr>
        <w:numPr>
          <w:ilvl w:val="0"/>
          <w:numId w:val="0"/>
        </w:numPr>
        <w:bidi w:val="0"/>
        <w:spacing w:line="360" w:lineRule="auto"/>
        <w:ind w:leftChars="200"/>
        <w:rPr>
          <w:rFonts w:hint="default"/>
          <w:color w:val="auto"/>
          <w:highlight w:val="none"/>
          <w:lang w:val="en-US" w:eastAsia="zh-CN"/>
        </w:rPr>
      </w:pPr>
      <w:r>
        <w:rPr>
          <w:rFonts w:hint="default"/>
          <w:color w:val="auto"/>
          <w:highlight w:val="none"/>
          <w:lang w:val="en-US" w:eastAsia="zh-CN"/>
        </w:rPr>
        <w:t>生活污水依托</w:t>
      </w:r>
      <w:r>
        <w:rPr>
          <w:rFonts w:hint="eastAsia" w:ascii="Times New Roman" w:hAnsi="Times New Roman" w:eastAsia="宋体" w:cs="Times New Roman"/>
          <w:snapToGrid/>
          <w:color w:val="auto"/>
          <w:kern w:val="2"/>
          <w:sz w:val="24"/>
          <w:szCs w:val="22"/>
          <w:highlight w:val="none"/>
          <w:lang w:val="en-US" w:eastAsia="zh-CN" w:bidi="ar-SA"/>
        </w:rPr>
        <w:t>民房防渗旱厕，定期外运堆肥。</w:t>
      </w:r>
    </w:p>
    <w:p w14:paraId="7B4C723E">
      <w:pPr>
        <w:numPr>
          <w:ilvl w:val="0"/>
          <w:numId w:val="0"/>
        </w:numPr>
        <w:bidi w:val="0"/>
        <w:spacing w:line="360" w:lineRule="auto"/>
        <w:ind w:firstLine="480" w:firstLineChars="200"/>
        <w:rPr>
          <w:rFonts w:hint="eastAsia"/>
          <w:color w:val="auto"/>
          <w:highlight w:val="none"/>
          <w:lang w:val="en-US" w:eastAsia="zh-CN"/>
        </w:rPr>
      </w:pPr>
      <w:r>
        <w:rPr>
          <w:rFonts w:hint="eastAsia"/>
          <w:color w:val="auto"/>
          <w:highlight w:val="none"/>
          <w:lang w:val="en-US" w:eastAsia="zh-CN"/>
        </w:rPr>
        <w:t>在回填区东南侧设置1座沉淀池，</w:t>
      </w:r>
      <w:r>
        <w:rPr>
          <w:rFonts w:cs="Times New Roman"/>
          <w:color w:val="auto"/>
          <w:highlight w:val="none"/>
        </w:rPr>
        <w:t>回填期产生的淋</w:t>
      </w:r>
      <w:r>
        <w:rPr>
          <w:rFonts w:hint="eastAsia" w:cs="Times New Roman"/>
          <w:color w:val="auto"/>
          <w:highlight w:val="none"/>
          <w:lang w:val="en-US" w:eastAsia="zh-CN"/>
        </w:rPr>
        <w:t>滤</w:t>
      </w:r>
      <w:r>
        <w:rPr>
          <w:rFonts w:cs="Times New Roman"/>
          <w:color w:val="auto"/>
          <w:highlight w:val="none"/>
        </w:rPr>
        <w:t>水经导排系统收集后排入</w:t>
      </w:r>
      <w:r>
        <w:rPr>
          <w:rFonts w:hint="eastAsia"/>
          <w:color w:val="auto"/>
          <w:highlight w:val="none"/>
          <w:lang w:val="en-US" w:eastAsia="zh-CN"/>
        </w:rPr>
        <w:t>沉淀池沉淀后</w:t>
      </w:r>
      <w:r>
        <w:rPr>
          <w:rFonts w:cs="Times New Roman"/>
          <w:color w:val="auto"/>
          <w:highlight w:val="none"/>
        </w:rPr>
        <w:t>，</w:t>
      </w:r>
      <w:r>
        <w:rPr>
          <w:rFonts w:hint="eastAsia"/>
          <w:color w:val="auto"/>
          <w:highlight w:val="none"/>
          <w:lang w:val="en-US" w:eastAsia="zh-CN"/>
        </w:rPr>
        <w:t>用于回填区洒水降尘，不外排。</w:t>
      </w:r>
    </w:p>
    <w:p w14:paraId="2CFFA44E">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（3）噪声</w:t>
      </w:r>
    </w:p>
    <w:p w14:paraId="58096D23">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回填过程主要是推土机、压实机等装置，通过选用低噪声设备、加强车辆维护保养、</w:t>
      </w:r>
      <w:r>
        <w:rPr>
          <w:rFonts w:hint="eastAsia" w:asciiTheme="minorEastAsia" w:hAnsiTheme="minorEastAsia" w:eastAsiaTheme="minorEastAsia" w:cstheme="minorEastAsia"/>
          <w:color w:val="auto"/>
          <w:szCs w:val="24"/>
          <w:highlight w:val="none"/>
          <w:lang w:val="en-US" w:eastAsia="zh-CN"/>
        </w:rPr>
        <w:t>禁止</w:t>
      </w:r>
      <w:r>
        <w:rPr>
          <w:rFonts w:hint="eastAsia" w:asciiTheme="minorEastAsia" w:hAnsiTheme="minorEastAsia" w:eastAsiaTheme="minorEastAsia" w:cstheme="minorEastAsia"/>
          <w:color w:val="auto"/>
          <w:szCs w:val="24"/>
          <w:highlight w:val="none"/>
        </w:rPr>
        <w:t>夜间操作、回填作业单元四周加装孔隙率50%的围挡（保留车辆进出口），</w:t>
      </w:r>
      <w:r>
        <w:rPr>
          <w:rFonts w:hint="eastAsia" w:asciiTheme="minorEastAsia" w:hAnsiTheme="minorEastAsia" w:eastAsiaTheme="minorEastAsia" w:cstheme="minorEastAsia"/>
          <w:color w:val="auto"/>
          <w:szCs w:val="24"/>
          <w:highlight w:val="none"/>
          <w:lang w:val="en-US" w:eastAsia="zh-CN"/>
        </w:rPr>
        <w:t>回填区边界噪声满足</w:t>
      </w:r>
      <w:r>
        <w:rPr>
          <w:rFonts w:hint="eastAsia" w:asciiTheme="minorEastAsia" w:hAnsiTheme="minorEastAsia" w:eastAsiaTheme="minorEastAsia" w:cstheme="minorEastAsia"/>
          <w:color w:val="auto"/>
          <w:szCs w:val="24"/>
          <w:highlight w:val="none"/>
        </w:rPr>
        <w:t>《工业企业厂界环境噪声排放标准》（GB12348-2008）表1中的1类标准值。</w:t>
      </w:r>
    </w:p>
    <w:p w14:paraId="28199FBC">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（4）固废</w:t>
      </w:r>
    </w:p>
    <w:p w14:paraId="48EF04F6">
      <w:pPr>
        <w:numPr>
          <w:ilvl w:val="0"/>
          <w:numId w:val="0"/>
        </w:numPr>
        <w:bidi w:val="0"/>
        <w:spacing w:line="360" w:lineRule="auto"/>
        <w:ind w:firstLine="480" w:firstLineChars="200"/>
        <w:rPr>
          <w:rFonts w:hint="default"/>
          <w:color w:val="auto"/>
          <w:highlight w:val="none"/>
          <w:lang w:val="en-US" w:eastAsia="zh-CN"/>
        </w:rPr>
      </w:pPr>
      <w:r>
        <w:rPr>
          <w:rFonts w:hint="default"/>
          <w:color w:val="auto"/>
          <w:highlight w:val="none"/>
          <w:lang w:val="en-US" w:eastAsia="zh-CN"/>
        </w:rPr>
        <w:t>生活垃圾集中收集后，定期交由</w:t>
      </w:r>
      <w:r>
        <w:rPr>
          <w:rFonts w:hint="eastAsia"/>
          <w:color w:val="auto"/>
          <w:highlight w:val="none"/>
          <w:lang w:val="en-US" w:eastAsia="zh-CN"/>
        </w:rPr>
        <w:t>市政环卫部门处理清运</w:t>
      </w:r>
      <w:r>
        <w:rPr>
          <w:rFonts w:hint="default"/>
          <w:color w:val="auto"/>
          <w:highlight w:val="none"/>
          <w:lang w:val="en-US" w:eastAsia="zh-CN"/>
        </w:rPr>
        <w:t>。</w:t>
      </w:r>
    </w:p>
    <w:p w14:paraId="76CD1104">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default"/>
          <w:color w:val="auto"/>
          <w:highlight w:val="none"/>
          <w:lang w:val="en-US" w:eastAsia="zh-CN"/>
        </w:rPr>
        <w:t>沉淀池产生的沉渣在沉淀池内经自然沉淀后，集中收集综合</w:t>
      </w:r>
      <w:r>
        <w:rPr>
          <w:rFonts w:hint="eastAsia"/>
          <w:color w:val="auto"/>
          <w:highlight w:val="none"/>
          <w:lang w:val="en-US" w:eastAsia="zh-CN"/>
        </w:rPr>
        <w:t>利用厂区修路</w:t>
      </w:r>
      <w:r>
        <w:rPr>
          <w:rFonts w:hint="default"/>
          <w:color w:val="auto"/>
          <w:highlight w:val="none"/>
          <w:lang w:val="en-US" w:eastAsia="zh-CN"/>
        </w:rPr>
        <w:t>。</w:t>
      </w:r>
    </w:p>
    <w:p w14:paraId="741AE264">
      <w:pPr>
        <w:numPr>
          <w:ilvl w:val="0"/>
          <w:numId w:val="0"/>
        </w:numPr>
        <w:bidi w:val="0"/>
        <w:spacing w:line="360" w:lineRule="auto"/>
        <w:ind w:leftChars="200"/>
        <w:rPr>
          <w:rFonts w:hint="default"/>
          <w:color w:val="auto"/>
          <w:highlight w:val="none"/>
          <w:lang w:val="en-US" w:eastAsia="zh-CN"/>
        </w:rPr>
      </w:pPr>
      <w:r>
        <w:rPr>
          <w:rFonts w:hint="eastAsia"/>
          <w:color w:val="auto"/>
          <w:highlight w:val="none"/>
          <w:lang w:val="en-US" w:eastAsia="zh-CN"/>
        </w:rPr>
        <w:t>（5）地下水、土壤</w:t>
      </w:r>
    </w:p>
    <w:p w14:paraId="6EFA8D81">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Theme="minorEastAsia" w:hAnsiTheme="minorEastAsia" w:eastAsiaTheme="minorEastAsia" w:cstheme="minorEastAsia"/>
          <w:color w:val="auto"/>
          <w:szCs w:val="24"/>
          <w:highlight w:val="none"/>
        </w:rPr>
      </w:pPr>
      <w:r>
        <w:rPr>
          <w:rFonts w:hint="eastAsia"/>
          <w:color w:val="auto"/>
          <w:highlight w:val="none"/>
          <w:lang w:val="en-US" w:eastAsia="zh-CN"/>
        </w:rPr>
        <w:t>本项目回填灰渣</w:t>
      </w:r>
      <w:r>
        <w:rPr>
          <w:rFonts w:hint="eastAsia" w:ascii="Times New Roman"/>
          <w:color w:val="auto"/>
          <w:highlight w:val="none"/>
        </w:rPr>
        <w:t>属于</w:t>
      </w:r>
      <w:r>
        <w:rPr>
          <w:rFonts w:ascii="Times New Roman"/>
          <w:color w:val="auto"/>
          <w:highlight w:val="none"/>
        </w:rPr>
        <w:t>I类一般工业固体废物</w:t>
      </w:r>
      <w:r>
        <w:rPr>
          <w:rFonts w:hint="eastAsia" w:ascii="Times New Roman"/>
          <w:color w:val="auto"/>
          <w:highlight w:val="none"/>
          <w:lang w:eastAsia="zh-CN"/>
        </w:rPr>
        <w:t>，</w:t>
      </w:r>
      <w:r>
        <w:rPr>
          <w:rFonts w:hint="eastAsia" w:ascii="Times New Roman"/>
          <w:color w:val="auto"/>
          <w:highlight w:val="none"/>
          <w:lang w:val="en-US" w:eastAsia="zh-CN"/>
        </w:rPr>
        <w:t>采砂坑</w:t>
      </w:r>
      <w:r>
        <w:rPr>
          <w:rFonts w:hint="eastAsia" w:ascii="Times New Roman"/>
          <w:color w:val="auto"/>
          <w:highlight w:val="none"/>
          <w:lang w:eastAsia="zh-CN"/>
        </w:rPr>
        <w:t>场地底部做基础防渗，其防渗性</w:t>
      </w:r>
      <w:r>
        <w:rPr>
          <w:rFonts w:hint="eastAsia" w:ascii="Times New Roman"/>
          <w:color w:val="auto"/>
          <w:highlight w:val="none"/>
          <w:lang w:val="en-US" w:eastAsia="zh-CN"/>
        </w:rPr>
        <w:t>K≤</w:t>
      </w:r>
      <w:r>
        <w:rPr>
          <w:rFonts w:hint="default" w:ascii="Times New Roman" w:hAnsi="Times New Roman" w:cs="Times New Roman"/>
          <w:color w:val="auto"/>
          <w:highlight w:val="none"/>
          <w:lang w:eastAsia="zh-CN"/>
        </w:rPr>
        <w:t>1.0×10</w:t>
      </w:r>
      <w:r>
        <w:rPr>
          <w:rFonts w:hint="default" w:ascii="Times New Roman" w:hAnsi="Times New Roman" w:cs="Times New Roman"/>
          <w:color w:val="auto"/>
          <w:highlight w:val="none"/>
          <w:vertAlign w:val="superscript"/>
          <w:lang w:eastAsia="zh-CN"/>
        </w:rPr>
        <w:t>-7</w:t>
      </w:r>
      <w:r>
        <w:rPr>
          <w:rFonts w:hint="eastAsia" w:ascii="Times New Roman"/>
          <w:color w:val="auto"/>
          <w:highlight w:val="none"/>
          <w:lang w:eastAsia="zh-CN"/>
        </w:rPr>
        <w:t>cm/s，能够满足《一般工业固体废物贮存和填埋污染控制标准》（GB18599-2020）I类一般工业固体废物填埋场设置要求，能够有效防止淋滤水渗漏。</w:t>
      </w:r>
      <w:r>
        <w:rPr>
          <w:rFonts w:hint="eastAsia" w:ascii="Times New Roman"/>
          <w:color w:val="auto"/>
          <w:highlight w:val="none"/>
          <w:lang w:val="en-US" w:eastAsia="zh-CN"/>
        </w:rPr>
        <w:t>对项目所在地地下水和土壤影响较小。</w:t>
      </w:r>
    </w:p>
    <w:p w14:paraId="0DDCA1FF">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w:t>
      </w:r>
      <w:r>
        <w:rPr>
          <w:rFonts w:hint="eastAsia" w:asciiTheme="minorEastAsia" w:hAnsiTheme="minorEastAsia" w:eastAsiaTheme="minorEastAsia" w:cstheme="minorEastAsia"/>
          <w:color w:val="auto"/>
          <w:szCs w:val="24"/>
          <w:highlight w:val="none"/>
          <w:lang w:val="en-US" w:eastAsia="zh-CN"/>
        </w:rPr>
        <w:t>6</w:t>
      </w:r>
      <w:r>
        <w:rPr>
          <w:rFonts w:hint="eastAsia" w:asciiTheme="minorEastAsia" w:hAnsiTheme="minorEastAsia" w:eastAsiaTheme="minorEastAsia" w:cstheme="minorEastAsia"/>
          <w:color w:val="auto"/>
          <w:szCs w:val="24"/>
          <w:highlight w:val="none"/>
        </w:rPr>
        <w:t>）生态环境</w:t>
      </w:r>
    </w:p>
    <w:p w14:paraId="34E64BB3">
      <w:pPr>
        <w:pStyle w:val="77"/>
        <w:widowControl w:val="0"/>
        <w:snapToGrid w:val="0"/>
        <w:spacing w:before="0" w:beforeAutospacing="0" w:after="0" w:afterAutospacing="0" w:line="360" w:lineRule="auto"/>
        <w:ind w:firstLine="480" w:firstLineChars="200"/>
        <w:jc w:val="both"/>
        <w:rPr>
          <w:rFonts w:ascii="Times New Roman"/>
          <w:bCs/>
          <w:color w:val="auto"/>
          <w:szCs w:val="24"/>
          <w:highlight w:val="none"/>
        </w:rPr>
      </w:pPr>
      <w:r>
        <w:rPr>
          <w:rFonts w:ascii="Times New Roman"/>
          <w:color w:val="auto"/>
          <w:highlight w:val="none"/>
        </w:rPr>
        <w:t>项目</w:t>
      </w:r>
      <w:r>
        <w:rPr>
          <w:rFonts w:hint="eastAsia" w:ascii="Times New Roman"/>
          <w:color w:val="auto"/>
          <w:highlight w:val="none"/>
        </w:rPr>
        <w:t>区域进行前期监测</w:t>
      </w:r>
      <w:r>
        <w:rPr>
          <w:rFonts w:hint="eastAsia" w:ascii="Times New Roman"/>
          <w:color w:val="auto"/>
          <w:highlight w:val="none"/>
          <w:lang w:val="en-US" w:eastAsia="zh-CN"/>
        </w:rPr>
        <w:t>踏查</w:t>
      </w:r>
      <w:r>
        <w:rPr>
          <w:rFonts w:hint="eastAsia" w:ascii="Times New Roman"/>
          <w:color w:val="auto"/>
          <w:highlight w:val="none"/>
        </w:rPr>
        <w:t>后</w:t>
      </w:r>
      <w:r>
        <w:rPr>
          <w:rFonts w:hint="eastAsia" w:ascii="Times New Roman"/>
          <w:color w:val="auto"/>
          <w:highlight w:val="none"/>
          <w:lang w:eastAsia="zh-CN"/>
        </w:rPr>
        <w:t>，</w:t>
      </w:r>
      <w:r>
        <w:rPr>
          <w:rFonts w:hint="eastAsia" w:ascii="Times New Roman"/>
          <w:color w:val="auto"/>
          <w:highlight w:val="none"/>
        </w:rPr>
        <w:t>根据项目区实际的地貌地形、土地损毁及地质情况进行分区</w:t>
      </w:r>
      <w:r>
        <w:rPr>
          <w:rFonts w:ascii="Times New Roman"/>
          <w:color w:val="auto"/>
          <w:highlight w:val="none"/>
        </w:rPr>
        <w:t>回填治理</w:t>
      </w:r>
      <w:r>
        <w:rPr>
          <w:rFonts w:hint="eastAsia" w:ascii="Times New Roman"/>
          <w:color w:val="auto"/>
          <w:highlight w:val="none"/>
        </w:rPr>
        <w:t>，将区域地表</w:t>
      </w:r>
      <w:r>
        <w:rPr>
          <w:rFonts w:ascii="Times New Roman"/>
          <w:color w:val="auto"/>
          <w:highlight w:val="none"/>
        </w:rPr>
        <w:t>恢复为</w:t>
      </w:r>
      <w:r>
        <w:rPr>
          <w:rFonts w:hint="eastAsia"/>
          <w:color w:val="auto"/>
          <w:highlight w:val="none"/>
          <w:lang w:val="en-US" w:eastAsia="zh-CN"/>
        </w:rPr>
        <w:t>林地</w:t>
      </w:r>
      <w:r>
        <w:rPr>
          <w:rFonts w:ascii="Times New Roman"/>
          <w:color w:val="auto"/>
          <w:highlight w:val="none"/>
        </w:rPr>
        <w:t>，能够有效地减少地表扰动。</w:t>
      </w:r>
      <w:r>
        <w:rPr>
          <w:rFonts w:ascii="Times New Roman"/>
          <w:bCs/>
          <w:color w:val="auto"/>
          <w:szCs w:val="24"/>
          <w:highlight w:val="none"/>
        </w:rPr>
        <w:t>项目</w:t>
      </w:r>
      <w:r>
        <w:rPr>
          <w:rFonts w:hint="eastAsia" w:asciiTheme="minorEastAsia" w:hAnsiTheme="minorEastAsia" w:eastAsiaTheme="minorEastAsia" w:cstheme="minorEastAsia"/>
          <w:color w:val="auto"/>
          <w:szCs w:val="24"/>
          <w:highlight w:val="none"/>
        </w:rPr>
        <w:t>采砂坑</w:t>
      </w:r>
      <w:r>
        <w:rPr>
          <w:rFonts w:ascii="Times New Roman"/>
          <w:bCs/>
          <w:color w:val="auto"/>
          <w:szCs w:val="24"/>
          <w:highlight w:val="none"/>
        </w:rPr>
        <w:t>治理后可最大限度地将采</w:t>
      </w:r>
      <w:r>
        <w:rPr>
          <w:rFonts w:hint="eastAsia" w:ascii="Times New Roman" w:eastAsia="宋体"/>
          <w:bCs/>
          <w:color w:val="auto"/>
          <w:szCs w:val="24"/>
          <w:highlight w:val="none"/>
          <w:lang w:val="en-US" w:eastAsia="zh-CN"/>
        </w:rPr>
        <w:t>矿</w:t>
      </w:r>
      <w:r>
        <w:rPr>
          <w:rFonts w:ascii="Times New Roman"/>
          <w:bCs/>
          <w:color w:val="auto"/>
          <w:szCs w:val="24"/>
          <w:highlight w:val="none"/>
        </w:rPr>
        <w:t>影响区域内已损毁的土地</w:t>
      </w:r>
      <w:r>
        <w:rPr>
          <w:rFonts w:hint="eastAsia"/>
          <w:bCs/>
          <w:color w:val="auto"/>
          <w:szCs w:val="24"/>
          <w:highlight w:val="none"/>
          <w:lang w:eastAsia="zh-CN"/>
        </w:rPr>
        <w:t>，</w:t>
      </w:r>
      <w:r>
        <w:rPr>
          <w:rFonts w:ascii="Times New Roman"/>
          <w:bCs/>
          <w:color w:val="auto"/>
          <w:szCs w:val="24"/>
          <w:highlight w:val="none"/>
        </w:rPr>
        <w:t>修复为可利用的土地资源，</w:t>
      </w:r>
      <w:r>
        <w:rPr>
          <w:rFonts w:hint="eastAsia" w:ascii="Times New Roman"/>
          <w:bCs/>
          <w:color w:val="auto"/>
          <w:szCs w:val="24"/>
          <w:highlight w:val="none"/>
        </w:rPr>
        <w:t>使本项目</w:t>
      </w:r>
      <w:r>
        <w:rPr>
          <w:rFonts w:ascii="Times New Roman"/>
          <w:bCs/>
          <w:color w:val="auto"/>
          <w:szCs w:val="24"/>
          <w:highlight w:val="none"/>
        </w:rPr>
        <w:t>土地的利用率提高</w:t>
      </w:r>
      <w:r>
        <w:rPr>
          <w:rFonts w:hint="eastAsia" w:ascii="Times New Roman"/>
          <w:bCs/>
          <w:color w:val="auto"/>
          <w:szCs w:val="24"/>
          <w:highlight w:val="none"/>
        </w:rPr>
        <w:t>至100%</w:t>
      </w:r>
      <w:r>
        <w:rPr>
          <w:rFonts w:ascii="Times New Roman"/>
          <w:color w:val="auto"/>
          <w:highlight w:val="none"/>
        </w:rPr>
        <w:t>。并</w:t>
      </w:r>
      <w:r>
        <w:rPr>
          <w:rFonts w:ascii="Times New Roman"/>
          <w:bCs/>
          <w:color w:val="auto"/>
          <w:szCs w:val="24"/>
          <w:highlight w:val="none"/>
        </w:rPr>
        <w:t>起到调节区域气候、涵养地下水源、净化空气、降低扬尘、防止水土流失、防风固沙等作用，大大改善周围空气质量，也增加了植被种类，</w:t>
      </w:r>
      <w:r>
        <w:rPr>
          <w:rFonts w:hint="eastAsia"/>
          <w:bCs/>
          <w:color w:val="auto"/>
          <w:szCs w:val="24"/>
          <w:highlight w:val="none"/>
          <w:lang w:val="en-US" w:eastAsia="zh-CN"/>
        </w:rPr>
        <w:t>有</w:t>
      </w:r>
      <w:r>
        <w:rPr>
          <w:rFonts w:ascii="Times New Roman"/>
          <w:bCs/>
          <w:color w:val="auto"/>
          <w:szCs w:val="24"/>
          <w:highlight w:val="none"/>
        </w:rPr>
        <w:t>利于生态环境稳定良好的发展。</w:t>
      </w:r>
    </w:p>
    <w:p w14:paraId="1E45FB41">
      <w:pPr>
        <w:pStyle w:val="77"/>
        <w:widowControl w:val="0"/>
        <w:snapToGrid w:val="0"/>
        <w:spacing w:before="0" w:beforeAutospacing="0" w:after="0" w:afterAutospacing="0" w:line="360" w:lineRule="auto"/>
        <w:ind w:firstLine="482" w:firstLineChars="200"/>
        <w:jc w:val="both"/>
        <w:rPr>
          <w:rFonts w:hint="eastAsia" w:asciiTheme="minorEastAsia" w:hAnsiTheme="minorEastAsia" w:eastAsiaTheme="minorEastAsia" w:cstheme="minorEastAsia"/>
          <w:b/>
          <w:color w:val="auto"/>
          <w:szCs w:val="24"/>
          <w:highlight w:val="none"/>
        </w:rPr>
      </w:pPr>
      <w:r>
        <w:rPr>
          <w:rFonts w:hint="eastAsia" w:asciiTheme="minorEastAsia" w:hAnsiTheme="minorEastAsia" w:eastAsiaTheme="minorEastAsia" w:cstheme="minorEastAsia"/>
          <w:b/>
          <w:color w:val="auto"/>
          <w:szCs w:val="24"/>
          <w:highlight w:val="none"/>
          <w:lang w:val="en-US" w:eastAsia="zh-CN"/>
        </w:rPr>
        <w:t>4</w:t>
      </w:r>
      <w:r>
        <w:rPr>
          <w:rFonts w:hint="eastAsia" w:asciiTheme="minorEastAsia" w:hAnsiTheme="minorEastAsia" w:eastAsiaTheme="minorEastAsia" w:cstheme="minorEastAsia"/>
          <w:b/>
          <w:color w:val="auto"/>
          <w:szCs w:val="24"/>
          <w:highlight w:val="none"/>
        </w:rPr>
        <w:t>、项目外环境特点</w:t>
      </w:r>
    </w:p>
    <w:p w14:paraId="63798F25">
      <w:pPr>
        <w:pStyle w:val="77"/>
        <w:widowControl w:val="0"/>
        <w:snapToGrid w:val="0"/>
        <w:spacing w:before="0" w:beforeAutospacing="0" w:after="0" w:afterAutospacing="0" w:line="360" w:lineRule="auto"/>
        <w:ind w:firstLine="468" w:firstLineChars="200"/>
        <w:jc w:val="both"/>
        <w:rPr>
          <w:rFonts w:hint="eastAsia" w:asciiTheme="minorEastAsia" w:hAnsiTheme="minorEastAsia" w:eastAsiaTheme="minorEastAsia" w:cstheme="minorEastAsia"/>
          <w:color w:val="auto"/>
          <w:szCs w:val="24"/>
          <w:highlight w:val="none"/>
        </w:rPr>
        <w:sectPr>
          <w:footerReference r:id="rId7" w:type="default"/>
          <w:pgSz w:w="11907" w:h="16840"/>
          <w:pgMar w:top="1440" w:right="1440" w:bottom="1440" w:left="1701" w:header="851" w:footer="992" w:gutter="0"/>
          <w:pgBorders>
            <w:top w:val="none" w:sz="0" w:space="0"/>
            <w:left w:val="none" w:sz="0" w:space="0"/>
            <w:bottom w:val="none" w:sz="0" w:space="0"/>
            <w:right w:val="none" w:sz="0" w:space="0"/>
          </w:pgBorders>
          <w:pgNumType w:fmt="numberInDash" w:start="1"/>
          <w:cols w:space="720" w:num="1"/>
          <w:docGrid w:linePitch="312" w:charSpace="0"/>
        </w:sectPr>
      </w:pPr>
      <w:r>
        <w:rPr>
          <w:rFonts w:hint="eastAsia" w:asciiTheme="minorEastAsia" w:hAnsiTheme="minorEastAsia" w:eastAsiaTheme="minorEastAsia" w:cstheme="minorEastAsia"/>
          <w:color w:val="auto"/>
          <w:spacing w:val="-3"/>
          <w:szCs w:val="24"/>
          <w:highlight w:val="none"/>
        </w:rPr>
        <w:t>通过现场踏查，</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pacing w:val="-3"/>
          <w:szCs w:val="24"/>
          <w:highlight w:val="none"/>
          <w:lang w:val="en-US" w:eastAsia="zh-CN"/>
        </w:rPr>
        <w:t>东侧、南侧、西侧和北侧均为树林</w:t>
      </w:r>
      <w:r>
        <w:rPr>
          <w:rFonts w:hint="eastAsia" w:asciiTheme="minorEastAsia" w:hAnsiTheme="minorEastAsia" w:eastAsiaTheme="minorEastAsia" w:cstheme="minorEastAsia"/>
          <w:color w:val="auto"/>
          <w:spacing w:val="-3"/>
          <w:szCs w:val="24"/>
          <w:highlight w:val="none"/>
          <w:lang w:eastAsia="zh-CN"/>
        </w:rPr>
        <w:t>，</w:t>
      </w:r>
      <w:r>
        <w:rPr>
          <w:rFonts w:hint="eastAsia" w:asciiTheme="minorEastAsia" w:hAnsiTheme="minorEastAsia" w:eastAsiaTheme="minorEastAsia" w:cstheme="minorEastAsia"/>
          <w:color w:val="auto"/>
          <w:spacing w:val="-3"/>
          <w:szCs w:val="24"/>
          <w:highlight w:val="none"/>
        </w:rPr>
        <w:t>距离本项目最近敏感点为</w:t>
      </w:r>
      <w:r>
        <w:rPr>
          <w:rFonts w:hint="eastAsia" w:asciiTheme="minorEastAsia" w:hAnsiTheme="minorEastAsia" w:eastAsiaTheme="minorEastAsia" w:cstheme="minorEastAsia"/>
          <w:color w:val="auto"/>
          <w:spacing w:val="-3"/>
          <w:szCs w:val="24"/>
          <w:highlight w:val="none"/>
          <w:lang w:val="en-US" w:eastAsia="zh-CN"/>
        </w:rPr>
        <w:t>元宝村</w:t>
      </w:r>
      <w:r>
        <w:rPr>
          <w:rFonts w:hint="eastAsia" w:asciiTheme="minorEastAsia" w:hAnsiTheme="minorEastAsia" w:eastAsiaTheme="minorEastAsia" w:cstheme="minorEastAsia"/>
          <w:color w:val="auto"/>
          <w:spacing w:val="-3"/>
          <w:szCs w:val="24"/>
          <w:highlight w:val="none"/>
        </w:rPr>
        <w:t>（</w:t>
      </w:r>
      <w:r>
        <w:rPr>
          <w:rFonts w:hint="eastAsia" w:asciiTheme="minorEastAsia" w:hAnsiTheme="minorEastAsia" w:eastAsiaTheme="minorEastAsia" w:cstheme="minorEastAsia"/>
          <w:color w:val="auto"/>
          <w:spacing w:val="-3"/>
          <w:szCs w:val="24"/>
          <w:highlight w:val="none"/>
          <w:lang w:val="en-US" w:eastAsia="zh-CN"/>
        </w:rPr>
        <w:t>距离约</w:t>
      </w:r>
      <w:r>
        <w:rPr>
          <w:rFonts w:hint="eastAsia" w:asciiTheme="minorEastAsia" w:hAnsiTheme="minorEastAsia" w:eastAsiaTheme="minorEastAsia" w:cstheme="minorEastAsia"/>
          <w:color w:val="auto"/>
          <w:szCs w:val="24"/>
          <w:highlight w:val="none"/>
          <w:lang w:val="en-US" w:eastAsia="zh-CN"/>
        </w:rPr>
        <w:t>350</w:t>
      </w:r>
      <w:r>
        <w:rPr>
          <w:rFonts w:hint="eastAsia" w:asciiTheme="minorEastAsia" w:hAnsiTheme="minorEastAsia" w:eastAsiaTheme="minorEastAsia" w:cstheme="minorEastAsia"/>
          <w:color w:val="auto"/>
          <w:szCs w:val="24"/>
          <w:highlight w:val="none"/>
        </w:rPr>
        <w:t>m）。本项目评价范围内无自然保护区、风景名胜区、森林公园、地质公园、重要湿地等环境敏感区。</w:t>
      </w:r>
    </w:p>
    <w:p w14:paraId="10F05C87">
      <w:pPr>
        <w:pStyle w:val="77"/>
        <w:widowControl w:val="0"/>
        <w:snapToGrid w:val="0"/>
        <w:spacing w:before="0" w:beforeAutospacing="0" w:after="0" w:afterAutospacing="0" w:line="240" w:lineRule="auto"/>
        <w:jc w:val="both"/>
        <w:rPr>
          <w:rFonts w:hint="eastAsia" w:asciiTheme="minorEastAsia" w:hAnsiTheme="minorEastAsia" w:eastAsiaTheme="minorEastAsia" w:cstheme="minorEastAsia"/>
          <w:color w:val="auto"/>
          <w:szCs w:val="24"/>
          <w:highlight w:val="none"/>
        </w:rPr>
      </w:pPr>
      <w:r>
        <w:rPr>
          <w:color w:val="auto"/>
          <w:sz w:val="24"/>
          <w:highlight w:val="none"/>
        </w:rPr>
        <mc:AlternateContent>
          <mc:Choice Requires="wps">
            <w:drawing>
              <wp:anchor distT="0" distB="0" distL="114300" distR="114300" simplePos="0" relativeHeight="251732992" behindDoc="0" locked="0" layoutInCell="1" allowOverlap="1">
                <wp:simplePos x="0" y="0"/>
                <wp:positionH relativeFrom="column">
                  <wp:posOffset>5242560</wp:posOffset>
                </wp:positionH>
                <wp:positionV relativeFrom="paragraph">
                  <wp:posOffset>2690495</wp:posOffset>
                </wp:positionV>
                <wp:extent cx="2806065" cy="1835150"/>
                <wp:effectExtent l="0" t="0" r="0" b="0"/>
                <wp:wrapNone/>
                <wp:docPr id="40" name="矩形 40"/>
                <wp:cNvGraphicFramePr/>
                <a:graphic xmlns:a="http://schemas.openxmlformats.org/drawingml/2006/main">
                  <a:graphicData uri="http://schemas.microsoft.com/office/word/2010/wordprocessingShape">
                    <wps:wsp>
                      <wps:cNvSpPr/>
                      <wps:spPr>
                        <a:xfrm>
                          <a:off x="0" y="0"/>
                          <a:ext cx="2806065" cy="183515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B9193BB">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drawing>
                                <wp:inline distT="0" distB="0" distL="114300" distR="114300">
                                  <wp:extent cx="2595880" cy="1487805"/>
                                  <wp:effectExtent l="0" t="0" r="7620" b="10795"/>
                                  <wp:docPr id="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9"/>
                                          <pic:cNvPicPr>
                                            <a:picLocks noChangeAspect="1"/>
                                          </pic:cNvPicPr>
                                        </pic:nvPicPr>
                                        <pic:blipFill>
                                          <a:blip r:embed="rId18"/>
                                          <a:stretch>
                                            <a:fillRect/>
                                          </a:stretch>
                                        </pic:blipFill>
                                        <pic:spPr>
                                          <a:xfrm>
                                            <a:off x="0" y="0"/>
                                            <a:ext cx="2595880" cy="148780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12.8pt;margin-top:211.85pt;height:144.5pt;width:220.95pt;z-index:251732992;v-text-anchor:middle;mso-width-relative:page;mso-height-relative:page;" filled="f" stroked="f" coordsize="21600,21600" o:gfxdata="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NzzaLvaAAAA&#10;DAEAAA8AAAAAAAAAAQAgAAAAIgAAAGRycy9kb3ducmV2LnhtbFBLAQIUABQAAAAIAIdO4kBgU9OI&#10;VAIAAJkEAAAOAAAAAAAAAAEAIAAAACkBAABkcnMvZTJvRG9jLnhtbFBLBQYAAAAABgAGAFkBAADv&#10;BQAAAAA=&#10;">
                <v:fill on="f" focussize="0,0"/>
                <v:stroke on="f" weight="2pt"/>
                <v:imagedata o:title=""/>
                <o:lock v:ext="edit" aspectratio="f"/>
                <v:textbox>
                  <w:txbxContent>
                    <w:p w14:paraId="1B9193BB">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drawing>
                          <wp:inline distT="0" distB="0" distL="114300" distR="114300">
                            <wp:extent cx="2595880" cy="1487805"/>
                            <wp:effectExtent l="0" t="0" r="7620" b="10795"/>
                            <wp:docPr id="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9"/>
                                    <pic:cNvPicPr>
                                      <a:picLocks noChangeAspect="1"/>
                                    </pic:cNvPicPr>
                                  </pic:nvPicPr>
                                  <pic:blipFill>
                                    <a:blip r:embed="rId18"/>
                                    <a:stretch>
                                      <a:fillRect/>
                                    </a:stretch>
                                  </pic:blipFill>
                                  <pic:spPr>
                                    <a:xfrm>
                                      <a:off x="0" y="0"/>
                                      <a:ext cx="2595880" cy="1487805"/>
                                    </a:xfrm>
                                    <a:prstGeom prst="rect">
                                      <a:avLst/>
                                    </a:prstGeom>
                                    <a:noFill/>
                                    <a:ln>
                                      <a:noFill/>
                                    </a:ln>
                                  </pic:spPr>
                                </pic:pic>
                              </a:graphicData>
                            </a:graphic>
                          </wp:inline>
                        </w:drawing>
                      </w:r>
                    </w:p>
                  </w:txbxContent>
                </v:textbox>
              </v:rect>
            </w:pict>
          </mc:Fallback>
        </mc:AlternateContent>
      </w:r>
      <w:r>
        <w:rPr>
          <w:color w:val="auto"/>
          <w:sz w:val="24"/>
          <w:highlight w:val="none"/>
        </w:rPr>
        <mc:AlternateContent>
          <mc:Choice Requires="wps">
            <w:drawing>
              <wp:anchor distT="0" distB="0" distL="114300" distR="114300" simplePos="0" relativeHeight="251734016" behindDoc="0" locked="0" layoutInCell="1" allowOverlap="1">
                <wp:simplePos x="0" y="0"/>
                <wp:positionH relativeFrom="column">
                  <wp:posOffset>5083810</wp:posOffset>
                </wp:positionH>
                <wp:positionV relativeFrom="paragraph">
                  <wp:posOffset>-42545</wp:posOffset>
                </wp:positionV>
                <wp:extent cx="2806065" cy="1835150"/>
                <wp:effectExtent l="0" t="0" r="0" b="0"/>
                <wp:wrapNone/>
                <wp:docPr id="45" name="矩形 45"/>
                <wp:cNvGraphicFramePr/>
                <a:graphic xmlns:a="http://schemas.openxmlformats.org/drawingml/2006/main">
                  <a:graphicData uri="http://schemas.microsoft.com/office/word/2010/wordprocessingShape">
                    <wps:wsp>
                      <wps:cNvSpPr/>
                      <wps:spPr>
                        <a:xfrm>
                          <a:off x="0" y="0"/>
                          <a:ext cx="2806065" cy="183515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0861773">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drawing>
                                <wp:inline distT="0" distB="0" distL="114300" distR="114300">
                                  <wp:extent cx="2595245" cy="1653540"/>
                                  <wp:effectExtent l="0" t="0" r="8255" b="10160"/>
                                  <wp:docPr id="5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
                                          <pic:cNvPicPr>
                                            <a:picLocks noChangeAspect="1"/>
                                          </pic:cNvPicPr>
                                        </pic:nvPicPr>
                                        <pic:blipFill>
                                          <a:blip r:embed="rId19"/>
                                          <a:stretch>
                                            <a:fillRect/>
                                          </a:stretch>
                                        </pic:blipFill>
                                        <pic:spPr>
                                          <a:xfrm>
                                            <a:off x="0" y="0"/>
                                            <a:ext cx="2595245" cy="165354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00.3pt;margin-top:-3.35pt;height:144.5pt;width:220.95pt;z-index:251734016;v-text-anchor:middle;mso-width-relative:page;mso-height-relative:page;" filled="f" stroked="f" coordsize="21600,21600" o:gfxdata="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tLeCVNgAAAAL&#10;AQAADwAAAAAAAAABACAAAAAiAAAAZHJzL2Rvd25yZXYueG1sUEsBAhQAFAAAAAgAh07iQElxqyxV&#10;AgAAmQQAAA4AAAAAAAAAAQAgAAAAJwEAAGRycy9lMm9Eb2MueG1sUEsFBgAAAAAGAAYAWQEAAO4F&#10;AAAAAA==&#10;">
                <v:fill on="f" focussize="0,0"/>
                <v:stroke on="f" weight="2pt"/>
                <v:imagedata o:title=""/>
                <o:lock v:ext="edit" aspectratio="f"/>
                <v:textbox>
                  <w:txbxContent>
                    <w:p w14:paraId="10861773">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drawing>
                          <wp:inline distT="0" distB="0" distL="114300" distR="114300">
                            <wp:extent cx="2595245" cy="1653540"/>
                            <wp:effectExtent l="0" t="0" r="8255" b="10160"/>
                            <wp:docPr id="5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
                                    <pic:cNvPicPr>
                                      <a:picLocks noChangeAspect="1"/>
                                    </pic:cNvPicPr>
                                  </pic:nvPicPr>
                                  <pic:blipFill>
                                    <a:blip r:embed="rId19"/>
                                    <a:stretch>
                                      <a:fillRect/>
                                    </a:stretch>
                                  </pic:blipFill>
                                  <pic:spPr>
                                    <a:xfrm>
                                      <a:off x="0" y="0"/>
                                      <a:ext cx="2595245" cy="1653540"/>
                                    </a:xfrm>
                                    <a:prstGeom prst="rect">
                                      <a:avLst/>
                                    </a:prstGeom>
                                    <a:noFill/>
                                    <a:ln>
                                      <a:noFill/>
                                    </a:ln>
                                  </pic:spPr>
                                </pic:pic>
                              </a:graphicData>
                            </a:graphic>
                          </wp:inline>
                        </w:drawing>
                      </w:r>
                    </w:p>
                  </w:txbxContent>
                </v:textbox>
              </v:rect>
            </w:pict>
          </mc:Fallback>
        </mc:AlternateContent>
      </w:r>
      <w:r>
        <w:rPr>
          <w:color w:val="auto"/>
          <w:sz w:val="24"/>
          <w:highlight w:val="none"/>
        </w:rPr>
        <mc:AlternateContent>
          <mc:Choice Requires="wps">
            <w:drawing>
              <wp:anchor distT="0" distB="0" distL="114300" distR="114300" simplePos="0" relativeHeight="251736064" behindDoc="0" locked="0" layoutInCell="1" allowOverlap="1">
                <wp:simplePos x="0" y="0"/>
                <wp:positionH relativeFrom="column">
                  <wp:posOffset>4806950</wp:posOffset>
                </wp:positionH>
                <wp:positionV relativeFrom="paragraph">
                  <wp:posOffset>1435100</wp:posOffset>
                </wp:positionV>
                <wp:extent cx="419100" cy="462280"/>
                <wp:effectExtent l="9525" t="0" r="3175" b="20320"/>
                <wp:wrapNone/>
                <wp:docPr id="52" name="直接箭头连接符 52"/>
                <wp:cNvGraphicFramePr/>
                <a:graphic xmlns:a="http://schemas.openxmlformats.org/drawingml/2006/main">
                  <a:graphicData uri="http://schemas.microsoft.com/office/word/2010/wordprocessingShape">
                    <wps:wsp>
                      <wps:cNvCnPr/>
                      <wps:spPr>
                        <a:xfrm flipV="1">
                          <a:off x="0" y="0"/>
                          <a:ext cx="419100" cy="462280"/>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378.5pt;margin-top:113pt;height:36.4pt;width:33pt;z-index:251736064;mso-width-relative:page;mso-height-relative:page;" filled="f" stroked="t" coordsize="21600,21600" o:gfxdata="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AXi952gAAAAsBAAAPAAAAAAAAAAEAIAAAACIA&#10;AABkcnMvZG93bnJldi54bWxQSwECFAAUAAAACACHTuJAhU+14QcCAADYAwAADgAAAAAAAAABACAA&#10;AAApAQAAZHJzL2Uyb0RvYy54bWxQSwUGAAAAAAYABgBZAQAAogUAAAAA&#10;">
                <v:fill on="f" focussize="0,0"/>
                <v:stroke weight="2pt" color="#FF0000 [3204]" joinstyle="round" endarrow="open"/>
                <v:imagedata o:title=""/>
                <o:lock v:ext="edit" aspectratio="f"/>
              </v:shape>
            </w:pict>
          </mc:Fallback>
        </mc:AlternateContent>
      </w:r>
      <w:r>
        <w:rPr>
          <w:color w:val="auto"/>
          <w:sz w:val="24"/>
          <w:highlight w:val="none"/>
        </w:rPr>
        <mc:AlternateContent>
          <mc:Choice Requires="wps">
            <w:drawing>
              <wp:anchor distT="0" distB="0" distL="114300" distR="114300" simplePos="0" relativeHeight="251727872" behindDoc="0" locked="0" layoutInCell="1" allowOverlap="1">
                <wp:simplePos x="0" y="0"/>
                <wp:positionH relativeFrom="column">
                  <wp:posOffset>4299585</wp:posOffset>
                </wp:positionH>
                <wp:positionV relativeFrom="paragraph">
                  <wp:posOffset>2983865</wp:posOffset>
                </wp:positionV>
                <wp:extent cx="721360" cy="351790"/>
                <wp:effectExtent l="0" t="0" r="0" b="0"/>
                <wp:wrapNone/>
                <wp:docPr id="130" name="矩形 130"/>
                <wp:cNvGraphicFramePr/>
                <a:graphic xmlns:a="http://schemas.openxmlformats.org/drawingml/2006/main">
                  <a:graphicData uri="http://schemas.microsoft.com/office/word/2010/wordprocessingShape">
                    <wps:wsp>
                      <wps:cNvSpPr/>
                      <wps:spPr>
                        <a:xfrm>
                          <a:off x="0" y="0"/>
                          <a:ext cx="721360" cy="35179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68546A5">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rPr>
                                <w:rFonts w:hint="eastAsia"/>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t>树林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38.55pt;margin-top:234.95pt;height:27.7pt;width:56.8pt;z-index:251727872;v-text-anchor:middle;mso-width-relative:page;mso-height-relative:page;" filled="f" stroked="f" coordsize="21600,21600" o:gfxdata="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uBvXcdoAAAAL&#10;AQAADwAAAAAAAAABACAAAAAiAAAAZHJzL2Rvd25yZXYueG1sUEsBAhQAFAAAAAgAh07iQN1/YhNT&#10;AgAAmQQAAA4AAAAAAAAAAQAgAAAAKQEAAGRycy9lMm9Eb2MueG1sUEsFBgAAAAAGAAYAWQEAAO4F&#10;AAAAAA==&#10;">
                <v:fill on="f" focussize="0,0"/>
                <v:stroke on="f" weight="2pt"/>
                <v:imagedata o:title=""/>
                <o:lock v:ext="edit" aspectratio="f"/>
                <v:textbox>
                  <w:txbxContent>
                    <w:p w14:paraId="468546A5">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rPr>
                          <w:rFonts w:hint="eastAsia"/>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t>树林</w:t>
                      </w:r>
                    </w:p>
                  </w:txbxContent>
                </v:textbox>
              </v:rect>
            </w:pict>
          </mc:Fallback>
        </mc:AlternateContent>
      </w:r>
      <w:r>
        <w:rPr>
          <w:color w:val="auto"/>
          <w:sz w:val="24"/>
          <w:highlight w:val="none"/>
        </w:rPr>
        <mc:AlternateContent>
          <mc:Choice Requires="wps">
            <w:drawing>
              <wp:anchor distT="0" distB="0" distL="114300" distR="114300" simplePos="0" relativeHeight="251735040" behindDoc="0" locked="0" layoutInCell="1" allowOverlap="1">
                <wp:simplePos x="0" y="0"/>
                <wp:positionH relativeFrom="column">
                  <wp:posOffset>4879340</wp:posOffset>
                </wp:positionH>
                <wp:positionV relativeFrom="paragraph">
                  <wp:posOffset>3164840</wp:posOffset>
                </wp:positionV>
                <wp:extent cx="415925" cy="417195"/>
                <wp:effectExtent l="8890" t="8890" r="6985" b="5715"/>
                <wp:wrapNone/>
                <wp:docPr id="49" name="直接箭头连接符 49"/>
                <wp:cNvGraphicFramePr/>
                <a:graphic xmlns:a="http://schemas.openxmlformats.org/drawingml/2006/main">
                  <a:graphicData uri="http://schemas.microsoft.com/office/word/2010/wordprocessingShape">
                    <wps:wsp>
                      <wps:cNvCnPr/>
                      <wps:spPr>
                        <a:xfrm>
                          <a:off x="0" y="0"/>
                          <a:ext cx="415925" cy="417195"/>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384.2pt;margin-top:249.2pt;height:32.85pt;width:32.75pt;z-index:251735040;mso-width-relative:page;mso-height-relative:page;" filled="f" stroked="t" coordsize="21600,21600" o:gfxdata="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qY9PjtkAAAALAQAADwAAAAAAAAABACAAAAAiAAAAZHJzL2Rv&#10;d25yZXYueG1sUEsBAhQAFAAAAAgAh07iQDm4z64AAgAAzgMAAA4AAAAAAAAAAQAgAAAAKAEAAGRy&#10;cy9lMm9Eb2MueG1sUEsFBgAAAAAGAAYAWQEAAJoFAAAAAA==&#10;">
                <v:fill on="f" focussize="0,0"/>
                <v:stroke weight="2pt" color="#FF0000 [3204]" joinstyle="round" endarrow="open"/>
                <v:imagedata o:title=""/>
                <o:lock v:ext="edit" aspectratio="f"/>
              </v:shape>
            </w:pict>
          </mc:Fallback>
        </mc:AlternateContent>
      </w:r>
      <w:r>
        <w:rPr>
          <w:color w:val="auto"/>
          <w:sz w:val="24"/>
          <w:highlight w:val="none"/>
        </w:rPr>
        <mc:AlternateContent>
          <mc:Choice Requires="wps">
            <w:drawing>
              <wp:anchor distT="0" distB="0" distL="114300" distR="114300" simplePos="0" relativeHeight="251726848" behindDoc="0" locked="0" layoutInCell="1" allowOverlap="1">
                <wp:simplePos x="0" y="0"/>
                <wp:positionH relativeFrom="column">
                  <wp:posOffset>4495165</wp:posOffset>
                </wp:positionH>
                <wp:positionV relativeFrom="paragraph">
                  <wp:posOffset>1760220</wp:posOffset>
                </wp:positionV>
                <wp:extent cx="721360" cy="351790"/>
                <wp:effectExtent l="0" t="0" r="0" b="0"/>
                <wp:wrapNone/>
                <wp:docPr id="128" name="矩形 128"/>
                <wp:cNvGraphicFramePr/>
                <a:graphic xmlns:a="http://schemas.openxmlformats.org/drawingml/2006/main">
                  <a:graphicData uri="http://schemas.microsoft.com/office/word/2010/wordprocessingShape">
                    <wps:wsp>
                      <wps:cNvSpPr/>
                      <wps:spPr>
                        <a:xfrm>
                          <a:off x="0" y="0"/>
                          <a:ext cx="721360" cy="35179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3984BD5">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rPr>
                                <w:rFonts w:hint="eastAsia"/>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t>树林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3.95pt;margin-top:138.6pt;height:27.7pt;width:56.8pt;z-index:251726848;v-text-anchor:middle;mso-width-relative:page;mso-height-relative:page;" filled="f" stroked="f" coordsize="21600,21600" o:gfxdata="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NVWZMbaAAAA&#10;CwEAAA8AAAAAAAAAAQAgAAAAIgAAAGRycy9kb3ducmV2LnhtbFBLAQIUABQAAAAIAIdO4kDUL5RE&#10;VAIAAJkEAAAOAAAAAAAAAAEAIAAAACkBAABkcnMvZTJvRG9jLnhtbFBLBQYAAAAABgAGAFkBAADv&#10;BQAAAAA=&#10;">
                <v:fill on="f" focussize="0,0"/>
                <v:stroke on="f" weight="2pt"/>
                <v:imagedata o:title=""/>
                <o:lock v:ext="edit" aspectratio="f"/>
                <v:textbox>
                  <w:txbxContent>
                    <w:p w14:paraId="73984BD5">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rPr>
                          <w:rFonts w:hint="eastAsia"/>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t>树林</w:t>
                      </w:r>
                    </w:p>
                  </w:txbxContent>
                </v:textbox>
              </v:rect>
            </w:pict>
          </mc:Fallback>
        </mc:AlternateContent>
      </w:r>
      <w:r>
        <w:rPr>
          <w:color w:val="auto"/>
          <w:sz w:val="24"/>
          <w:highlight w:val="none"/>
        </w:rPr>
        <mc:AlternateContent>
          <mc:Choice Requires="wps">
            <w:drawing>
              <wp:anchor distT="0" distB="0" distL="114300" distR="114300" simplePos="0" relativeHeight="251731968" behindDoc="0" locked="0" layoutInCell="1" allowOverlap="1">
                <wp:simplePos x="0" y="0"/>
                <wp:positionH relativeFrom="column">
                  <wp:posOffset>3240405</wp:posOffset>
                </wp:positionH>
                <wp:positionV relativeFrom="paragraph">
                  <wp:posOffset>2463800</wp:posOffset>
                </wp:positionV>
                <wp:extent cx="308610" cy="405765"/>
                <wp:effectExtent l="0" t="7620" r="21590" b="5715"/>
                <wp:wrapNone/>
                <wp:docPr id="39" name="直接箭头连接符 39"/>
                <wp:cNvGraphicFramePr/>
                <a:graphic xmlns:a="http://schemas.openxmlformats.org/drawingml/2006/main">
                  <a:graphicData uri="http://schemas.microsoft.com/office/word/2010/wordprocessingShape">
                    <wps:wsp>
                      <wps:cNvCnPr/>
                      <wps:spPr>
                        <a:xfrm flipH="1">
                          <a:off x="0" y="0"/>
                          <a:ext cx="308610" cy="405765"/>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255.15pt;margin-top:194pt;height:31.95pt;width:24.3pt;z-index:251731968;mso-width-relative:page;mso-height-relative:page;" filled="f" stroked="t" coordsize="21600,21600" o:gfxdata="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oSJektoAAAALAQAADwAAAAAAAAABACAAAAAi&#10;AAAAZHJzL2Rvd25yZXYueG1sUEsBAhQAFAAAAAgAh07iQPzeo3gIAgAA2AMAAA4AAAAAAAAAAQAg&#10;AAAAKQEAAGRycy9lMm9Eb2MueG1sUEsFBgAAAAAGAAYAWQEAAKMFAAAAAA==&#10;">
                <v:fill on="f" focussize="0,0"/>
                <v:stroke weight="2pt" color="#FF0000 [3204]" joinstyle="round" endarrow="open"/>
                <v:imagedata o:title=""/>
                <o:lock v:ext="edit" aspectratio="f"/>
              </v:shape>
            </w:pict>
          </mc:Fallback>
        </mc:AlternateContent>
      </w:r>
      <w:r>
        <w:rPr>
          <w:color w:val="auto"/>
          <w:sz w:val="24"/>
          <w:highlight w:val="none"/>
        </w:rPr>
        <mc:AlternateContent>
          <mc:Choice Requires="wps">
            <w:drawing>
              <wp:anchor distT="0" distB="0" distL="114300" distR="114300" simplePos="0" relativeHeight="251724800" behindDoc="0" locked="0" layoutInCell="1" allowOverlap="1">
                <wp:simplePos x="0" y="0"/>
                <wp:positionH relativeFrom="column">
                  <wp:posOffset>3234055</wp:posOffset>
                </wp:positionH>
                <wp:positionV relativeFrom="paragraph">
                  <wp:posOffset>2162175</wp:posOffset>
                </wp:positionV>
                <wp:extent cx="721360" cy="351790"/>
                <wp:effectExtent l="0" t="0" r="0" b="0"/>
                <wp:wrapNone/>
                <wp:docPr id="126" name="矩形 126"/>
                <wp:cNvGraphicFramePr/>
                <a:graphic xmlns:a="http://schemas.openxmlformats.org/drawingml/2006/main">
                  <a:graphicData uri="http://schemas.microsoft.com/office/word/2010/wordprocessingShape">
                    <wps:wsp>
                      <wps:cNvSpPr/>
                      <wps:spPr>
                        <a:xfrm>
                          <a:off x="2934970" y="3319780"/>
                          <a:ext cx="721360" cy="35179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CE1F189">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rPr>
                                <w:rFonts w:hint="eastAsia"/>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t>树林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54.65pt;margin-top:170.25pt;height:27.7pt;width:56.8pt;z-index:251724800;v-text-anchor:middle;mso-width-relative:page;mso-height-relative:page;" filled="f" stroked="f" coordsize="21600,21600" o:gfxdata="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vOKSJ9oAAAALAQAADwAAAAAAAAABACAAAAAiAAAAZHJzL2Rvd25yZXYueG1sUEsBAhQAFAAA&#10;AAgAh07iQCPe4F1fAgAApQQAAA4AAAAAAAAAAQAgAAAAKQEAAGRycy9lMm9Eb2MueG1sUEsFBgAA&#10;AAAGAAYAWQEAAPoFAAAAAA==&#10;">
                <v:fill on="f" focussize="0,0"/>
                <v:stroke on="f" weight="2pt"/>
                <v:imagedata o:title=""/>
                <o:lock v:ext="edit" aspectratio="f"/>
                <v:textbox>
                  <w:txbxContent>
                    <w:p w14:paraId="7CE1F189">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rPr>
                          <w:rFonts w:hint="eastAsia"/>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t>树林</w:t>
                      </w:r>
                    </w:p>
                  </w:txbxContent>
                </v:textbox>
              </v:rect>
            </w:pict>
          </mc:Fallback>
        </mc:AlternateContent>
      </w:r>
      <w:r>
        <w:rPr>
          <w:color w:val="auto"/>
          <w:sz w:val="24"/>
          <w:highlight w:val="none"/>
        </w:rPr>
        <mc:AlternateContent>
          <mc:Choice Requires="wps">
            <w:drawing>
              <wp:anchor distT="0" distB="0" distL="114300" distR="114300" simplePos="0" relativeHeight="251730944" behindDoc="0" locked="0" layoutInCell="1" allowOverlap="1">
                <wp:simplePos x="0" y="0"/>
                <wp:positionH relativeFrom="column">
                  <wp:posOffset>481965</wp:posOffset>
                </wp:positionH>
                <wp:positionV relativeFrom="paragraph">
                  <wp:posOffset>2453640</wp:posOffset>
                </wp:positionV>
                <wp:extent cx="2806065" cy="1835150"/>
                <wp:effectExtent l="0" t="0" r="0" b="0"/>
                <wp:wrapNone/>
                <wp:docPr id="33" name="矩形 33"/>
                <wp:cNvGraphicFramePr/>
                <a:graphic xmlns:a="http://schemas.openxmlformats.org/drawingml/2006/main">
                  <a:graphicData uri="http://schemas.microsoft.com/office/word/2010/wordprocessingShape">
                    <wps:wsp>
                      <wps:cNvSpPr/>
                      <wps:spPr>
                        <a:xfrm>
                          <a:off x="0" y="0"/>
                          <a:ext cx="2806065" cy="183515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EF6743A">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drawing>
                                <wp:inline distT="0" distB="0" distL="114300" distR="114300">
                                  <wp:extent cx="2949575" cy="2050415"/>
                                  <wp:effectExtent l="0" t="0" r="9525" b="6985"/>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20"/>
                                          <a:stretch>
                                            <a:fillRect/>
                                          </a:stretch>
                                        </pic:blipFill>
                                        <pic:spPr>
                                          <a:xfrm>
                                            <a:off x="0" y="0"/>
                                            <a:ext cx="2949575" cy="205041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7.95pt;margin-top:193.2pt;height:144.5pt;width:220.95pt;z-index:251730944;v-text-anchor:middle;mso-width-relative:page;mso-height-relative:page;" filled="f" stroked="f" coordsize="21600,21600" o:gfxdata="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BC+Dd2QAA&#10;AAoBAAAPAAAAAAAAAAEAIAAAACIAAABkcnMvZG93bnJldi54bWxQSwECFAAUAAAACACHTuJA5ZLk&#10;glYCAACZBAAADgAAAAAAAAABACAAAAAoAQAAZHJzL2Uyb0RvYy54bWxQSwUGAAAAAAYABgBZAQAA&#10;8AUAAAAA&#10;">
                <v:fill on="f" focussize="0,0"/>
                <v:stroke on="f" weight="2pt"/>
                <v:imagedata o:title=""/>
                <o:lock v:ext="edit" aspectratio="f"/>
                <v:textbox>
                  <w:txbxContent>
                    <w:p w14:paraId="1EF6743A">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drawing>
                          <wp:inline distT="0" distB="0" distL="114300" distR="114300">
                            <wp:extent cx="2949575" cy="2050415"/>
                            <wp:effectExtent l="0" t="0" r="9525" b="6985"/>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20"/>
                                    <a:stretch>
                                      <a:fillRect/>
                                    </a:stretch>
                                  </pic:blipFill>
                                  <pic:spPr>
                                    <a:xfrm>
                                      <a:off x="0" y="0"/>
                                      <a:ext cx="2949575" cy="2050415"/>
                                    </a:xfrm>
                                    <a:prstGeom prst="rect">
                                      <a:avLst/>
                                    </a:prstGeom>
                                    <a:noFill/>
                                    <a:ln>
                                      <a:noFill/>
                                    </a:ln>
                                  </pic:spPr>
                                </pic:pic>
                              </a:graphicData>
                            </a:graphic>
                          </wp:inline>
                        </w:drawing>
                      </w:r>
                    </w:p>
                  </w:txbxContent>
                </v:textbox>
              </v:rect>
            </w:pict>
          </mc:Fallback>
        </mc:AlternateContent>
      </w:r>
      <w:r>
        <w:rPr>
          <w:color w:val="auto"/>
          <w:sz w:val="24"/>
          <w:highlight w:val="none"/>
        </w:rPr>
        <mc:AlternateContent>
          <mc:Choice Requires="wps">
            <w:drawing>
              <wp:anchor distT="0" distB="0" distL="114300" distR="114300" simplePos="0" relativeHeight="251728896" behindDoc="0" locked="0" layoutInCell="1" allowOverlap="1">
                <wp:simplePos x="0" y="0"/>
                <wp:positionH relativeFrom="column">
                  <wp:posOffset>433705</wp:posOffset>
                </wp:positionH>
                <wp:positionV relativeFrom="paragraph">
                  <wp:posOffset>-100330</wp:posOffset>
                </wp:positionV>
                <wp:extent cx="3157855" cy="2048510"/>
                <wp:effectExtent l="0" t="0" r="0" b="0"/>
                <wp:wrapNone/>
                <wp:docPr id="21" name="矩形 21"/>
                <wp:cNvGraphicFramePr/>
                <a:graphic xmlns:a="http://schemas.openxmlformats.org/drawingml/2006/main">
                  <a:graphicData uri="http://schemas.microsoft.com/office/word/2010/wordprocessingShape">
                    <wps:wsp>
                      <wps:cNvSpPr/>
                      <wps:spPr>
                        <a:xfrm>
                          <a:off x="0" y="0"/>
                          <a:ext cx="3157855" cy="204851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EA785FC">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drawing>
                                <wp:inline distT="0" distB="0" distL="114300" distR="114300">
                                  <wp:extent cx="2559685" cy="1800225"/>
                                  <wp:effectExtent l="0" t="0" r="5715" b="3175"/>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21"/>
                                          <a:stretch>
                                            <a:fillRect/>
                                          </a:stretch>
                                        </pic:blipFill>
                                        <pic:spPr>
                                          <a:xfrm>
                                            <a:off x="0" y="0"/>
                                            <a:ext cx="2559685" cy="18002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4.15pt;margin-top:-7.9pt;height:161.3pt;width:248.65pt;z-index:251728896;v-text-anchor:middle;mso-width-relative:page;mso-height-relative:page;" filled="f" stroked="f" coordsize="21600,21600" o:gfxdata="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zeI42NkAAAAK&#10;AQAADwAAAAAAAAABACAAAAAiAAAAZHJzL2Rvd25yZXYueG1sUEsBAhQAFAAAAAgAh07iQC9YmbFU&#10;AgAAmQQAAA4AAAAAAAAAAQAgAAAAKAEAAGRycy9lMm9Eb2MueG1sUEsFBgAAAAAGAAYAWQEAAO4F&#10;AAAAAA==&#10;">
                <v:fill on="f" focussize="0,0"/>
                <v:stroke on="f" weight="2pt"/>
                <v:imagedata o:title=""/>
                <o:lock v:ext="edit" aspectratio="f"/>
                <v:textbox>
                  <w:txbxContent>
                    <w:p w14:paraId="7EA785FC">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drawing>
                          <wp:inline distT="0" distB="0" distL="114300" distR="114300">
                            <wp:extent cx="2559685" cy="1800225"/>
                            <wp:effectExtent l="0" t="0" r="5715" b="3175"/>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21"/>
                                    <a:stretch>
                                      <a:fillRect/>
                                    </a:stretch>
                                  </pic:blipFill>
                                  <pic:spPr>
                                    <a:xfrm>
                                      <a:off x="0" y="0"/>
                                      <a:ext cx="2559685" cy="1800225"/>
                                    </a:xfrm>
                                    <a:prstGeom prst="rect">
                                      <a:avLst/>
                                    </a:prstGeom>
                                    <a:noFill/>
                                    <a:ln>
                                      <a:noFill/>
                                    </a:ln>
                                  </pic:spPr>
                                </pic:pic>
                              </a:graphicData>
                            </a:graphic>
                          </wp:inline>
                        </w:drawing>
                      </w:r>
                    </w:p>
                  </w:txbxContent>
                </v:textbox>
              </v:rect>
            </w:pict>
          </mc:Fallback>
        </mc:AlternateContent>
      </w:r>
      <w:r>
        <w:rPr>
          <w:color w:val="auto"/>
          <w:sz w:val="24"/>
          <w:highlight w:val="none"/>
        </w:rPr>
        <mc:AlternateContent>
          <mc:Choice Requires="wps">
            <w:drawing>
              <wp:anchor distT="0" distB="0" distL="114300" distR="114300" simplePos="0" relativeHeight="251729920" behindDoc="0" locked="0" layoutInCell="1" allowOverlap="1">
                <wp:simplePos x="0" y="0"/>
                <wp:positionH relativeFrom="column">
                  <wp:posOffset>3292475</wp:posOffset>
                </wp:positionH>
                <wp:positionV relativeFrom="paragraph">
                  <wp:posOffset>966470</wp:posOffset>
                </wp:positionV>
                <wp:extent cx="490855" cy="184785"/>
                <wp:effectExtent l="0" t="18415" r="4445" b="12700"/>
                <wp:wrapNone/>
                <wp:docPr id="30" name="直接箭头连接符 30"/>
                <wp:cNvGraphicFramePr/>
                <a:graphic xmlns:a="http://schemas.openxmlformats.org/drawingml/2006/main">
                  <a:graphicData uri="http://schemas.microsoft.com/office/word/2010/wordprocessingShape">
                    <wps:wsp>
                      <wps:cNvCnPr/>
                      <wps:spPr>
                        <a:xfrm flipH="1" flipV="1">
                          <a:off x="4206875" y="2046605"/>
                          <a:ext cx="490855" cy="184785"/>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 y;margin-left:259.25pt;margin-top:76.1pt;height:14.55pt;width:38.65pt;z-index:251729920;mso-width-relative:page;mso-height-relative:page;" filled="f" stroked="t" coordsize="21600,21600" o:gfxdata="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C0I6x3XAAAACwEAAA8A&#10;AAAAAAAAAQAgAAAAIgAAAGRycy9kb3ducmV2LnhtbFBLAQIUABQAAAAIAIdO4kBf4KJFGAIAAO4D&#10;AAAOAAAAAAAAAAEAIAAAACYBAABkcnMvZTJvRG9jLnhtbFBLBQYAAAAABgAGAFkBAACwBQAAAAA=&#10;">
                <v:fill on="f" focussize="0,0"/>
                <v:stroke weight="2pt" color="#FF0000 [3204]" joinstyle="round" endarrow="open"/>
                <v:imagedata o:title=""/>
                <o:lock v:ext="edit" aspectratio="f"/>
              </v:shape>
            </w:pict>
          </mc:Fallback>
        </mc:AlternateContent>
      </w:r>
      <w:r>
        <w:rPr>
          <w:color w:val="auto"/>
          <w:highlight w:val="none"/>
        </w:rPr>
        <w:drawing>
          <wp:inline distT="0" distB="0" distL="114300" distR="114300">
            <wp:extent cx="8444865" cy="4558030"/>
            <wp:effectExtent l="0" t="0" r="635" b="1270"/>
            <wp:docPr id="1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
                    <pic:cNvPicPr>
                      <a:picLocks noChangeAspect="1"/>
                    </pic:cNvPicPr>
                  </pic:nvPicPr>
                  <pic:blipFill>
                    <a:blip r:embed="rId22"/>
                    <a:stretch>
                      <a:fillRect/>
                    </a:stretch>
                  </pic:blipFill>
                  <pic:spPr>
                    <a:xfrm>
                      <a:off x="0" y="0"/>
                      <a:ext cx="8444865" cy="4558030"/>
                    </a:xfrm>
                    <a:prstGeom prst="rect">
                      <a:avLst/>
                    </a:prstGeom>
                    <a:noFill/>
                    <a:ln>
                      <a:noFill/>
                    </a:ln>
                  </pic:spPr>
                </pic:pic>
              </a:graphicData>
            </a:graphic>
          </wp:inline>
        </w:drawing>
      </w:r>
      <w:r>
        <w:rPr>
          <w:color w:val="auto"/>
          <w:sz w:val="24"/>
          <w:highlight w:val="none"/>
        </w:rPr>
        <mc:AlternateContent>
          <mc:Choice Requires="wps">
            <w:drawing>
              <wp:anchor distT="0" distB="0" distL="114300" distR="114300" simplePos="0" relativeHeight="251725824" behindDoc="0" locked="0" layoutInCell="1" allowOverlap="1">
                <wp:simplePos x="0" y="0"/>
                <wp:positionH relativeFrom="column">
                  <wp:posOffset>3529965</wp:posOffset>
                </wp:positionH>
                <wp:positionV relativeFrom="paragraph">
                  <wp:posOffset>1075055</wp:posOffset>
                </wp:positionV>
                <wp:extent cx="721360" cy="351790"/>
                <wp:effectExtent l="0" t="0" r="0" b="0"/>
                <wp:wrapNone/>
                <wp:docPr id="127" name="矩形 127"/>
                <wp:cNvGraphicFramePr/>
                <a:graphic xmlns:a="http://schemas.openxmlformats.org/drawingml/2006/main">
                  <a:graphicData uri="http://schemas.microsoft.com/office/word/2010/wordprocessingShape">
                    <wps:wsp>
                      <wps:cNvSpPr/>
                      <wps:spPr>
                        <a:xfrm>
                          <a:off x="0" y="0"/>
                          <a:ext cx="721360" cy="35179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00695622">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rPr>
                                <w:rFonts w:hint="eastAsia"/>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t>树林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77.95pt;margin-top:84.65pt;height:27.7pt;width:56.8pt;z-index:251725824;v-text-anchor:middle;mso-width-relative:page;mso-height-relative:page;" filled="f" stroked="f" coordsize="21600,21600" o:gfxdata="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I2WVgfaAAAA&#10;CwEAAA8AAAAAAAAAAQAgAAAAIgAAAGRycy9kb3ducmV2LnhtbFBLAQIUABQAAAAIAIdO4kB+OUiB&#10;VAIAAJkEAAAOAAAAAAAAAAEAIAAAACkBAABkcnMvZTJvRG9jLnhtbFBLBQYAAAAABgAGAFkBAADv&#10;BQAAAAA=&#10;">
                <v:fill on="f" focussize="0,0"/>
                <v:stroke on="f" weight="2pt"/>
                <v:imagedata o:title=""/>
                <o:lock v:ext="edit" aspectratio="f"/>
                <v:textbox>
                  <w:txbxContent>
                    <w:p w14:paraId="00695622">
                      <w:pPr>
                        <w:jc w:val="center"/>
                        <w:rPr>
                          <w:rFonts w:hint="eastAsia" w:eastAsia="宋体"/>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pPr>
                      <w:r>
                        <w:rPr>
                          <w:rFonts w:hint="eastAsia"/>
                          <w:b/>
                          <w:bCs/>
                          <w:color w:val="FF0000"/>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clear"/>
                        </w:rPr>
                        <w:t>树林</w:t>
                      </w:r>
                    </w:p>
                  </w:txbxContent>
                </v:textbox>
              </v:rect>
            </w:pict>
          </mc:Fallback>
        </mc:AlternateContent>
      </w:r>
    </w:p>
    <w:p w14:paraId="022C5206">
      <w:pPr>
        <w:pStyle w:val="1175"/>
        <w:spacing w:line="240" w:lineRule="auto"/>
        <w:rPr>
          <w:rFonts w:hint="eastAsia" w:asciiTheme="minorEastAsia" w:hAnsiTheme="minorEastAsia" w:eastAsiaTheme="minorEastAsia" w:cstheme="minorEastAsia"/>
          <w:b/>
          <w:bCs/>
          <w:color w:val="auto"/>
          <w:kern w:val="0"/>
          <w:sz w:val="24"/>
          <w:szCs w:val="24"/>
          <w:highlight w:val="none"/>
          <w:lang w:val="en-US" w:eastAsia="zh-CN" w:bidi="ar-SA"/>
        </w:rPr>
      </w:pPr>
      <w:r>
        <w:rPr>
          <w:rFonts w:hint="eastAsia" w:asciiTheme="minorEastAsia" w:hAnsiTheme="minorEastAsia" w:eastAsiaTheme="minorEastAsia" w:cstheme="minorEastAsia"/>
          <w:b/>
          <w:bCs/>
          <w:color w:val="auto"/>
          <w:kern w:val="0"/>
          <w:sz w:val="24"/>
          <w:szCs w:val="24"/>
          <w:highlight w:val="none"/>
          <w:lang w:val="en-US" w:eastAsia="zh-CN" w:bidi="ar-SA"/>
        </w:rPr>
        <w:t>图1.2-2  外环境关系图</w:t>
      </w:r>
    </w:p>
    <w:p w14:paraId="0D73354C">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p>
    <w:p w14:paraId="096AC2AA">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p>
    <w:p w14:paraId="4C66465E">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p>
    <w:p w14:paraId="403DFB93">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sectPr>
          <w:pgSz w:w="16840" w:h="11907" w:orient="landscape"/>
          <w:pgMar w:top="1701" w:right="1440" w:bottom="1440" w:left="1440" w:header="851" w:footer="992" w:gutter="0"/>
          <w:pgBorders>
            <w:top w:val="none" w:sz="0" w:space="0"/>
            <w:left w:val="none" w:sz="0" w:space="0"/>
            <w:bottom w:val="none" w:sz="0" w:space="0"/>
            <w:right w:val="none" w:sz="0" w:space="0"/>
          </w:pgBorders>
          <w:pgNumType w:fmt="numberInDash" w:start="1"/>
          <w:cols w:space="720" w:num="1"/>
          <w:docGrid w:linePitch="312" w:charSpace="0"/>
        </w:sectPr>
      </w:pPr>
    </w:p>
    <w:p w14:paraId="0C69C329">
      <w:pPr>
        <w:pStyle w:val="6"/>
        <w:spacing w:line="360" w:lineRule="auto"/>
        <w:rPr>
          <w:rFonts w:hint="eastAsia" w:asciiTheme="minorEastAsia" w:hAnsiTheme="minorEastAsia" w:eastAsiaTheme="minorEastAsia" w:cstheme="minorEastAsia"/>
          <w:color w:val="auto"/>
          <w:highlight w:val="none"/>
        </w:rPr>
      </w:pPr>
      <w:bookmarkStart w:id="63" w:name="_Toc21140"/>
      <w:bookmarkStart w:id="64" w:name="_Toc19681"/>
      <w:bookmarkStart w:id="65" w:name="_Toc26691"/>
      <w:bookmarkStart w:id="66" w:name="_Toc19197"/>
      <w:bookmarkStart w:id="67" w:name="_Toc18571"/>
      <w:bookmarkStart w:id="68" w:name="_Toc24340"/>
      <w:bookmarkStart w:id="69" w:name="_Toc21328"/>
      <w:bookmarkStart w:id="70" w:name="_Toc12388"/>
      <w:bookmarkStart w:id="71" w:name="_Toc18710"/>
      <w:bookmarkStart w:id="72" w:name="_Toc3379"/>
      <w:bookmarkStart w:id="73" w:name="_Toc5121"/>
      <w:bookmarkStart w:id="74" w:name="_Toc8685"/>
      <w:bookmarkStart w:id="75" w:name="_Toc14740"/>
      <w:bookmarkStart w:id="76" w:name="_Toc19026"/>
      <w:bookmarkStart w:id="77" w:name="_Toc19906"/>
      <w:bookmarkStart w:id="78" w:name="_Toc22035"/>
      <w:r>
        <w:rPr>
          <w:rFonts w:hint="eastAsia" w:asciiTheme="minorEastAsia" w:hAnsiTheme="minorEastAsia" w:eastAsiaTheme="minorEastAsia" w:cstheme="minorEastAsia"/>
          <w:color w:val="auto"/>
          <w:highlight w:val="none"/>
        </w:rPr>
        <w:t>1.3环境影响评价的工作过程</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0C975851">
      <w:pPr>
        <w:pStyle w:val="319"/>
        <w:widowControl w:val="0"/>
        <w:snapToGrid w:val="0"/>
        <w:ind w:firstLine="480" w:firstLineChars="200"/>
        <w:jc w:val="both"/>
        <w:rPr>
          <w:rFonts w:hint="eastAsia" w:asciiTheme="minorEastAsia" w:hAnsiTheme="minorEastAsia" w:eastAsiaTheme="minorEastAsia" w:cstheme="minorEastAsia"/>
          <w:color w:val="auto"/>
          <w:highlight w:val="none"/>
        </w:rPr>
      </w:pPr>
      <w:bookmarkStart w:id="79" w:name="_Toc423"/>
      <w:bookmarkStart w:id="80" w:name="_Toc8894"/>
      <w:bookmarkStart w:id="81" w:name="_Toc30188"/>
      <w:bookmarkStart w:id="82" w:name="_Toc29957"/>
      <w:bookmarkStart w:id="83" w:name="_Toc27416"/>
      <w:bookmarkStart w:id="84" w:name="_Toc1547"/>
      <w:bookmarkStart w:id="85" w:name="_Toc18091"/>
      <w:bookmarkStart w:id="86" w:name="_Toc31245"/>
      <w:bookmarkStart w:id="87" w:name="_Toc1003"/>
      <w:bookmarkStart w:id="88" w:name="_Toc13480"/>
      <w:bookmarkStart w:id="89" w:name="_Toc25208"/>
      <w:bookmarkStart w:id="90" w:name="_Toc3202"/>
      <w:bookmarkStart w:id="91" w:name="_Toc22420"/>
      <w:bookmarkStart w:id="92" w:name="_Toc8066"/>
      <w:bookmarkStart w:id="93" w:name="_Toc30738"/>
      <w:r>
        <w:rPr>
          <w:rFonts w:hint="eastAsia" w:asciiTheme="minorEastAsia" w:hAnsiTheme="minorEastAsia" w:eastAsiaTheme="minorEastAsia" w:cstheme="minorEastAsia"/>
          <w:color w:val="auto"/>
          <w:highlight w:val="none"/>
        </w:rPr>
        <w:t>依据《建设项目环境影响评价技术导则总纲》（HJ2.1-2016）要求，本次环评工作分为三个阶段进行。</w:t>
      </w:r>
    </w:p>
    <w:p w14:paraId="3031B910">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依据《建设项目环境影响评价分类管理名录》（2021年版）规定，本项目属于第四十七项“生态保护和环境治理业”类别中“103、一般工业固体废物（含污泥）处置及综合利用”，该类别中“一般工业固体废物（含污水处理污泥）采取填埋、焚烧（水泥窑协同处置的改造项目除外）方式的”的需要编制环境影响报告书。本项目利用</w:t>
      </w:r>
      <w:r>
        <w:rPr>
          <w:rFonts w:hint="eastAsia" w:asciiTheme="minorEastAsia" w:hAnsiTheme="minorEastAsia" w:eastAsiaTheme="minorEastAsia" w:cstheme="minorEastAsia"/>
          <w:color w:val="auto"/>
          <w:kern w:val="0"/>
          <w:sz w:val="24"/>
          <w:szCs w:val="24"/>
          <w:highlight w:val="none"/>
          <w:lang w:val="en-US" w:eastAsia="zh-CN" w:bidi="ar"/>
        </w:rPr>
        <w:t>灰渣</w:t>
      </w:r>
      <w:r>
        <w:rPr>
          <w:rFonts w:hint="eastAsia" w:asciiTheme="minorEastAsia" w:hAnsiTheme="minorEastAsia" w:eastAsiaTheme="minorEastAsia" w:cstheme="minorEastAsia"/>
          <w:color w:val="auto"/>
          <w:sz w:val="24"/>
          <w:szCs w:val="24"/>
          <w:highlight w:val="none"/>
        </w:rPr>
        <w:t>替代土、砂、石等生产材料对</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 w:val="24"/>
          <w:szCs w:val="24"/>
          <w:highlight w:val="none"/>
        </w:rPr>
        <w:t>进行回填复垦，综上本项目应当编写报告书。</w:t>
      </w:r>
    </w:p>
    <w:p w14:paraId="67C70207">
      <w:pPr>
        <w:widowControl w:val="0"/>
        <w:adjustRightInd w:val="0"/>
        <w:snapToGrid w:val="0"/>
        <w:spacing w:line="360" w:lineRule="auto"/>
        <w:ind w:firstLine="480" w:firstLineChars="200"/>
        <w:jc w:val="both"/>
        <w:rPr>
          <w:rFonts w:hint="eastAsia" w:asciiTheme="minorEastAsia" w:hAnsiTheme="minorEastAsia" w:eastAsiaTheme="minorEastAsia" w:cstheme="minorEastAsia"/>
          <w:color w:val="auto"/>
          <w:szCs w:val="28"/>
          <w:highlight w:val="none"/>
        </w:rPr>
      </w:pPr>
      <w:r>
        <w:rPr>
          <w:rFonts w:hint="eastAsia" w:asciiTheme="minorEastAsia" w:hAnsiTheme="minorEastAsia" w:eastAsiaTheme="minorEastAsia" w:cstheme="minorEastAsia"/>
          <w:color w:val="auto"/>
          <w:szCs w:val="28"/>
          <w:highlight w:val="none"/>
        </w:rPr>
        <w:t>根据《建设项目环境影响评价技术导则总纲》（HJ2.1-2016），环境影响评价工作一般分为三个阶段，即调查分析和工作方案制定阶段，分析论证和预测评价阶段，环境影响报告文件编制阶段。本项目环境影响评价工作程序见图1-3-1。</w:t>
      </w:r>
    </w:p>
    <w:p w14:paraId="7C82309C">
      <w:pPr>
        <w:widowControl w:val="0"/>
        <w:adjustRightInd w:val="0"/>
        <w:snapToGrid w:val="0"/>
        <w:spacing w:line="360" w:lineRule="auto"/>
        <w:ind w:firstLine="480" w:firstLineChars="200"/>
        <w:jc w:val="both"/>
        <w:rPr>
          <w:rFonts w:hint="eastAsia" w:asciiTheme="minorEastAsia" w:hAnsiTheme="minorEastAsia" w:eastAsiaTheme="minorEastAsia" w:cstheme="minorEastAsia"/>
          <w:color w:val="auto"/>
          <w:szCs w:val="28"/>
          <w:highlight w:val="none"/>
        </w:rPr>
      </w:pPr>
      <w:r>
        <w:rPr>
          <w:rFonts w:hint="eastAsia" w:asciiTheme="minorEastAsia" w:hAnsiTheme="minorEastAsia" w:eastAsiaTheme="minorEastAsia" w:cstheme="minorEastAsia"/>
          <w:color w:val="auto"/>
          <w:szCs w:val="28"/>
          <w:highlight w:val="none"/>
        </w:rPr>
        <w:t>第一阶段，首先依据《建设项目环境影响评价分类管理名录》，确定本项目环境影响评价文件类型为环境影响报告书。通过研究建设单位提供的可行性研究报告和其他相关技术资料及文献，进行初步工程分析，在本项目建设地点及其附近区域开展初步的环境现状调查。根据掌握的资料，进行本项目的环境影响识别和评价因子筛选，明确评价重点和环境保护目标，确定工作等级、评价范围和评价标准。根据第一阶段分析结果，制定环境影响评价工作方案。</w:t>
      </w:r>
    </w:p>
    <w:p w14:paraId="133095F6">
      <w:pPr>
        <w:widowControl w:val="0"/>
        <w:adjustRightInd w:val="0"/>
        <w:snapToGrid w:val="0"/>
        <w:spacing w:line="360" w:lineRule="auto"/>
        <w:ind w:firstLine="480" w:firstLineChars="200"/>
        <w:jc w:val="both"/>
        <w:rPr>
          <w:rFonts w:hint="eastAsia" w:asciiTheme="minorEastAsia" w:hAnsiTheme="minorEastAsia" w:eastAsiaTheme="minorEastAsia" w:cstheme="minorEastAsia"/>
          <w:color w:val="auto"/>
          <w:szCs w:val="28"/>
          <w:highlight w:val="none"/>
        </w:rPr>
      </w:pPr>
      <w:r>
        <w:rPr>
          <w:rFonts w:hint="eastAsia" w:asciiTheme="minorEastAsia" w:hAnsiTheme="minorEastAsia" w:eastAsiaTheme="minorEastAsia" w:cstheme="minorEastAsia"/>
          <w:color w:val="auto"/>
          <w:szCs w:val="28"/>
          <w:highlight w:val="none"/>
        </w:rPr>
        <w:t>第二阶段，对建设地点及评价范围内的区域进行环境现状调查、监测与评价；同时根据当前掌握的资料，展开建设项目工程分析。在此基础上，对大气、地表水、地下水、声、生态、土壤、环境风险等环境要素进行环境影响预测与评价。</w:t>
      </w:r>
    </w:p>
    <w:p w14:paraId="7F1D807E">
      <w:pPr>
        <w:widowControl w:val="0"/>
        <w:adjustRightInd w:val="0"/>
        <w:snapToGrid w:val="0"/>
        <w:spacing w:line="360" w:lineRule="auto"/>
        <w:ind w:firstLine="480" w:firstLineChars="200"/>
        <w:jc w:val="both"/>
        <w:rPr>
          <w:rFonts w:hint="eastAsia" w:asciiTheme="minorEastAsia" w:hAnsiTheme="minorEastAsia" w:eastAsiaTheme="minorEastAsia" w:cstheme="minorEastAsia"/>
          <w:color w:val="auto"/>
          <w:szCs w:val="28"/>
          <w:highlight w:val="none"/>
        </w:rPr>
      </w:pPr>
      <w:r>
        <w:rPr>
          <w:rFonts w:hint="eastAsia" w:asciiTheme="minorEastAsia" w:hAnsiTheme="minorEastAsia" w:eastAsiaTheme="minorEastAsia" w:cstheme="minorEastAsia"/>
          <w:color w:val="auto"/>
          <w:szCs w:val="28"/>
          <w:highlight w:val="none"/>
        </w:rPr>
        <w:t>第三阶段，对设计的环境保护措施，进行技术经济论证，给出污染物排放清单，以及本项目环境影响评价结论，编制完成本项目环境影响报告书。</w:t>
      </w:r>
    </w:p>
    <w:p w14:paraId="3B27CCAE">
      <w:pPr>
        <w:widowControl w:val="0"/>
        <w:snapToGrid w:val="0"/>
        <w:spacing w:line="360" w:lineRule="auto"/>
        <w:ind w:firstLine="470" w:firstLineChars="196"/>
        <w:jc w:val="both"/>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具体程序如图1-3-1所示。</w:t>
      </w:r>
    </w:p>
    <w:p w14:paraId="5EF3085E">
      <w:pPr>
        <w:widowControl w:val="0"/>
        <w:snapToGrid w:val="0"/>
        <w:spacing w:line="240" w:lineRule="auto"/>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drawing>
          <wp:inline distT="0" distB="0" distL="0" distR="0">
            <wp:extent cx="5172075" cy="4991100"/>
            <wp:effectExtent l="0" t="0" r="9525" b="0"/>
            <wp:docPr id="2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172075" cy="4991100"/>
                    </a:xfrm>
                    <a:prstGeom prst="rect">
                      <a:avLst/>
                    </a:prstGeom>
                    <a:noFill/>
                    <a:ln>
                      <a:noFill/>
                    </a:ln>
                  </pic:spPr>
                </pic:pic>
              </a:graphicData>
            </a:graphic>
          </wp:inline>
        </w:drawing>
      </w:r>
    </w:p>
    <w:p w14:paraId="70EB6304">
      <w:pPr>
        <w:pStyle w:val="70"/>
        <w:widowControl w:val="0"/>
        <w:snapToGrid w:val="0"/>
        <w:spacing w:line="240" w:lineRule="auto"/>
        <w:ind w:left="0" w:leftChars="0"/>
        <w:jc w:val="cente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snapToGrid w:val="0"/>
          <w:color w:val="auto"/>
          <w:sz w:val="24"/>
          <w:szCs w:val="24"/>
          <w:highlight w:val="none"/>
        </w:rPr>
        <w:t>图1</w:t>
      </w:r>
      <w:r>
        <w:rPr>
          <w:rFonts w:hint="eastAsia" w:asciiTheme="minorEastAsia" w:hAnsiTheme="minorEastAsia" w:eastAsiaTheme="minorEastAsia" w:cstheme="minorEastAsia"/>
          <w:b/>
          <w:snapToGrid w:val="0"/>
          <w:color w:val="auto"/>
          <w:sz w:val="24"/>
          <w:szCs w:val="24"/>
          <w:highlight w:val="none"/>
          <w:lang w:val="en-US" w:eastAsia="zh-CN"/>
        </w:rPr>
        <w:t>.</w:t>
      </w:r>
      <w:r>
        <w:rPr>
          <w:rFonts w:hint="eastAsia" w:asciiTheme="minorEastAsia" w:hAnsiTheme="minorEastAsia" w:eastAsiaTheme="minorEastAsia" w:cstheme="minorEastAsia"/>
          <w:b/>
          <w:snapToGrid w:val="0"/>
          <w:color w:val="auto"/>
          <w:sz w:val="24"/>
          <w:szCs w:val="24"/>
          <w:highlight w:val="none"/>
        </w:rPr>
        <w:t>3-1</w:t>
      </w:r>
      <w:r>
        <w:rPr>
          <w:rFonts w:hint="eastAsia" w:asciiTheme="minorEastAsia" w:hAnsiTheme="minorEastAsia" w:eastAsiaTheme="minorEastAsia" w:cstheme="minorEastAsia"/>
          <w:b/>
          <w:snapToGrid w:val="0"/>
          <w:color w:val="auto"/>
          <w:sz w:val="24"/>
          <w:szCs w:val="24"/>
          <w:highlight w:val="none"/>
          <w:lang w:val="en-US" w:eastAsia="zh-CN"/>
        </w:rPr>
        <w:t xml:space="preserve">  </w:t>
      </w:r>
      <w:r>
        <w:rPr>
          <w:rFonts w:hint="eastAsia" w:asciiTheme="minorEastAsia" w:hAnsiTheme="minorEastAsia" w:eastAsiaTheme="minorEastAsia" w:cstheme="minorEastAsia"/>
          <w:b/>
          <w:snapToGrid w:val="0"/>
          <w:color w:val="auto"/>
          <w:sz w:val="24"/>
          <w:szCs w:val="24"/>
          <w:highlight w:val="none"/>
        </w:rPr>
        <w:t>建设项目环境影响评价工作程序图</w:t>
      </w:r>
    </w:p>
    <w:p w14:paraId="4A99C9B7">
      <w:pPr>
        <w:pStyle w:val="6"/>
        <w:bidi w:val="0"/>
        <w:rPr>
          <w:rFonts w:hint="eastAsia" w:asciiTheme="minorEastAsia" w:hAnsiTheme="minorEastAsia" w:eastAsiaTheme="minorEastAsia" w:cstheme="minorEastAsia"/>
          <w:color w:val="auto"/>
          <w:highlight w:val="none"/>
        </w:rPr>
        <w:sectPr>
          <w:pgSz w:w="11907" w:h="16840"/>
          <w:pgMar w:top="1440" w:right="1440" w:bottom="1440" w:left="1701" w:header="851" w:footer="992" w:gutter="0"/>
          <w:pgBorders>
            <w:top w:val="none" w:sz="0" w:space="0"/>
            <w:left w:val="none" w:sz="0" w:space="0"/>
            <w:bottom w:val="none" w:sz="0" w:space="0"/>
            <w:right w:val="none" w:sz="0" w:space="0"/>
          </w:pgBorders>
          <w:pgNumType w:fmt="numberInDash" w:start="1"/>
          <w:cols w:space="720" w:num="1"/>
          <w:docGrid w:linePitch="312" w:charSpace="0"/>
        </w:sectPr>
      </w:pPr>
    </w:p>
    <w:p w14:paraId="31CD2364">
      <w:pPr>
        <w:pStyle w:val="6"/>
        <w:bidi w:val="0"/>
        <w:rPr>
          <w:rFonts w:hint="eastAsia" w:asciiTheme="minorEastAsia" w:hAnsiTheme="minorEastAsia" w:eastAsiaTheme="minorEastAsia" w:cstheme="minorEastAsia"/>
          <w:color w:val="auto"/>
          <w:highlight w:val="none"/>
        </w:rPr>
      </w:pPr>
      <w:bookmarkStart w:id="94" w:name="_Toc18665"/>
      <w:r>
        <w:rPr>
          <w:rFonts w:hint="eastAsia" w:asciiTheme="minorEastAsia" w:hAnsiTheme="minorEastAsia" w:eastAsiaTheme="minorEastAsia" w:cstheme="minorEastAsia"/>
          <w:color w:val="auto"/>
          <w:highlight w:val="none"/>
        </w:rPr>
        <w:t>1.4分析判定相关情况</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24AC5A1F">
      <w:pPr>
        <w:pStyle w:val="7"/>
        <w:numPr>
          <w:ilvl w:val="0"/>
          <w:numId w:val="0"/>
        </w:numPr>
        <w:bidi w:val="0"/>
        <w:ind w:leftChars="0"/>
        <w:rPr>
          <w:rFonts w:hint="eastAsia" w:asciiTheme="minorEastAsia" w:hAnsiTheme="minorEastAsia" w:eastAsiaTheme="minorEastAsia" w:cstheme="minorEastAsia"/>
          <w:color w:val="auto"/>
          <w:highlight w:val="none"/>
        </w:rPr>
      </w:pPr>
      <w:bookmarkStart w:id="95" w:name="_Toc506120769"/>
      <w:r>
        <w:rPr>
          <w:rFonts w:hint="eastAsia" w:asciiTheme="minorEastAsia" w:hAnsiTheme="minorEastAsia" w:eastAsiaTheme="minorEastAsia" w:cstheme="minorEastAsia"/>
          <w:color w:val="auto"/>
          <w:highlight w:val="none"/>
        </w:rPr>
        <w:t>1.4.1产业政策符合性分析</w:t>
      </w:r>
      <w:bookmarkEnd w:id="95"/>
    </w:p>
    <w:p w14:paraId="1FA8726F">
      <w:pPr>
        <w:widowControl w:val="0"/>
        <w:snapToGrid w:val="0"/>
        <w:spacing w:line="360" w:lineRule="auto"/>
        <w:ind w:firstLine="480"/>
        <w:jc w:val="both"/>
        <w:rPr>
          <w:rFonts w:hint="eastAsia" w:asciiTheme="minorEastAsia" w:hAnsiTheme="minorEastAsia" w:eastAsiaTheme="minorEastAsia" w:cstheme="minorEastAsia"/>
          <w:color w:val="auto"/>
          <w:highlight w:val="none"/>
          <w:lang w:bidi="ar"/>
        </w:rPr>
      </w:pPr>
      <w:bookmarkStart w:id="96" w:name="_Toc502736435"/>
      <w:bookmarkStart w:id="97" w:name="_Toc506120770"/>
      <w:bookmarkStart w:id="98" w:name="_Toc503611850"/>
      <w:r>
        <w:rPr>
          <w:rFonts w:hint="eastAsia" w:asciiTheme="minorEastAsia" w:hAnsiTheme="minorEastAsia" w:eastAsiaTheme="minorEastAsia" w:cstheme="minorEastAsia"/>
          <w:color w:val="auto"/>
          <w:highlight w:val="none"/>
          <w:lang w:val="en-US" w:eastAsia="zh-CN"/>
        </w:rPr>
        <w:t>本项目为</w:t>
      </w:r>
      <w:r>
        <w:rPr>
          <w:rFonts w:hint="eastAsia" w:ascii="Times New Roman" w:hAnsi="宋体" w:eastAsia="宋体" w:cs="Times New Roman"/>
          <w:color w:val="auto"/>
          <w:kern w:val="0"/>
          <w:sz w:val="24"/>
          <w:szCs w:val="24"/>
          <w:highlight w:val="none"/>
          <w:lang w:val="en-US" w:eastAsia="zh-CN"/>
        </w:rPr>
        <w:t>灰渣回填复垦利用项目，主要对</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lang w:val="en-US" w:eastAsia="zh-CN"/>
        </w:rPr>
        <w:t>进行生态修复，对照</w:t>
      </w:r>
      <w:r>
        <w:rPr>
          <w:rFonts w:hint="eastAsia" w:asciiTheme="minorEastAsia" w:hAnsiTheme="minorEastAsia" w:eastAsiaTheme="minorEastAsia" w:cstheme="minorEastAsia"/>
          <w:color w:val="auto"/>
          <w:highlight w:val="none"/>
        </w:rPr>
        <w:t>《国民经济行业分类》（GB/T4754-2017），本项目属于“N7723固体废物治理”及“N7910土地整治服务”。根据</w:t>
      </w:r>
      <w:r>
        <w:rPr>
          <w:rFonts w:hint="eastAsia" w:asciiTheme="minorEastAsia" w:hAnsiTheme="minorEastAsia" w:eastAsiaTheme="minorEastAsia" w:cstheme="minorEastAsia"/>
          <w:color w:val="auto"/>
          <w:highlight w:val="none"/>
          <w:lang w:bidi="ar"/>
        </w:rPr>
        <w:t>《产业结构调整指导目录（2024年本）》</w:t>
      </w:r>
      <w:r>
        <w:rPr>
          <w:rFonts w:hint="eastAsia" w:asciiTheme="minorEastAsia" w:hAnsiTheme="minorEastAsia" w:eastAsiaTheme="minorEastAsia" w:cstheme="minorEastAsia"/>
          <w:color w:val="auto"/>
          <w:szCs w:val="28"/>
          <w:highlight w:val="none"/>
        </w:rPr>
        <w:t>（国发改令</w:t>
      </w:r>
      <w:r>
        <w:rPr>
          <w:rFonts w:hint="eastAsia" w:asciiTheme="minorEastAsia" w:hAnsiTheme="minorEastAsia" w:eastAsiaTheme="minorEastAsia" w:cstheme="minorEastAsia"/>
          <w:color w:val="auto"/>
          <w:szCs w:val="28"/>
          <w:highlight w:val="none"/>
          <w:lang w:eastAsia="zh-CN"/>
        </w:rPr>
        <w:t>【</w:t>
      </w:r>
      <w:r>
        <w:rPr>
          <w:rFonts w:hint="eastAsia" w:asciiTheme="minorEastAsia" w:hAnsiTheme="minorEastAsia" w:eastAsiaTheme="minorEastAsia" w:cstheme="minorEastAsia"/>
          <w:color w:val="auto"/>
          <w:szCs w:val="28"/>
          <w:highlight w:val="none"/>
        </w:rPr>
        <w:t>2021</w:t>
      </w:r>
      <w:r>
        <w:rPr>
          <w:rFonts w:hint="eastAsia" w:asciiTheme="minorEastAsia" w:hAnsiTheme="minorEastAsia" w:eastAsiaTheme="minorEastAsia" w:cstheme="minorEastAsia"/>
          <w:color w:val="auto"/>
          <w:szCs w:val="28"/>
          <w:highlight w:val="none"/>
          <w:lang w:eastAsia="zh-CN"/>
        </w:rPr>
        <w:t>】</w:t>
      </w:r>
      <w:r>
        <w:rPr>
          <w:rFonts w:hint="eastAsia" w:asciiTheme="minorEastAsia" w:hAnsiTheme="minorEastAsia" w:eastAsiaTheme="minorEastAsia" w:cstheme="minorEastAsia"/>
          <w:color w:val="auto"/>
          <w:szCs w:val="28"/>
          <w:highlight w:val="none"/>
        </w:rPr>
        <w:t>49号）</w:t>
      </w:r>
      <w:r>
        <w:rPr>
          <w:rFonts w:hint="eastAsia" w:asciiTheme="minorEastAsia" w:hAnsiTheme="minorEastAsia" w:eastAsiaTheme="minorEastAsia" w:cstheme="minorEastAsia"/>
          <w:color w:val="auto"/>
          <w:highlight w:val="none"/>
        </w:rPr>
        <w:t>，项目属于</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鼓励类</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中</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第四十二条、环境保护与资源节约综合利用</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中的</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2.生态环境修复和资源利用</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和</w:t>
      </w:r>
      <w:r>
        <w:rPr>
          <w:rFonts w:hint="eastAsia" w:asciiTheme="minorEastAsia" w:hAnsiTheme="minorEastAsia" w:eastAsiaTheme="minorEastAsia" w:cstheme="minorEastAsia"/>
          <w:color w:val="auto"/>
          <w:highlight w:val="none"/>
          <w:lang w:eastAsia="zh-CN" w:bidi="ar"/>
        </w:rPr>
        <w:t>“</w:t>
      </w:r>
      <w:r>
        <w:rPr>
          <w:rFonts w:hint="eastAsia" w:asciiTheme="minorEastAsia" w:hAnsiTheme="minorEastAsia" w:eastAsiaTheme="minorEastAsia" w:cstheme="minorEastAsia"/>
          <w:color w:val="auto"/>
          <w:highlight w:val="none"/>
          <w:lang w:bidi="ar"/>
        </w:rPr>
        <w:t>8.废弃物循环利用</w:t>
      </w:r>
      <w:r>
        <w:rPr>
          <w:rFonts w:hint="eastAsia" w:asciiTheme="minorEastAsia" w:hAnsiTheme="minorEastAsia" w:eastAsiaTheme="minorEastAsia" w:cstheme="minorEastAsia"/>
          <w:color w:val="auto"/>
          <w:highlight w:val="none"/>
          <w:lang w:eastAsia="zh-CN" w:bidi="ar"/>
        </w:rPr>
        <w:t>”</w:t>
      </w:r>
      <w:r>
        <w:rPr>
          <w:rFonts w:hint="eastAsia" w:asciiTheme="minorEastAsia" w:hAnsiTheme="minorEastAsia" w:eastAsiaTheme="minorEastAsia" w:cstheme="minorEastAsia"/>
          <w:color w:val="auto"/>
          <w:highlight w:val="none"/>
        </w:rPr>
        <w:t>。</w:t>
      </w:r>
    </w:p>
    <w:p w14:paraId="364B6C2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综上，本项目的建设属于《产业结构调整指导目录（2024年本）》中鼓励类项目，项目建设符合国家产业政策，从产业政策符合性角度分析，项目建设可行。</w:t>
      </w:r>
    </w:p>
    <w:p w14:paraId="52FDD97E">
      <w:pPr>
        <w:pStyle w:val="7"/>
        <w:numPr>
          <w:ilvl w:val="0"/>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1.4.2与相关法律法规规划和政策符合性分析</w:t>
      </w:r>
      <w:bookmarkEnd w:id="96"/>
      <w:bookmarkEnd w:id="97"/>
      <w:bookmarkEnd w:id="98"/>
    </w:p>
    <w:p w14:paraId="7FAFC8F0">
      <w:pPr>
        <w:pStyle w:val="8"/>
        <w:numPr>
          <w:ilvl w:val="3"/>
          <w:numId w:val="0"/>
        </w:numPr>
        <w:bidi w:val="0"/>
        <w:ind w:leftChars="0"/>
        <w:rPr>
          <w:rFonts w:hint="eastAsia" w:asciiTheme="minorEastAsia" w:hAnsiTheme="minorEastAsia" w:eastAsiaTheme="minorEastAsia" w:cstheme="minorEastAsia"/>
          <w:b/>
          <w:snapToGrid w:val="0"/>
          <w:color w:val="auto"/>
          <w:szCs w:val="24"/>
          <w:highlight w:val="none"/>
        </w:rPr>
      </w:pPr>
      <w:bookmarkStart w:id="99" w:name="_Toc532125183"/>
      <w:bookmarkStart w:id="100" w:name="_Toc531800066"/>
      <w:bookmarkStart w:id="101" w:name="_Hlk505521912"/>
      <w:bookmarkStart w:id="102" w:name="_Toc503611851"/>
      <w:r>
        <w:rPr>
          <w:rFonts w:hint="eastAsia" w:asciiTheme="minorEastAsia" w:hAnsiTheme="minorEastAsia" w:eastAsiaTheme="minorEastAsia" w:cstheme="minorEastAsia"/>
          <w:color w:val="auto"/>
          <w:highlight w:val="none"/>
        </w:rPr>
        <w:t>1.4.2.1与《全国生态环境保护纲要》符合性分析</w:t>
      </w:r>
    </w:p>
    <w:p w14:paraId="4F940870">
      <w:pPr>
        <w:widowControl w:val="0"/>
        <w:snapToGrid w:val="0"/>
        <w:spacing w:line="360" w:lineRule="auto"/>
        <w:ind w:firstLine="482"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b/>
          <w:bCs/>
          <w:color w:val="auto"/>
          <w:szCs w:val="24"/>
          <w:highlight w:val="none"/>
          <w:lang w:val="en-US" w:eastAsia="zh-CN"/>
        </w:rPr>
        <w:t>文件要求：</w:t>
      </w:r>
      <w:r>
        <w:rPr>
          <w:rFonts w:hint="eastAsia" w:asciiTheme="minorEastAsia" w:hAnsiTheme="minorEastAsia" w:eastAsiaTheme="minorEastAsia" w:cstheme="minorEastAsia"/>
          <w:color w:val="auto"/>
          <w:szCs w:val="24"/>
          <w:highlight w:val="none"/>
        </w:rPr>
        <w:t>根据《全国生态环境保护纲要》第三条全国生态环境保护的主要内容与要求第二款重点资源开发的生态环境保护中“依据土地利用总体规划，实施土地用途管制制度，明确土地承包者的生态环境保护</w:t>
      </w:r>
      <w:r>
        <w:rPr>
          <w:rFonts w:hint="eastAsia" w:asciiTheme="minorEastAsia" w:hAnsiTheme="minorEastAsia" w:eastAsiaTheme="minorEastAsia" w:cstheme="minorEastAsia"/>
          <w:color w:val="auto"/>
          <w:highlight w:val="none"/>
        </w:rPr>
        <w:t>责任，加强生态用地保护，冻结征用具有重要生态功能的草地、林地、湿地。建设项目确需占用生态用地的，应严格依法报批和补偿，并实行“占一补一”的制度，确保恢复面积不少于占用面积。”</w:t>
      </w:r>
    </w:p>
    <w:p w14:paraId="63DD4ABB">
      <w:pPr>
        <w:widowControl w:val="0"/>
        <w:snapToGrid w:val="0"/>
        <w:spacing w:line="360" w:lineRule="auto"/>
        <w:ind w:firstLine="482" w:firstLineChars="20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2"/>
          <w:highlight w:val="none"/>
          <w:lang w:val="en-US" w:eastAsia="zh-CN"/>
        </w:rPr>
        <w:t>符合性分析：</w:t>
      </w:r>
      <w:r>
        <w:rPr>
          <w:rFonts w:hint="eastAsia" w:asciiTheme="minorEastAsia" w:hAnsiTheme="minorEastAsia" w:eastAsiaTheme="minorEastAsia" w:cstheme="minorEastAsia"/>
          <w:color w:val="auto"/>
          <w:szCs w:val="22"/>
          <w:highlight w:val="none"/>
        </w:rPr>
        <w:t>本项目利用</w:t>
      </w:r>
      <w:r>
        <w:rPr>
          <w:rFonts w:hint="eastAsia" w:asciiTheme="minorEastAsia" w:hAnsiTheme="minorEastAsia" w:eastAsiaTheme="minorEastAsia" w:cstheme="minorEastAsia"/>
          <w:color w:val="auto"/>
          <w:kern w:val="0"/>
          <w:sz w:val="24"/>
          <w:szCs w:val="24"/>
          <w:highlight w:val="none"/>
          <w:lang w:val="en-US" w:eastAsia="zh-CN" w:bidi="ar"/>
        </w:rPr>
        <w:t>锅炉</w:t>
      </w:r>
      <w:r>
        <w:rPr>
          <w:rFonts w:hint="eastAsia" w:asciiTheme="minorEastAsia" w:hAnsiTheme="minorEastAsia" w:eastAsiaTheme="minorEastAsia" w:cstheme="minorEastAsia"/>
          <w:color w:val="auto"/>
          <w:szCs w:val="22"/>
          <w:highlight w:val="none"/>
        </w:rPr>
        <w:t>灰渣替代土、砂、石等生产材料对</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Cs w:val="22"/>
          <w:highlight w:val="none"/>
        </w:rPr>
        <w:t>进行回填复垦，</w:t>
      </w:r>
      <w:r>
        <w:rPr>
          <w:rFonts w:hint="eastAsia" w:asciiTheme="minorEastAsia" w:hAnsiTheme="minorEastAsia" w:eastAsiaTheme="minorEastAsia" w:cstheme="minorEastAsia"/>
          <w:color w:val="auto"/>
          <w:szCs w:val="24"/>
          <w:highlight w:val="none"/>
        </w:rPr>
        <w:t>将采砂坑变为有利用价值的</w:t>
      </w:r>
      <w:r>
        <w:rPr>
          <w:rFonts w:hint="eastAsia" w:asciiTheme="minorEastAsia" w:hAnsiTheme="minorEastAsia" w:eastAsiaTheme="minorEastAsia" w:cstheme="minorEastAsia"/>
          <w:color w:val="auto"/>
          <w:szCs w:val="24"/>
          <w:highlight w:val="none"/>
          <w:lang w:val="en-US" w:eastAsia="zh-CN"/>
        </w:rPr>
        <w:t>林地</w:t>
      </w:r>
      <w:r>
        <w:rPr>
          <w:rFonts w:hint="eastAsia" w:asciiTheme="minorEastAsia" w:hAnsiTheme="minorEastAsia" w:eastAsiaTheme="minorEastAsia" w:cstheme="minorEastAsia"/>
          <w:color w:val="auto"/>
          <w:szCs w:val="24"/>
          <w:highlight w:val="none"/>
        </w:rPr>
        <w:t>，同时项目将</w:t>
      </w:r>
      <w:r>
        <w:rPr>
          <w:rFonts w:hint="eastAsia" w:asciiTheme="minorEastAsia" w:hAnsiTheme="minorEastAsia" w:eastAsiaTheme="minorEastAsia" w:cstheme="minorEastAsia"/>
          <w:iCs/>
          <w:color w:val="auto"/>
          <w:highlight w:val="none"/>
          <w:lang w:val="zh-CN"/>
        </w:rPr>
        <w:t>灰渣</w:t>
      </w:r>
      <w:r>
        <w:rPr>
          <w:rFonts w:hint="eastAsia" w:asciiTheme="minorEastAsia" w:hAnsiTheme="minorEastAsia" w:eastAsiaTheme="minorEastAsia" w:cstheme="minorEastAsia"/>
          <w:color w:val="auto"/>
          <w:szCs w:val="24"/>
          <w:highlight w:val="none"/>
        </w:rPr>
        <w:t>资源化利用，同时对</w:t>
      </w:r>
      <w:r>
        <w:rPr>
          <w:rFonts w:hint="eastAsia" w:asciiTheme="minorEastAsia" w:hAnsiTheme="minorEastAsia" w:eastAsiaTheme="minorEastAsia" w:cstheme="minorEastAsia"/>
          <w:color w:val="auto"/>
          <w:szCs w:val="22"/>
          <w:highlight w:val="none"/>
        </w:rPr>
        <w:t>灰渣</w:t>
      </w:r>
      <w:r>
        <w:rPr>
          <w:rFonts w:hint="eastAsia" w:asciiTheme="minorEastAsia" w:hAnsiTheme="minorEastAsia" w:eastAsiaTheme="minorEastAsia" w:cstheme="minorEastAsia"/>
          <w:color w:val="auto"/>
          <w:szCs w:val="24"/>
          <w:highlight w:val="none"/>
        </w:rPr>
        <w:t>是一种处理和消减</w:t>
      </w:r>
      <w:r>
        <w:rPr>
          <w:rFonts w:hint="eastAsia" w:asciiTheme="minorEastAsia" w:hAnsiTheme="minorEastAsia" w:eastAsiaTheme="minorEastAsia" w:cstheme="minorEastAsia"/>
          <w:color w:val="auto"/>
          <w:highlight w:val="none"/>
        </w:rPr>
        <w:t>。项目建设符合《全国生态环境保护纲要》要求。</w:t>
      </w:r>
    </w:p>
    <w:p w14:paraId="18D87A95">
      <w:pPr>
        <w:pStyle w:val="8"/>
        <w:numPr>
          <w:ilvl w:val="3"/>
          <w:numId w:val="0"/>
        </w:numPr>
        <w:bidi w:val="0"/>
        <w:ind w:leftChars="0"/>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color w:val="auto"/>
          <w:highlight w:val="none"/>
        </w:rPr>
        <w:t>1.4.2.2与《黑龙江省“十四五”生态环境保护规划》的符合性分析</w:t>
      </w:r>
    </w:p>
    <w:p w14:paraId="538C8950">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4"/>
          <w:highlight w:val="none"/>
          <w:lang w:val="en-US" w:eastAsia="zh-CN"/>
        </w:rPr>
        <w:t>文件要求：</w:t>
      </w:r>
      <w:r>
        <w:rPr>
          <w:rFonts w:hint="eastAsia" w:asciiTheme="minorEastAsia" w:hAnsiTheme="minorEastAsia" w:eastAsiaTheme="minorEastAsia" w:cstheme="minorEastAsia"/>
          <w:color w:val="auto"/>
          <w:highlight w:val="none"/>
        </w:rPr>
        <w:t>根据《黑龙江省“十四五”生态环境保护规划》，“十四五”时期，我省主要任务为深入实施减污降碳、精准治污、亮剑护绿、科技赋能“四大行动”，聚焦生态环境保护的短板弱项，大力实施绿色低碳发展战略，深入打好蓝天、碧水、净土保卫战，坚持山水林田湖草沙冰一体化保护和系统治理，深入实施“十个全覆盖”，加强环境风险防范，推进生态环境治理体系与治理能力现代化。</w:t>
      </w:r>
    </w:p>
    <w:p w14:paraId="544301EE">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2"/>
          <w:highlight w:val="none"/>
          <w:lang w:val="en-US" w:eastAsia="zh-CN"/>
        </w:rPr>
        <w:t>符合性分析：</w:t>
      </w:r>
      <w:r>
        <w:rPr>
          <w:rFonts w:hint="eastAsia" w:asciiTheme="minorEastAsia" w:hAnsiTheme="minorEastAsia" w:eastAsiaTheme="minorEastAsia" w:cstheme="minorEastAsia"/>
          <w:color w:val="auto"/>
          <w:szCs w:val="22"/>
          <w:highlight w:val="none"/>
        </w:rPr>
        <w:t>本项目利用</w:t>
      </w:r>
      <w:r>
        <w:rPr>
          <w:rFonts w:hint="eastAsia" w:asciiTheme="minorEastAsia" w:hAnsiTheme="minorEastAsia" w:eastAsiaTheme="minorEastAsia" w:cstheme="minorEastAsia"/>
          <w:color w:val="auto"/>
          <w:szCs w:val="22"/>
          <w:highlight w:val="none"/>
          <w:lang w:val="en-US" w:eastAsia="zh-CN"/>
        </w:rPr>
        <w:t>锅炉</w:t>
      </w:r>
      <w:r>
        <w:rPr>
          <w:rFonts w:hint="eastAsia" w:asciiTheme="minorEastAsia" w:hAnsiTheme="minorEastAsia" w:eastAsiaTheme="minorEastAsia" w:cstheme="minorEastAsia"/>
          <w:color w:val="auto"/>
          <w:szCs w:val="22"/>
          <w:highlight w:val="none"/>
        </w:rPr>
        <w:t>灰渣替代土、砂、石等生产材料对</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Cs w:val="22"/>
          <w:highlight w:val="none"/>
        </w:rPr>
        <w:t>进行回填复垦，</w:t>
      </w:r>
      <w:r>
        <w:rPr>
          <w:rFonts w:hint="eastAsia" w:asciiTheme="minorEastAsia" w:hAnsiTheme="minorEastAsia" w:eastAsiaTheme="minorEastAsia" w:cstheme="minorEastAsia"/>
          <w:color w:val="auto"/>
          <w:highlight w:val="none"/>
        </w:rPr>
        <w:t>为生态改善型，符合《黑龙江省“十四五”生态环境保护规划》要求。</w:t>
      </w:r>
    </w:p>
    <w:p w14:paraId="4E2FDC82">
      <w:pPr>
        <w:widowControl w:val="0"/>
        <w:adjustRightInd w:val="0"/>
        <w:snapToGrid w:val="0"/>
        <w:spacing w:line="360" w:lineRule="auto"/>
        <w:jc w:val="both"/>
        <w:outlineLvl w:val="3"/>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b/>
          <w:snapToGrid w:val="0"/>
          <w:color w:val="auto"/>
          <w:highlight w:val="none"/>
        </w:rPr>
        <w:t>1.4.2.3与《黑龙江省主体功能区</w:t>
      </w:r>
      <w:r>
        <w:rPr>
          <w:rFonts w:hint="eastAsia" w:asciiTheme="minorEastAsia" w:hAnsiTheme="minorEastAsia" w:eastAsiaTheme="minorEastAsia" w:cstheme="minorEastAsia"/>
          <w:b/>
          <w:snapToGrid w:val="0"/>
          <w:color w:val="auto"/>
          <w:highlight w:val="none"/>
          <w:lang w:val="en-US" w:eastAsia="zh-CN"/>
        </w:rPr>
        <w:t>规</w:t>
      </w:r>
      <w:r>
        <w:rPr>
          <w:rFonts w:hint="eastAsia" w:asciiTheme="minorEastAsia" w:hAnsiTheme="minorEastAsia" w:eastAsiaTheme="minorEastAsia" w:cstheme="minorEastAsia"/>
          <w:b/>
          <w:snapToGrid w:val="0"/>
          <w:color w:val="auto"/>
          <w:highlight w:val="none"/>
        </w:rPr>
        <w:t>划》符合性分析</w:t>
      </w:r>
      <w:bookmarkEnd w:id="99"/>
      <w:bookmarkEnd w:id="100"/>
    </w:p>
    <w:p w14:paraId="1992D0F0">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黑龙江省区域内主体功能区分为国家级和省级重点开发区域、限制开发区域和禁止开发区域二级三类区域。重点开发区域是全省工业化和城市化的重要支撑区，限制开发区域的农产品主产区是国家粮食安全的重要保障区，限制开发区域的重点生态功能区和禁止开发区域是国家和全省生态安全的重要保障区。</w:t>
      </w:r>
    </w:p>
    <w:p w14:paraId="26015E03">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heme="minorEastAsia" w:hAnsiTheme="minorEastAsia" w:eastAsiaTheme="minorEastAsia" w:cstheme="minorEastAsia"/>
          <w:color w:val="auto"/>
          <w:kern w:val="2"/>
          <w:sz w:val="24"/>
          <w:szCs w:val="28"/>
          <w:highlight w:val="none"/>
          <w:lang w:eastAsia="zh-CN"/>
        </w:rPr>
      </w:pPr>
      <w:r>
        <w:rPr>
          <w:rFonts w:hint="eastAsia" w:asciiTheme="minorEastAsia" w:hAnsiTheme="minorEastAsia" w:eastAsiaTheme="minorEastAsia" w:cstheme="minorEastAsia"/>
          <w:color w:val="auto"/>
          <w:kern w:val="2"/>
          <w:sz w:val="24"/>
          <w:szCs w:val="24"/>
          <w:highlight w:val="none"/>
        </w:rPr>
        <w:t>本项目位于</w:t>
      </w:r>
      <w:r>
        <w:rPr>
          <w:color w:val="auto"/>
          <w:highlight w:val="none"/>
        </w:rPr>
        <w:t>尚志市元</w:t>
      </w:r>
      <w:r>
        <w:rPr>
          <w:rFonts w:hint="eastAsia"/>
          <w:color w:val="auto"/>
          <w:highlight w:val="none"/>
          <w:lang w:eastAsia="zh-CN"/>
        </w:rPr>
        <w:t>宝镇</w:t>
      </w:r>
      <w:r>
        <w:rPr>
          <w:rFonts w:hint="eastAsia" w:asciiTheme="minorEastAsia" w:hAnsiTheme="minorEastAsia" w:eastAsiaTheme="minorEastAsia" w:cstheme="minorEastAsia"/>
          <w:color w:val="auto"/>
          <w:kern w:val="2"/>
          <w:sz w:val="24"/>
          <w:szCs w:val="24"/>
          <w:highlight w:val="none"/>
        </w:rPr>
        <w:t>，</w:t>
      </w:r>
      <w:r>
        <w:rPr>
          <w:rFonts w:hint="eastAsia" w:asciiTheme="minorEastAsia" w:hAnsiTheme="minorEastAsia" w:eastAsiaTheme="minorEastAsia" w:cstheme="minorEastAsia"/>
          <w:color w:val="auto"/>
          <w:kern w:val="2"/>
          <w:sz w:val="24"/>
          <w:szCs w:val="28"/>
          <w:highlight w:val="none"/>
        </w:rPr>
        <w:t>根据《黑龙江省主体功能区规划》</w:t>
      </w:r>
      <w:r>
        <w:rPr>
          <w:rFonts w:hint="eastAsia" w:asciiTheme="minorEastAsia" w:hAnsiTheme="minorEastAsia" w:eastAsiaTheme="minorEastAsia" w:cstheme="minorEastAsia"/>
          <w:color w:val="auto"/>
          <w:kern w:val="2"/>
          <w:sz w:val="24"/>
          <w:szCs w:val="28"/>
          <w:highlight w:val="none"/>
          <w:lang w:eastAsia="zh-CN"/>
        </w:rPr>
        <w:t>，</w:t>
      </w:r>
      <w:r>
        <w:rPr>
          <w:rFonts w:hint="eastAsia" w:ascii="Times New Roman"/>
          <w:color w:val="auto"/>
          <w:highlight w:val="none"/>
          <w:lang w:val="en-US" w:eastAsia="zh-CN"/>
        </w:rPr>
        <w:t>本项目区域为</w:t>
      </w:r>
      <w:r>
        <w:rPr>
          <w:rFonts w:hint="eastAsia" w:ascii="Times New Roman"/>
          <w:color w:val="auto"/>
          <w:highlight w:val="none"/>
        </w:rPr>
        <w:t>国家级</w:t>
      </w:r>
      <w:r>
        <w:rPr>
          <w:rFonts w:hint="eastAsia"/>
          <w:color w:val="auto"/>
          <w:highlight w:val="none"/>
          <w:lang w:val="en-US" w:eastAsia="zh-CN"/>
        </w:rPr>
        <w:t>限制</w:t>
      </w:r>
      <w:r>
        <w:rPr>
          <w:rFonts w:hint="eastAsia" w:ascii="Times New Roman"/>
          <w:color w:val="auto"/>
          <w:highlight w:val="none"/>
        </w:rPr>
        <w:t>开发区域</w:t>
      </w:r>
      <w:r>
        <w:rPr>
          <w:rFonts w:ascii="Times New Roman"/>
          <w:color w:val="auto"/>
          <w:highlight w:val="none"/>
        </w:rPr>
        <w:t>。</w:t>
      </w:r>
    </w:p>
    <w:p w14:paraId="29EE5477">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color w:val="auto"/>
          <w:highlight w:val="none"/>
        </w:rPr>
      </w:pPr>
      <w:r>
        <w:rPr>
          <w:rFonts w:ascii="Times New Roman"/>
          <w:color w:val="auto"/>
          <w:highlight w:val="none"/>
        </w:rPr>
        <w:t>根据《黑龙江省主体功能</w:t>
      </w:r>
      <w:r>
        <w:rPr>
          <w:rFonts w:hint="eastAsia"/>
          <w:color w:val="auto"/>
          <w:highlight w:val="none"/>
          <w:lang w:eastAsia="zh-CN"/>
        </w:rPr>
        <w:t>区规</w:t>
      </w:r>
      <w:r>
        <w:rPr>
          <w:rFonts w:ascii="Times New Roman"/>
          <w:color w:val="auto"/>
          <w:highlight w:val="none"/>
        </w:rPr>
        <w:t>划》第</w:t>
      </w:r>
      <w:r>
        <w:rPr>
          <w:rFonts w:hint="eastAsia"/>
          <w:color w:val="auto"/>
          <w:highlight w:val="none"/>
          <w:lang w:val="en-US" w:eastAsia="zh-CN"/>
        </w:rPr>
        <w:t>五</w:t>
      </w:r>
      <w:r>
        <w:rPr>
          <w:rFonts w:ascii="Times New Roman"/>
          <w:color w:val="auto"/>
          <w:highlight w:val="none"/>
        </w:rPr>
        <w:t>章</w:t>
      </w:r>
      <w:r>
        <w:rPr>
          <w:rFonts w:hint="eastAsia"/>
          <w:color w:val="auto"/>
          <w:highlight w:val="none"/>
          <w:lang w:val="en-US" w:eastAsia="zh-CN"/>
        </w:rPr>
        <w:t>限制</w:t>
      </w:r>
      <w:r>
        <w:rPr>
          <w:rFonts w:ascii="Times New Roman"/>
          <w:color w:val="auto"/>
          <w:highlight w:val="none"/>
        </w:rPr>
        <w:t>开发区域中第</w:t>
      </w:r>
      <w:r>
        <w:rPr>
          <w:rFonts w:hint="eastAsia"/>
          <w:color w:val="auto"/>
          <w:highlight w:val="none"/>
          <w:lang w:val="en-US" w:eastAsia="zh-CN"/>
        </w:rPr>
        <w:t>一</w:t>
      </w:r>
      <w:r>
        <w:rPr>
          <w:rFonts w:ascii="Times New Roman"/>
          <w:color w:val="auto"/>
          <w:highlight w:val="none"/>
        </w:rPr>
        <w:t>节</w:t>
      </w:r>
      <w:r>
        <w:rPr>
          <w:rFonts w:hint="eastAsia"/>
          <w:color w:val="auto"/>
          <w:highlight w:val="none"/>
          <w:lang w:val="en-US" w:eastAsia="zh-CN"/>
        </w:rPr>
        <w:t>限制</w:t>
      </w:r>
      <w:r>
        <w:rPr>
          <w:rFonts w:ascii="Times New Roman"/>
          <w:color w:val="auto"/>
          <w:highlight w:val="none"/>
        </w:rPr>
        <w:t>开发区域相关内容，其建设内容与黑龙江省主体功能区规划符合性分析详见表1</w:t>
      </w:r>
      <w:r>
        <w:rPr>
          <w:rFonts w:hint="eastAsia" w:ascii="Times New Roman"/>
          <w:color w:val="auto"/>
          <w:highlight w:val="none"/>
          <w:lang w:val="en-US" w:eastAsia="zh-CN"/>
        </w:rPr>
        <w:t>.</w:t>
      </w:r>
      <w:r>
        <w:rPr>
          <w:rFonts w:hint="eastAsia"/>
          <w:color w:val="auto"/>
          <w:highlight w:val="none"/>
          <w:lang w:val="en-US" w:eastAsia="zh-CN"/>
        </w:rPr>
        <w:t>4</w:t>
      </w:r>
      <w:r>
        <w:rPr>
          <w:rFonts w:ascii="Times New Roman"/>
          <w:color w:val="auto"/>
          <w:highlight w:val="none"/>
        </w:rPr>
        <w:t>-</w:t>
      </w:r>
      <w:r>
        <w:rPr>
          <w:rFonts w:hint="eastAsia"/>
          <w:color w:val="auto"/>
          <w:highlight w:val="none"/>
          <w:lang w:val="en-US" w:eastAsia="zh-CN"/>
        </w:rPr>
        <w:t>1</w:t>
      </w:r>
      <w:r>
        <w:rPr>
          <w:rFonts w:ascii="Times New Roman"/>
          <w:color w:val="auto"/>
          <w:highlight w:val="none"/>
        </w:rPr>
        <w:t>。</w:t>
      </w:r>
    </w:p>
    <w:p w14:paraId="6D3A60F5">
      <w:pPr>
        <w:keepNext w:val="0"/>
        <w:keepLines w:val="0"/>
        <w:pageBreakBefore w:val="0"/>
        <w:widowControl w:val="0"/>
        <w:kinsoku/>
        <w:wordWrap/>
        <w:overflowPunct/>
        <w:topLinePunct w:val="0"/>
        <w:autoSpaceDE/>
        <w:autoSpaceDN/>
        <w:bidi w:val="0"/>
        <w:adjustRightInd/>
        <w:snapToGrid/>
        <w:spacing w:line="240" w:lineRule="auto"/>
        <w:ind w:firstLine="482"/>
        <w:jc w:val="center"/>
        <w:textAlignment w:val="auto"/>
        <w:rPr>
          <w:rFonts w:ascii="Times New Roman"/>
          <w:b/>
          <w:bCs w:val="0"/>
          <w:color w:val="auto"/>
          <w:highlight w:val="none"/>
        </w:rPr>
      </w:pPr>
      <w:r>
        <w:rPr>
          <w:rFonts w:ascii="Times New Roman"/>
          <w:b/>
          <w:bCs w:val="0"/>
          <w:color w:val="auto"/>
          <w:highlight w:val="none"/>
        </w:rPr>
        <w:t>表1</w:t>
      </w:r>
      <w:r>
        <w:rPr>
          <w:rFonts w:hint="eastAsia" w:ascii="Times New Roman"/>
          <w:b/>
          <w:bCs w:val="0"/>
          <w:color w:val="auto"/>
          <w:highlight w:val="none"/>
          <w:lang w:val="en-US" w:eastAsia="zh-CN"/>
        </w:rPr>
        <w:t>.</w:t>
      </w:r>
      <w:r>
        <w:rPr>
          <w:rFonts w:hint="eastAsia"/>
          <w:b/>
          <w:bCs w:val="0"/>
          <w:color w:val="auto"/>
          <w:highlight w:val="none"/>
          <w:lang w:val="en-US" w:eastAsia="zh-CN"/>
        </w:rPr>
        <w:t>4</w:t>
      </w:r>
      <w:r>
        <w:rPr>
          <w:rFonts w:ascii="Times New Roman"/>
          <w:b/>
          <w:bCs w:val="0"/>
          <w:color w:val="auto"/>
          <w:highlight w:val="none"/>
        </w:rPr>
        <w:t>-</w:t>
      </w:r>
      <w:r>
        <w:rPr>
          <w:rFonts w:hint="eastAsia"/>
          <w:b/>
          <w:bCs w:val="0"/>
          <w:color w:val="auto"/>
          <w:highlight w:val="none"/>
          <w:lang w:val="en-US" w:eastAsia="zh-CN"/>
        </w:rPr>
        <w:t xml:space="preserve">1 </w:t>
      </w:r>
      <w:r>
        <w:rPr>
          <w:rFonts w:ascii="Times New Roman"/>
          <w:b/>
          <w:bCs w:val="0"/>
          <w:color w:val="auto"/>
          <w:highlight w:val="none"/>
        </w:rPr>
        <w:t>与黑龙江省主体功能区规划符合性分析一览表</w:t>
      </w:r>
    </w:p>
    <w:tbl>
      <w:tblPr>
        <w:tblStyle w:val="84"/>
        <w:tblW w:w="9286" w:type="dxa"/>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56"/>
        <w:gridCol w:w="3795"/>
        <w:gridCol w:w="2633"/>
        <w:gridCol w:w="1102"/>
      </w:tblGrid>
      <w:tr w14:paraId="2026F86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6" w:hRule="atLeast"/>
          <w:jc w:val="center"/>
        </w:trPr>
        <w:tc>
          <w:tcPr>
            <w:tcW w:w="1756" w:type="dxa"/>
            <w:tcBorders>
              <w:tl2br w:val="nil"/>
              <w:tr2bl w:val="nil"/>
            </w:tcBorders>
            <w:noWrap w:val="0"/>
            <w:vAlign w:val="center"/>
          </w:tcPr>
          <w:p w14:paraId="569B434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hint="eastAsia" w:ascii="Times New Roman"/>
                <w:color w:val="auto"/>
                <w:sz w:val="21"/>
                <w:szCs w:val="24"/>
                <w:highlight w:val="none"/>
                <w:lang w:bidi="ar"/>
              </w:rPr>
              <w:t>类别</w:t>
            </w:r>
          </w:p>
        </w:tc>
        <w:tc>
          <w:tcPr>
            <w:tcW w:w="3795" w:type="dxa"/>
            <w:tcBorders>
              <w:tl2br w:val="nil"/>
              <w:tr2bl w:val="nil"/>
            </w:tcBorders>
            <w:noWrap w:val="0"/>
            <w:vAlign w:val="center"/>
          </w:tcPr>
          <w:p w14:paraId="130C8A49">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政策要求</w:t>
            </w:r>
          </w:p>
        </w:tc>
        <w:tc>
          <w:tcPr>
            <w:tcW w:w="2633" w:type="dxa"/>
            <w:tcBorders>
              <w:tl2br w:val="nil"/>
              <w:tr2bl w:val="nil"/>
            </w:tcBorders>
            <w:noWrap w:val="0"/>
            <w:vAlign w:val="center"/>
          </w:tcPr>
          <w:p w14:paraId="03E798E9">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1"/>
                <w:highlight w:val="none"/>
                <w:shd w:val="clear" w:color="auto" w:fill="FFFFFF"/>
              </w:rPr>
              <w:t>本</w:t>
            </w:r>
            <w:r>
              <w:rPr>
                <w:rFonts w:hint="eastAsia"/>
                <w:color w:val="auto"/>
                <w:sz w:val="21"/>
                <w:szCs w:val="21"/>
                <w:highlight w:val="none"/>
                <w:shd w:val="clear" w:color="auto" w:fill="FFFFFF"/>
                <w:lang w:val="en-US" w:eastAsia="zh-CN"/>
              </w:rPr>
              <w:t>项目</w:t>
            </w:r>
            <w:r>
              <w:rPr>
                <w:rFonts w:ascii="Times New Roman"/>
                <w:color w:val="auto"/>
                <w:sz w:val="21"/>
                <w:szCs w:val="24"/>
                <w:highlight w:val="none"/>
                <w:lang w:bidi="ar"/>
              </w:rPr>
              <w:t>情况</w:t>
            </w:r>
          </w:p>
        </w:tc>
        <w:tc>
          <w:tcPr>
            <w:tcW w:w="1102" w:type="dxa"/>
            <w:tcBorders>
              <w:tl2br w:val="nil"/>
              <w:tr2bl w:val="nil"/>
            </w:tcBorders>
            <w:noWrap w:val="0"/>
            <w:vAlign w:val="center"/>
          </w:tcPr>
          <w:p w14:paraId="0D196E5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是否符合</w:t>
            </w:r>
          </w:p>
        </w:tc>
      </w:tr>
      <w:tr w14:paraId="56329A41">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tcBorders>
              <w:tl2br w:val="nil"/>
              <w:tr2bl w:val="nil"/>
            </w:tcBorders>
            <w:noWrap w:val="0"/>
            <w:vAlign w:val="center"/>
          </w:tcPr>
          <w:p w14:paraId="615A198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hint="eastAsia" w:ascii="Times New Roman"/>
                <w:color w:val="auto"/>
                <w:sz w:val="21"/>
                <w:szCs w:val="24"/>
                <w:highlight w:val="none"/>
                <w:lang w:val="en-US" w:eastAsia="zh-CN" w:bidi="ar"/>
              </w:rPr>
              <w:t>哈尔滨</w:t>
            </w:r>
            <w:r>
              <w:rPr>
                <w:rFonts w:ascii="Times New Roman"/>
                <w:color w:val="auto"/>
                <w:sz w:val="21"/>
                <w:szCs w:val="24"/>
                <w:highlight w:val="none"/>
                <w:lang w:bidi="ar"/>
              </w:rPr>
              <w:t>市功能定位</w:t>
            </w:r>
          </w:p>
        </w:tc>
        <w:tc>
          <w:tcPr>
            <w:tcW w:w="3795" w:type="dxa"/>
            <w:tcBorders>
              <w:tl2br w:val="nil"/>
              <w:tr2bl w:val="nil"/>
            </w:tcBorders>
            <w:noWrap w:val="0"/>
            <w:vAlign w:val="center"/>
          </w:tcPr>
          <w:p w14:paraId="1C747D38">
            <w:pPr>
              <w:keepNext w:val="0"/>
              <w:keepLines w:val="0"/>
              <w:suppressLineNumbers w:val="0"/>
              <w:adjustRightInd w:val="0"/>
              <w:snapToGrid w:val="0"/>
              <w:spacing w:before="0" w:beforeAutospacing="0" w:after="0" w:afterAutospacing="0" w:line="240" w:lineRule="auto"/>
              <w:ind w:left="0" w:right="0"/>
              <w:rPr>
                <w:rFonts w:ascii="Times New Roman"/>
                <w:color w:val="auto"/>
                <w:sz w:val="21"/>
                <w:szCs w:val="24"/>
                <w:highlight w:val="none"/>
                <w:lang w:bidi="ar"/>
              </w:rPr>
            </w:pPr>
            <w:r>
              <w:rPr>
                <w:rFonts w:hint="eastAsia" w:ascii="Times New Roman"/>
                <w:color w:val="auto"/>
                <w:sz w:val="21"/>
                <w:szCs w:val="24"/>
                <w:highlight w:val="none"/>
                <w:lang w:bidi="ar"/>
              </w:rPr>
              <w:t>以提供农产品为主体功能，保障农产品供给安全的重要区域。重要的商品粮生产基地、绿色食品生产基地、畜牧业生产基地和农产品深加工区、农业综合开发试验区、社会主义新农村建设示范区。</w:t>
            </w:r>
          </w:p>
        </w:tc>
        <w:tc>
          <w:tcPr>
            <w:tcW w:w="2633" w:type="dxa"/>
            <w:vMerge w:val="restart"/>
            <w:tcBorders>
              <w:tl2br w:val="nil"/>
              <w:tr2bl w:val="nil"/>
            </w:tcBorders>
            <w:noWrap w:val="0"/>
            <w:vAlign w:val="center"/>
          </w:tcPr>
          <w:p w14:paraId="3F336A86">
            <w:pPr>
              <w:keepNext w:val="0"/>
              <w:keepLines w:val="0"/>
              <w:suppressLineNumbers w:val="0"/>
              <w:adjustRightInd w:val="0"/>
              <w:snapToGrid w:val="0"/>
              <w:spacing w:before="0" w:beforeAutospacing="0" w:after="0" w:afterAutospacing="0" w:line="240" w:lineRule="auto"/>
              <w:ind w:left="0" w:right="0"/>
              <w:rPr>
                <w:rFonts w:ascii="Times New Roman"/>
                <w:color w:val="auto"/>
                <w:sz w:val="21"/>
                <w:szCs w:val="24"/>
                <w:highlight w:val="none"/>
                <w:lang w:bidi="ar"/>
              </w:rPr>
            </w:pPr>
            <w:r>
              <w:rPr>
                <w:rFonts w:hint="eastAsia" w:ascii="Times New Roman"/>
                <w:color w:val="auto"/>
                <w:sz w:val="21"/>
                <w:szCs w:val="24"/>
                <w:highlight w:val="none"/>
                <w:lang w:bidi="ar"/>
              </w:rPr>
              <w:t>本</w:t>
            </w:r>
            <w:r>
              <w:rPr>
                <w:rFonts w:hint="eastAsia"/>
                <w:color w:val="auto"/>
                <w:sz w:val="21"/>
                <w:szCs w:val="24"/>
                <w:highlight w:val="none"/>
                <w:lang w:val="en-US" w:eastAsia="zh-CN" w:bidi="ar"/>
              </w:rPr>
              <w:t>项目</w:t>
            </w:r>
            <w:r>
              <w:rPr>
                <w:rFonts w:hint="eastAsia" w:ascii="Times New Roman"/>
                <w:color w:val="auto"/>
                <w:sz w:val="21"/>
                <w:szCs w:val="24"/>
                <w:highlight w:val="none"/>
                <w:lang w:bidi="ar"/>
              </w:rPr>
              <w:t>为</w:t>
            </w:r>
            <w:r>
              <w:rPr>
                <w:rFonts w:hint="eastAsia" w:ascii="Times New Roman" w:hAnsi="宋体" w:eastAsia="宋体" w:cs="Times New Roman"/>
                <w:b w:val="0"/>
                <w:bCs/>
                <w:color w:val="auto"/>
                <w:kern w:val="0"/>
                <w:sz w:val="21"/>
                <w:szCs w:val="21"/>
                <w:highlight w:val="none"/>
                <w:lang w:val="en-US" w:eastAsia="zh-CN"/>
              </w:rPr>
              <w:t>灰渣回填复垦利用项目</w:t>
            </w:r>
            <w:r>
              <w:rPr>
                <w:rFonts w:hint="eastAsia" w:ascii="Times New Roman"/>
                <w:color w:val="auto"/>
                <w:sz w:val="21"/>
                <w:szCs w:val="21"/>
                <w:highlight w:val="none"/>
                <w:lang w:eastAsia="zh-CN" w:bidi="ar"/>
              </w:rPr>
              <w:t>，</w:t>
            </w:r>
            <w:r>
              <w:rPr>
                <w:rFonts w:ascii="Times New Roman"/>
                <w:color w:val="auto"/>
                <w:sz w:val="21"/>
                <w:szCs w:val="21"/>
                <w:highlight w:val="none"/>
              </w:rPr>
              <w:t>项目综合利用</w:t>
            </w:r>
            <w:r>
              <w:rPr>
                <w:rFonts w:hint="eastAsia"/>
                <w:color w:val="auto"/>
                <w:sz w:val="21"/>
                <w:szCs w:val="21"/>
                <w:highlight w:val="none"/>
                <w:shd w:val="clear" w:color="auto" w:fill="FFFFFF"/>
                <w:lang w:val="en-US" w:eastAsia="zh-CN"/>
              </w:rPr>
              <w:t>灰渣</w:t>
            </w:r>
            <w:r>
              <w:rPr>
                <w:rFonts w:hint="eastAsia" w:ascii="Times New Roman"/>
                <w:color w:val="auto"/>
                <w:sz w:val="21"/>
                <w:szCs w:val="21"/>
                <w:highlight w:val="none"/>
              </w:rPr>
              <w:t>对</w:t>
            </w:r>
            <w:r>
              <w:rPr>
                <w:rFonts w:hint="eastAsia" w:ascii="Times New Roman"/>
                <w:color w:val="auto"/>
                <w:sz w:val="21"/>
                <w:szCs w:val="21"/>
                <w:highlight w:val="none"/>
                <w:lang w:val="en-US" w:eastAsia="zh-CN"/>
              </w:rPr>
              <w:t>废弃</w:t>
            </w:r>
            <w:r>
              <w:rPr>
                <w:rFonts w:hint="eastAsia" w:asciiTheme="minorEastAsia" w:hAnsiTheme="minorEastAsia" w:eastAsiaTheme="minorEastAsia" w:cstheme="minorEastAsia"/>
                <w:color w:val="auto"/>
                <w:szCs w:val="24"/>
                <w:highlight w:val="none"/>
              </w:rPr>
              <w:t>采砂坑</w:t>
            </w:r>
            <w:r>
              <w:rPr>
                <w:rFonts w:ascii="Times New Roman"/>
                <w:color w:val="auto"/>
                <w:sz w:val="21"/>
                <w:szCs w:val="21"/>
                <w:highlight w:val="none"/>
              </w:rPr>
              <w:t>进行</w:t>
            </w:r>
            <w:r>
              <w:rPr>
                <w:rFonts w:hint="eastAsia" w:ascii="Times New Roman"/>
                <w:color w:val="auto"/>
                <w:sz w:val="21"/>
                <w:szCs w:val="21"/>
                <w:highlight w:val="none"/>
                <w:lang w:val="en-US" w:eastAsia="zh-CN"/>
              </w:rPr>
              <w:t>修复</w:t>
            </w:r>
            <w:r>
              <w:rPr>
                <w:rFonts w:ascii="Times New Roman"/>
                <w:color w:val="auto"/>
                <w:sz w:val="21"/>
                <w:szCs w:val="21"/>
                <w:highlight w:val="none"/>
              </w:rPr>
              <w:t>回填，</w:t>
            </w:r>
            <w:r>
              <w:rPr>
                <w:rFonts w:hint="eastAsia" w:ascii="Times New Roman"/>
                <w:color w:val="auto"/>
                <w:sz w:val="21"/>
                <w:szCs w:val="21"/>
                <w:highlight w:val="none"/>
              </w:rPr>
              <w:t>项目回填完毕，即达到设计标高后，</w:t>
            </w:r>
            <w:r>
              <w:rPr>
                <w:rFonts w:ascii="Times New Roman"/>
                <w:color w:val="auto"/>
                <w:sz w:val="21"/>
                <w:szCs w:val="21"/>
                <w:highlight w:val="none"/>
              </w:rPr>
              <w:t>进行覆土</w:t>
            </w:r>
            <w:r>
              <w:rPr>
                <w:rFonts w:hint="eastAsia" w:ascii="Times New Roman"/>
                <w:color w:val="auto"/>
                <w:sz w:val="21"/>
                <w:szCs w:val="21"/>
                <w:highlight w:val="none"/>
                <w:lang w:val="en-US" w:eastAsia="zh-CN"/>
              </w:rPr>
              <w:t>绿化</w:t>
            </w:r>
            <w:r>
              <w:rPr>
                <w:rFonts w:ascii="Times New Roman"/>
                <w:color w:val="auto"/>
                <w:sz w:val="21"/>
                <w:szCs w:val="21"/>
                <w:highlight w:val="none"/>
              </w:rPr>
              <w:t>治理</w:t>
            </w:r>
            <w:r>
              <w:rPr>
                <w:rFonts w:hint="eastAsia" w:ascii="Times New Roman"/>
                <w:bCs/>
                <w:color w:val="auto"/>
                <w:sz w:val="21"/>
                <w:szCs w:val="21"/>
                <w:highlight w:val="none"/>
              </w:rPr>
              <w:t>。</w:t>
            </w:r>
            <w:r>
              <w:rPr>
                <w:rFonts w:ascii="Times New Roman"/>
                <w:color w:val="auto"/>
                <w:sz w:val="21"/>
                <w:szCs w:val="24"/>
                <w:highlight w:val="none"/>
                <w:lang w:bidi="ar"/>
              </w:rPr>
              <w:t>可最大限度地将</w:t>
            </w:r>
            <w:r>
              <w:rPr>
                <w:rFonts w:hint="eastAsia" w:ascii="Times New Roman"/>
                <w:color w:val="auto"/>
                <w:sz w:val="21"/>
                <w:szCs w:val="21"/>
                <w:highlight w:val="none"/>
                <w:lang w:val="en-US" w:eastAsia="zh-CN"/>
              </w:rPr>
              <w:t>废弃</w:t>
            </w:r>
            <w:r>
              <w:rPr>
                <w:rFonts w:hint="eastAsia" w:asciiTheme="minorEastAsia" w:hAnsiTheme="minorEastAsia" w:eastAsiaTheme="minorEastAsia" w:cstheme="minorEastAsia"/>
                <w:color w:val="auto"/>
                <w:szCs w:val="24"/>
                <w:highlight w:val="none"/>
              </w:rPr>
              <w:t>采砂坑</w:t>
            </w:r>
            <w:r>
              <w:rPr>
                <w:rFonts w:hint="eastAsia" w:ascii="Times New Roman"/>
                <w:color w:val="auto"/>
                <w:sz w:val="21"/>
                <w:szCs w:val="24"/>
                <w:highlight w:val="none"/>
                <w:lang w:bidi="ar"/>
              </w:rPr>
              <w:t>区域</w:t>
            </w:r>
            <w:r>
              <w:rPr>
                <w:rFonts w:ascii="Times New Roman"/>
                <w:color w:val="auto"/>
                <w:sz w:val="21"/>
                <w:szCs w:val="24"/>
                <w:highlight w:val="none"/>
                <w:lang w:bidi="ar"/>
              </w:rPr>
              <w:t>土地的利用率提高至100%</w:t>
            </w:r>
            <w:r>
              <w:rPr>
                <w:rFonts w:hint="eastAsia" w:ascii="Times New Roman"/>
                <w:color w:val="auto"/>
                <w:sz w:val="21"/>
                <w:szCs w:val="24"/>
                <w:highlight w:val="none"/>
                <w:lang w:bidi="ar"/>
              </w:rPr>
              <w:t>，</w:t>
            </w:r>
            <w:r>
              <w:rPr>
                <w:rFonts w:ascii="Times New Roman"/>
                <w:color w:val="auto"/>
                <w:sz w:val="21"/>
                <w:szCs w:val="24"/>
                <w:highlight w:val="none"/>
                <w:lang w:bidi="ar"/>
              </w:rPr>
              <w:t>并起到调节区域气候、涵养地下水源、净化空气、降低扬尘、防止水土流失、防风固沙等作用，大大改善周围空气质量，也增加了植被种类，</w:t>
            </w:r>
            <w:r>
              <w:rPr>
                <w:rFonts w:hint="eastAsia"/>
                <w:color w:val="auto"/>
                <w:sz w:val="21"/>
                <w:szCs w:val="24"/>
                <w:highlight w:val="none"/>
                <w:lang w:val="en-US" w:eastAsia="zh-CN" w:bidi="ar"/>
              </w:rPr>
              <w:t>有</w:t>
            </w:r>
            <w:r>
              <w:rPr>
                <w:rFonts w:ascii="Times New Roman"/>
                <w:color w:val="auto"/>
                <w:sz w:val="21"/>
                <w:szCs w:val="24"/>
                <w:highlight w:val="none"/>
                <w:lang w:bidi="ar"/>
              </w:rPr>
              <w:t>利于生态环境稳定良好的发展。符合政策要求</w:t>
            </w:r>
            <w:r>
              <w:rPr>
                <w:rFonts w:hint="eastAsia" w:ascii="Times New Roman"/>
                <w:color w:val="auto"/>
                <w:sz w:val="21"/>
                <w:szCs w:val="24"/>
                <w:highlight w:val="none"/>
                <w:lang w:bidi="ar"/>
              </w:rPr>
              <w:t>。</w:t>
            </w:r>
          </w:p>
        </w:tc>
        <w:tc>
          <w:tcPr>
            <w:tcW w:w="1102" w:type="dxa"/>
            <w:vMerge w:val="restart"/>
            <w:tcBorders>
              <w:tl2br w:val="nil"/>
              <w:tr2bl w:val="nil"/>
            </w:tcBorders>
            <w:noWrap w:val="0"/>
            <w:vAlign w:val="center"/>
          </w:tcPr>
          <w:p w14:paraId="77A40D6A">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符合</w:t>
            </w:r>
          </w:p>
        </w:tc>
      </w:tr>
      <w:tr w14:paraId="470193D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tcBorders>
              <w:tl2br w:val="nil"/>
              <w:tr2bl w:val="nil"/>
            </w:tcBorders>
            <w:noWrap w:val="0"/>
            <w:vAlign w:val="center"/>
          </w:tcPr>
          <w:p w14:paraId="1403B56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产业发展方向及布局</w:t>
            </w:r>
          </w:p>
        </w:tc>
        <w:tc>
          <w:tcPr>
            <w:tcW w:w="3795" w:type="dxa"/>
            <w:tcBorders>
              <w:tl2br w:val="nil"/>
              <w:tr2bl w:val="nil"/>
            </w:tcBorders>
            <w:noWrap w:val="0"/>
            <w:vAlign w:val="center"/>
          </w:tcPr>
          <w:p w14:paraId="6856F7E3">
            <w:pPr>
              <w:keepNext w:val="0"/>
              <w:keepLines w:val="0"/>
              <w:suppressLineNumbers w:val="0"/>
              <w:adjustRightInd w:val="0"/>
              <w:snapToGrid w:val="0"/>
              <w:spacing w:before="0" w:beforeAutospacing="0" w:after="0" w:afterAutospacing="0" w:line="240" w:lineRule="auto"/>
              <w:ind w:left="0" w:right="0"/>
              <w:rPr>
                <w:rFonts w:hint="eastAsia" w:ascii="Times New Roman" w:eastAsia="宋体"/>
                <w:color w:val="auto"/>
                <w:sz w:val="21"/>
                <w:szCs w:val="24"/>
                <w:highlight w:val="none"/>
                <w:lang w:eastAsia="zh-CN" w:bidi="ar"/>
              </w:rPr>
            </w:pPr>
            <w:r>
              <w:rPr>
                <w:rFonts w:hint="eastAsia" w:ascii="Times New Roman"/>
                <w:color w:val="auto"/>
                <w:sz w:val="21"/>
                <w:szCs w:val="24"/>
                <w:highlight w:val="none"/>
                <w:lang w:bidi="ar"/>
              </w:rPr>
              <w:t>建设农业综合开发试验区，保护耕地，集约开发，加强农业基础设施建设，显著提高农业综合生产能力、产业化水平，物资装备水平、支撑服务能力，提高农业生产效率，大力发展高产高效、优质、安全的现代化大农业，保障农产品供给，确保国家粮食安全和食品安全</w:t>
            </w:r>
            <w:r>
              <w:rPr>
                <w:rFonts w:hint="eastAsia"/>
                <w:color w:val="auto"/>
                <w:sz w:val="21"/>
                <w:szCs w:val="24"/>
                <w:highlight w:val="none"/>
                <w:lang w:eastAsia="zh-CN" w:bidi="ar"/>
              </w:rPr>
              <w:t>；</w:t>
            </w:r>
            <w:r>
              <w:rPr>
                <w:rFonts w:hint="eastAsia" w:ascii="Times New Roman"/>
                <w:color w:val="auto"/>
                <w:sz w:val="21"/>
                <w:szCs w:val="24"/>
                <w:highlight w:val="none"/>
                <w:lang w:bidi="ar"/>
              </w:rPr>
              <w:t>积极推进农业规模化水平，搞好绿色</w:t>
            </w:r>
            <w:r>
              <w:rPr>
                <w:rFonts w:hint="eastAsia"/>
                <w:color w:val="auto"/>
                <w:sz w:val="21"/>
                <w:szCs w:val="24"/>
                <w:highlight w:val="none"/>
                <w:lang w:eastAsia="zh-CN" w:bidi="ar"/>
              </w:rPr>
              <w:t>（</w:t>
            </w:r>
            <w:r>
              <w:rPr>
                <w:rFonts w:hint="eastAsia" w:ascii="Times New Roman"/>
                <w:color w:val="auto"/>
                <w:sz w:val="21"/>
                <w:szCs w:val="24"/>
                <w:highlight w:val="none"/>
                <w:lang w:bidi="ar"/>
              </w:rPr>
              <w:t>有机</w:t>
            </w:r>
            <w:r>
              <w:rPr>
                <w:rFonts w:hint="eastAsia"/>
                <w:color w:val="auto"/>
                <w:sz w:val="21"/>
                <w:szCs w:val="24"/>
                <w:highlight w:val="none"/>
                <w:lang w:eastAsia="zh-CN" w:bidi="ar"/>
              </w:rPr>
              <w:t>）</w:t>
            </w:r>
            <w:r>
              <w:rPr>
                <w:rFonts w:hint="eastAsia" w:ascii="Times New Roman"/>
                <w:color w:val="auto"/>
                <w:sz w:val="21"/>
                <w:szCs w:val="24"/>
                <w:highlight w:val="none"/>
                <w:lang w:bidi="ar"/>
              </w:rPr>
              <w:t>食品基地建设，发展农产品深加工，加大绿色</w:t>
            </w:r>
            <w:r>
              <w:rPr>
                <w:rFonts w:hint="eastAsia"/>
                <w:color w:val="auto"/>
                <w:sz w:val="21"/>
                <w:szCs w:val="24"/>
                <w:highlight w:val="none"/>
                <w:lang w:eastAsia="zh-CN" w:bidi="ar"/>
              </w:rPr>
              <w:t>（</w:t>
            </w:r>
            <w:r>
              <w:rPr>
                <w:rFonts w:hint="eastAsia" w:ascii="Times New Roman"/>
                <w:color w:val="auto"/>
                <w:sz w:val="21"/>
                <w:szCs w:val="24"/>
                <w:highlight w:val="none"/>
                <w:lang w:bidi="ar"/>
              </w:rPr>
              <w:t>有机</w:t>
            </w:r>
            <w:r>
              <w:rPr>
                <w:rFonts w:hint="eastAsia"/>
                <w:color w:val="auto"/>
                <w:sz w:val="21"/>
                <w:szCs w:val="24"/>
                <w:highlight w:val="none"/>
                <w:lang w:eastAsia="zh-CN" w:bidi="ar"/>
              </w:rPr>
              <w:t>）</w:t>
            </w:r>
            <w:r>
              <w:rPr>
                <w:rFonts w:hint="eastAsia" w:ascii="Times New Roman"/>
                <w:color w:val="auto"/>
                <w:sz w:val="21"/>
                <w:szCs w:val="24"/>
                <w:highlight w:val="none"/>
                <w:lang w:bidi="ar"/>
              </w:rPr>
              <w:t>食品和无公害农产品开发力度，拓展农村就业和增收空间，加强农村基础设施和公共服务设施建设，改善生产生活条件。</w:t>
            </w:r>
          </w:p>
        </w:tc>
        <w:tc>
          <w:tcPr>
            <w:tcW w:w="2633" w:type="dxa"/>
            <w:vMerge w:val="continue"/>
            <w:tcBorders>
              <w:tl2br w:val="nil"/>
              <w:tr2bl w:val="nil"/>
            </w:tcBorders>
            <w:noWrap w:val="0"/>
            <w:vAlign w:val="center"/>
          </w:tcPr>
          <w:p w14:paraId="64BCC7E0">
            <w:pPr>
              <w:keepNext w:val="0"/>
              <w:keepLines w:val="0"/>
              <w:suppressLineNumbers w:val="0"/>
              <w:adjustRightInd w:val="0"/>
              <w:snapToGrid w:val="0"/>
              <w:spacing w:before="0" w:beforeAutospacing="0" w:after="0" w:afterAutospacing="0" w:line="240" w:lineRule="auto"/>
              <w:ind w:left="0" w:right="0"/>
              <w:rPr>
                <w:rFonts w:ascii="Times New Roman"/>
                <w:color w:val="auto"/>
                <w:sz w:val="21"/>
                <w:szCs w:val="24"/>
                <w:highlight w:val="none"/>
                <w:lang w:bidi="ar"/>
              </w:rPr>
            </w:pPr>
          </w:p>
        </w:tc>
        <w:tc>
          <w:tcPr>
            <w:tcW w:w="1102" w:type="dxa"/>
            <w:vMerge w:val="continue"/>
            <w:tcBorders>
              <w:tl2br w:val="nil"/>
              <w:tr2bl w:val="nil"/>
            </w:tcBorders>
            <w:noWrap w:val="0"/>
            <w:vAlign w:val="center"/>
          </w:tcPr>
          <w:p w14:paraId="0A629A31">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p>
        </w:tc>
      </w:tr>
      <w:tr w14:paraId="09DEE4E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tcBorders>
              <w:tl2br w:val="nil"/>
              <w:tr2bl w:val="nil"/>
            </w:tcBorders>
            <w:noWrap w:val="0"/>
            <w:vAlign w:val="center"/>
          </w:tcPr>
          <w:p w14:paraId="36E996F9">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生态建设</w:t>
            </w:r>
          </w:p>
        </w:tc>
        <w:tc>
          <w:tcPr>
            <w:tcW w:w="3795" w:type="dxa"/>
            <w:tcBorders>
              <w:tl2br w:val="nil"/>
              <w:tr2bl w:val="nil"/>
            </w:tcBorders>
            <w:noWrap w:val="0"/>
            <w:vAlign w:val="center"/>
          </w:tcPr>
          <w:p w14:paraId="7A11061C">
            <w:pPr>
              <w:keepNext w:val="0"/>
              <w:keepLines w:val="0"/>
              <w:suppressLineNumbers w:val="0"/>
              <w:adjustRightInd w:val="0"/>
              <w:snapToGrid w:val="0"/>
              <w:spacing w:before="0" w:beforeAutospacing="0" w:after="0" w:afterAutospacing="0" w:line="240" w:lineRule="auto"/>
              <w:ind w:left="0" w:right="0"/>
              <w:rPr>
                <w:rFonts w:ascii="Times New Roman"/>
                <w:color w:val="auto"/>
                <w:sz w:val="21"/>
                <w:szCs w:val="24"/>
                <w:highlight w:val="none"/>
                <w:lang w:bidi="ar"/>
              </w:rPr>
            </w:pPr>
            <w:r>
              <w:rPr>
                <w:rFonts w:hint="eastAsia" w:ascii="Times New Roman"/>
                <w:color w:val="auto"/>
                <w:sz w:val="21"/>
                <w:szCs w:val="24"/>
                <w:highlight w:val="none"/>
                <w:lang w:bidi="ar"/>
              </w:rPr>
              <w:t>加强生态建设，积极保护森林、草原、水域、湿地，保证生态安全。采取工程、生物和耕作相结合的方法，加强小兴安岭山地向松嫩平原过渡地带的水土流失治理，加强西部科尔沁沙地边缘地区的防风固沙屏障建设。</w:t>
            </w:r>
          </w:p>
        </w:tc>
        <w:tc>
          <w:tcPr>
            <w:tcW w:w="2633" w:type="dxa"/>
            <w:vMerge w:val="continue"/>
            <w:tcBorders>
              <w:tl2br w:val="nil"/>
              <w:tr2bl w:val="nil"/>
            </w:tcBorders>
            <w:noWrap w:val="0"/>
            <w:vAlign w:val="center"/>
          </w:tcPr>
          <w:p w14:paraId="4A6EEEE6">
            <w:pPr>
              <w:keepNext w:val="0"/>
              <w:keepLines w:val="0"/>
              <w:suppressLineNumbers w:val="0"/>
              <w:adjustRightInd w:val="0"/>
              <w:snapToGrid w:val="0"/>
              <w:spacing w:before="0" w:beforeAutospacing="0" w:after="0" w:afterAutospacing="0" w:line="240" w:lineRule="auto"/>
              <w:ind w:left="0" w:right="0"/>
              <w:rPr>
                <w:rFonts w:ascii="Times New Roman"/>
                <w:color w:val="auto"/>
                <w:sz w:val="21"/>
                <w:szCs w:val="24"/>
                <w:highlight w:val="none"/>
                <w:lang w:bidi="ar"/>
              </w:rPr>
            </w:pPr>
          </w:p>
        </w:tc>
        <w:tc>
          <w:tcPr>
            <w:tcW w:w="1102" w:type="dxa"/>
            <w:vMerge w:val="continue"/>
            <w:tcBorders>
              <w:tl2br w:val="nil"/>
              <w:tr2bl w:val="nil"/>
            </w:tcBorders>
            <w:noWrap w:val="0"/>
            <w:vAlign w:val="center"/>
          </w:tcPr>
          <w:p w14:paraId="3F2C34D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p>
        </w:tc>
      </w:tr>
      <w:tr w14:paraId="71F5DB4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tcBorders>
              <w:tl2br w:val="nil"/>
              <w:tr2bl w:val="nil"/>
            </w:tcBorders>
            <w:noWrap w:val="0"/>
            <w:vAlign w:val="center"/>
          </w:tcPr>
          <w:p w14:paraId="3A8B484F">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基础设施建设</w:t>
            </w:r>
          </w:p>
        </w:tc>
        <w:tc>
          <w:tcPr>
            <w:tcW w:w="3795" w:type="dxa"/>
            <w:tcBorders>
              <w:tl2br w:val="nil"/>
              <w:tr2bl w:val="nil"/>
            </w:tcBorders>
            <w:noWrap w:val="0"/>
            <w:vAlign w:val="center"/>
          </w:tcPr>
          <w:p w14:paraId="004881B6">
            <w:pPr>
              <w:keepNext w:val="0"/>
              <w:keepLines w:val="0"/>
              <w:suppressLineNumbers w:val="0"/>
              <w:adjustRightInd w:val="0"/>
              <w:snapToGrid w:val="0"/>
              <w:spacing w:before="0" w:beforeAutospacing="0" w:after="0" w:afterAutospacing="0" w:line="240" w:lineRule="auto"/>
              <w:ind w:left="0" w:right="0"/>
              <w:rPr>
                <w:rFonts w:hint="eastAsia" w:ascii="Times New Roman" w:eastAsia="宋体"/>
                <w:color w:val="auto"/>
                <w:sz w:val="21"/>
                <w:szCs w:val="24"/>
                <w:highlight w:val="none"/>
                <w:lang w:eastAsia="zh-CN" w:bidi="ar"/>
              </w:rPr>
            </w:pPr>
            <w:r>
              <w:rPr>
                <w:rFonts w:hint="eastAsia" w:ascii="Times New Roman"/>
                <w:color w:val="auto"/>
                <w:sz w:val="21"/>
                <w:szCs w:val="24"/>
                <w:highlight w:val="none"/>
                <w:lang w:bidi="ar"/>
              </w:rPr>
              <w:t>加强农业基础设施建设，改善农业生产条件，加快农业科技进步和创新，加强农业物资技术装备，提高农业机械化水平，支持优势农产品加工、流通、储运设施的建设，提高农业防灾减灾能力</w:t>
            </w:r>
            <w:r>
              <w:rPr>
                <w:rFonts w:hint="eastAsia"/>
                <w:color w:val="auto"/>
                <w:sz w:val="21"/>
                <w:szCs w:val="24"/>
                <w:highlight w:val="none"/>
                <w:lang w:eastAsia="zh-CN" w:bidi="ar"/>
              </w:rPr>
              <w:t>。</w:t>
            </w:r>
          </w:p>
        </w:tc>
        <w:tc>
          <w:tcPr>
            <w:tcW w:w="2633" w:type="dxa"/>
            <w:vMerge w:val="continue"/>
            <w:tcBorders>
              <w:tl2br w:val="nil"/>
              <w:tr2bl w:val="nil"/>
            </w:tcBorders>
            <w:noWrap w:val="0"/>
            <w:vAlign w:val="center"/>
          </w:tcPr>
          <w:p w14:paraId="5E4A33A8">
            <w:pPr>
              <w:keepNext w:val="0"/>
              <w:keepLines w:val="0"/>
              <w:suppressLineNumbers w:val="0"/>
              <w:adjustRightInd w:val="0"/>
              <w:snapToGrid w:val="0"/>
              <w:spacing w:before="0" w:beforeAutospacing="0" w:after="0" w:afterAutospacing="0" w:line="240" w:lineRule="auto"/>
              <w:ind w:left="0" w:right="0"/>
              <w:rPr>
                <w:rFonts w:ascii="Times New Roman"/>
                <w:color w:val="auto"/>
                <w:sz w:val="21"/>
                <w:szCs w:val="24"/>
                <w:highlight w:val="none"/>
                <w:lang w:bidi="ar"/>
              </w:rPr>
            </w:pPr>
          </w:p>
        </w:tc>
        <w:tc>
          <w:tcPr>
            <w:tcW w:w="1102" w:type="dxa"/>
            <w:vMerge w:val="continue"/>
            <w:tcBorders>
              <w:tl2br w:val="nil"/>
              <w:tr2bl w:val="nil"/>
            </w:tcBorders>
            <w:noWrap w:val="0"/>
            <w:vAlign w:val="center"/>
          </w:tcPr>
          <w:p w14:paraId="1625DB61">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p>
        </w:tc>
      </w:tr>
    </w:tbl>
    <w:p w14:paraId="2E07AAC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kern w:val="2"/>
          <w:sz w:val="24"/>
          <w:szCs w:val="28"/>
          <w:highlight w:val="none"/>
        </w:rPr>
      </w:pPr>
      <w:r>
        <w:rPr>
          <w:rFonts w:hint="eastAsia" w:asciiTheme="minorEastAsia" w:hAnsiTheme="minorEastAsia" w:eastAsiaTheme="minorEastAsia" w:cstheme="minorEastAsia"/>
          <w:color w:val="auto"/>
          <w:kern w:val="2"/>
          <w:sz w:val="24"/>
          <w:szCs w:val="28"/>
          <w:highlight w:val="none"/>
        </w:rPr>
        <w:t>本项目利用灰渣替代土、砂、石等生产材料对</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kern w:val="2"/>
          <w:sz w:val="24"/>
          <w:szCs w:val="28"/>
          <w:highlight w:val="none"/>
        </w:rPr>
        <w:t>进行回填复垦，为生态改善型，符合《黑龙江主体功能区规划》要求。</w:t>
      </w:r>
    </w:p>
    <w:p w14:paraId="75CEBB7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mc:AlternateContent>
          <mc:Choice Requires="wps">
            <w:drawing>
              <wp:anchor distT="0" distB="0" distL="114300" distR="114300" simplePos="0" relativeHeight="251669504" behindDoc="0" locked="0" layoutInCell="1" allowOverlap="1">
                <wp:simplePos x="0" y="0"/>
                <wp:positionH relativeFrom="column">
                  <wp:posOffset>3280410</wp:posOffset>
                </wp:positionH>
                <wp:positionV relativeFrom="paragraph">
                  <wp:posOffset>2647315</wp:posOffset>
                </wp:positionV>
                <wp:extent cx="657225" cy="309880"/>
                <wp:effectExtent l="548005" t="4445" r="13970" b="15875"/>
                <wp:wrapNone/>
                <wp:docPr id="133" name="自选图形 267"/>
                <wp:cNvGraphicFramePr/>
                <a:graphic xmlns:a="http://schemas.openxmlformats.org/drawingml/2006/main">
                  <a:graphicData uri="http://schemas.microsoft.com/office/word/2010/wordprocessingShape">
                    <wps:wsp>
                      <wps:cNvSpPr/>
                      <wps:spPr>
                        <a:xfrm>
                          <a:off x="0" y="0"/>
                          <a:ext cx="657225" cy="309880"/>
                        </a:xfrm>
                        <a:prstGeom prst="wedgeRectCallout">
                          <a:avLst>
                            <a:gd name="adj1" fmla="val -127534"/>
                            <a:gd name="adj2" fmla="val -32250"/>
                          </a:avLst>
                        </a:prstGeom>
                        <a:solidFill>
                          <a:srgbClr val="FFFFFF"/>
                        </a:solidFill>
                        <a:ln w="9525" cap="flat" cmpd="sng">
                          <a:solidFill>
                            <a:srgbClr val="000000"/>
                          </a:solidFill>
                          <a:prstDash val="solid"/>
                          <a:miter/>
                          <a:headEnd type="none" w="med" len="med"/>
                          <a:tailEnd type="none" w="med" len="med"/>
                        </a:ln>
                      </wps:spPr>
                      <wps:txbx>
                        <w:txbxContent>
                          <w:p w14:paraId="07C77DB4">
                            <w:pPr>
                              <w:rPr>
                                <w:sz w:val="18"/>
                                <w:szCs w:val="18"/>
                              </w:rPr>
                            </w:pPr>
                            <w:r>
                              <w:rPr>
                                <w:rFonts w:hint="eastAsia"/>
                                <w:sz w:val="18"/>
                                <w:szCs w:val="18"/>
                              </w:rPr>
                              <w:t>项目位置</w:t>
                            </w:r>
                          </w:p>
                        </w:txbxContent>
                      </wps:txbx>
                      <wps:bodyPr wrap="square" upright="1">
                        <a:noAutofit/>
                      </wps:bodyPr>
                    </wps:wsp>
                  </a:graphicData>
                </a:graphic>
              </wp:anchor>
            </w:drawing>
          </mc:Choice>
          <mc:Fallback>
            <w:pict>
              <v:shape id="自选图形 267" o:spid="_x0000_s1026" o:spt="61" type="#_x0000_t61" style="position:absolute;left:0pt;margin-left:258.3pt;margin-top:208.45pt;height:24.4pt;width:51.75pt;z-index:251669504;mso-width-relative:page;mso-height-relative:page;" fillcolor="#FFFFFF" filled="t" stroked="t" coordsize="21600,21600" o:gfxdata="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r7rou2gAAAAsB&#10;AAAPAAAAAAAAAAEAIAAAACIAAABkcnMvZG93bnJldi54bWxQSwECFAAUAAAACACHTuJA8IaQz1IC&#10;AAC6BAAADgAAAAAAAAABACAAAAApAQAAZHJzL2Uyb0RvYy54bWxQSwUGAAAAAAYABgBZAQAA7QUA&#10;AAAA&#10;" adj="-16747,3834">
                <v:fill on="t" focussize="0,0"/>
                <v:stroke color="#000000" joinstyle="miter"/>
                <v:imagedata o:title=""/>
                <o:lock v:ext="edit" aspectratio="f"/>
                <v:textbox>
                  <w:txbxContent>
                    <w:p w14:paraId="07C77DB4">
                      <w:pPr>
                        <w:rPr>
                          <w:sz w:val="18"/>
                          <w:szCs w:val="18"/>
                        </w:rPr>
                      </w:pPr>
                      <w:r>
                        <w:rPr>
                          <w:rFonts w:hint="eastAsia"/>
                          <w:sz w:val="18"/>
                          <w:szCs w:val="18"/>
                        </w:rPr>
                        <w:t>项目位置</w:t>
                      </w:r>
                    </w:p>
                  </w:txbxContent>
                </v:textbox>
              </v:shape>
            </w:pict>
          </mc:Fallback>
        </mc:AlternateContent>
      </w:r>
      <w:r>
        <w:rPr>
          <w:rFonts w:hint="eastAsia" w:asciiTheme="minorEastAsia" w:hAnsiTheme="minorEastAsia" w:eastAsiaTheme="minorEastAsia" w:cstheme="minorEastAsia"/>
          <w:color w:val="auto"/>
          <w:highlight w:val="none"/>
        </w:rPr>
        <mc:AlternateContent>
          <mc:Choice Requires="wps">
            <w:drawing>
              <wp:anchor distT="0" distB="0" distL="114300" distR="114300" simplePos="0" relativeHeight="251668480" behindDoc="0" locked="0" layoutInCell="1" allowOverlap="1">
                <wp:simplePos x="0" y="0"/>
                <wp:positionH relativeFrom="column">
                  <wp:posOffset>2660015</wp:posOffset>
                </wp:positionH>
                <wp:positionV relativeFrom="paragraph">
                  <wp:posOffset>2680970</wp:posOffset>
                </wp:positionV>
                <wp:extent cx="53975" cy="53975"/>
                <wp:effectExtent l="5080" t="5080" r="4445" b="4445"/>
                <wp:wrapNone/>
                <wp:docPr id="132" name="矩形 449"/>
                <wp:cNvGraphicFramePr/>
                <a:graphic xmlns:a="http://schemas.openxmlformats.org/drawingml/2006/main">
                  <a:graphicData uri="http://schemas.microsoft.com/office/word/2010/wordprocessingShape">
                    <wps:wsp>
                      <wps:cNvSpPr/>
                      <wps:spPr>
                        <a:xfrm>
                          <a:off x="0" y="0"/>
                          <a:ext cx="53975" cy="53975"/>
                        </a:xfrm>
                        <a:prstGeom prst="rect">
                          <a:avLst/>
                        </a:prstGeom>
                        <a:solidFill>
                          <a:srgbClr val="FF0000"/>
                        </a:solidFill>
                        <a:ln w="9525" cap="flat" cmpd="sng">
                          <a:solidFill>
                            <a:srgbClr val="FF0000"/>
                          </a:solidFill>
                          <a:prstDash val="solid"/>
                          <a:miter/>
                          <a:headEnd type="none" w="med" len="med"/>
                          <a:tailEnd type="none" w="med" len="med"/>
                        </a:ln>
                      </wps:spPr>
                      <wps:bodyPr wrap="square" upright="1"/>
                    </wps:wsp>
                  </a:graphicData>
                </a:graphic>
              </wp:anchor>
            </w:drawing>
          </mc:Choice>
          <mc:Fallback>
            <w:pict>
              <v:rect id="矩形 449" o:spid="_x0000_s1026" o:spt="1" style="position:absolute;left:0pt;margin-left:209.45pt;margin-top:211.1pt;height:4.25pt;width:4.25pt;z-index:251668480;mso-width-relative:page;mso-height-relative:page;" fillcolor="#FF0000" filled="t" stroked="t" coordsize="21600,21600" o:gfxdata="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hng82wAAAAsBAAAPAAAAAAAAAAEAIAAAACIAAABkcnMv&#10;ZG93bnJldi54bWxQSwECFAAUAAAACACHTuJA/J5TGgACAAAtBAAADgAAAAAAAAABACAAAAAqAQAA&#10;ZHJzL2Uyb0RvYy54bWxQSwUGAAAAAAYABgBZAQAAnAUAAAAA&#10;">
                <v:fill on="t" focussize="0,0"/>
                <v:stroke color="#FF0000" joinstyle="miter"/>
                <v:imagedata o:title=""/>
                <o:lock v:ext="edit" aspectratio="f"/>
              </v:rect>
            </w:pict>
          </mc:Fallback>
        </mc:AlternateContent>
      </w:r>
      <w:r>
        <w:rPr>
          <w:color w:val="auto"/>
          <w:highlight w:val="none"/>
        </w:rPr>
        <w:drawing>
          <wp:anchor distT="0" distB="0" distL="114300" distR="114300" simplePos="0" relativeHeight="251667456" behindDoc="0" locked="0" layoutInCell="1" allowOverlap="1">
            <wp:simplePos x="0" y="0"/>
            <wp:positionH relativeFrom="column">
              <wp:posOffset>520700</wp:posOffset>
            </wp:positionH>
            <wp:positionV relativeFrom="paragraph">
              <wp:posOffset>92710</wp:posOffset>
            </wp:positionV>
            <wp:extent cx="4368800" cy="3305175"/>
            <wp:effectExtent l="0" t="0" r="0" b="9525"/>
            <wp:wrapTopAndBottom/>
            <wp:docPr id="131" name="图片 10" descr="C:\Users\ADMINI~1\AppData\Local\Temp\WeChat Files\0d2c11762283fd3135809387d7094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0" descr="C:\Users\ADMINI~1\AppData\Local\Temp\WeChat Files\0d2c11762283fd3135809387d70948e.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368800" cy="3305175"/>
                    </a:xfrm>
                    <a:prstGeom prst="rect">
                      <a:avLst/>
                    </a:prstGeom>
                    <a:noFill/>
                    <a:ln>
                      <a:noFill/>
                    </a:ln>
                    <a:effectLst/>
                  </pic:spPr>
                </pic:pic>
              </a:graphicData>
            </a:graphic>
          </wp:anchor>
        </w:drawing>
      </w:r>
      <w:r>
        <w:rPr>
          <w:rFonts w:hint="eastAsia" w:asciiTheme="minorEastAsia" w:hAnsiTheme="minorEastAsia" w:eastAsiaTheme="minorEastAsia" w:cstheme="minorEastAsia"/>
          <w:b/>
          <w:color w:val="auto"/>
          <w:highlight w:val="none"/>
        </w:rPr>
        <w:t>图1</w:t>
      </w:r>
      <w:r>
        <w:rPr>
          <w:rFonts w:hint="eastAsia" w:asciiTheme="minorEastAsia" w:hAnsiTheme="minorEastAsia" w:eastAsiaTheme="minorEastAsia" w:cstheme="minorEastAsia"/>
          <w:b/>
          <w:color w:val="auto"/>
          <w:highlight w:val="none"/>
          <w:lang w:val="en-US" w:eastAsia="zh-CN"/>
        </w:rPr>
        <w:t>.</w:t>
      </w:r>
      <w:r>
        <w:rPr>
          <w:rFonts w:hint="eastAsia" w:asciiTheme="minorEastAsia" w:hAnsiTheme="minorEastAsia" w:eastAsiaTheme="minorEastAsia" w:cstheme="minorEastAsia"/>
          <w:b/>
          <w:color w:val="auto"/>
          <w:highlight w:val="none"/>
        </w:rPr>
        <w:t>4-1</w:t>
      </w:r>
      <w:r>
        <w:rPr>
          <w:rFonts w:hint="eastAsia" w:asciiTheme="minorEastAsia" w:hAnsiTheme="minorEastAsia" w:eastAsiaTheme="minorEastAsia" w:cstheme="minorEastAsia"/>
          <w:b/>
          <w:color w:val="auto"/>
          <w:highlight w:val="none"/>
          <w:lang w:val="en-US" w:eastAsia="zh-CN"/>
        </w:rPr>
        <w:t xml:space="preserve">  </w:t>
      </w:r>
      <w:r>
        <w:rPr>
          <w:rFonts w:hint="eastAsia" w:asciiTheme="minorEastAsia" w:hAnsiTheme="minorEastAsia" w:eastAsiaTheme="minorEastAsia" w:cstheme="minorEastAsia"/>
          <w:b/>
          <w:color w:val="auto"/>
          <w:highlight w:val="none"/>
        </w:rPr>
        <w:t>黑龙江省主体功能分布图</w:t>
      </w:r>
    </w:p>
    <w:p w14:paraId="54443AF4">
      <w:pPr>
        <w:widowControl w:val="0"/>
        <w:adjustRightInd w:val="0"/>
        <w:snapToGrid w:val="0"/>
        <w:spacing w:line="360" w:lineRule="auto"/>
        <w:jc w:val="both"/>
        <w:outlineLvl w:val="3"/>
        <w:rPr>
          <w:rFonts w:hint="eastAsia" w:asciiTheme="minorEastAsia" w:hAnsiTheme="minorEastAsia" w:eastAsiaTheme="minorEastAsia" w:cstheme="minorEastAsia"/>
          <w:b/>
          <w:snapToGrid w:val="0"/>
          <w:color w:val="auto"/>
          <w:highlight w:val="none"/>
        </w:rPr>
      </w:pPr>
      <w:bookmarkStart w:id="103" w:name="_Toc531800068"/>
      <w:bookmarkStart w:id="104" w:name="_Toc532125185"/>
      <w:r>
        <w:rPr>
          <w:rFonts w:hint="eastAsia" w:asciiTheme="minorEastAsia" w:hAnsiTheme="minorEastAsia" w:eastAsiaTheme="minorEastAsia" w:cstheme="minorEastAsia"/>
          <w:b/>
          <w:snapToGrid w:val="0"/>
          <w:color w:val="auto"/>
          <w:highlight w:val="none"/>
        </w:rPr>
        <w:t>1.4.2.4与《黑龙江省生态功能区划》符合性分析</w:t>
      </w:r>
      <w:bookmarkEnd w:id="103"/>
      <w:bookmarkEnd w:id="104"/>
    </w:p>
    <w:p w14:paraId="5BF9050F">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4"/>
          <w:highlight w:val="none"/>
          <w:lang w:val="en-US" w:eastAsia="zh-CN"/>
        </w:rPr>
        <w:t>文件要求：</w:t>
      </w:r>
      <w:r>
        <w:rPr>
          <w:rFonts w:hint="eastAsia" w:asciiTheme="minorEastAsia" w:hAnsiTheme="minorEastAsia" w:eastAsiaTheme="minorEastAsia" w:cstheme="minorEastAsia"/>
          <w:color w:val="auto"/>
          <w:highlight w:val="none"/>
        </w:rPr>
        <w:t>根据《黑龙江省生态功能区划》中划分，本项目所在地Ⅰ—4—2—4蚂蜒河上游水源涵养与土壤保持生态功能区。</w:t>
      </w:r>
    </w:p>
    <w:p w14:paraId="2A1FE538">
      <w:pPr>
        <w:widowControl w:val="0"/>
        <w:adjustRightInd w:val="0"/>
        <w:snapToGrid w:val="0"/>
        <w:spacing w:line="360" w:lineRule="auto"/>
        <w:ind w:firstLine="480"/>
        <w:jc w:val="both"/>
        <w:rPr>
          <w:rFonts w:hint="eastAsia" w:asciiTheme="minorEastAsia" w:hAnsiTheme="minorEastAsia" w:eastAsiaTheme="minorEastAsia" w:cstheme="minorEastAsia"/>
          <w:color w:val="auto"/>
          <w:szCs w:val="24"/>
          <w:highlight w:val="none"/>
          <w:lang w:eastAsia="zh-CN"/>
        </w:rPr>
      </w:pPr>
      <w:r>
        <w:rPr>
          <w:rFonts w:hint="eastAsia" w:asciiTheme="minorEastAsia" w:hAnsiTheme="minorEastAsia" w:eastAsiaTheme="minorEastAsia" w:cstheme="minorEastAsia"/>
          <w:color w:val="auto"/>
          <w:szCs w:val="24"/>
          <w:highlight w:val="none"/>
        </w:rPr>
        <w:t>主要生态环境问题：</w:t>
      </w:r>
      <w:r>
        <w:rPr>
          <w:rFonts w:hint="eastAsia" w:asciiTheme="minorEastAsia" w:hAnsiTheme="minorEastAsia" w:eastAsiaTheme="minorEastAsia" w:cstheme="minorEastAsia"/>
          <w:color w:val="auto"/>
          <w:highlight w:val="none"/>
        </w:rPr>
        <w:t>地形较为复杂；森林质量下降；水源涵养能力降低；水土流失现象比较突出；部分地区在雨季易形成水患涝灾。生态环境敏感性：大部分地区生物多样性敏感性为高度敏感；尚志市周围土壤侵蚀敏感性为高度敏感。主要生态系统服务功能：水源涵养、土壤保持及生物多样性保护。保护措施与发展方向：加强天然林的保护，加强植被的恢复与保护，加大生态农业建设，防止水土流失</w:t>
      </w:r>
      <w:r>
        <w:rPr>
          <w:rFonts w:hint="eastAsia" w:asciiTheme="minorEastAsia" w:hAnsiTheme="minorEastAsia" w:eastAsiaTheme="minorEastAsia" w:cstheme="minorEastAsia"/>
          <w:color w:val="auto"/>
          <w:highlight w:val="none"/>
          <w:lang w:eastAsia="zh-CN"/>
        </w:rPr>
        <w:t>。</w:t>
      </w:r>
    </w:p>
    <w:p w14:paraId="5198EE6E">
      <w:pPr>
        <w:widowControl w:val="0"/>
        <w:adjustRightInd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b/>
          <w:bCs/>
          <w:color w:val="auto"/>
          <w:szCs w:val="22"/>
          <w:highlight w:val="none"/>
          <w:lang w:val="en-US" w:eastAsia="zh-CN"/>
        </w:rPr>
        <w:t>符合性分析：</w:t>
      </w:r>
      <w:r>
        <w:rPr>
          <w:rFonts w:hint="eastAsia" w:asciiTheme="minorEastAsia" w:hAnsiTheme="minorEastAsia" w:eastAsiaTheme="minorEastAsia" w:cstheme="minorEastAsia"/>
          <w:color w:val="auto"/>
          <w:szCs w:val="24"/>
          <w:highlight w:val="none"/>
        </w:rPr>
        <w:t>本项目利用灰渣替代土、砂、石等生产材料对采砂坑进行回填复垦，</w:t>
      </w:r>
      <w:r>
        <w:rPr>
          <w:rFonts w:hint="eastAsia" w:asciiTheme="minorEastAsia" w:hAnsiTheme="minorEastAsia" w:eastAsiaTheme="minorEastAsia" w:cstheme="minorEastAsia"/>
          <w:color w:val="auto"/>
          <w:szCs w:val="24"/>
          <w:highlight w:val="none"/>
          <w:lang w:val="en-US" w:eastAsia="zh-CN"/>
        </w:rPr>
        <w:t>恢复为林地，可有效</w:t>
      </w:r>
      <w:r>
        <w:rPr>
          <w:rFonts w:hint="eastAsia" w:asciiTheme="minorEastAsia" w:hAnsiTheme="minorEastAsia" w:eastAsiaTheme="minorEastAsia" w:cstheme="minorEastAsia"/>
          <w:color w:val="auto"/>
          <w:highlight w:val="none"/>
        </w:rPr>
        <w:t>加强植被的恢复与保护</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防止水土流失</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属于</w:t>
      </w:r>
      <w:r>
        <w:rPr>
          <w:rFonts w:hint="eastAsia" w:asciiTheme="minorEastAsia" w:hAnsiTheme="minorEastAsia" w:eastAsiaTheme="minorEastAsia" w:cstheme="minorEastAsia"/>
          <w:color w:val="auto"/>
          <w:szCs w:val="24"/>
          <w:highlight w:val="none"/>
        </w:rPr>
        <w:t>生态改善型</w:t>
      </w:r>
      <w:r>
        <w:rPr>
          <w:rFonts w:hint="eastAsia" w:asciiTheme="minorEastAsia" w:hAnsiTheme="minorEastAsia" w:eastAsiaTheme="minorEastAsia" w:cstheme="minorEastAsia"/>
          <w:color w:val="auto"/>
          <w:szCs w:val="24"/>
          <w:highlight w:val="none"/>
          <w:lang w:val="en-US" w:eastAsia="zh-CN"/>
        </w:rPr>
        <w:t>项目</w:t>
      </w:r>
      <w:r>
        <w:rPr>
          <w:rFonts w:hint="eastAsia" w:asciiTheme="minorEastAsia" w:hAnsiTheme="minorEastAsia" w:eastAsiaTheme="minorEastAsia" w:cstheme="minorEastAsia"/>
          <w:color w:val="auto"/>
          <w:szCs w:val="24"/>
          <w:highlight w:val="none"/>
        </w:rPr>
        <w:t>，符合《黑龙江省生态功能区划》的要求。</w:t>
      </w:r>
    </w:p>
    <w:p w14:paraId="5DCC0E47">
      <w:pPr>
        <w:widowControl w:val="0"/>
        <w:adjustRightInd w:val="0"/>
        <w:snapToGrid w:val="0"/>
        <w:spacing w:line="360" w:lineRule="auto"/>
        <w:jc w:val="both"/>
        <w:outlineLvl w:val="3"/>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b/>
          <w:snapToGrid w:val="0"/>
          <w:color w:val="auto"/>
          <w:highlight w:val="none"/>
        </w:rPr>
        <w:t>1.4.2.5与《黑龙江省水土保持规划（2015</w:t>
      </w:r>
      <w:r>
        <w:rPr>
          <w:rFonts w:hint="eastAsia" w:asciiTheme="minorEastAsia" w:hAnsiTheme="minorEastAsia" w:eastAsiaTheme="minorEastAsia" w:cstheme="minorEastAsia"/>
          <w:b/>
          <w:snapToGrid w:val="0"/>
          <w:color w:val="auto"/>
          <w:highlight w:val="none"/>
          <w:lang w:val="en-US" w:eastAsia="zh-CN"/>
        </w:rPr>
        <w:t>-</w:t>
      </w:r>
      <w:r>
        <w:rPr>
          <w:rFonts w:hint="eastAsia" w:asciiTheme="minorEastAsia" w:hAnsiTheme="minorEastAsia" w:eastAsiaTheme="minorEastAsia" w:cstheme="minorEastAsia"/>
          <w:b/>
          <w:snapToGrid w:val="0"/>
          <w:color w:val="auto"/>
          <w:highlight w:val="none"/>
        </w:rPr>
        <w:t>2030年）》相符性分析</w:t>
      </w:r>
    </w:p>
    <w:p w14:paraId="17966201">
      <w:pPr>
        <w:widowControl w:val="0"/>
        <w:snapToGrid w:val="0"/>
        <w:spacing w:line="360" w:lineRule="auto"/>
        <w:ind w:firstLine="482" w:firstLineChars="200"/>
        <w:jc w:val="both"/>
        <w:rPr>
          <w:rFonts w:hint="eastAsia" w:asciiTheme="minorEastAsia" w:hAnsiTheme="minorEastAsia" w:eastAsiaTheme="minorEastAsia" w:cstheme="minorEastAsia"/>
          <w:color w:val="auto"/>
          <w:szCs w:val="24"/>
          <w:highlight w:val="none"/>
          <w:lang w:bidi="ar"/>
        </w:rPr>
      </w:pPr>
      <w:r>
        <w:rPr>
          <w:rFonts w:hint="eastAsia" w:asciiTheme="minorEastAsia" w:hAnsiTheme="minorEastAsia" w:eastAsiaTheme="minorEastAsia" w:cstheme="minorEastAsia"/>
          <w:b/>
          <w:bCs/>
          <w:color w:val="auto"/>
          <w:szCs w:val="24"/>
          <w:highlight w:val="none"/>
          <w:lang w:val="en-US" w:eastAsia="zh-CN"/>
        </w:rPr>
        <w:t>文件要求：</w:t>
      </w:r>
      <w:r>
        <w:rPr>
          <w:rFonts w:hint="eastAsia" w:asciiTheme="minorEastAsia" w:hAnsiTheme="minorEastAsia" w:eastAsiaTheme="minorEastAsia" w:cstheme="minorEastAsia"/>
          <w:color w:val="auto"/>
          <w:szCs w:val="24"/>
          <w:highlight w:val="none"/>
          <w:lang w:val="en-US" w:eastAsia="zh-CN" w:bidi="ar"/>
        </w:rPr>
        <w:t>对照</w:t>
      </w:r>
      <w:r>
        <w:rPr>
          <w:rFonts w:hint="eastAsia" w:asciiTheme="minorEastAsia" w:hAnsiTheme="minorEastAsia" w:eastAsiaTheme="minorEastAsia" w:cstheme="minorEastAsia"/>
          <w:color w:val="auto"/>
          <w:szCs w:val="24"/>
          <w:highlight w:val="none"/>
          <w:lang w:bidi="ar"/>
        </w:rPr>
        <w:t>《黑龙江省水土保持规划（2015—2030年）》，本项目所属的</w:t>
      </w:r>
      <w:r>
        <w:rPr>
          <w:rFonts w:hint="eastAsia" w:asciiTheme="minorEastAsia" w:hAnsiTheme="minorEastAsia" w:eastAsiaTheme="minorEastAsia" w:cstheme="minorEastAsia"/>
          <w:color w:val="auto"/>
          <w:szCs w:val="24"/>
          <w:highlight w:val="none"/>
          <w:lang w:val="en-US" w:eastAsia="zh-CN" w:bidi="ar"/>
        </w:rPr>
        <w:t>尚志市</w:t>
      </w:r>
      <w:r>
        <w:rPr>
          <w:rFonts w:hint="eastAsia" w:asciiTheme="minorEastAsia" w:hAnsiTheme="minorEastAsia" w:eastAsiaTheme="minorEastAsia" w:cstheme="minorEastAsia"/>
          <w:color w:val="auto"/>
          <w:szCs w:val="24"/>
          <w:highlight w:val="none"/>
          <w:lang w:bidi="ar"/>
        </w:rPr>
        <w:t>属于</w:t>
      </w:r>
      <w:r>
        <w:rPr>
          <w:rFonts w:hint="eastAsia" w:asciiTheme="minorEastAsia" w:hAnsiTheme="minorEastAsia" w:eastAsiaTheme="minorEastAsia" w:cstheme="minorEastAsia"/>
          <w:color w:val="auto"/>
          <w:szCs w:val="24"/>
          <w:highlight w:val="none"/>
          <w:lang w:val="en-US" w:eastAsia="zh-CN" w:bidi="ar"/>
        </w:rPr>
        <w:t>国家区划中的</w:t>
      </w:r>
      <w:r>
        <w:rPr>
          <w:rFonts w:hint="eastAsia" w:asciiTheme="minorEastAsia" w:hAnsiTheme="minorEastAsia" w:eastAsiaTheme="minorEastAsia" w:cstheme="minorEastAsia"/>
          <w:color w:val="auto"/>
          <w:szCs w:val="24"/>
          <w:highlight w:val="none"/>
          <w:lang w:bidi="ar"/>
        </w:rPr>
        <w:t>I-</w:t>
      </w:r>
      <w:r>
        <w:rPr>
          <w:rFonts w:hint="eastAsia" w:asciiTheme="minorEastAsia" w:hAnsiTheme="minorEastAsia" w:eastAsiaTheme="minorEastAsia" w:cstheme="minorEastAsia"/>
          <w:color w:val="auto"/>
          <w:szCs w:val="24"/>
          <w:highlight w:val="none"/>
          <w:lang w:val="en-US" w:eastAsia="zh-CN" w:bidi="ar"/>
        </w:rPr>
        <w:t>2</w:t>
      </w:r>
      <w:r>
        <w:rPr>
          <w:rFonts w:hint="eastAsia" w:asciiTheme="minorEastAsia" w:hAnsiTheme="minorEastAsia" w:eastAsiaTheme="minorEastAsia" w:cstheme="minorEastAsia"/>
          <w:color w:val="auto"/>
          <w:szCs w:val="24"/>
          <w:highlight w:val="none"/>
          <w:lang w:bidi="ar"/>
        </w:rPr>
        <w:t>-</w:t>
      </w:r>
      <w:r>
        <w:rPr>
          <w:rFonts w:hint="eastAsia" w:asciiTheme="minorEastAsia" w:hAnsiTheme="minorEastAsia" w:eastAsiaTheme="minorEastAsia" w:cstheme="minorEastAsia"/>
          <w:color w:val="auto"/>
          <w:szCs w:val="24"/>
          <w:highlight w:val="none"/>
          <w:lang w:val="en-US" w:eastAsia="zh-CN" w:bidi="ar"/>
        </w:rPr>
        <w:t>3s</w:t>
      </w:r>
      <w:r>
        <w:rPr>
          <w:rFonts w:hint="eastAsia" w:asciiTheme="minorEastAsia" w:hAnsiTheme="minorEastAsia" w:eastAsiaTheme="minorEastAsia" w:cstheme="minorEastAsia"/>
          <w:color w:val="auto"/>
          <w:szCs w:val="24"/>
          <w:highlight w:val="none"/>
          <w:lang w:bidi="ar"/>
        </w:rPr>
        <w:t>t</w:t>
      </w:r>
      <w:r>
        <w:rPr>
          <w:rFonts w:hint="eastAsia" w:asciiTheme="minorEastAsia" w:hAnsiTheme="minorEastAsia" w:eastAsiaTheme="minorEastAsia" w:cstheme="minorEastAsia"/>
          <w:color w:val="auto"/>
          <w:szCs w:val="24"/>
          <w:highlight w:val="none"/>
          <w:lang w:val="en-US" w:eastAsia="zh-CN" w:bidi="ar"/>
        </w:rPr>
        <w:t>长白山山地丘陵水质维护保土区</w:t>
      </w:r>
      <w:r>
        <w:rPr>
          <w:rFonts w:hint="eastAsia" w:asciiTheme="minorEastAsia" w:hAnsiTheme="minorEastAsia" w:eastAsiaTheme="minorEastAsia" w:cstheme="minorEastAsia"/>
          <w:color w:val="auto"/>
          <w:szCs w:val="24"/>
          <w:highlight w:val="none"/>
          <w:lang w:bidi="ar"/>
        </w:rPr>
        <w:t>，省级区划</w:t>
      </w:r>
      <w:r>
        <w:rPr>
          <w:rFonts w:hint="eastAsia" w:asciiTheme="minorEastAsia" w:hAnsiTheme="minorEastAsia" w:eastAsiaTheme="minorEastAsia" w:cstheme="minorEastAsia"/>
          <w:color w:val="auto"/>
          <w:szCs w:val="24"/>
          <w:highlight w:val="none"/>
          <w:lang w:val="en-US" w:eastAsia="zh-CN" w:bidi="ar"/>
        </w:rPr>
        <w:t>中的东南部山地丘陵水质维护保土区</w:t>
      </w:r>
      <w:r>
        <w:rPr>
          <w:rFonts w:hint="eastAsia" w:asciiTheme="minorEastAsia" w:hAnsiTheme="minorEastAsia" w:eastAsiaTheme="minorEastAsia" w:cstheme="minorEastAsia"/>
          <w:color w:val="auto"/>
          <w:szCs w:val="24"/>
          <w:highlight w:val="none"/>
          <w:lang w:bidi="ar"/>
        </w:rPr>
        <w:t>。</w:t>
      </w:r>
    </w:p>
    <w:p w14:paraId="06C4E043">
      <w:pPr>
        <w:widowControl w:val="0"/>
        <w:snapToGrid w:val="0"/>
        <w:spacing w:line="360" w:lineRule="auto"/>
        <w:ind w:firstLine="480" w:firstLineChars="200"/>
        <w:jc w:val="both"/>
        <w:rPr>
          <w:color w:val="auto"/>
          <w:highlight w:val="none"/>
        </w:rPr>
      </w:pPr>
      <w:r>
        <w:rPr>
          <w:rFonts w:hint="eastAsia" w:asciiTheme="minorEastAsia" w:hAnsiTheme="minorEastAsia" w:eastAsiaTheme="minorEastAsia" w:cstheme="minorEastAsia"/>
          <w:color w:val="auto"/>
          <w:szCs w:val="24"/>
          <w:highlight w:val="none"/>
          <w:lang w:val="en-US" w:eastAsia="zh-CN" w:bidi="ar"/>
        </w:rPr>
        <w:t>本区包括五常市、尚志市、佳木斯市、双鸭山市和依兰县等</w:t>
      </w:r>
      <w:r>
        <w:rPr>
          <w:rFonts w:hint="default" w:asciiTheme="minorEastAsia" w:hAnsiTheme="minorEastAsia" w:eastAsiaTheme="minorEastAsia" w:cstheme="minorEastAsia"/>
          <w:color w:val="auto"/>
          <w:szCs w:val="24"/>
          <w:highlight w:val="none"/>
          <w:lang w:val="en-US" w:eastAsia="zh-CN" w:bidi="ar"/>
        </w:rPr>
        <w:t>14</w:t>
      </w:r>
      <w:r>
        <w:rPr>
          <w:rFonts w:hint="eastAsia" w:asciiTheme="minorEastAsia" w:hAnsiTheme="minorEastAsia" w:eastAsiaTheme="minorEastAsia" w:cstheme="minorEastAsia"/>
          <w:color w:val="auto"/>
          <w:szCs w:val="24"/>
          <w:highlight w:val="none"/>
          <w:lang w:val="en-US" w:eastAsia="zh-CN" w:bidi="ar"/>
        </w:rPr>
        <w:t>市（县），区域总面积</w:t>
      </w:r>
      <w:r>
        <w:rPr>
          <w:rFonts w:hint="default" w:asciiTheme="minorEastAsia" w:hAnsiTheme="minorEastAsia" w:eastAsiaTheme="minorEastAsia" w:cstheme="minorEastAsia"/>
          <w:color w:val="auto"/>
          <w:szCs w:val="24"/>
          <w:highlight w:val="none"/>
          <w:lang w:val="en-US" w:eastAsia="zh-CN" w:bidi="ar"/>
        </w:rPr>
        <w:t>34448.13km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eastAsia" w:asciiTheme="minorEastAsia" w:hAnsiTheme="minorEastAsia" w:eastAsiaTheme="minorEastAsia" w:cstheme="minorEastAsia"/>
          <w:color w:val="auto"/>
          <w:szCs w:val="24"/>
          <w:highlight w:val="none"/>
          <w:lang w:val="en-US" w:eastAsia="zh-CN" w:bidi="ar"/>
        </w:rPr>
        <w:t>，其中耕地面积</w:t>
      </w:r>
      <w:r>
        <w:rPr>
          <w:rFonts w:hint="default" w:asciiTheme="minorEastAsia" w:hAnsiTheme="minorEastAsia" w:eastAsiaTheme="minorEastAsia" w:cstheme="minorEastAsia"/>
          <w:color w:val="auto"/>
          <w:szCs w:val="24"/>
          <w:highlight w:val="none"/>
          <w:lang w:val="en-US" w:eastAsia="zh-CN" w:bidi="ar"/>
        </w:rPr>
        <w:t>12769.65km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eastAsia" w:asciiTheme="minorEastAsia" w:hAnsiTheme="minorEastAsia" w:eastAsiaTheme="minorEastAsia" w:cstheme="minorEastAsia"/>
          <w:color w:val="auto"/>
          <w:szCs w:val="24"/>
          <w:highlight w:val="none"/>
          <w:lang w:val="en-US" w:eastAsia="zh-CN" w:bidi="ar"/>
        </w:rPr>
        <w:t>，林地面积</w:t>
      </w:r>
      <w:r>
        <w:rPr>
          <w:rFonts w:hint="default" w:asciiTheme="minorEastAsia" w:hAnsiTheme="minorEastAsia" w:eastAsiaTheme="minorEastAsia" w:cstheme="minorEastAsia"/>
          <w:color w:val="auto"/>
          <w:szCs w:val="24"/>
          <w:highlight w:val="none"/>
          <w:lang w:val="en-US" w:eastAsia="zh-CN" w:bidi="ar"/>
        </w:rPr>
        <w:t>17901.09km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eastAsia" w:asciiTheme="minorEastAsia" w:hAnsiTheme="minorEastAsia" w:eastAsiaTheme="minorEastAsia" w:cstheme="minorEastAsia"/>
          <w:color w:val="auto"/>
          <w:szCs w:val="24"/>
          <w:highlight w:val="none"/>
          <w:lang w:val="en-US" w:eastAsia="zh-CN" w:bidi="ar"/>
        </w:rPr>
        <w:t>。区域总人口</w:t>
      </w:r>
      <w:r>
        <w:rPr>
          <w:rFonts w:hint="default" w:asciiTheme="minorEastAsia" w:hAnsiTheme="minorEastAsia" w:eastAsiaTheme="minorEastAsia" w:cstheme="minorEastAsia"/>
          <w:color w:val="auto"/>
          <w:szCs w:val="24"/>
          <w:highlight w:val="none"/>
          <w:lang w:val="en-US" w:eastAsia="zh-CN" w:bidi="ar"/>
        </w:rPr>
        <w:t>432.78</w:t>
      </w:r>
      <w:r>
        <w:rPr>
          <w:rFonts w:hint="eastAsia" w:asciiTheme="minorEastAsia" w:hAnsiTheme="minorEastAsia" w:eastAsiaTheme="minorEastAsia" w:cstheme="minorEastAsia"/>
          <w:color w:val="auto"/>
          <w:szCs w:val="24"/>
          <w:highlight w:val="none"/>
          <w:lang w:val="en-US" w:eastAsia="zh-CN" w:bidi="ar"/>
        </w:rPr>
        <w:t>万人，人均耕地</w:t>
      </w:r>
      <w:r>
        <w:rPr>
          <w:rFonts w:hint="default" w:asciiTheme="minorEastAsia" w:hAnsiTheme="minorEastAsia" w:eastAsiaTheme="minorEastAsia" w:cstheme="minorEastAsia"/>
          <w:color w:val="auto"/>
          <w:szCs w:val="24"/>
          <w:highlight w:val="none"/>
          <w:lang w:val="en-US" w:eastAsia="zh-CN" w:bidi="ar"/>
        </w:rPr>
        <w:t>0.30hm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eastAsia" w:asciiTheme="minorEastAsia" w:hAnsiTheme="minorEastAsia" w:eastAsiaTheme="minorEastAsia" w:cstheme="minorEastAsia"/>
          <w:color w:val="auto"/>
          <w:szCs w:val="24"/>
          <w:highlight w:val="none"/>
          <w:lang w:val="en-US" w:eastAsia="zh-CN" w:bidi="ar"/>
        </w:rPr>
        <w:t xml:space="preserve">，农村各业生产总值 </w:t>
      </w:r>
      <w:r>
        <w:rPr>
          <w:rFonts w:hint="default" w:asciiTheme="minorEastAsia" w:hAnsiTheme="minorEastAsia" w:eastAsiaTheme="minorEastAsia" w:cstheme="minorEastAsia"/>
          <w:color w:val="auto"/>
          <w:szCs w:val="24"/>
          <w:highlight w:val="none"/>
          <w:lang w:val="en-US" w:eastAsia="zh-CN" w:bidi="ar"/>
        </w:rPr>
        <w:t xml:space="preserve">582.73 </w:t>
      </w:r>
      <w:r>
        <w:rPr>
          <w:rFonts w:hint="eastAsia" w:asciiTheme="minorEastAsia" w:hAnsiTheme="minorEastAsia" w:eastAsiaTheme="minorEastAsia" w:cstheme="minorEastAsia"/>
          <w:color w:val="auto"/>
          <w:szCs w:val="24"/>
          <w:highlight w:val="none"/>
          <w:lang w:val="en-US" w:eastAsia="zh-CN" w:bidi="ar"/>
        </w:rPr>
        <w:t xml:space="preserve">亿元。本区水土流失类型为水力侵蚀，水土流失面积 </w:t>
      </w:r>
      <w:r>
        <w:rPr>
          <w:rFonts w:hint="default" w:asciiTheme="minorEastAsia" w:hAnsiTheme="minorEastAsia" w:eastAsiaTheme="minorEastAsia" w:cstheme="minorEastAsia"/>
          <w:color w:val="auto"/>
          <w:szCs w:val="24"/>
          <w:highlight w:val="none"/>
          <w:lang w:val="en-US" w:eastAsia="zh-CN" w:bidi="ar"/>
        </w:rPr>
        <w:t>8832.82 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 xml:space="preserve">，占区域总面积的 </w:t>
      </w:r>
      <w:r>
        <w:rPr>
          <w:rFonts w:hint="default" w:asciiTheme="minorEastAsia" w:hAnsiTheme="minorEastAsia" w:eastAsiaTheme="minorEastAsia" w:cstheme="minorEastAsia"/>
          <w:color w:val="auto"/>
          <w:szCs w:val="24"/>
          <w:highlight w:val="none"/>
          <w:lang w:val="en-US" w:eastAsia="zh-CN" w:bidi="ar"/>
        </w:rPr>
        <w:t>25.64 %</w:t>
      </w:r>
      <w:r>
        <w:rPr>
          <w:rFonts w:hint="eastAsia" w:asciiTheme="minorEastAsia" w:hAnsiTheme="minorEastAsia" w:eastAsiaTheme="minorEastAsia" w:cstheme="minorEastAsia"/>
          <w:color w:val="auto"/>
          <w:szCs w:val="24"/>
          <w:highlight w:val="none"/>
          <w:lang w:val="en-US" w:eastAsia="zh-CN" w:bidi="ar"/>
        </w:rPr>
        <w:t xml:space="preserve">，其中轻度侵蚀 </w:t>
      </w:r>
      <w:r>
        <w:rPr>
          <w:rFonts w:hint="default" w:asciiTheme="minorEastAsia" w:hAnsiTheme="minorEastAsia" w:eastAsiaTheme="minorEastAsia" w:cstheme="minorEastAsia"/>
          <w:color w:val="auto"/>
          <w:szCs w:val="24"/>
          <w:highlight w:val="none"/>
          <w:lang w:val="en-US" w:eastAsia="zh-CN" w:bidi="ar"/>
        </w:rPr>
        <w:t>3452.42 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 xml:space="preserve">，中度侵蚀 </w:t>
      </w:r>
      <w:r>
        <w:rPr>
          <w:rFonts w:hint="default" w:asciiTheme="minorEastAsia" w:hAnsiTheme="minorEastAsia" w:eastAsiaTheme="minorEastAsia" w:cstheme="minorEastAsia"/>
          <w:color w:val="auto"/>
          <w:szCs w:val="24"/>
          <w:highlight w:val="none"/>
          <w:lang w:val="en-US" w:eastAsia="zh-CN" w:bidi="ar"/>
        </w:rPr>
        <w:t>2669.66 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，强烈侵蚀</w:t>
      </w:r>
      <w:r>
        <w:rPr>
          <w:rFonts w:hint="default" w:asciiTheme="minorEastAsia" w:hAnsiTheme="minorEastAsia" w:eastAsiaTheme="minorEastAsia" w:cstheme="minorEastAsia"/>
          <w:color w:val="auto"/>
          <w:szCs w:val="24"/>
          <w:highlight w:val="none"/>
          <w:lang w:val="en-US" w:eastAsia="zh-CN" w:bidi="ar"/>
        </w:rPr>
        <w:t>1532.68 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 xml:space="preserve">，极强烈侵蚀 </w:t>
      </w:r>
      <w:r>
        <w:rPr>
          <w:rFonts w:hint="default" w:asciiTheme="minorEastAsia" w:hAnsiTheme="minorEastAsia" w:eastAsiaTheme="minorEastAsia" w:cstheme="minorEastAsia"/>
          <w:color w:val="auto"/>
          <w:szCs w:val="24"/>
          <w:highlight w:val="none"/>
          <w:lang w:val="en-US" w:eastAsia="zh-CN" w:bidi="ar"/>
        </w:rPr>
        <w:t>859.85 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 xml:space="preserve">，剧烈侵蚀 </w:t>
      </w:r>
      <w:r>
        <w:rPr>
          <w:rFonts w:hint="default" w:asciiTheme="minorEastAsia" w:hAnsiTheme="minorEastAsia" w:eastAsiaTheme="minorEastAsia" w:cstheme="minorEastAsia"/>
          <w:color w:val="auto"/>
          <w:szCs w:val="24"/>
          <w:highlight w:val="none"/>
          <w:lang w:val="en-US" w:eastAsia="zh-CN" w:bidi="ar"/>
        </w:rPr>
        <w:t>318.21 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 xml:space="preserve">。现有侵蚀沟 </w:t>
      </w:r>
      <w:r>
        <w:rPr>
          <w:rFonts w:hint="default" w:asciiTheme="minorEastAsia" w:hAnsiTheme="minorEastAsia" w:eastAsiaTheme="minorEastAsia" w:cstheme="minorEastAsia"/>
          <w:color w:val="auto"/>
          <w:szCs w:val="24"/>
          <w:highlight w:val="none"/>
          <w:lang w:val="en-US" w:eastAsia="zh-CN" w:bidi="ar"/>
        </w:rPr>
        <w:t>17018</w:t>
      </w:r>
      <w:r>
        <w:rPr>
          <w:rFonts w:hint="eastAsia" w:asciiTheme="minorEastAsia" w:hAnsiTheme="minorEastAsia" w:eastAsiaTheme="minorEastAsia" w:cstheme="minorEastAsia"/>
          <w:color w:val="auto"/>
          <w:szCs w:val="24"/>
          <w:highlight w:val="none"/>
          <w:lang w:val="en-US" w:eastAsia="zh-CN" w:bidi="ar"/>
        </w:rPr>
        <w:t xml:space="preserve">条，沟道密度 </w:t>
      </w:r>
      <w:r>
        <w:rPr>
          <w:rFonts w:hint="default" w:asciiTheme="minorEastAsia" w:hAnsiTheme="minorEastAsia" w:eastAsiaTheme="minorEastAsia" w:cstheme="minorEastAsia"/>
          <w:color w:val="auto"/>
          <w:szCs w:val="24"/>
          <w:highlight w:val="none"/>
          <w:lang w:val="en-US" w:eastAsia="zh-CN" w:bidi="ar"/>
        </w:rPr>
        <w:t>0.18 km/km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 xml:space="preserve">。本区大部为张广才岭北麓与小兴安岭相接的低山丘陵区，森林覆盖度高，西南端接松嫩平原北缘，以灌溉农田为主。平均海拔 </w:t>
      </w:r>
      <w:r>
        <w:rPr>
          <w:rFonts w:hint="default" w:asciiTheme="minorEastAsia" w:hAnsiTheme="minorEastAsia" w:eastAsiaTheme="minorEastAsia" w:cstheme="minorEastAsia"/>
          <w:color w:val="auto"/>
          <w:szCs w:val="24"/>
          <w:highlight w:val="none"/>
          <w:lang w:val="en-US" w:eastAsia="zh-CN" w:bidi="ar"/>
        </w:rPr>
        <w:t>190</w:t>
      </w:r>
      <w:r>
        <w:rPr>
          <w:rFonts w:hint="eastAsia" w:asciiTheme="minorEastAsia" w:hAnsiTheme="minorEastAsia" w:eastAsiaTheme="minorEastAsia" w:cstheme="minorEastAsia"/>
          <w:color w:val="auto"/>
          <w:szCs w:val="24"/>
          <w:highlight w:val="none"/>
          <w:lang w:val="en-US" w:eastAsia="zh-CN" w:bidi="ar"/>
        </w:rPr>
        <w:t>～</w:t>
      </w:r>
      <w:r>
        <w:rPr>
          <w:rFonts w:hint="default" w:asciiTheme="minorEastAsia" w:hAnsiTheme="minorEastAsia" w:eastAsiaTheme="minorEastAsia" w:cstheme="minorEastAsia"/>
          <w:color w:val="auto"/>
          <w:szCs w:val="24"/>
          <w:highlight w:val="none"/>
          <w:lang w:val="en-US" w:eastAsia="zh-CN" w:bidi="ar"/>
        </w:rPr>
        <w:t>1696 m</w:t>
      </w:r>
      <w:r>
        <w:rPr>
          <w:rFonts w:hint="eastAsia" w:asciiTheme="minorEastAsia" w:hAnsiTheme="minorEastAsia" w:eastAsiaTheme="minorEastAsia" w:cstheme="minorEastAsia"/>
          <w:color w:val="auto"/>
          <w:szCs w:val="24"/>
          <w:highlight w:val="none"/>
          <w:lang w:val="en-US" w:eastAsia="zh-CN" w:bidi="ar"/>
        </w:rPr>
        <w:t xml:space="preserve">，本区属中温带大陆性季风气候，年降水量 </w:t>
      </w:r>
      <w:r>
        <w:rPr>
          <w:rFonts w:hint="default" w:asciiTheme="minorEastAsia" w:hAnsiTheme="minorEastAsia" w:eastAsiaTheme="minorEastAsia" w:cstheme="minorEastAsia"/>
          <w:color w:val="auto"/>
          <w:szCs w:val="24"/>
          <w:highlight w:val="none"/>
          <w:lang w:val="en-US" w:eastAsia="zh-CN" w:bidi="ar"/>
        </w:rPr>
        <w:t>500</w:t>
      </w:r>
      <w:r>
        <w:rPr>
          <w:rFonts w:hint="eastAsia" w:asciiTheme="minorEastAsia" w:hAnsiTheme="minorEastAsia" w:eastAsiaTheme="minorEastAsia" w:cstheme="minorEastAsia"/>
          <w:color w:val="auto"/>
          <w:szCs w:val="24"/>
          <w:highlight w:val="none"/>
          <w:lang w:val="en-US" w:eastAsia="zh-CN" w:bidi="ar"/>
        </w:rPr>
        <w:t>～</w:t>
      </w:r>
      <w:r>
        <w:rPr>
          <w:rFonts w:hint="default" w:asciiTheme="minorEastAsia" w:hAnsiTheme="minorEastAsia" w:eastAsiaTheme="minorEastAsia" w:cstheme="minorEastAsia"/>
          <w:color w:val="auto"/>
          <w:szCs w:val="24"/>
          <w:highlight w:val="none"/>
          <w:lang w:val="en-US" w:eastAsia="zh-CN" w:bidi="ar"/>
        </w:rPr>
        <w:t>850 mm</w:t>
      </w:r>
      <w:r>
        <w:rPr>
          <w:rFonts w:hint="eastAsia" w:asciiTheme="minorEastAsia" w:hAnsiTheme="minorEastAsia" w:eastAsiaTheme="minorEastAsia" w:cstheme="minorEastAsia"/>
          <w:color w:val="auto"/>
          <w:szCs w:val="24"/>
          <w:highlight w:val="none"/>
          <w:lang w:val="en-US" w:eastAsia="zh-CN" w:bidi="ar"/>
        </w:rPr>
        <w:t>。主要土壤有暗棕壤、黑钙土、白浆土、草甸土等。主要河流有松花江、牡丹江、拉林河、蚂蚁河和牤牛河等。植被以温带针阔混交林为主。佳木斯市是国家商品粮基地和农业综合开发试验区、也是风能资源富集区，双鸭山市是煤碳资源型城市，依兰县是重要的煤化工基地和历史文化名城，五常市是著名水稻主产区，拉林河上游磨盘山水库是哈尔滨市水源地。本区水土保持主导基础功能为水质维护、水源涵养、农田防护、拦沙减沙；社会经济功能为农业林业生产、粮食生产、水源地保护、土地生产力保护、饮水安全保护。</w:t>
      </w:r>
    </w:p>
    <w:p w14:paraId="23C29DB5">
      <w:pPr>
        <w:widowControl w:val="0"/>
        <w:snapToGrid w:val="0"/>
        <w:spacing w:line="360" w:lineRule="auto"/>
        <w:ind w:firstLine="482" w:firstLineChars="20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2"/>
          <w:highlight w:val="none"/>
          <w:lang w:val="en-US" w:eastAsia="zh-CN"/>
        </w:rPr>
        <w:t>符合性分析：</w:t>
      </w:r>
      <w:r>
        <w:rPr>
          <w:rFonts w:hint="eastAsia" w:asciiTheme="minorEastAsia" w:hAnsiTheme="minorEastAsia" w:eastAsiaTheme="minorEastAsia" w:cstheme="minorEastAsia"/>
          <w:color w:val="auto"/>
          <w:szCs w:val="24"/>
          <w:highlight w:val="none"/>
        </w:rPr>
        <w:t>本项目利用</w:t>
      </w:r>
      <w:r>
        <w:rPr>
          <w:rFonts w:hint="eastAsia" w:asciiTheme="minorEastAsia" w:hAnsiTheme="minorEastAsia" w:eastAsiaTheme="minorEastAsia" w:cstheme="minorEastAsia"/>
          <w:color w:val="auto"/>
          <w:szCs w:val="24"/>
          <w:highlight w:val="none"/>
          <w:lang w:val="en-US" w:eastAsia="zh-CN"/>
        </w:rPr>
        <w:t>锅炉</w:t>
      </w:r>
      <w:r>
        <w:rPr>
          <w:rFonts w:hint="eastAsia" w:asciiTheme="minorEastAsia" w:hAnsiTheme="minorEastAsia" w:eastAsiaTheme="minorEastAsia" w:cstheme="minorEastAsia"/>
          <w:color w:val="auto"/>
          <w:szCs w:val="24"/>
          <w:highlight w:val="none"/>
        </w:rPr>
        <w:t>灰渣替代土、砂、石等生产材料对采砂坑进行回填复垦，为生态改善型</w:t>
      </w:r>
      <w:r>
        <w:rPr>
          <w:rFonts w:hint="eastAsia" w:asciiTheme="minorEastAsia" w:hAnsiTheme="minorEastAsia" w:eastAsiaTheme="minorEastAsia" w:cstheme="minorEastAsia"/>
          <w:color w:val="auto"/>
          <w:highlight w:val="none"/>
        </w:rPr>
        <w:t>。可有效治理水土流失，符合《黑龙江省水土保持规划（2015-2030年）》要求。</w:t>
      </w:r>
    </w:p>
    <w:p w14:paraId="038BD149">
      <w:pPr>
        <w:pStyle w:val="22"/>
        <w:widowControl w:val="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mc:AlternateContent>
          <mc:Choice Requires="wps">
            <w:drawing>
              <wp:anchor distT="0" distB="0" distL="114300" distR="114300" simplePos="0" relativeHeight="251664384" behindDoc="0" locked="0" layoutInCell="1" allowOverlap="1">
                <wp:simplePos x="0" y="0"/>
                <wp:positionH relativeFrom="column">
                  <wp:posOffset>3390900</wp:posOffset>
                </wp:positionH>
                <wp:positionV relativeFrom="paragraph">
                  <wp:posOffset>5085080</wp:posOffset>
                </wp:positionV>
                <wp:extent cx="657225" cy="309880"/>
                <wp:effectExtent l="548005" t="4445" r="13970" b="9525"/>
                <wp:wrapNone/>
                <wp:docPr id="186" name="自选图形 267"/>
                <wp:cNvGraphicFramePr/>
                <a:graphic xmlns:a="http://schemas.openxmlformats.org/drawingml/2006/main">
                  <a:graphicData uri="http://schemas.microsoft.com/office/word/2010/wordprocessingShape">
                    <wps:wsp>
                      <wps:cNvSpPr/>
                      <wps:spPr>
                        <a:xfrm>
                          <a:off x="0" y="0"/>
                          <a:ext cx="657225" cy="309880"/>
                        </a:xfrm>
                        <a:prstGeom prst="wedgeRectCallout">
                          <a:avLst>
                            <a:gd name="adj1" fmla="val -127534"/>
                            <a:gd name="adj2" fmla="val -32250"/>
                          </a:avLst>
                        </a:prstGeom>
                        <a:solidFill>
                          <a:srgbClr val="FFFFFF"/>
                        </a:solidFill>
                        <a:ln w="9525" cap="flat" cmpd="sng">
                          <a:solidFill>
                            <a:srgbClr val="000000"/>
                          </a:solidFill>
                          <a:prstDash val="solid"/>
                          <a:miter/>
                          <a:headEnd type="none" w="med" len="med"/>
                          <a:tailEnd type="none" w="med" len="med"/>
                        </a:ln>
                      </wps:spPr>
                      <wps:txbx>
                        <w:txbxContent>
                          <w:p w14:paraId="1C480E30">
                            <w:pPr>
                              <w:rPr>
                                <w:sz w:val="18"/>
                                <w:szCs w:val="18"/>
                              </w:rPr>
                            </w:pPr>
                            <w:r>
                              <w:rPr>
                                <w:rFonts w:hint="eastAsia"/>
                                <w:sz w:val="18"/>
                                <w:szCs w:val="18"/>
                              </w:rPr>
                              <w:t>项目位置</w:t>
                            </w:r>
                          </w:p>
                        </w:txbxContent>
                      </wps:txbx>
                      <wps:bodyPr wrap="square" upright="1">
                        <a:noAutofit/>
                      </wps:bodyPr>
                    </wps:wsp>
                  </a:graphicData>
                </a:graphic>
              </wp:anchor>
            </w:drawing>
          </mc:Choice>
          <mc:Fallback>
            <w:pict>
              <v:shape id="自选图形 267" o:spid="_x0000_s1026" o:spt="61" type="#_x0000_t61" style="position:absolute;left:0pt;margin-left:267pt;margin-top:400.4pt;height:24.4pt;width:51.75pt;z-index:251664384;mso-width-relative:page;mso-height-relative:page;" fillcolor="#FFFFFF" filled="t" stroked="t" coordsize="21600,21600" o:gfxdata="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lt5du2gAAAAsB&#10;AAAPAAAAAAAAAAEAIAAAACIAAABkcnMvZG93bnJldi54bWxQSwECFAAUAAAACACHTuJAzAhbuVIC&#10;AAC6BAAADgAAAAAAAAABACAAAAApAQAAZHJzL2Uyb0RvYy54bWxQSwUGAAAAAAYABgBZAQAA7QUA&#10;AAAA&#10;" adj="-16747,3834">
                <v:fill on="t" focussize="0,0"/>
                <v:stroke color="#000000" joinstyle="miter"/>
                <v:imagedata o:title=""/>
                <o:lock v:ext="edit" aspectratio="f"/>
                <v:textbox>
                  <w:txbxContent>
                    <w:p w14:paraId="1C480E30">
                      <w:pPr>
                        <w:rPr>
                          <w:sz w:val="18"/>
                          <w:szCs w:val="18"/>
                        </w:rPr>
                      </w:pPr>
                      <w:r>
                        <w:rPr>
                          <w:rFonts w:hint="eastAsia"/>
                          <w:sz w:val="18"/>
                          <w:szCs w:val="18"/>
                        </w:rPr>
                        <w:t>项目位置</w:t>
                      </w:r>
                    </w:p>
                  </w:txbxContent>
                </v:textbox>
              </v:shape>
            </w:pict>
          </mc:Fallback>
        </mc:AlternateContent>
      </w:r>
      <w:r>
        <w:rPr>
          <w:rFonts w:hint="eastAsia" w:asciiTheme="minorEastAsia" w:hAnsiTheme="minorEastAsia" w:eastAsiaTheme="minorEastAsia" w:cstheme="minorEastAsia"/>
          <w:color w:val="auto"/>
          <w:highlight w:val="none"/>
        </w:rPr>
        <mc:AlternateContent>
          <mc:Choice Requires="wps">
            <w:drawing>
              <wp:anchor distT="0" distB="0" distL="114300" distR="114300" simplePos="0" relativeHeight="251665408" behindDoc="0" locked="0" layoutInCell="1" allowOverlap="1">
                <wp:simplePos x="0" y="0"/>
                <wp:positionH relativeFrom="column">
                  <wp:posOffset>2734310</wp:posOffset>
                </wp:positionH>
                <wp:positionV relativeFrom="paragraph">
                  <wp:posOffset>5139690</wp:posOffset>
                </wp:positionV>
                <wp:extent cx="53975" cy="53975"/>
                <wp:effectExtent l="5080" t="5080" r="17145" b="17145"/>
                <wp:wrapNone/>
                <wp:docPr id="185" name="矩形 449"/>
                <wp:cNvGraphicFramePr/>
                <a:graphic xmlns:a="http://schemas.openxmlformats.org/drawingml/2006/main">
                  <a:graphicData uri="http://schemas.microsoft.com/office/word/2010/wordprocessingShape">
                    <wps:wsp>
                      <wps:cNvSpPr/>
                      <wps:spPr>
                        <a:xfrm>
                          <a:off x="0" y="0"/>
                          <a:ext cx="53975" cy="53975"/>
                        </a:xfrm>
                        <a:prstGeom prst="rect">
                          <a:avLst/>
                        </a:prstGeom>
                        <a:solidFill>
                          <a:srgbClr val="FF0000"/>
                        </a:solidFill>
                        <a:ln w="9525" cap="flat" cmpd="sng">
                          <a:solidFill>
                            <a:srgbClr val="FF0000"/>
                          </a:solidFill>
                          <a:prstDash val="solid"/>
                          <a:miter/>
                          <a:headEnd type="none" w="med" len="med"/>
                          <a:tailEnd type="none" w="med" len="med"/>
                        </a:ln>
                      </wps:spPr>
                      <wps:bodyPr wrap="square" upright="1"/>
                    </wps:wsp>
                  </a:graphicData>
                </a:graphic>
              </wp:anchor>
            </w:drawing>
          </mc:Choice>
          <mc:Fallback>
            <w:pict>
              <v:rect id="矩形 449" o:spid="_x0000_s1026" o:spt="1" style="position:absolute;left:0pt;margin-left:215.3pt;margin-top:404.7pt;height:4.25pt;width:4.25pt;z-index:251665408;mso-width-relative:page;mso-height-relative:page;" fillcolor="#FF0000" filled="t" stroked="t" coordsize="21600,21600" o:gfxdata="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u2mV/bAAAACwEAAA8AAAAAAAAAAQAgAAAAIgAAAGRycy9k&#10;b3ducmV2LnhtbFBLAQIUABQAAAAIAIdO4kAwefeJ/wEAAC0EAAAOAAAAAAAAAAEAIAAAACoBAABk&#10;cnMvZTJvRG9jLnhtbFBLBQYAAAAABgAGAFkBAACbBQAAAAA=&#10;">
                <v:fill on="t" focussize="0,0"/>
                <v:stroke color="#FF0000" joinstyle="miter"/>
                <v:imagedata o:title=""/>
                <o:lock v:ext="edit" aspectratio="f"/>
              </v:rect>
            </w:pict>
          </mc:Fallback>
        </mc:AlternateContent>
      </w:r>
      <w:r>
        <w:rPr>
          <w:rFonts w:hint="eastAsia" w:asciiTheme="minorEastAsia" w:hAnsiTheme="minorEastAsia" w:eastAsiaTheme="minorEastAsia" w:cstheme="minorEastAsia"/>
          <w:color w:val="auto"/>
          <w:highlight w:val="none"/>
        </w:rPr>
        <w:drawing>
          <wp:inline distT="0" distB="0" distL="0" distR="0">
            <wp:extent cx="4939665" cy="6909435"/>
            <wp:effectExtent l="0" t="0" r="13335" b="5715"/>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pic:cNvPicPr>
                  </pic:nvPicPr>
                  <pic:blipFill>
                    <a:blip r:embed="rId25"/>
                    <a:stretch>
                      <a:fillRect/>
                    </a:stretch>
                  </pic:blipFill>
                  <pic:spPr>
                    <a:xfrm>
                      <a:off x="0" y="0"/>
                      <a:ext cx="4941195" cy="6911382"/>
                    </a:xfrm>
                    <a:prstGeom prst="rect">
                      <a:avLst/>
                    </a:prstGeom>
                  </pic:spPr>
                </pic:pic>
              </a:graphicData>
            </a:graphic>
          </wp:inline>
        </w:drawing>
      </w:r>
    </w:p>
    <w:p w14:paraId="561A77E0">
      <w:pPr>
        <w:pStyle w:val="22"/>
        <w:widowControl w:val="0"/>
        <w:snapToGrid w:val="0"/>
        <w:spacing w:line="360" w:lineRule="auto"/>
        <w:jc w:val="center"/>
        <w:rPr>
          <w:rFonts w:hint="eastAsia" w:asciiTheme="minorEastAsia" w:hAnsiTheme="minorEastAsia" w:eastAsiaTheme="minorEastAsia" w:cstheme="minorEastAsia"/>
          <w:b/>
          <w:bCs/>
          <w:color w:val="auto"/>
          <w:sz w:val="24"/>
          <w:szCs w:val="32"/>
          <w:highlight w:val="none"/>
        </w:rPr>
      </w:pPr>
      <w:r>
        <w:rPr>
          <w:rFonts w:hint="eastAsia" w:asciiTheme="minorEastAsia" w:hAnsiTheme="minorEastAsia" w:eastAsiaTheme="minorEastAsia" w:cstheme="minorEastAsia"/>
          <w:b/>
          <w:bCs/>
          <w:color w:val="auto"/>
          <w:sz w:val="24"/>
          <w:szCs w:val="32"/>
          <w:highlight w:val="none"/>
        </w:rPr>
        <w:t>图1</w:t>
      </w:r>
      <w:r>
        <w:rPr>
          <w:rFonts w:hint="eastAsia" w:asciiTheme="minorEastAsia" w:hAnsiTheme="minorEastAsia" w:eastAsiaTheme="minorEastAsia" w:cstheme="minorEastAsia"/>
          <w:b/>
          <w:bCs/>
          <w:color w:val="auto"/>
          <w:sz w:val="24"/>
          <w:szCs w:val="32"/>
          <w:highlight w:val="none"/>
          <w:lang w:val="en-US" w:eastAsia="zh-CN"/>
        </w:rPr>
        <w:t>.</w:t>
      </w:r>
      <w:r>
        <w:rPr>
          <w:rFonts w:hint="eastAsia" w:asciiTheme="minorEastAsia" w:hAnsiTheme="minorEastAsia" w:eastAsiaTheme="minorEastAsia" w:cstheme="minorEastAsia"/>
          <w:b/>
          <w:bCs/>
          <w:color w:val="auto"/>
          <w:sz w:val="24"/>
          <w:szCs w:val="32"/>
          <w:highlight w:val="none"/>
        </w:rPr>
        <w:t>4-</w:t>
      </w:r>
      <w:r>
        <w:rPr>
          <w:rFonts w:hint="eastAsia" w:asciiTheme="minorEastAsia" w:hAnsiTheme="minorEastAsia" w:eastAsiaTheme="minorEastAsia" w:cstheme="minorEastAsia"/>
          <w:b/>
          <w:bCs/>
          <w:color w:val="auto"/>
          <w:sz w:val="24"/>
          <w:szCs w:val="32"/>
          <w:highlight w:val="none"/>
          <w:lang w:val="en-US" w:eastAsia="zh-CN"/>
        </w:rPr>
        <w:t xml:space="preserve">2  </w:t>
      </w:r>
      <w:r>
        <w:rPr>
          <w:rFonts w:hint="eastAsia" w:asciiTheme="minorEastAsia" w:hAnsiTheme="minorEastAsia" w:eastAsiaTheme="minorEastAsia" w:cstheme="minorEastAsia"/>
          <w:b/>
          <w:bCs/>
          <w:color w:val="auto"/>
          <w:sz w:val="24"/>
          <w:szCs w:val="32"/>
          <w:highlight w:val="none"/>
        </w:rPr>
        <w:t>黑龙江水土保持规划图</w:t>
      </w:r>
    </w:p>
    <w:p w14:paraId="6507DCFF">
      <w:pPr>
        <w:widowControl w:val="0"/>
        <w:adjustRightInd w:val="0"/>
        <w:snapToGrid w:val="0"/>
        <w:spacing w:line="360" w:lineRule="auto"/>
        <w:jc w:val="both"/>
        <w:outlineLvl w:val="3"/>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b/>
          <w:snapToGrid w:val="0"/>
          <w:color w:val="auto"/>
          <w:highlight w:val="none"/>
        </w:rPr>
        <w:t>1.4.2.6与《大气污染防治行动计划》、《黑龙江省大气污染防治条例》（201</w:t>
      </w:r>
      <w:r>
        <w:rPr>
          <w:rFonts w:hint="eastAsia" w:asciiTheme="minorEastAsia" w:hAnsiTheme="minorEastAsia" w:eastAsiaTheme="minorEastAsia" w:cstheme="minorEastAsia"/>
          <w:b/>
          <w:snapToGrid w:val="0"/>
          <w:color w:val="auto"/>
          <w:highlight w:val="none"/>
          <w:lang w:val="en-US" w:eastAsia="zh-CN"/>
        </w:rPr>
        <w:t>8修订版</w:t>
      </w:r>
      <w:r>
        <w:rPr>
          <w:rFonts w:hint="eastAsia" w:asciiTheme="minorEastAsia" w:hAnsiTheme="minorEastAsia" w:eastAsiaTheme="minorEastAsia" w:cstheme="minorEastAsia"/>
          <w:b/>
          <w:snapToGrid w:val="0"/>
          <w:color w:val="auto"/>
          <w:highlight w:val="none"/>
        </w:rPr>
        <w:t>）的符合性</w:t>
      </w:r>
    </w:p>
    <w:p w14:paraId="677D6310">
      <w:pPr>
        <w:widowControl w:val="0"/>
        <w:autoSpaceDE w:val="0"/>
        <w:autoSpaceDN w:val="0"/>
        <w:adjustRightInd w:val="0"/>
        <w:snapToGrid w:val="0"/>
        <w:spacing w:line="360" w:lineRule="auto"/>
        <w:ind w:firstLine="482" w:firstLineChars="20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4"/>
          <w:highlight w:val="none"/>
          <w:lang w:val="en-US" w:eastAsia="zh-CN"/>
        </w:rPr>
        <w:t>文件要求：</w:t>
      </w:r>
      <w:r>
        <w:rPr>
          <w:rFonts w:hint="eastAsia" w:asciiTheme="minorEastAsia" w:hAnsiTheme="minorEastAsia" w:eastAsiaTheme="minorEastAsia" w:cstheme="minorEastAsia"/>
          <w:color w:val="auto"/>
          <w:highlight w:val="none"/>
        </w:rPr>
        <w:t>根据《大气污染防治行动计划》：深化面源污染治理综合整治城市扬尘。加强施工扬尘监管，积极推进绿色施工，建设工程施工现场应全封闭设置围挡墙，严禁敞开式作业，施工现场道路应进行地面硬化。渣土运输车辆应采取密闭措施，并逐步安装卫星定位系统。推行道路机械化清扫等低尘作业方式。大型煤堆、料堆要实现封闭储存或建设防风抑尘设施。推进城市及周边绿化和防风防沙林建设，扩大城市建成区绿地规模。</w:t>
      </w:r>
    </w:p>
    <w:p w14:paraId="1CA53970">
      <w:pPr>
        <w:widowControl w:val="0"/>
        <w:autoSpaceDE w:val="0"/>
        <w:autoSpaceDN w:val="0"/>
        <w:adjustRightInd w:val="0"/>
        <w:snapToGrid w:val="0"/>
        <w:spacing w:line="360" w:lineRule="auto"/>
        <w:ind w:firstLine="480" w:firstLineChars="20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《黑龙江省大气污染防治条例》（</w:t>
      </w:r>
      <w:r>
        <w:rPr>
          <w:rFonts w:hint="eastAsia" w:asciiTheme="minorEastAsia" w:hAnsiTheme="minorEastAsia" w:eastAsiaTheme="minorEastAsia" w:cstheme="minorEastAsia"/>
          <w:color w:val="auto"/>
          <w:highlight w:val="none"/>
          <w:lang w:val="en-US" w:eastAsia="zh-CN"/>
        </w:rPr>
        <w:t>2018修订版</w:t>
      </w:r>
      <w:r>
        <w:rPr>
          <w:rFonts w:hint="eastAsia" w:asciiTheme="minorEastAsia" w:hAnsiTheme="minorEastAsia" w:eastAsiaTheme="minorEastAsia" w:cstheme="minorEastAsia"/>
          <w:color w:val="auto"/>
          <w:highlight w:val="none"/>
        </w:rPr>
        <w:t>）。在条例中“第三章大气污染防治措施，“第四十一条垃圾填埋活动产生的可燃性气体应当回收利用，不具备回收利用条件的，应当进行污染防治处理。普遍推行垃圾分类制度。垃圾焚烧设施的运营单位，应当按照国家规定，采取有效措施，实现达标排放。”“第五节扬尘和其他污染防治第五十六条运输煤炭、垃圾、渣土、砂石、土方、灰浆等散装、流体物料的车辆，应当采取密闭或者其他措施防止物料遗撒、泄漏，并按照规定的路线和时间行驶。”</w:t>
      </w:r>
    </w:p>
    <w:p w14:paraId="5F342E9F">
      <w:pPr>
        <w:widowControl w:val="0"/>
        <w:autoSpaceDE w:val="0"/>
        <w:autoSpaceDN w:val="0"/>
        <w:adjustRightInd w:val="0"/>
        <w:snapToGrid w:val="0"/>
        <w:spacing w:line="360" w:lineRule="auto"/>
        <w:ind w:firstLine="482" w:firstLineChars="20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2"/>
          <w:highlight w:val="none"/>
          <w:lang w:val="en-US" w:eastAsia="zh-CN"/>
        </w:rPr>
        <w:t>符合性分析：</w:t>
      </w:r>
      <w:r>
        <w:rPr>
          <w:rFonts w:hint="eastAsia" w:asciiTheme="minorEastAsia" w:hAnsiTheme="minorEastAsia" w:eastAsiaTheme="minorEastAsia" w:cstheme="minorEastAsia"/>
          <w:color w:val="auto"/>
          <w:highlight w:val="none"/>
        </w:rPr>
        <w:t>本项目</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rPr>
        <w:t>回填复垦区不需要供热，</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rPr>
        <w:t>回填复垦区填充材料为锅炉灰渣，属于无机废物，不存在可产生大量沼气的生物降解性物质以及相互通过化学反应产生气体的物质。回填</w:t>
      </w:r>
      <w:r>
        <w:rPr>
          <w:rFonts w:hint="eastAsia" w:asciiTheme="minorEastAsia" w:hAnsiTheme="minorEastAsia" w:eastAsiaTheme="minorEastAsia" w:cstheme="minorEastAsia"/>
          <w:color w:val="auto"/>
          <w:highlight w:val="none"/>
          <w:lang w:val="en-US" w:eastAsia="zh-CN"/>
        </w:rPr>
        <w:t>的</w:t>
      </w:r>
      <w:r>
        <w:rPr>
          <w:rFonts w:hint="eastAsia" w:asciiTheme="minorEastAsia" w:hAnsiTheme="minorEastAsia" w:eastAsiaTheme="minorEastAsia" w:cstheme="minorEastAsia"/>
          <w:color w:val="auto"/>
          <w:highlight w:val="none"/>
        </w:rPr>
        <w:t>灰渣均采用封闭运输，并按照规定的路线和时间行驶，因此本项目建设符合《大气污治行动计划》、《黑龙江省大气污染防治条例》。</w:t>
      </w:r>
    </w:p>
    <w:p w14:paraId="3584BB1F">
      <w:pPr>
        <w:widowControl w:val="0"/>
        <w:adjustRightInd w:val="0"/>
        <w:snapToGrid w:val="0"/>
        <w:spacing w:line="360" w:lineRule="auto"/>
        <w:jc w:val="both"/>
        <w:outlineLvl w:val="3"/>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b/>
          <w:snapToGrid w:val="0"/>
          <w:color w:val="auto"/>
          <w:highlight w:val="none"/>
        </w:rPr>
        <w:t>1.4.2.7与《黑龙江省“十四五”土壤地下水和农村生态环境保护规划》符合性分析</w:t>
      </w:r>
    </w:p>
    <w:p w14:paraId="68C0F598">
      <w:pPr>
        <w:widowControl w:val="0"/>
        <w:autoSpaceDE w:val="0"/>
        <w:autoSpaceDN w:val="0"/>
        <w:adjustRightInd w:val="0"/>
        <w:snapToGrid w:val="0"/>
        <w:spacing w:line="360" w:lineRule="auto"/>
        <w:ind w:firstLine="482" w:firstLineChars="20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4"/>
          <w:highlight w:val="none"/>
          <w:lang w:val="en-US" w:eastAsia="zh-CN"/>
        </w:rPr>
        <w:t>文件要求：</w:t>
      </w:r>
      <w:r>
        <w:rPr>
          <w:rFonts w:hint="eastAsia" w:asciiTheme="minorEastAsia" w:hAnsiTheme="minorEastAsia" w:eastAsiaTheme="minorEastAsia" w:cstheme="minorEastAsia"/>
          <w:color w:val="auto"/>
          <w:highlight w:val="none"/>
        </w:rPr>
        <w:t>根据黑龙江省人民政府关于印发《黑龙江省“十四五”土壤地下水和农村生态环境保护规划》的通知(黑政规[2021]19号)：“防控矿产资源开发污染土壤督促矿山企业依法落实环境污染修复工程措施，切实防治土壤污染。以实现资源利用高效化、开采方式科学化、生产工艺绿色化、矿山环境生态化为目标，全面推进绿色矿山建设。推动废弃矿山综合整治和生态修复，因地制宜管控矿区污染土壤和酸性废水环境风险，矿山生态修复可采取人工引导(人工干预)加速自然恢复的措施，重点保障农业生产和生活用水安全，鼓励采取自然恢复等措施</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w:t>
      </w:r>
    </w:p>
    <w:p w14:paraId="1B76346C">
      <w:pPr>
        <w:widowControl w:val="0"/>
        <w:autoSpaceDE w:val="0"/>
        <w:autoSpaceDN w:val="0"/>
        <w:adjustRightInd w:val="0"/>
        <w:snapToGrid w:val="0"/>
        <w:spacing w:line="360" w:lineRule="auto"/>
        <w:ind w:firstLine="482" w:firstLineChars="20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2"/>
          <w:highlight w:val="none"/>
          <w:lang w:val="en-US" w:eastAsia="zh-CN"/>
        </w:rPr>
        <w:t>符合性分析：</w:t>
      </w:r>
      <w:r>
        <w:rPr>
          <w:rFonts w:hint="eastAsia" w:asciiTheme="minorEastAsia" w:hAnsiTheme="minorEastAsia" w:eastAsiaTheme="minorEastAsia" w:cstheme="minorEastAsia"/>
          <w:color w:val="auto"/>
          <w:highlight w:val="none"/>
        </w:rPr>
        <w:t>本项目属于</w:t>
      </w:r>
      <w:r>
        <w:rPr>
          <w:rFonts w:hint="eastAsia" w:ascii="Times New Roman" w:hAnsi="宋体" w:eastAsia="宋体" w:cs="Times New Roman"/>
          <w:b w:val="0"/>
          <w:bCs/>
          <w:color w:val="auto"/>
          <w:kern w:val="0"/>
          <w:sz w:val="24"/>
          <w:szCs w:val="24"/>
          <w:highlight w:val="none"/>
          <w:lang w:val="en-US" w:eastAsia="zh-CN"/>
        </w:rPr>
        <w:t>灰渣回填复垦利用项目</w:t>
      </w:r>
      <w:r>
        <w:rPr>
          <w:rFonts w:hint="eastAsia" w:asciiTheme="minorEastAsia" w:hAnsiTheme="minorEastAsia" w:eastAsiaTheme="minorEastAsia" w:cstheme="minorEastAsia"/>
          <w:color w:val="auto"/>
          <w:highlight w:val="none"/>
        </w:rPr>
        <w:t>，项目的建设可以推动废弃土地综合整治和生态修复，属于人工引导加速自然恢复措施，符合《黑龙江省“十四五”土壤地下水和农村生态环境保护规划》(黑政规[2021119号)相关要求。</w:t>
      </w:r>
    </w:p>
    <w:p w14:paraId="17BB78DE">
      <w:pPr>
        <w:widowControl w:val="0"/>
        <w:adjustRightInd w:val="0"/>
        <w:snapToGrid w:val="0"/>
        <w:spacing w:line="360" w:lineRule="auto"/>
        <w:jc w:val="both"/>
        <w:outlineLvl w:val="3"/>
        <w:rPr>
          <w:rFonts w:hint="eastAsia" w:asciiTheme="minorEastAsia" w:hAnsiTheme="minorEastAsia" w:eastAsiaTheme="minorEastAsia" w:cstheme="minorEastAsia"/>
          <w:b/>
          <w:bCs/>
          <w:color w:val="auto"/>
          <w:szCs w:val="24"/>
          <w:highlight w:val="none"/>
        </w:rPr>
      </w:pPr>
      <w:r>
        <w:rPr>
          <w:rFonts w:hint="eastAsia" w:asciiTheme="minorEastAsia" w:hAnsiTheme="minorEastAsia" w:eastAsiaTheme="minorEastAsia" w:cstheme="minorEastAsia"/>
          <w:b/>
          <w:snapToGrid w:val="0"/>
          <w:color w:val="auto"/>
          <w:highlight w:val="none"/>
        </w:rPr>
        <w:t>1.4.2.</w:t>
      </w:r>
      <w:r>
        <w:rPr>
          <w:rFonts w:hint="eastAsia" w:asciiTheme="minorEastAsia" w:hAnsiTheme="minorEastAsia" w:eastAsiaTheme="minorEastAsia" w:cstheme="minorEastAsia"/>
          <w:b/>
          <w:snapToGrid w:val="0"/>
          <w:color w:val="auto"/>
          <w:highlight w:val="none"/>
          <w:lang w:val="en-US" w:eastAsia="zh-CN"/>
        </w:rPr>
        <w:t>8</w:t>
      </w:r>
      <w:r>
        <w:rPr>
          <w:rFonts w:hint="eastAsia" w:asciiTheme="minorEastAsia" w:hAnsiTheme="minorEastAsia" w:eastAsiaTheme="minorEastAsia" w:cstheme="minorEastAsia"/>
          <w:b/>
          <w:snapToGrid w:val="0"/>
          <w:color w:val="auto"/>
          <w:highlight w:val="none"/>
        </w:rPr>
        <w:t>与《黑龙江省土壤</w:t>
      </w:r>
      <w:r>
        <w:rPr>
          <w:rFonts w:hint="eastAsia" w:asciiTheme="minorEastAsia" w:hAnsiTheme="minorEastAsia" w:eastAsiaTheme="minorEastAsia" w:cstheme="minorEastAsia"/>
          <w:b/>
          <w:snapToGrid w:val="0"/>
          <w:color w:val="auto"/>
          <w:highlight w:val="none"/>
          <w:lang w:eastAsia="zh-CN"/>
        </w:rPr>
        <w:t>污染</w:t>
      </w:r>
      <w:r>
        <w:rPr>
          <w:rFonts w:hint="eastAsia" w:asciiTheme="minorEastAsia" w:hAnsiTheme="minorEastAsia" w:eastAsiaTheme="minorEastAsia" w:cstheme="minorEastAsia"/>
          <w:b/>
          <w:snapToGrid w:val="0"/>
          <w:color w:val="auto"/>
          <w:highlight w:val="none"/>
        </w:rPr>
        <w:t>防治实施方案》符合性</w:t>
      </w:r>
    </w:p>
    <w:p w14:paraId="66BC7465">
      <w:pPr>
        <w:keepNext w:val="0"/>
        <w:keepLines w:val="0"/>
        <w:pageBreakBefore w:val="0"/>
        <w:widowControl w:val="0"/>
        <w:kinsoku/>
        <w:wordWrap/>
        <w:overflowPunct/>
        <w:topLinePunct w:val="0"/>
        <w:autoSpaceDE/>
        <w:autoSpaceDN/>
        <w:bidi w:val="0"/>
        <w:adjustRightInd w:val="0"/>
        <w:snapToGrid w:val="0"/>
        <w:spacing w:line="360" w:lineRule="auto"/>
        <w:ind w:firstLine="482"/>
        <w:jc w:val="both"/>
        <w:textAlignment w:val="auto"/>
        <w:outlineLvl w:val="9"/>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4"/>
          <w:highlight w:val="none"/>
          <w:lang w:val="en-US" w:eastAsia="zh-CN"/>
        </w:rPr>
        <w:t>文件要求：</w:t>
      </w:r>
      <w:r>
        <w:rPr>
          <w:rFonts w:hint="eastAsia" w:asciiTheme="minorEastAsia" w:hAnsiTheme="minorEastAsia" w:eastAsiaTheme="minorEastAsia" w:cstheme="minorEastAsia"/>
          <w:color w:val="auto"/>
          <w:highlight w:val="none"/>
        </w:rPr>
        <w:t>根据《黑龙江省土壤污染防治实施方案》</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“加强工业废物处理处置。全面整治尾矿、</w:t>
      </w:r>
      <w:r>
        <w:rPr>
          <w:rFonts w:hint="eastAsia" w:asciiTheme="minorEastAsia" w:hAnsiTheme="minorEastAsia" w:eastAsiaTheme="minorEastAsia" w:cstheme="minorEastAsia"/>
          <w:color w:val="auto"/>
          <w:highlight w:val="none"/>
          <w:lang w:val="en-US" w:eastAsia="zh-CN"/>
        </w:rPr>
        <w:t>煤矸石</w:t>
      </w:r>
      <w:r>
        <w:rPr>
          <w:rFonts w:hint="eastAsia" w:asciiTheme="minorEastAsia" w:hAnsiTheme="minorEastAsia" w:eastAsiaTheme="minorEastAsia" w:cstheme="minorEastAsia"/>
          <w:color w:val="auto"/>
          <w:highlight w:val="none"/>
        </w:rPr>
        <w:t>、工业副产石膏、粉煤灰、冶炼渣、电石渣、铬渣、砷渣以及脱硫、脱硝、除尘产生固体废物的堆存场所，完善防扬散、防流失、防渗漏等设施，制定整治方案并有序实施。加强工业固体废物综合利用。对电子废物、废轮胎、废塑料等再生利用活动进行清理整顿，引导有关企业采用先进适用加工工艺集聚发展，集中建设和运营污染治理设施，防止污染土壤和地下水。”</w:t>
      </w:r>
    </w:p>
    <w:p w14:paraId="720E6105">
      <w:pPr>
        <w:pStyle w:val="77"/>
        <w:widowControl w:val="0"/>
        <w:snapToGrid w:val="0"/>
        <w:spacing w:before="0" w:beforeAutospacing="0" w:after="0" w:afterAutospacing="0" w:line="360" w:lineRule="auto"/>
        <w:ind w:firstLine="482" w:firstLineChars="20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2"/>
          <w:highlight w:val="none"/>
          <w:lang w:val="en-US" w:eastAsia="zh-CN"/>
        </w:rPr>
        <w:t>符合性分析：</w:t>
      </w:r>
      <w:r>
        <w:rPr>
          <w:rFonts w:hint="eastAsia" w:asciiTheme="minorEastAsia" w:hAnsiTheme="minorEastAsia" w:eastAsiaTheme="minorEastAsia" w:cstheme="minorEastAsia"/>
          <w:color w:val="auto"/>
          <w:highlight w:val="none"/>
        </w:rPr>
        <w:t>本项目属于</w:t>
      </w:r>
      <w:r>
        <w:rPr>
          <w:rFonts w:hint="eastAsia" w:ascii="Times New Roman" w:hAnsi="宋体" w:eastAsia="宋体" w:cs="Times New Roman"/>
          <w:b w:val="0"/>
          <w:bCs/>
          <w:color w:val="auto"/>
          <w:kern w:val="0"/>
          <w:sz w:val="24"/>
          <w:szCs w:val="24"/>
          <w:highlight w:val="none"/>
          <w:lang w:val="en-US" w:eastAsia="zh-CN"/>
        </w:rPr>
        <w:t>灰渣回填复垦利用项目</w:t>
      </w:r>
      <w:r>
        <w:rPr>
          <w:rFonts w:hint="eastAsia" w:asciiTheme="minorEastAsia" w:hAnsiTheme="minorEastAsia" w:eastAsiaTheme="minorEastAsia" w:cstheme="minorEastAsia"/>
          <w:color w:val="auto"/>
          <w:highlight w:val="none"/>
          <w:lang w:val="en-US" w:eastAsia="zh-CN"/>
        </w:rPr>
        <w:t>，利用锅炉灰渣作为回填料对废弃</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lang w:val="en-US" w:eastAsia="zh-CN"/>
        </w:rPr>
        <w:t>进行回填、封场，</w:t>
      </w:r>
      <w:r>
        <w:rPr>
          <w:rFonts w:hint="eastAsia" w:ascii="Times New Roman" w:hAnsi="Times New Roman" w:eastAsia="宋体" w:cs="Times New Roman"/>
          <w:color w:val="auto"/>
          <w:sz w:val="24"/>
          <w:szCs w:val="24"/>
          <w:highlight w:val="none"/>
          <w:lang w:val="en-US" w:eastAsia="zh-CN"/>
        </w:rPr>
        <w:t>当地高标准农田建设</w:t>
      </w:r>
      <w:r>
        <w:rPr>
          <w:rFonts w:ascii="Times New Roman" w:hAnsi="Times New Roman" w:eastAsia="宋体" w:cs="Times New Roman"/>
          <w:color w:val="auto"/>
          <w:sz w:val="24"/>
          <w:szCs w:val="24"/>
          <w:highlight w:val="none"/>
        </w:rPr>
        <w:t>剥离的</w:t>
      </w:r>
      <w:r>
        <w:rPr>
          <w:rFonts w:hint="eastAsia" w:ascii="Times New Roman" w:hAnsi="Times New Roman" w:eastAsia="宋体" w:cs="Times New Roman"/>
          <w:color w:val="auto"/>
          <w:sz w:val="24"/>
          <w:szCs w:val="24"/>
          <w:highlight w:val="none"/>
          <w:lang w:val="en-US" w:eastAsia="zh-CN"/>
        </w:rPr>
        <w:t>种植</w:t>
      </w:r>
      <w:r>
        <w:rPr>
          <w:rFonts w:ascii="Times New Roman" w:hAnsi="Times New Roman" w:eastAsia="宋体" w:cs="Times New Roman"/>
          <w:color w:val="auto"/>
          <w:sz w:val="24"/>
          <w:szCs w:val="24"/>
          <w:highlight w:val="none"/>
        </w:rPr>
        <w:t>表土进行回填，将治理区恢复为</w:t>
      </w:r>
      <w:r>
        <w:rPr>
          <w:rFonts w:hint="eastAsia" w:ascii="Times New Roman" w:hAnsi="Times New Roman" w:eastAsia="宋体" w:cs="Times New Roman"/>
          <w:color w:val="auto"/>
          <w:sz w:val="24"/>
          <w:szCs w:val="24"/>
          <w:highlight w:val="none"/>
          <w:lang w:val="en-US" w:eastAsia="zh-CN"/>
        </w:rPr>
        <w:t>林</w:t>
      </w:r>
      <w:r>
        <w:rPr>
          <w:rFonts w:ascii="Times New Roman" w:hAnsi="Times New Roman" w:eastAsia="宋体" w:cs="Times New Roman"/>
          <w:color w:val="auto"/>
          <w:sz w:val="24"/>
          <w:szCs w:val="24"/>
          <w:highlight w:val="none"/>
        </w:rPr>
        <w:t>地</w:t>
      </w:r>
      <w:r>
        <w:rPr>
          <w:rFonts w:hint="eastAsia" w:asciiTheme="minorEastAsia" w:hAnsiTheme="minorEastAsia" w:eastAsiaTheme="minorEastAsia" w:cstheme="minorEastAsia"/>
          <w:color w:val="auto"/>
          <w:highlight w:val="none"/>
        </w:rPr>
        <w:t>，项目运输过程中采取密闭运输，可以做到防扬散、防流失，</w:t>
      </w:r>
      <w:r>
        <w:rPr>
          <w:rFonts w:hint="eastAsia"/>
          <w:color w:val="auto"/>
          <w:highlight w:val="none"/>
          <w:lang w:val="en-US" w:eastAsia="zh-CN"/>
        </w:rPr>
        <w:t>本项目回填灰渣</w:t>
      </w:r>
      <w:r>
        <w:rPr>
          <w:rFonts w:hint="eastAsia" w:ascii="Times New Roman"/>
          <w:color w:val="auto"/>
          <w:highlight w:val="none"/>
        </w:rPr>
        <w:t>属于</w:t>
      </w:r>
      <w:r>
        <w:rPr>
          <w:rFonts w:ascii="Times New Roman"/>
          <w:color w:val="auto"/>
          <w:highlight w:val="none"/>
        </w:rPr>
        <w:t>I类一般工业固体废物</w:t>
      </w:r>
      <w:r>
        <w:rPr>
          <w:rFonts w:hint="eastAsia" w:ascii="Times New Roman"/>
          <w:color w:val="auto"/>
          <w:highlight w:val="none"/>
          <w:lang w:eastAsia="zh-CN"/>
        </w:rPr>
        <w:t>，</w:t>
      </w:r>
      <w:r>
        <w:rPr>
          <w:rFonts w:hint="eastAsia" w:ascii="Times New Roman"/>
          <w:color w:val="auto"/>
          <w:highlight w:val="none"/>
          <w:lang w:val="en-US" w:eastAsia="zh-CN"/>
        </w:rPr>
        <w:t>采砂坑</w:t>
      </w:r>
      <w:r>
        <w:rPr>
          <w:rFonts w:hint="eastAsia" w:ascii="Times New Roman"/>
          <w:color w:val="auto"/>
          <w:highlight w:val="none"/>
          <w:lang w:eastAsia="zh-CN"/>
        </w:rPr>
        <w:t>场地底部做基础防渗，其防渗性</w:t>
      </w:r>
      <w:r>
        <w:rPr>
          <w:rFonts w:hint="eastAsia" w:ascii="Times New Roman"/>
          <w:color w:val="auto"/>
          <w:highlight w:val="none"/>
          <w:lang w:val="en-US" w:eastAsia="zh-CN"/>
        </w:rPr>
        <w:t>K≤</w:t>
      </w:r>
      <w:r>
        <w:rPr>
          <w:rFonts w:hint="default" w:ascii="Times New Roman" w:hAnsi="Times New Roman" w:cs="Times New Roman"/>
          <w:color w:val="auto"/>
          <w:highlight w:val="none"/>
          <w:lang w:eastAsia="zh-CN"/>
        </w:rPr>
        <w:t>1.0×10</w:t>
      </w:r>
      <w:r>
        <w:rPr>
          <w:rFonts w:hint="default" w:ascii="Times New Roman" w:hAnsi="Times New Roman" w:cs="Times New Roman"/>
          <w:color w:val="auto"/>
          <w:highlight w:val="none"/>
          <w:vertAlign w:val="superscript"/>
          <w:lang w:eastAsia="zh-CN"/>
        </w:rPr>
        <w:t>-7</w:t>
      </w:r>
      <w:r>
        <w:rPr>
          <w:rFonts w:hint="eastAsia" w:ascii="Times New Roman"/>
          <w:color w:val="auto"/>
          <w:highlight w:val="none"/>
          <w:lang w:eastAsia="zh-CN"/>
        </w:rPr>
        <w:t>cm/s，能够满足《一般工业固体废物贮存和填埋污染控制标准》（GB18599-2020）I类一般工业固体废物填埋场设置要求，能够有效防止淋滤水渗漏。</w:t>
      </w:r>
      <w:r>
        <w:rPr>
          <w:rFonts w:hint="eastAsia" w:ascii="Times New Roman"/>
          <w:color w:val="auto"/>
          <w:highlight w:val="none"/>
          <w:lang w:val="en-US" w:eastAsia="zh-CN"/>
        </w:rPr>
        <w:t>对项目所在地地下水和土壤影响较小</w:t>
      </w:r>
      <w:r>
        <w:rPr>
          <w:rFonts w:hint="eastAsia" w:asciiTheme="minorEastAsia" w:hAnsiTheme="minorEastAsia" w:eastAsiaTheme="minorEastAsia" w:cstheme="minorEastAsia"/>
          <w:color w:val="auto"/>
          <w:highlight w:val="none"/>
        </w:rPr>
        <w:t>，满足《黑龙江省土壤污染防治实施方案》相关要求。</w:t>
      </w:r>
    </w:p>
    <w:p w14:paraId="155CD9F7">
      <w:pPr>
        <w:widowControl w:val="0"/>
        <w:adjustRightInd w:val="0"/>
        <w:snapToGrid w:val="0"/>
        <w:spacing w:line="360" w:lineRule="auto"/>
        <w:jc w:val="both"/>
        <w:outlineLvl w:val="3"/>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b/>
          <w:snapToGrid w:val="0"/>
          <w:color w:val="auto"/>
          <w:highlight w:val="none"/>
        </w:rPr>
        <w:t>1.4.2.</w:t>
      </w:r>
      <w:r>
        <w:rPr>
          <w:rFonts w:hint="eastAsia" w:asciiTheme="minorEastAsia" w:hAnsiTheme="minorEastAsia" w:eastAsiaTheme="minorEastAsia" w:cstheme="minorEastAsia"/>
          <w:b/>
          <w:snapToGrid w:val="0"/>
          <w:color w:val="auto"/>
          <w:highlight w:val="none"/>
          <w:lang w:val="en-US" w:eastAsia="zh-CN"/>
        </w:rPr>
        <w:t>9</w:t>
      </w:r>
      <w:r>
        <w:rPr>
          <w:rFonts w:hint="eastAsia" w:asciiTheme="minorEastAsia" w:hAnsiTheme="minorEastAsia" w:eastAsiaTheme="minorEastAsia" w:cstheme="minorEastAsia"/>
          <w:b/>
          <w:snapToGrid w:val="0"/>
          <w:color w:val="auto"/>
          <w:highlight w:val="none"/>
        </w:rPr>
        <w:t>与《粉煤灰综合利用管理办法》符合性</w:t>
      </w:r>
    </w:p>
    <w:p w14:paraId="7FB5BBE0">
      <w:pPr>
        <w:keepNext w:val="0"/>
        <w:keepLines w:val="0"/>
        <w:pageBreakBefore w:val="0"/>
        <w:widowControl w:val="0"/>
        <w:kinsoku/>
        <w:wordWrap/>
        <w:overflowPunct/>
        <w:topLinePunct w:val="0"/>
        <w:autoSpaceDE/>
        <w:autoSpaceDN/>
        <w:bidi w:val="0"/>
        <w:adjustRightInd w:val="0"/>
        <w:snapToGrid w:val="0"/>
        <w:spacing w:line="360" w:lineRule="auto"/>
        <w:ind w:firstLine="482"/>
        <w:jc w:val="both"/>
        <w:textAlignment w:val="auto"/>
        <w:outlineLvl w:val="9"/>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b/>
          <w:bCs/>
          <w:color w:val="auto"/>
          <w:szCs w:val="24"/>
          <w:highlight w:val="none"/>
          <w:lang w:val="en-US" w:eastAsia="zh-CN"/>
        </w:rPr>
        <w:t>文件要求：</w:t>
      </w:r>
      <w:r>
        <w:rPr>
          <w:rFonts w:hint="eastAsia" w:asciiTheme="minorEastAsia" w:hAnsiTheme="minorEastAsia" w:eastAsiaTheme="minorEastAsia" w:cstheme="minorEastAsia"/>
          <w:color w:val="auto"/>
          <w:highlight w:val="none"/>
        </w:rPr>
        <w:t>根据《粉煤灰综合利用管理办法》要求：粉煤灰运输须使用专用封闭罐车，严格遵守环境保护等有关部门规定和要求，避免二次污染。本办法所称粉煤灰是指燃煤电厂以及煤矸石、煤泥资源综合利用电厂（以下称产灰单位）锅炉烟气经除尘器收集后获得的细小飞灰和炉底渣</w:t>
      </w:r>
      <w:r>
        <w:rPr>
          <w:rFonts w:hint="eastAsia" w:asciiTheme="minorEastAsia" w:hAnsiTheme="minorEastAsia" w:eastAsiaTheme="minorEastAsia" w:cstheme="minorEastAsia"/>
          <w:color w:val="auto"/>
          <w:highlight w:val="none"/>
          <w:lang w:val="en-US" w:eastAsia="zh-CN"/>
        </w:rPr>
        <w:t>。</w:t>
      </w:r>
    </w:p>
    <w:p w14:paraId="7684C0AE">
      <w:pPr>
        <w:keepNext w:val="0"/>
        <w:keepLines w:val="0"/>
        <w:pageBreakBefore w:val="0"/>
        <w:widowControl w:val="0"/>
        <w:kinsoku/>
        <w:wordWrap/>
        <w:overflowPunct/>
        <w:topLinePunct w:val="0"/>
        <w:autoSpaceDE/>
        <w:autoSpaceDN/>
        <w:bidi w:val="0"/>
        <w:adjustRightInd w:val="0"/>
        <w:snapToGrid w:val="0"/>
        <w:spacing w:line="360" w:lineRule="auto"/>
        <w:ind w:firstLine="482"/>
        <w:jc w:val="both"/>
        <w:textAlignment w:val="auto"/>
        <w:outlineLvl w:val="9"/>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2"/>
          <w:highlight w:val="none"/>
          <w:lang w:val="en-US" w:eastAsia="zh-CN"/>
        </w:rPr>
        <w:t>符合性分析：</w:t>
      </w:r>
      <w:r>
        <w:rPr>
          <w:rFonts w:hint="eastAsia" w:asciiTheme="minorEastAsia" w:hAnsiTheme="minorEastAsia" w:eastAsiaTheme="minorEastAsia" w:cstheme="minorEastAsia"/>
          <w:color w:val="auto"/>
          <w:highlight w:val="none"/>
        </w:rPr>
        <w:t>本项目充填</w:t>
      </w:r>
      <w:r>
        <w:rPr>
          <w:rFonts w:hint="eastAsia" w:asciiTheme="minorEastAsia" w:hAnsiTheme="minorEastAsia" w:eastAsiaTheme="minorEastAsia" w:cstheme="minorEastAsia"/>
          <w:color w:val="auto"/>
          <w:highlight w:val="none"/>
          <w:lang w:val="en-US" w:eastAsia="zh-CN"/>
        </w:rPr>
        <w:t>料为锅炉</w:t>
      </w:r>
      <w:r>
        <w:rPr>
          <w:rFonts w:hint="eastAsia" w:asciiTheme="minorEastAsia" w:hAnsiTheme="minorEastAsia" w:eastAsiaTheme="minorEastAsia" w:cstheme="minorEastAsia"/>
          <w:color w:val="auto"/>
          <w:highlight w:val="none"/>
        </w:rPr>
        <w:t>灰渣，因此本项目灰渣出场前进行加湿，</w:t>
      </w:r>
      <w:r>
        <w:rPr>
          <w:rFonts w:hint="eastAsia" w:asciiTheme="minorEastAsia" w:hAnsiTheme="minorEastAsia" w:eastAsiaTheme="minorEastAsia" w:cstheme="minorEastAsia"/>
          <w:color w:val="auto"/>
          <w:highlight w:val="none"/>
          <w:lang w:val="en-US" w:eastAsia="zh-CN"/>
        </w:rPr>
        <w:t>并采用专用灰罐车进行运输</w:t>
      </w:r>
      <w:r>
        <w:rPr>
          <w:rFonts w:hint="eastAsia" w:asciiTheme="minorEastAsia" w:hAnsiTheme="minorEastAsia" w:eastAsiaTheme="minorEastAsia" w:cstheme="minorEastAsia"/>
          <w:color w:val="auto"/>
          <w:highlight w:val="none"/>
        </w:rPr>
        <w:t>，满足《粉煤灰综合利用管理办法》避免烟尘二次污染要求。</w:t>
      </w:r>
    </w:p>
    <w:p w14:paraId="2B5913BA">
      <w:pPr>
        <w:widowControl w:val="0"/>
        <w:adjustRightInd w:val="0"/>
        <w:snapToGrid w:val="0"/>
        <w:spacing w:line="360" w:lineRule="auto"/>
        <w:jc w:val="both"/>
        <w:outlineLvl w:val="3"/>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snapToGrid w:val="0"/>
          <w:color w:val="auto"/>
          <w:highlight w:val="none"/>
        </w:rPr>
        <w:t>1.4.2.1</w:t>
      </w:r>
      <w:r>
        <w:rPr>
          <w:rFonts w:hint="eastAsia" w:asciiTheme="minorEastAsia" w:hAnsiTheme="minorEastAsia" w:eastAsiaTheme="minorEastAsia" w:cstheme="minorEastAsia"/>
          <w:b/>
          <w:snapToGrid w:val="0"/>
          <w:color w:val="auto"/>
          <w:highlight w:val="none"/>
          <w:lang w:val="en-US" w:eastAsia="zh-CN"/>
        </w:rPr>
        <w:t>0</w:t>
      </w:r>
      <w:r>
        <w:rPr>
          <w:rFonts w:hint="eastAsia" w:asciiTheme="minorEastAsia" w:hAnsiTheme="minorEastAsia" w:eastAsiaTheme="minorEastAsia" w:cstheme="minorEastAsia"/>
          <w:b/>
          <w:snapToGrid w:val="0"/>
          <w:color w:val="auto"/>
          <w:highlight w:val="none"/>
        </w:rPr>
        <w:t>与《土地复垦条例》（国务院令第592号）相符性分析</w:t>
      </w:r>
    </w:p>
    <w:p w14:paraId="45DBECF2">
      <w:pPr>
        <w:pStyle w:val="1233"/>
        <w:widowControl w:val="0"/>
        <w:snapToGrid w:val="0"/>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24"/>
          <w:highlight w:val="none"/>
          <w:lang w:val="en-US" w:eastAsia="zh-CN"/>
        </w:rPr>
        <w:t>文件要求：</w:t>
      </w:r>
      <w:r>
        <w:rPr>
          <w:rFonts w:hint="eastAsia" w:asciiTheme="minorEastAsia" w:hAnsiTheme="minorEastAsia" w:eastAsiaTheme="minorEastAsia" w:cstheme="minorEastAsia"/>
          <w:color w:val="auto"/>
          <w:highlight w:val="none"/>
        </w:rPr>
        <w:t>根据《土地复垦条例》相关内容，“第十六条土地复垦义务人应当建立土地复垦质量控制制度，遵守土地复垦标准和环境保护标准，保护土壤质量与生态环境，避免污染土壤和地下水。…禁止将重金属污染物或者其他有毒有害物质用作回填或者充填材料。受重金属污染物或者其他有毒有害物质污染的土地复垦后，达不到国家有关标准的，不得用于种植食用农作物。”</w:t>
      </w:r>
    </w:p>
    <w:p w14:paraId="17917F2A">
      <w:pPr>
        <w:pStyle w:val="77"/>
        <w:widowControl w:val="0"/>
        <w:snapToGrid w:val="0"/>
        <w:spacing w:before="0" w:beforeAutospacing="0" w:after="0" w:afterAutospacing="0" w:line="360" w:lineRule="auto"/>
        <w:ind w:firstLine="482" w:firstLineChars="200"/>
        <w:jc w:val="both"/>
        <w:rPr>
          <w:rFonts w:hint="eastAsia" w:asciiTheme="minorEastAsia" w:hAnsiTheme="minorEastAsia" w:eastAsiaTheme="minorEastAsia" w:cstheme="minorEastAsia"/>
          <w:color w:val="auto"/>
          <w:szCs w:val="24"/>
          <w:highlight w:val="none"/>
          <w:lang w:eastAsia="zh-CN"/>
        </w:rPr>
      </w:pPr>
      <w:r>
        <w:rPr>
          <w:rFonts w:hint="eastAsia" w:asciiTheme="minorEastAsia" w:hAnsiTheme="minorEastAsia" w:eastAsiaTheme="minorEastAsia" w:cstheme="minorEastAsia"/>
          <w:b/>
          <w:bCs/>
          <w:color w:val="auto"/>
          <w:szCs w:val="22"/>
          <w:highlight w:val="none"/>
          <w:lang w:val="en-US" w:eastAsia="zh-CN"/>
        </w:rPr>
        <w:t>符合性分析：</w:t>
      </w:r>
      <w:r>
        <w:rPr>
          <w:rFonts w:hint="eastAsia" w:asciiTheme="minorEastAsia" w:hAnsiTheme="minorEastAsia" w:eastAsiaTheme="minorEastAsia" w:cstheme="minorEastAsia"/>
          <w:color w:val="auto"/>
          <w:szCs w:val="24"/>
          <w:highlight w:val="none"/>
        </w:rPr>
        <w:t>本项目回填使用</w:t>
      </w:r>
      <w:r>
        <w:rPr>
          <w:rFonts w:hint="eastAsia" w:asciiTheme="minorEastAsia" w:hAnsiTheme="minorEastAsia" w:eastAsiaTheme="minorEastAsia" w:cstheme="minorEastAsia"/>
          <w:color w:val="auto"/>
          <w:szCs w:val="24"/>
          <w:highlight w:val="none"/>
          <w:lang w:val="en-US" w:eastAsia="zh-CN"/>
        </w:rPr>
        <w:t>的</w:t>
      </w:r>
      <w:r>
        <w:rPr>
          <w:rFonts w:hint="eastAsia" w:asciiTheme="minorEastAsia" w:hAnsiTheme="minorEastAsia" w:eastAsiaTheme="minorEastAsia" w:cstheme="minorEastAsia"/>
          <w:color w:val="auto"/>
          <w:szCs w:val="24"/>
          <w:highlight w:val="none"/>
        </w:rPr>
        <w:t>灰渣全部来源于</w:t>
      </w:r>
      <w:r>
        <w:rPr>
          <w:rFonts w:hint="eastAsia" w:asciiTheme="minorEastAsia" w:hAnsiTheme="minorEastAsia" w:eastAsiaTheme="minorEastAsia" w:cstheme="minorEastAsia"/>
          <w:color w:val="auto"/>
          <w:sz w:val="24"/>
          <w:szCs w:val="24"/>
          <w:highlight w:val="none"/>
          <w:lang w:val="en-US" w:eastAsia="zh-CN"/>
        </w:rPr>
        <w:t>尚志市周边企业锅炉产生的灰渣</w:t>
      </w:r>
      <w:r>
        <w:rPr>
          <w:rFonts w:hint="eastAsia" w:asciiTheme="minorEastAsia" w:hAnsiTheme="minorEastAsia" w:eastAsiaTheme="minorEastAsia" w:cstheme="minorEastAsia"/>
          <w:color w:val="auto"/>
          <w:szCs w:val="24"/>
          <w:highlight w:val="none"/>
        </w:rPr>
        <w:t>，根据灰渣浸出液</w:t>
      </w:r>
      <w:r>
        <w:rPr>
          <w:rFonts w:hint="eastAsia" w:asciiTheme="minorEastAsia" w:hAnsiTheme="minorEastAsia" w:eastAsiaTheme="minorEastAsia" w:cstheme="minorEastAsia"/>
          <w:color w:val="auto"/>
          <w:szCs w:val="24"/>
          <w:highlight w:val="none"/>
          <w:lang w:val="en-US" w:eastAsia="zh-CN"/>
        </w:rPr>
        <w:t>检测结果：</w:t>
      </w:r>
      <w:r>
        <w:rPr>
          <w:rFonts w:hint="eastAsia" w:asciiTheme="minorEastAsia" w:hAnsiTheme="minorEastAsia" w:eastAsiaTheme="minorEastAsia" w:cstheme="minorEastAsia"/>
          <w:color w:val="auto"/>
          <w:sz w:val="24"/>
          <w:szCs w:val="22"/>
          <w:highlight w:val="none"/>
          <w:lang w:val="en-US" w:eastAsia="zh-CN" w:bidi="ar-SA"/>
        </w:rPr>
        <w:t>灰渣浸出液中任何一种污染物的浓度均未超过《污水综合排放标准》（GB 8978-1996）中最高允许排放浓度，且pH值在6-9范围之内，因此</w:t>
      </w:r>
      <w:r>
        <w:rPr>
          <w:rFonts w:hint="eastAsia" w:asciiTheme="minorEastAsia" w:hAnsiTheme="minorEastAsia" w:eastAsiaTheme="minorEastAsia" w:cstheme="minorEastAsia"/>
          <w:color w:val="auto"/>
          <w:spacing w:val="2"/>
          <w:szCs w:val="24"/>
          <w:highlight w:val="none"/>
          <w:lang w:val="en-US" w:eastAsia="zh-CN"/>
        </w:rPr>
        <w:t>本项目使用的</w:t>
      </w:r>
      <w:r>
        <w:rPr>
          <w:rFonts w:hint="eastAsia" w:asciiTheme="minorEastAsia" w:hAnsiTheme="minorEastAsia" w:eastAsiaTheme="minorEastAsia" w:cstheme="minorEastAsia"/>
          <w:color w:val="auto"/>
          <w:szCs w:val="24"/>
          <w:highlight w:val="none"/>
        </w:rPr>
        <w:t>灰渣</w:t>
      </w:r>
      <w:r>
        <w:rPr>
          <w:rFonts w:hint="eastAsia" w:asciiTheme="minorEastAsia" w:hAnsiTheme="minorEastAsia" w:eastAsiaTheme="minorEastAsia" w:cstheme="minorEastAsia"/>
          <w:color w:val="auto"/>
          <w:highlight w:val="none"/>
          <w:shd w:val="clear" w:color="auto" w:fill="FFFFFF"/>
        </w:rPr>
        <w:t>属于“</w:t>
      </w:r>
      <w:r>
        <w:rPr>
          <w:rFonts w:hint="eastAsia" w:asciiTheme="minorEastAsia" w:hAnsiTheme="minorEastAsia" w:eastAsiaTheme="minorEastAsia" w:cstheme="minorEastAsia"/>
          <w:color w:val="auto"/>
          <w:kern w:val="2"/>
          <w:szCs w:val="22"/>
          <w:highlight w:val="none"/>
          <w:lang w:bidi="ar"/>
        </w:rPr>
        <w:t>第I类一般工业固体废物</w:t>
      </w:r>
      <w:r>
        <w:rPr>
          <w:rFonts w:hint="eastAsia" w:asciiTheme="minorEastAsia" w:hAnsiTheme="minorEastAsia" w:eastAsiaTheme="minorEastAsia" w:cstheme="minorEastAsia"/>
          <w:color w:val="auto"/>
          <w:highlight w:val="none"/>
          <w:shd w:val="clear" w:color="auto" w:fill="FFFFFF"/>
        </w:rPr>
        <w:t>”</w:t>
      </w:r>
      <w:r>
        <w:rPr>
          <w:rFonts w:hint="eastAsia" w:asciiTheme="minorEastAsia" w:hAnsiTheme="minorEastAsia" w:eastAsiaTheme="minorEastAsia" w:cstheme="minorEastAsia"/>
          <w:color w:val="auto"/>
          <w:highlight w:val="none"/>
          <w:shd w:val="clear" w:color="auto" w:fill="FFFFFF"/>
          <w:lang w:eastAsia="zh-CN"/>
        </w:rPr>
        <w:t>，</w:t>
      </w:r>
      <w:r>
        <w:rPr>
          <w:rFonts w:hint="eastAsia" w:asciiTheme="minorEastAsia" w:hAnsiTheme="minorEastAsia" w:eastAsiaTheme="minorEastAsia" w:cstheme="minorEastAsia"/>
          <w:color w:val="auto"/>
          <w:kern w:val="2"/>
          <w:szCs w:val="22"/>
          <w:highlight w:val="none"/>
          <w:lang w:val="en-US" w:eastAsia="zh-CN" w:bidi="ar"/>
        </w:rPr>
        <w:t>且有机质含量小于2%，水溶性盐总量小于2%</w:t>
      </w:r>
      <w:r>
        <w:rPr>
          <w:rFonts w:hint="eastAsia" w:asciiTheme="minorEastAsia" w:hAnsiTheme="minorEastAsia" w:eastAsiaTheme="minorEastAsia" w:cstheme="minorEastAsia"/>
          <w:color w:val="auto"/>
          <w:kern w:val="2"/>
          <w:szCs w:val="22"/>
          <w:highlight w:val="none"/>
          <w:lang w:eastAsia="zh-CN" w:bidi="ar"/>
        </w:rPr>
        <w:t>；</w:t>
      </w:r>
      <w:r>
        <w:rPr>
          <w:rFonts w:hint="eastAsia" w:asciiTheme="minorEastAsia" w:hAnsiTheme="minorEastAsia" w:eastAsiaTheme="minorEastAsia" w:cstheme="minorEastAsia"/>
          <w:color w:val="auto"/>
          <w:szCs w:val="24"/>
          <w:highlight w:val="none"/>
        </w:rPr>
        <w:t>本项目复垦用土来自于</w:t>
      </w:r>
      <w:r>
        <w:rPr>
          <w:rFonts w:hint="eastAsia" w:ascii="Times New Roman" w:hAnsi="Times New Roman" w:eastAsia="宋体" w:cs="Times New Roman"/>
          <w:color w:val="auto"/>
          <w:sz w:val="24"/>
          <w:szCs w:val="24"/>
          <w:highlight w:val="none"/>
          <w:lang w:val="en-US" w:eastAsia="zh-CN"/>
        </w:rPr>
        <w:t>当地高标准农田建设</w:t>
      </w:r>
      <w:r>
        <w:rPr>
          <w:rFonts w:ascii="Times New Roman" w:hAnsi="Times New Roman" w:eastAsia="宋体" w:cs="Times New Roman"/>
          <w:color w:val="auto"/>
          <w:sz w:val="24"/>
          <w:szCs w:val="24"/>
          <w:highlight w:val="none"/>
        </w:rPr>
        <w:t>剥离的</w:t>
      </w:r>
      <w:r>
        <w:rPr>
          <w:rFonts w:hint="eastAsia" w:ascii="Times New Roman" w:hAnsi="Times New Roman" w:eastAsia="宋体" w:cs="Times New Roman"/>
          <w:color w:val="auto"/>
          <w:sz w:val="24"/>
          <w:szCs w:val="24"/>
          <w:highlight w:val="none"/>
          <w:lang w:val="en-US" w:eastAsia="zh-CN"/>
        </w:rPr>
        <w:t>种植</w:t>
      </w:r>
      <w:r>
        <w:rPr>
          <w:rFonts w:ascii="Times New Roman" w:hAnsi="Times New Roman" w:eastAsia="宋体" w:cs="Times New Roman"/>
          <w:color w:val="auto"/>
          <w:sz w:val="24"/>
          <w:szCs w:val="24"/>
          <w:highlight w:val="none"/>
        </w:rPr>
        <w:t>表土</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均</w:t>
      </w:r>
      <w:r>
        <w:rPr>
          <w:rFonts w:hint="eastAsia" w:asciiTheme="minorEastAsia" w:hAnsiTheme="minorEastAsia" w:eastAsiaTheme="minorEastAsia" w:cstheme="minorEastAsia"/>
          <w:color w:val="auto"/>
          <w:kern w:val="2"/>
          <w:szCs w:val="22"/>
          <w:highlight w:val="none"/>
          <w:lang w:bidi="ar"/>
        </w:rPr>
        <w:t>满足《一般工业固体废物贮存和填埋污染控制标准》中充填及回填利用</w:t>
      </w:r>
      <w:r>
        <w:rPr>
          <w:rFonts w:hint="eastAsia" w:asciiTheme="minorEastAsia" w:hAnsiTheme="minorEastAsia" w:eastAsiaTheme="minorEastAsia" w:cstheme="minorEastAsia"/>
          <w:color w:val="auto"/>
          <w:kern w:val="2"/>
          <w:szCs w:val="22"/>
          <w:highlight w:val="none"/>
          <w:lang w:eastAsia="zh-CN" w:bidi="ar"/>
        </w:rPr>
        <w:t>、</w:t>
      </w:r>
      <w:r>
        <w:rPr>
          <w:rFonts w:hint="eastAsia" w:asciiTheme="minorEastAsia" w:hAnsiTheme="minorEastAsia" w:eastAsiaTheme="minorEastAsia" w:cstheme="minorEastAsia"/>
          <w:color w:val="auto"/>
          <w:kern w:val="2"/>
          <w:szCs w:val="22"/>
          <w:highlight w:val="none"/>
          <w:lang w:val="en-US" w:eastAsia="zh-CN" w:bidi="ar"/>
        </w:rPr>
        <w:t>封填及土地复垦</w:t>
      </w:r>
      <w:r>
        <w:rPr>
          <w:rFonts w:hint="eastAsia" w:asciiTheme="minorEastAsia" w:hAnsiTheme="minorEastAsia" w:eastAsiaTheme="minorEastAsia" w:cstheme="minorEastAsia"/>
          <w:color w:val="auto"/>
          <w:kern w:val="2"/>
          <w:szCs w:val="22"/>
          <w:highlight w:val="none"/>
          <w:lang w:bidi="ar"/>
        </w:rPr>
        <w:t>要求</w:t>
      </w:r>
      <w:r>
        <w:rPr>
          <w:rFonts w:hint="eastAsia" w:asciiTheme="minorEastAsia" w:hAnsiTheme="minorEastAsia" w:eastAsiaTheme="minorEastAsia" w:cstheme="minorEastAsia"/>
          <w:color w:val="auto"/>
          <w:kern w:val="2"/>
          <w:szCs w:val="22"/>
          <w:highlight w:val="none"/>
          <w:lang w:eastAsia="zh-CN" w:bidi="ar"/>
        </w:rPr>
        <w:t>。</w:t>
      </w:r>
    </w:p>
    <w:p w14:paraId="6EF6397A">
      <w:pPr>
        <w:pStyle w:val="1233"/>
        <w:widowControl w:val="0"/>
        <w:snapToGrid w:val="0"/>
        <w:ind w:firstLine="480"/>
        <w:rPr>
          <w:rFonts w:hint="eastAsia" w:asciiTheme="minorEastAsia" w:hAnsiTheme="minorEastAsia" w:eastAsiaTheme="minorEastAsia" w:cstheme="minorEastAsia"/>
          <w:color w:val="auto"/>
          <w:highlight w:val="none"/>
          <w:lang w:val="zh-CN"/>
        </w:rPr>
      </w:pPr>
      <w:r>
        <w:rPr>
          <w:rFonts w:hint="eastAsia" w:asciiTheme="minorEastAsia" w:hAnsiTheme="minorEastAsia" w:eastAsiaTheme="minorEastAsia" w:cstheme="minorEastAsia"/>
          <w:color w:val="auto"/>
          <w:highlight w:val="none"/>
          <w:lang w:val="en-US" w:eastAsia="zh-CN"/>
        </w:rPr>
        <w:t>同时依据</w:t>
      </w:r>
      <w:r>
        <w:rPr>
          <w:rFonts w:hint="eastAsia" w:asciiTheme="minorEastAsia" w:hAnsiTheme="minorEastAsia" w:eastAsiaTheme="minorEastAsia" w:cstheme="minorEastAsia"/>
          <w:color w:val="auto"/>
          <w:highlight w:val="none"/>
        </w:rPr>
        <w:t>《</w:t>
      </w:r>
      <w:r>
        <w:rPr>
          <w:rFonts w:hint="default" w:ascii="Times New Roman" w:hAnsi="宋体" w:eastAsia="宋体" w:cs="Times New Roman"/>
          <w:color w:val="auto"/>
          <w:kern w:val="0"/>
          <w:sz w:val="24"/>
          <w:szCs w:val="24"/>
          <w:highlight w:val="none"/>
          <w:lang w:val="en-US" w:eastAsia="zh-CN"/>
        </w:rPr>
        <w:t>黑龙江嘉龙环保科技有限公司</w:t>
      </w:r>
      <w:r>
        <w:rPr>
          <w:rFonts w:hint="eastAsia" w:ascii="Times New Roman" w:hAnsi="宋体" w:eastAsia="宋体" w:cs="Times New Roman"/>
          <w:color w:val="auto"/>
          <w:kern w:val="0"/>
          <w:sz w:val="24"/>
          <w:szCs w:val="24"/>
          <w:highlight w:val="none"/>
          <w:lang w:val="en-US" w:eastAsia="zh-CN"/>
        </w:rPr>
        <w:t>灰渣回填复垦利用项目</w:t>
      </w:r>
      <w:r>
        <w:rPr>
          <w:rFonts w:hint="eastAsia" w:asciiTheme="minorEastAsia" w:hAnsiTheme="minorEastAsia" w:eastAsiaTheme="minorEastAsia" w:cstheme="minorEastAsia"/>
          <w:color w:val="auto"/>
          <w:spacing w:val="-3"/>
          <w:szCs w:val="24"/>
          <w:highlight w:val="none"/>
        </w:rPr>
        <w:t>风险评估报告》</w:t>
      </w:r>
      <w:r>
        <w:rPr>
          <w:rFonts w:hint="eastAsia" w:asciiTheme="minorEastAsia" w:hAnsiTheme="minorEastAsia" w:eastAsiaTheme="minorEastAsia" w:cstheme="minorEastAsia"/>
          <w:color w:val="auto"/>
          <w:spacing w:val="-3"/>
          <w:szCs w:val="24"/>
          <w:highlight w:val="none"/>
          <w:lang w:eastAsia="zh-CN"/>
        </w:rPr>
        <w:t>，灰渣浸出液检测结果，关注的铅、铬、镉、铜、镍、锌等均未检出，本项目回填所用的灰渣各项监测指标满足《土壤环境质量 农用地土壤污染风险管控标准（试行）》（GB 15618-2018 ）表1 农用地土壤污染风险筛选值（基本项目）要求，不会对土壤环境产生影响。</w:t>
      </w:r>
      <w:r>
        <w:rPr>
          <w:rFonts w:hint="eastAsia" w:asciiTheme="minorEastAsia" w:hAnsiTheme="minorEastAsia" w:eastAsiaTheme="minorEastAsia" w:cstheme="minorEastAsia"/>
          <w:color w:val="auto"/>
          <w:szCs w:val="24"/>
          <w:highlight w:val="none"/>
          <w:lang w:val="en-US" w:eastAsia="zh-CN"/>
        </w:rPr>
        <w:t>项目</w:t>
      </w:r>
      <w:r>
        <w:rPr>
          <w:rFonts w:hint="eastAsia" w:asciiTheme="minorEastAsia" w:hAnsiTheme="minorEastAsia" w:eastAsiaTheme="minorEastAsia" w:cstheme="minorEastAsia"/>
          <w:color w:val="auto"/>
          <w:szCs w:val="24"/>
          <w:highlight w:val="none"/>
        </w:rPr>
        <w:t>灰渣土壤指标中不存在超筛选值的污染物，回填复垦无需要启动土壤污染人体健康风险评估程序；灰渣浸出液不存在超筛选值的有毒有害污染物，回填复垦无需要启动地下水污染人体健康风险评估程序。评估结论为环境风险可以接受</w:t>
      </w:r>
      <w:r>
        <w:rPr>
          <w:rFonts w:hint="eastAsia" w:asciiTheme="minorEastAsia" w:hAnsiTheme="minorEastAsia" w:eastAsiaTheme="minorEastAsia" w:cstheme="minorEastAsia"/>
          <w:color w:val="auto"/>
          <w:highlight w:val="none"/>
        </w:rPr>
        <w:t>。</w:t>
      </w:r>
    </w:p>
    <w:p w14:paraId="11687FBA">
      <w:pPr>
        <w:pStyle w:val="1233"/>
        <w:widowControl w:val="0"/>
        <w:snapToGrid w:val="0"/>
        <w:ind w:firstLine="480"/>
        <w:rPr>
          <w:rFonts w:hint="eastAsia" w:asciiTheme="minorEastAsia" w:hAnsiTheme="minorEastAsia" w:eastAsiaTheme="minorEastAsia" w:cstheme="minorEastAsia"/>
          <w:color w:val="auto"/>
          <w:highlight w:val="none"/>
          <w:lang w:val="zh-CN"/>
        </w:rPr>
      </w:pPr>
      <w:r>
        <w:rPr>
          <w:rFonts w:hint="eastAsia" w:asciiTheme="minorEastAsia" w:hAnsiTheme="minorEastAsia" w:eastAsiaTheme="minorEastAsia" w:cstheme="minorEastAsia"/>
          <w:color w:val="auto"/>
          <w:highlight w:val="none"/>
          <w:lang w:val="zh-CN"/>
        </w:rPr>
        <w:t>本项目回填活动结束后，</w:t>
      </w:r>
      <w:r>
        <w:rPr>
          <w:rFonts w:hint="eastAsia" w:asciiTheme="minorEastAsia" w:hAnsiTheme="minorEastAsia" w:eastAsiaTheme="minorEastAsia" w:cstheme="minorEastAsia"/>
          <w:color w:val="auto"/>
          <w:highlight w:val="none"/>
          <w:lang w:val="en-US" w:eastAsia="zh-CN"/>
        </w:rPr>
        <w:t>按照</w:t>
      </w:r>
      <w:r>
        <w:rPr>
          <w:rFonts w:hint="eastAsia" w:asciiTheme="minorEastAsia" w:hAnsiTheme="minorEastAsia" w:eastAsiaTheme="minorEastAsia" w:cstheme="minorEastAsia"/>
          <w:color w:val="auto"/>
          <w:highlight w:val="none"/>
          <w:lang w:val="zh-CN"/>
        </w:rPr>
        <w:t>《一般工业固体废物贮存和填埋污染控制标准》（GB18599-2020）中9封场及土地复垦要求、《土地复垦质量控制标准》（TD/T1036-2013）相关要求立即实施土地复垦。</w:t>
      </w:r>
    </w:p>
    <w:p w14:paraId="1EDC3C35">
      <w:pPr>
        <w:pStyle w:val="1233"/>
        <w:widowControl w:val="0"/>
        <w:snapToGrid w:val="0"/>
        <w:ind w:firstLine="480"/>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综上所述，满足</w:t>
      </w:r>
      <w:r>
        <w:rPr>
          <w:rFonts w:hint="eastAsia" w:asciiTheme="minorEastAsia" w:hAnsiTheme="minorEastAsia" w:eastAsiaTheme="minorEastAsia" w:cstheme="minorEastAsia"/>
          <w:color w:val="auto"/>
          <w:highlight w:val="none"/>
        </w:rPr>
        <w:t>《土地复垦条例》</w:t>
      </w:r>
      <w:r>
        <w:rPr>
          <w:rFonts w:hint="eastAsia" w:asciiTheme="minorEastAsia" w:hAnsiTheme="minorEastAsia" w:eastAsiaTheme="minorEastAsia" w:cstheme="minorEastAsia"/>
          <w:color w:val="auto"/>
          <w:highlight w:val="none"/>
          <w:lang w:val="en-US" w:eastAsia="zh-CN"/>
        </w:rPr>
        <w:t>中相关要求。</w:t>
      </w:r>
    </w:p>
    <w:p w14:paraId="4FBE6D29">
      <w:pPr>
        <w:widowControl w:val="0"/>
        <w:adjustRightInd w:val="0"/>
        <w:snapToGrid w:val="0"/>
        <w:spacing w:line="360" w:lineRule="auto"/>
        <w:jc w:val="both"/>
        <w:outlineLvl w:val="3"/>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b/>
          <w:snapToGrid w:val="0"/>
          <w:color w:val="auto"/>
          <w:highlight w:val="none"/>
        </w:rPr>
        <w:t>1.4.2.1</w:t>
      </w:r>
      <w:r>
        <w:rPr>
          <w:rFonts w:hint="eastAsia" w:asciiTheme="minorEastAsia" w:hAnsiTheme="minorEastAsia" w:eastAsiaTheme="minorEastAsia" w:cstheme="minorEastAsia"/>
          <w:b/>
          <w:snapToGrid w:val="0"/>
          <w:color w:val="auto"/>
          <w:highlight w:val="none"/>
          <w:lang w:val="en-US" w:eastAsia="zh-CN"/>
        </w:rPr>
        <w:t>1</w:t>
      </w:r>
      <w:r>
        <w:rPr>
          <w:rFonts w:hint="eastAsia" w:asciiTheme="minorEastAsia" w:hAnsiTheme="minorEastAsia" w:eastAsiaTheme="minorEastAsia" w:cstheme="minorEastAsia"/>
          <w:b/>
          <w:snapToGrid w:val="0"/>
          <w:color w:val="auto"/>
          <w:highlight w:val="none"/>
        </w:rPr>
        <w:t>《土地复垦条例实施办法》相符性分析</w:t>
      </w:r>
    </w:p>
    <w:p w14:paraId="33EEC1CD">
      <w:pPr>
        <w:pStyle w:val="337"/>
        <w:widowControl w:val="0"/>
        <w:snapToGrid w:val="0"/>
        <w:spacing w:line="240" w:lineRule="auto"/>
        <w:rPr>
          <w:rFonts w:hint="eastAsia" w:asciiTheme="minorEastAsia" w:hAnsiTheme="minorEastAsia" w:eastAsiaTheme="minorEastAsia" w:cstheme="minorEastAsia"/>
          <w:b/>
          <w:bCs/>
          <w:color w:val="auto"/>
          <w:spacing w:val="0"/>
          <w:sz w:val="24"/>
          <w:szCs w:val="24"/>
          <w:highlight w:val="none"/>
          <w:lang w:val="en"/>
        </w:rPr>
      </w:pPr>
      <w:r>
        <w:rPr>
          <w:rFonts w:hint="eastAsia" w:asciiTheme="minorEastAsia" w:hAnsiTheme="minorEastAsia" w:eastAsiaTheme="minorEastAsia" w:cstheme="minorEastAsia"/>
          <w:b/>
          <w:bCs/>
          <w:color w:val="auto"/>
          <w:spacing w:val="0"/>
          <w:sz w:val="24"/>
          <w:szCs w:val="24"/>
          <w:highlight w:val="none"/>
          <w:lang w:val="en"/>
        </w:rPr>
        <w:t>表1</w:t>
      </w:r>
      <w:r>
        <w:rPr>
          <w:rFonts w:hint="eastAsia" w:asciiTheme="minorEastAsia" w:hAnsiTheme="minorEastAsia" w:eastAsiaTheme="minorEastAsia" w:cstheme="minorEastAsia"/>
          <w:b/>
          <w:bCs/>
          <w:color w:val="auto"/>
          <w:spacing w:val="0"/>
          <w:sz w:val="24"/>
          <w:szCs w:val="24"/>
          <w:highlight w:val="none"/>
          <w:lang w:val="en-US" w:eastAsia="zh-CN"/>
        </w:rPr>
        <w:t>.</w:t>
      </w:r>
      <w:r>
        <w:rPr>
          <w:rFonts w:hint="eastAsia" w:asciiTheme="minorEastAsia" w:hAnsiTheme="minorEastAsia" w:eastAsiaTheme="minorEastAsia" w:cstheme="minorEastAsia"/>
          <w:b/>
          <w:bCs/>
          <w:color w:val="auto"/>
          <w:spacing w:val="0"/>
          <w:sz w:val="24"/>
          <w:szCs w:val="24"/>
          <w:highlight w:val="none"/>
          <w:lang w:val="en"/>
        </w:rPr>
        <w:t>4-</w:t>
      </w:r>
      <w:r>
        <w:rPr>
          <w:rFonts w:hint="eastAsia" w:asciiTheme="minorEastAsia" w:hAnsiTheme="minorEastAsia" w:eastAsiaTheme="minorEastAsia" w:cstheme="minorEastAsia"/>
          <w:b/>
          <w:bCs/>
          <w:color w:val="auto"/>
          <w:spacing w:val="0"/>
          <w:sz w:val="24"/>
          <w:szCs w:val="24"/>
          <w:highlight w:val="none"/>
          <w:lang w:val="en-US" w:eastAsia="zh-CN"/>
        </w:rPr>
        <w:t xml:space="preserve">2  </w:t>
      </w:r>
      <w:r>
        <w:rPr>
          <w:rFonts w:hint="eastAsia" w:asciiTheme="minorEastAsia" w:hAnsiTheme="minorEastAsia" w:eastAsiaTheme="minorEastAsia" w:cstheme="minorEastAsia"/>
          <w:b/>
          <w:bCs/>
          <w:color w:val="auto"/>
          <w:spacing w:val="0"/>
          <w:sz w:val="24"/>
          <w:szCs w:val="24"/>
          <w:highlight w:val="none"/>
          <w:lang w:val="en"/>
        </w:rPr>
        <w:t>与《土地复垦条例实施办法》符合性分析</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298"/>
        <w:gridCol w:w="3757"/>
        <w:gridCol w:w="927"/>
      </w:tblGrid>
      <w:tr w14:paraId="4A7293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92" w:type="pct"/>
            <w:tcBorders>
              <w:tl2br w:val="nil"/>
              <w:tr2bl w:val="nil"/>
            </w:tcBorders>
            <w:shd w:val="clear" w:color="auto" w:fill="auto"/>
            <w:vAlign w:val="center"/>
          </w:tcPr>
          <w:p w14:paraId="47916D74">
            <w:pPr>
              <w:pStyle w:val="1080"/>
              <w:keepNext w:val="0"/>
              <w:keepLines w:val="0"/>
              <w:widowControl w:val="0"/>
              <w:suppressLineNumbers w:val="0"/>
              <w:snapToGrid w:val="0"/>
              <w:spacing w:before="0" w:beforeAutospacing="0" w:after="0" w:afterAutospacing="0"/>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土地复垦条例实施办法要求</w:t>
            </w:r>
          </w:p>
        </w:tc>
        <w:tc>
          <w:tcPr>
            <w:tcW w:w="2091" w:type="pct"/>
            <w:tcBorders>
              <w:tl2br w:val="nil"/>
              <w:tr2bl w:val="nil"/>
            </w:tcBorders>
            <w:shd w:val="clear" w:color="auto" w:fill="auto"/>
            <w:vAlign w:val="center"/>
          </w:tcPr>
          <w:p w14:paraId="6E07C248">
            <w:pPr>
              <w:pStyle w:val="1080"/>
              <w:keepNext w:val="0"/>
              <w:keepLines w:val="0"/>
              <w:widowControl w:val="0"/>
              <w:suppressLineNumbers w:val="0"/>
              <w:snapToGrid w:val="0"/>
              <w:spacing w:before="0" w:beforeAutospacing="0" w:after="0" w:afterAutospacing="0"/>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本项目情况</w:t>
            </w:r>
          </w:p>
        </w:tc>
        <w:tc>
          <w:tcPr>
            <w:tcW w:w="516" w:type="pct"/>
            <w:tcBorders>
              <w:tl2br w:val="nil"/>
              <w:tr2bl w:val="nil"/>
            </w:tcBorders>
            <w:shd w:val="clear" w:color="auto" w:fill="auto"/>
            <w:vAlign w:val="center"/>
          </w:tcPr>
          <w:p w14:paraId="5BFE239E">
            <w:pPr>
              <w:pStyle w:val="1080"/>
              <w:keepNext w:val="0"/>
              <w:keepLines w:val="0"/>
              <w:widowControl w:val="0"/>
              <w:suppressLineNumbers w:val="0"/>
              <w:snapToGrid w:val="0"/>
              <w:spacing w:before="0" w:beforeAutospacing="0" w:after="0" w:afterAutospacing="0"/>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符合性</w:t>
            </w:r>
          </w:p>
        </w:tc>
      </w:tr>
      <w:tr w14:paraId="310A8C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92" w:type="pct"/>
            <w:tcBorders>
              <w:tl2br w:val="nil"/>
              <w:tr2bl w:val="nil"/>
            </w:tcBorders>
            <w:shd w:val="clear" w:color="auto" w:fill="auto"/>
            <w:vAlign w:val="center"/>
          </w:tcPr>
          <w:p w14:paraId="22F16AC1">
            <w:pPr>
              <w:pStyle w:val="1080"/>
              <w:keepNext w:val="0"/>
              <w:keepLines w:val="0"/>
              <w:widowControl w:val="0"/>
              <w:suppressLineNumbers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第二条土地复垦应当综合考虑复垦后土地利用的社会效益、经济效益和生态效益。</w:t>
            </w:r>
          </w:p>
          <w:p w14:paraId="06AA769C">
            <w:pPr>
              <w:pStyle w:val="1080"/>
              <w:keepNext w:val="0"/>
              <w:keepLines w:val="0"/>
              <w:widowControl w:val="0"/>
              <w:suppressLineNumbers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生产建设活动造成耕地损毁的，能够复垦为耕地的，应当优先复垦为耕地。</w:t>
            </w:r>
          </w:p>
        </w:tc>
        <w:tc>
          <w:tcPr>
            <w:tcW w:w="2091" w:type="pct"/>
            <w:tcBorders>
              <w:tl2br w:val="nil"/>
              <w:tr2bl w:val="nil"/>
            </w:tcBorders>
            <w:shd w:val="clear" w:color="auto" w:fill="auto"/>
            <w:vAlign w:val="center"/>
          </w:tcPr>
          <w:p w14:paraId="3E38EE9B">
            <w:pPr>
              <w:pStyle w:val="1080"/>
              <w:keepNext w:val="0"/>
              <w:keepLines w:val="0"/>
              <w:widowControl w:val="0"/>
              <w:suppressLineNumbers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结合治理区地质环境条件、所处的地理位置、周边土地利用性质等因素，</w:t>
            </w:r>
            <w:r>
              <w:rPr>
                <w:rFonts w:hint="eastAsia" w:asciiTheme="minorEastAsia" w:hAnsiTheme="minorEastAsia" w:eastAsiaTheme="minorEastAsia" w:cstheme="minorEastAsia"/>
                <w:b w:val="0"/>
                <w:bCs w:val="0"/>
                <w:color w:val="auto"/>
                <w:sz w:val="21"/>
                <w:szCs w:val="21"/>
                <w:highlight w:val="none"/>
                <w:lang w:val="en-US" w:eastAsia="zh-CN"/>
              </w:rPr>
              <w:t>本项目回填后复垦为林地</w:t>
            </w:r>
            <w:r>
              <w:rPr>
                <w:rFonts w:hint="eastAsia" w:asciiTheme="minorEastAsia" w:hAnsiTheme="minorEastAsia" w:eastAsiaTheme="minorEastAsia" w:cstheme="minorEastAsia"/>
                <w:b w:val="0"/>
                <w:bCs w:val="0"/>
                <w:color w:val="auto"/>
                <w:sz w:val="21"/>
                <w:szCs w:val="21"/>
                <w:highlight w:val="none"/>
              </w:rPr>
              <w:t>，与周围相协调。</w:t>
            </w:r>
          </w:p>
        </w:tc>
        <w:tc>
          <w:tcPr>
            <w:tcW w:w="516" w:type="pct"/>
            <w:tcBorders>
              <w:tl2br w:val="nil"/>
              <w:tr2bl w:val="nil"/>
            </w:tcBorders>
            <w:shd w:val="clear" w:color="auto" w:fill="auto"/>
            <w:vAlign w:val="center"/>
          </w:tcPr>
          <w:p w14:paraId="5FD11FCD">
            <w:pPr>
              <w:pStyle w:val="1080"/>
              <w:keepNext w:val="0"/>
              <w:keepLines w:val="0"/>
              <w:widowControl w:val="0"/>
              <w:suppressLineNumbers w:val="0"/>
              <w:snapToGrid w:val="0"/>
              <w:spacing w:before="0" w:beforeAutospacing="0" w:after="0" w:afterAutospacing="0"/>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符合</w:t>
            </w:r>
          </w:p>
        </w:tc>
      </w:tr>
      <w:tr w14:paraId="74231B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92" w:type="pct"/>
            <w:tcBorders>
              <w:tl2br w:val="nil"/>
              <w:tr2bl w:val="nil"/>
            </w:tcBorders>
            <w:shd w:val="clear" w:color="auto" w:fill="auto"/>
            <w:vAlign w:val="center"/>
          </w:tcPr>
          <w:p w14:paraId="73EEC307">
            <w:pPr>
              <w:pStyle w:val="1080"/>
              <w:keepNext w:val="0"/>
              <w:keepLines w:val="0"/>
              <w:widowControl w:val="0"/>
              <w:suppressLineNumbers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第二十五条土地复垦义务人应当对生产建设活动损毁土地的规模、程度和复垦过程中土地复垦工程质量、土地复垦效果等实施全程控制，并对验收合格后的复垦土地采取管护措施，保证土地复垦效果。</w:t>
            </w:r>
          </w:p>
        </w:tc>
        <w:tc>
          <w:tcPr>
            <w:tcW w:w="2091" w:type="pct"/>
            <w:tcBorders>
              <w:tl2br w:val="nil"/>
              <w:tr2bl w:val="nil"/>
            </w:tcBorders>
            <w:shd w:val="clear" w:color="auto" w:fill="auto"/>
            <w:vAlign w:val="center"/>
          </w:tcPr>
          <w:p w14:paraId="3E28DA54">
            <w:pPr>
              <w:pStyle w:val="1080"/>
              <w:keepNext w:val="0"/>
              <w:keepLines w:val="0"/>
              <w:widowControl w:val="0"/>
              <w:suppressLineNumbers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本项目建设单位对</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b w:val="0"/>
                <w:bCs w:val="0"/>
                <w:color w:val="auto"/>
                <w:sz w:val="21"/>
                <w:szCs w:val="21"/>
                <w:highlight w:val="none"/>
              </w:rPr>
              <w:t>复垦过程中土地复垦工程质量、土地复垦效果等实施全程控制，并对验收合格后的复垦土地采取管护措施，保证土地复垦效果。</w:t>
            </w:r>
          </w:p>
        </w:tc>
        <w:tc>
          <w:tcPr>
            <w:tcW w:w="516" w:type="pct"/>
            <w:tcBorders>
              <w:tl2br w:val="nil"/>
              <w:tr2bl w:val="nil"/>
            </w:tcBorders>
            <w:shd w:val="clear" w:color="auto" w:fill="auto"/>
            <w:vAlign w:val="center"/>
          </w:tcPr>
          <w:p w14:paraId="415FDFEA">
            <w:pPr>
              <w:pStyle w:val="1080"/>
              <w:keepNext w:val="0"/>
              <w:keepLines w:val="0"/>
              <w:widowControl w:val="0"/>
              <w:suppressLineNumbers w:val="0"/>
              <w:snapToGrid w:val="0"/>
              <w:spacing w:before="0" w:beforeAutospacing="0" w:after="0" w:afterAutospacing="0"/>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符合</w:t>
            </w:r>
          </w:p>
        </w:tc>
      </w:tr>
      <w:tr w14:paraId="4A8DCE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92" w:type="pct"/>
            <w:tcBorders>
              <w:tl2br w:val="nil"/>
              <w:tr2bl w:val="nil"/>
            </w:tcBorders>
            <w:shd w:val="clear" w:color="auto" w:fill="auto"/>
            <w:vAlign w:val="center"/>
          </w:tcPr>
          <w:p w14:paraId="74487081">
            <w:pPr>
              <w:pStyle w:val="1080"/>
              <w:keepNext w:val="0"/>
              <w:keepLines w:val="0"/>
              <w:widowControl w:val="0"/>
              <w:suppressLineNumbers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第三十三条土地复垦义务人完成土地复垦任务后，应当组织自查，向项目所在地县级自然资源主管部门提出验收书面申请，并提供下列材料：(一)验收调查报告及相关图件；(二)规划设计执行报告；(三)质量评估报告；(四)检测等其他报告。</w:t>
            </w:r>
          </w:p>
        </w:tc>
        <w:tc>
          <w:tcPr>
            <w:tcW w:w="2091" w:type="pct"/>
            <w:tcBorders>
              <w:tl2br w:val="nil"/>
              <w:tr2bl w:val="nil"/>
            </w:tcBorders>
            <w:shd w:val="clear" w:color="auto" w:fill="auto"/>
            <w:vAlign w:val="center"/>
          </w:tcPr>
          <w:p w14:paraId="186A86CD">
            <w:pPr>
              <w:pStyle w:val="1080"/>
              <w:keepNext w:val="0"/>
              <w:keepLines w:val="0"/>
              <w:widowControl w:val="0"/>
              <w:suppressLineNumbers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eastAsia="zh-CN"/>
              </w:rPr>
            </w:pPr>
            <w:r>
              <w:rPr>
                <w:rFonts w:hint="eastAsia" w:asciiTheme="minorEastAsia" w:hAnsiTheme="minorEastAsia" w:eastAsiaTheme="minorEastAsia" w:cstheme="minorEastAsia"/>
                <w:b w:val="0"/>
                <w:bCs w:val="0"/>
                <w:color w:val="auto"/>
                <w:sz w:val="21"/>
                <w:szCs w:val="21"/>
                <w:highlight w:val="none"/>
              </w:rPr>
              <w:t>本项目建设单位在完成土地复垦任务后，组织自查，向项目所在地县级自然资源主管部门提出验收书面申请</w:t>
            </w:r>
            <w:r>
              <w:rPr>
                <w:rFonts w:hint="eastAsia" w:asciiTheme="minorEastAsia" w:hAnsiTheme="minorEastAsia" w:eastAsiaTheme="minorEastAsia" w:cstheme="minorEastAsia"/>
                <w:b w:val="0"/>
                <w:bCs w:val="0"/>
                <w:color w:val="auto"/>
                <w:sz w:val="21"/>
                <w:szCs w:val="21"/>
                <w:highlight w:val="none"/>
                <w:lang w:eastAsia="zh-CN"/>
              </w:rPr>
              <w:t>。</w:t>
            </w:r>
          </w:p>
        </w:tc>
        <w:tc>
          <w:tcPr>
            <w:tcW w:w="516" w:type="pct"/>
            <w:tcBorders>
              <w:tl2br w:val="nil"/>
              <w:tr2bl w:val="nil"/>
            </w:tcBorders>
            <w:shd w:val="clear" w:color="auto" w:fill="auto"/>
            <w:vAlign w:val="center"/>
          </w:tcPr>
          <w:p w14:paraId="5BAD312F">
            <w:pPr>
              <w:pStyle w:val="1080"/>
              <w:keepNext w:val="0"/>
              <w:keepLines w:val="0"/>
              <w:widowControl w:val="0"/>
              <w:suppressLineNumbers w:val="0"/>
              <w:snapToGrid w:val="0"/>
              <w:spacing w:before="0" w:beforeAutospacing="0" w:after="0" w:afterAutospacing="0"/>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符合</w:t>
            </w:r>
          </w:p>
        </w:tc>
      </w:tr>
    </w:tbl>
    <w:p w14:paraId="2F780F4B">
      <w:pPr>
        <w:widowControl w:val="0"/>
        <w:adjustRightInd w:val="0"/>
        <w:snapToGrid w:val="0"/>
        <w:spacing w:line="360" w:lineRule="auto"/>
        <w:jc w:val="both"/>
        <w:outlineLvl w:val="3"/>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b/>
          <w:snapToGrid w:val="0"/>
          <w:color w:val="auto"/>
          <w:highlight w:val="none"/>
        </w:rPr>
        <w:t>1.4.</w:t>
      </w:r>
      <w:r>
        <w:rPr>
          <w:rFonts w:hint="eastAsia" w:asciiTheme="minorEastAsia" w:hAnsiTheme="minorEastAsia" w:eastAsiaTheme="minorEastAsia" w:cstheme="minorEastAsia"/>
          <w:b/>
          <w:snapToGrid w:val="0"/>
          <w:color w:val="auto"/>
          <w:highlight w:val="none"/>
          <w:lang w:val="en-US" w:eastAsia="zh-CN"/>
        </w:rPr>
        <w:t>2</w:t>
      </w:r>
      <w:r>
        <w:rPr>
          <w:rFonts w:hint="eastAsia" w:asciiTheme="minorEastAsia" w:hAnsiTheme="minorEastAsia" w:eastAsiaTheme="minorEastAsia" w:cstheme="minorEastAsia"/>
          <w:b/>
          <w:snapToGrid w:val="0"/>
          <w:color w:val="auto"/>
          <w:highlight w:val="none"/>
        </w:rPr>
        <w:t>.1</w:t>
      </w:r>
      <w:r>
        <w:rPr>
          <w:rFonts w:hint="eastAsia" w:asciiTheme="minorEastAsia" w:hAnsiTheme="minorEastAsia" w:eastAsiaTheme="minorEastAsia" w:cstheme="minorEastAsia"/>
          <w:b/>
          <w:snapToGrid w:val="0"/>
          <w:color w:val="auto"/>
          <w:highlight w:val="none"/>
          <w:lang w:val="en-US" w:eastAsia="zh-CN"/>
        </w:rPr>
        <w:t xml:space="preserve">2 </w:t>
      </w:r>
      <w:r>
        <w:rPr>
          <w:rFonts w:hint="eastAsia" w:asciiTheme="minorEastAsia" w:hAnsiTheme="minorEastAsia" w:eastAsiaTheme="minorEastAsia" w:cstheme="minorEastAsia"/>
          <w:b/>
          <w:snapToGrid w:val="0"/>
          <w:color w:val="auto"/>
          <w:highlight w:val="none"/>
        </w:rPr>
        <w:t>与《一般工业固体废物贮存和填埋污染控制标准》（GB18599-2020）相符性分析</w:t>
      </w:r>
    </w:p>
    <w:p w14:paraId="77780035">
      <w:pPr>
        <w:pStyle w:val="1329"/>
        <w:snapToGrid w:val="0"/>
        <w:spacing w:line="360" w:lineRule="auto"/>
        <w:ind w:firstLine="480"/>
        <w:jc w:val="both"/>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本项目为</w:t>
      </w:r>
      <w:r>
        <w:rPr>
          <w:rFonts w:hint="eastAsia" w:asciiTheme="minorEastAsia" w:hAnsiTheme="minorEastAsia" w:eastAsiaTheme="minorEastAsia" w:cstheme="minorEastAsia"/>
          <w:color w:val="auto"/>
          <w:sz w:val="24"/>
          <w:szCs w:val="24"/>
          <w:highlight w:val="none"/>
          <w:lang w:val="en-US" w:eastAsia="zh-CN"/>
        </w:rPr>
        <w:t>灰渣回填复垦利用项目</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利用锅炉灰渣作为回填材料进行回填、</w:t>
      </w:r>
      <w:r>
        <w:rPr>
          <w:rFonts w:hint="eastAsia" w:asciiTheme="minorEastAsia" w:hAnsiTheme="minorEastAsia" w:eastAsiaTheme="minorEastAsia" w:cstheme="minorEastAsia"/>
          <w:color w:val="auto"/>
          <w:sz w:val="24"/>
          <w:szCs w:val="24"/>
          <w:highlight w:val="none"/>
        </w:rPr>
        <w:t>覆土</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恢复成</w:t>
      </w:r>
      <w:r>
        <w:rPr>
          <w:rFonts w:hint="eastAsia" w:asciiTheme="minorEastAsia" w:hAnsiTheme="minorEastAsia" w:eastAsiaTheme="minorEastAsia" w:cstheme="minorEastAsia"/>
          <w:color w:val="auto"/>
          <w:sz w:val="24"/>
          <w:szCs w:val="24"/>
          <w:highlight w:val="none"/>
          <w:lang w:val="en-US" w:eastAsia="zh-CN"/>
        </w:rPr>
        <w:t>林地</w:t>
      </w:r>
      <w:r>
        <w:rPr>
          <w:rFonts w:hint="eastAsia" w:asciiTheme="minorEastAsia" w:hAnsiTheme="minorEastAsia" w:eastAsiaTheme="minorEastAsia" w:cstheme="minorEastAsia"/>
          <w:color w:val="auto"/>
          <w:sz w:val="24"/>
          <w:szCs w:val="24"/>
          <w:highlight w:val="none"/>
        </w:rPr>
        <w:t>，生态环境</w:t>
      </w:r>
      <w:r>
        <w:rPr>
          <w:rFonts w:hint="eastAsia" w:asciiTheme="minorEastAsia" w:hAnsiTheme="minorEastAsia" w:eastAsiaTheme="minorEastAsia" w:cstheme="minorEastAsia"/>
          <w:color w:val="auto"/>
          <w:sz w:val="24"/>
          <w:szCs w:val="24"/>
          <w:highlight w:val="none"/>
          <w:lang w:val="en-US" w:eastAsia="zh-CN"/>
        </w:rPr>
        <w:t>趋于</w:t>
      </w:r>
      <w:r>
        <w:rPr>
          <w:rFonts w:hint="eastAsia" w:asciiTheme="minorEastAsia" w:hAnsiTheme="minorEastAsia" w:eastAsiaTheme="minorEastAsia" w:cstheme="minorEastAsia"/>
          <w:color w:val="auto"/>
          <w:sz w:val="24"/>
          <w:szCs w:val="24"/>
          <w:highlight w:val="none"/>
        </w:rPr>
        <w:t>好转</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不涉及选址问题。回填的锅炉</w:t>
      </w:r>
      <w:r>
        <w:rPr>
          <w:rFonts w:hint="eastAsia" w:asciiTheme="minorEastAsia" w:hAnsiTheme="minorEastAsia" w:eastAsiaTheme="minorEastAsia" w:cstheme="minorEastAsia"/>
          <w:color w:val="auto"/>
          <w:sz w:val="24"/>
          <w:szCs w:val="24"/>
          <w:highlight w:val="none"/>
        </w:rPr>
        <w:t>灰渣属于第Ⅰ类一般工业固体废物，从严分析，以Ⅰ类填埋场进行相符性分析，与《一般工业固体废物贮存和填埋污染控制标准》（GB18599-2020）分析见表1</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 w:val="24"/>
          <w:szCs w:val="24"/>
          <w:highlight w:val="none"/>
        </w:rPr>
        <w:t>4-</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w:t>
      </w:r>
    </w:p>
    <w:p w14:paraId="77F08A4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bCs/>
          <w:color w:val="auto"/>
          <w:highlight w:val="none"/>
          <w:lang w:val="en"/>
        </w:rPr>
      </w:pPr>
      <w:r>
        <w:rPr>
          <w:rFonts w:hint="eastAsia" w:asciiTheme="minorEastAsia" w:hAnsiTheme="minorEastAsia" w:eastAsiaTheme="minorEastAsia" w:cstheme="minorEastAsia"/>
          <w:b/>
          <w:bCs/>
          <w:color w:val="auto"/>
          <w:highlight w:val="none"/>
          <w:lang w:val="en"/>
        </w:rPr>
        <w:t>表1</w:t>
      </w:r>
      <w:r>
        <w:rPr>
          <w:rFonts w:hint="eastAsia" w:asciiTheme="minorEastAsia" w:hAnsiTheme="minorEastAsia" w:eastAsiaTheme="minorEastAsia" w:cstheme="minorEastAsia"/>
          <w:b/>
          <w:bCs/>
          <w:color w:val="auto"/>
          <w:highlight w:val="none"/>
          <w:lang w:val="en-US" w:eastAsia="zh-CN"/>
        </w:rPr>
        <w:t>.</w:t>
      </w:r>
      <w:r>
        <w:rPr>
          <w:rFonts w:hint="eastAsia" w:asciiTheme="minorEastAsia" w:hAnsiTheme="minorEastAsia" w:eastAsiaTheme="minorEastAsia" w:cstheme="minorEastAsia"/>
          <w:b/>
          <w:bCs/>
          <w:color w:val="auto"/>
          <w:highlight w:val="none"/>
          <w:lang w:val="en"/>
        </w:rPr>
        <w:t>4-</w:t>
      </w:r>
      <w:r>
        <w:rPr>
          <w:rFonts w:hint="eastAsia" w:asciiTheme="minorEastAsia" w:hAnsiTheme="minorEastAsia" w:eastAsiaTheme="minorEastAsia" w:cstheme="minorEastAsia"/>
          <w:b/>
          <w:bCs/>
          <w:color w:val="auto"/>
          <w:highlight w:val="none"/>
          <w:lang w:val="en-US" w:eastAsia="zh-CN"/>
        </w:rPr>
        <w:t>3  与《一般工业固体废物贮存和填埋污染控制标准》</w:t>
      </w:r>
      <w:r>
        <w:rPr>
          <w:rFonts w:hint="eastAsia" w:asciiTheme="minorEastAsia" w:hAnsiTheme="minorEastAsia" w:eastAsiaTheme="minorEastAsia" w:cstheme="minorEastAsia"/>
          <w:b/>
          <w:bCs/>
          <w:color w:val="auto"/>
          <w:highlight w:val="none"/>
          <w:lang w:val="en"/>
        </w:rPr>
        <w:t>分析一览表</w:t>
      </w:r>
    </w:p>
    <w:tbl>
      <w:tblPr>
        <w:tblStyle w:val="84"/>
        <w:tblW w:w="5000"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654"/>
        <w:gridCol w:w="3947"/>
        <w:gridCol w:w="3395"/>
        <w:gridCol w:w="770"/>
      </w:tblGrid>
      <w:tr w14:paraId="6DAC3FD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2624" w:type="pct"/>
            <w:gridSpan w:val="2"/>
            <w:tcBorders>
              <w:tl2br w:val="nil"/>
              <w:tr2bl w:val="nil"/>
            </w:tcBorders>
            <w:vAlign w:val="center"/>
          </w:tcPr>
          <w:p w14:paraId="70BFC22F">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bidi="ar"/>
              </w:rPr>
              <w:t>GB18599-2020中相关要求</w:t>
            </w:r>
          </w:p>
        </w:tc>
        <w:tc>
          <w:tcPr>
            <w:tcW w:w="1936" w:type="pct"/>
            <w:tcBorders>
              <w:tl2br w:val="nil"/>
              <w:tr2bl w:val="nil"/>
            </w:tcBorders>
            <w:vAlign w:val="center"/>
          </w:tcPr>
          <w:p w14:paraId="7CE9D3ED">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bidi="ar"/>
              </w:rPr>
              <w:t>本项目情况</w:t>
            </w:r>
          </w:p>
        </w:tc>
        <w:tc>
          <w:tcPr>
            <w:tcW w:w="439" w:type="pct"/>
            <w:tcBorders>
              <w:tl2br w:val="nil"/>
              <w:tr2bl w:val="nil"/>
            </w:tcBorders>
            <w:vAlign w:val="center"/>
          </w:tcPr>
          <w:p w14:paraId="0A653C91">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bidi="ar"/>
              </w:rPr>
              <w:t>符合性</w:t>
            </w:r>
          </w:p>
        </w:tc>
      </w:tr>
      <w:tr w14:paraId="46D1593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373" w:type="pct"/>
            <w:tcBorders>
              <w:tl2br w:val="nil"/>
              <w:tr2bl w:val="nil"/>
            </w:tcBorders>
            <w:vAlign w:val="center"/>
          </w:tcPr>
          <w:p w14:paraId="7FE044FA">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default" w:asciiTheme="minorEastAsia" w:hAnsiTheme="minorEastAsia" w:eastAsiaTheme="minorEastAsia" w:cstheme="minorEastAsia"/>
                <w:b w:val="0"/>
                <w:bCs w:val="0"/>
                <w:color w:val="auto"/>
                <w:sz w:val="21"/>
                <w:szCs w:val="21"/>
                <w:highlight w:val="none"/>
                <w:lang w:val="en-US" w:eastAsia="zh-CN" w:bidi="ar"/>
              </w:rPr>
            </w:pPr>
            <w:r>
              <w:rPr>
                <w:rFonts w:hint="eastAsia" w:asciiTheme="minorEastAsia" w:hAnsiTheme="minorEastAsia" w:eastAsiaTheme="minorEastAsia" w:cstheme="minorEastAsia"/>
                <w:b w:val="0"/>
                <w:bCs w:val="0"/>
                <w:color w:val="auto"/>
                <w:sz w:val="21"/>
                <w:szCs w:val="21"/>
                <w:highlight w:val="none"/>
                <w:lang w:val="en-US" w:eastAsia="zh-CN" w:bidi="ar"/>
              </w:rPr>
              <w:t>6.1入场要求</w:t>
            </w:r>
          </w:p>
        </w:tc>
        <w:tc>
          <w:tcPr>
            <w:tcW w:w="2250" w:type="pct"/>
            <w:tcBorders>
              <w:tl2br w:val="nil"/>
              <w:tr2bl w:val="nil"/>
            </w:tcBorders>
            <w:vAlign w:val="center"/>
          </w:tcPr>
          <w:p w14:paraId="4B95BE7E">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val="en-US" w:eastAsia="zh-CN" w:bidi="ar"/>
              </w:rPr>
            </w:pPr>
            <w:r>
              <w:rPr>
                <w:rFonts w:hint="eastAsia" w:asciiTheme="minorEastAsia" w:hAnsiTheme="minorEastAsia" w:eastAsiaTheme="minorEastAsia" w:cstheme="minorEastAsia"/>
                <w:b w:val="0"/>
                <w:bCs w:val="0"/>
                <w:color w:val="auto"/>
                <w:sz w:val="21"/>
                <w:szCs w:val="21"/>
                <w:highlight w:val="none"/>
                <w:lang w:val="en-US" w:eastAsia="zh-CN" w:bidi="ar"/>
              </w:rPr>
              <w:t>进入 I 类场的一般工业固体废物应同时满足以下要求：</w:t>
            </w:r>
          </w:p>
          <w:p w14:paraId="59EC1B38">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val="en-US" w:eastAsia="zh-CN" w:bidi="ar"/>
              </w:rPr>
            </w:pPr>
            <w:r>
              <w:rPr>
                <w:rFonts w:hint="eastAsia" w:asciiTheme="minorEastAsia" w:hAnsiTheme="minorEastAsia" w:eastAsiaTheme="minorEastAsia" w:cstheme="minorEastAsia"/>
                <w:b w:val="0"/>
                <w:bCs w:val="0"/>
                <w:color w:val="auto"/>
                <w:sz w:val="21"/>
                <w:szCs w:val="21"/>
                <w:highlight w:val="none"/>
                <w:lang w:val="en-US" w:eastAsia="zh-CN" w:bidi="ar"/>
              </w:rPr>
              <w:t>a）第 I 类一般工业固体废物（包括第 II 类一般工业固体废物经处理后属于第 I 类一般工业固体废物的）；</w:t>
            </w:r>
          </w:p>
          <w:p w14:paraId="241A0196">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val="en-US" w:eastAsia="zh-CN" w:bidi="ar"/>
              </w:rPr>
            </w:pPr>
            <w:r>
              <w:rPr>
                <w:rFonts w:hint="eastAsia" w:asciiTheme="minorEastAsia" w:hAnsiTheme="minorEastAsia" w:eastAsiaTheme="minorEastAsia" w:cstheme="minorEastAsia"/>
                <w:b w:val="0"/>
                <w:bCs w:val="0"/>
                <w:color w:val="auto"/>
                <w:sz w:val="21"/>
                <w:szCs w:val="21"/>
                <w:highlight w:val="none"/>
                <w:lang w:val="en-US" w:eastAsia="zh-CN" w:bidi="ar"/>
              </w:rPr>
              <w:t>b）有机质含量小于 2%（煤矸石除外），测定方法按照 HJ 761 进行；</w:t>
            </w:r>
          </w:p>
          <w:p w14:paraId="53EADAA2">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val="en-US" w:eastAsia="zh-CN" w:bidi="ar"/>
              </w:rPr>
            </w:pPr>
            <w:r>
              <w:rPr>
                <w:rFonts w:hint="eastAsia" w:asciiTheme="minorEastAsia" w:hAnsiTheme="minorEastAsia" w:eastAsiaTheme="minorEastAsia" w:cstheme="minorEastAsia"/>
                <w:b w:val="0"/>
                <w:bCs w:val="0"/>
                <w:color w:val="auto"/>
                <w:sz w:val="21"/>
                <w:szCs w:val="21"/>
                <w:highlight w:val="none"/>
                <w:lang w:val="en-US" w:eastAsia="zh-CN" w:bidi="ar"/>
              </w:rPr>
              <w:t>c）水溶性盐总量小于 2%，测定方法按照 NY/T 1121.16 进行。</w:t>
            </w:r>
          </w:p>
        </w:tc>
        <w:tc>
          <w:tcPr>
            <w:tcW w:w="1936" w:type="pct"/>
            <w:tcBorders>
              <w:tl2br w:val="nil"/>
              <w:tr2bl w:val="nil"/>
            </w:tcBorders>
            <w:vAlign w:val="center"/>
          </w:tcPr>
          <w:p w14:paraId="52336AB4">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eastAsia="zh-CN" w:bidi="ar"/>
              </w:rPr>
            </w:pPr>
            <w:r>
              <w:rPr>
                <w:rFonts w:hint="eastAsia" w:asciiTheme="minorEastAsia" w:hAnsiTheme="minorEastAsia" w:eastAsiaTheme="minorEastAsia" w:cstheme="minorEastAsia"/>
                <w:b w:val="0"/>
                <w:bCs w:val="0"/>
                <w:color w:val="auto"/>
                <w:sz w:val="21"/>
                <w:szCs w:val="21"/>
                <w:highlight w:val="none"/>
                <w:lang w:bidi="ar"/>
              </w:rPr>
              <w:t>根据灰渣浸出液检测结果：灰渣浸出液中任何一种污染物的浓度均未超过《污水综合排放标准》（GB 8978-1996）中最高允许排放浓度，且pH值在6-9范围之内，因此</w:t>
            </w:r>
            <w:r>
              <w:rPr>
                <w:rFonts w:hint="eastAsia" w:asciiTheme="minorEastAsia" w:hAnsiTheme="minorEastAsia" w:eastAsiaTheme="minorEastAsia" w:cstheme="minorEastAsia"/>
                <w:b w:val="0"/>
                <w:bCs w:val="0"/>
                <w:color w:val="auto"/>
                <w:sz w:val="21"/>
                <w:szCs w:val="21"/>
                <w:highlight w:val="none"/>
                <w:lang w:val="en-US" w:eastAsia="zh-CN" w:bidi="ar"/>
              </w:rPr>
              <w:t>回填的</w:t>
            </w:r>
            <w:r>
              <w:rPr>
                <w:rFonts w:hint="eastAsia" w:asciiTheme="minorEastAsia" w:hAnsiTheme="minorEastAsia" w:eastAsiaTheme="minorEastAsia" w:cstheme="minorEastAsia"/>
                <w:b w:val="0"/>
                <w:bCs w:val="0"/>
                <w:color w:val="auto"/>
                <w:sz w:val="21"/>
                <w:szCs w:val="21"/>
                <w:highlight w:val="none"/>
                <w:lang w:bidi="ar"/>
              </w:rPr>
              <w:t>生物质灰渣属于“第I类一般工业固体废物”</w:t>
            </w:r>
            <w:r>
              <w:rPr>
                <w:rFonts w:hint="eastAsia" w:asciiTheme="minorEastAsia" w:hAnsiTheme="minorEastAsia" w:eastAsiaTheme="minorEastAsia" w:cstheme="minorEastAsia"/>
                <w:b w:val="0"/>
                <w:bCs w:val="0"/>
                <w:color w:val="auto"/>
                <w:sz w:val="21"/>
                <w:szCs w:val="21"/>
                <w:highlight w:val="none"/>
                <w:lang w:eastAsia="zh-CN" w:bidi="ar"/>
              </w:rPr>
              <w:t>；</w:t>
            </w:r>
          </w:p>
          <w:p w14:paraId="3BD92299">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eastAsia="zh-CN" w:bidi="ar"/>
              </w:rPr>
            </w:pPr>
            <w:r>
              <w:rPr>
                <w:rFonts w:hint="eastAsia" w:asciiTheme="minorEastAsia" w:hAnsiTheme="minorEastAsia" w:eastAsiaTheme="minorEastAsia" w:cstheme="minorEastAsia"/>
                <w:b w:val="0"/>
                <w:bCs w:val="0"/>
                <w:color w:val="auto"/>
                <w:sz w:val="21"/>
                <w:szCs w:val="21"/>
                <w:highlight w:val="none"/>
                <w:lang w:bidi="ar"/>
              </w:rPr>
              <w:t>且有机质含量0.25</w:t>
            </w:r>
            <w:r>
              <w:rPr>
                <w:rFonts w:hint="eastAsia" w:asciiTheme="minorEastAsia" w:hAnsiTheme="minorEastAsia" w:eastAsiaTheme="minorEastAsia" w:cstheme="minorEastAsia"/>
                <w:b w:val="0"/>
                <w:bCs w:val="0"/>
                <w:color w:val="auto"/>
                <w:sz w:val="21"/>
                <w:szCs w:val="21"/>
                <w:highlight w:val="none"/>
                <w:lang w:val="en-US" w:eastAsia="zh-CN" w:bidi="ar"/>
              </w:rPr>
              <w:t>%，</w:t>
            </w:r>
            <w:r>
              <w:rPr>
                <w:rFonts w:hint="eastAsia" w:asciiTheme="minorEastAsia" w:hAnsiTheme="minorEastAsia" w:eastAsiaTheme="minorEastAsia" w:cstheme="minorEastAsia"/>
                <w:b w:val="0"/>
                <w:bCs w:val="0"/>
                <w:color w:val="auto"/>
                <w:sz w:val="21"/>
                <w:szCs w:val="21"/>
                <w:highlight w:val="none"/>
                <w:lang w:bidi="ar"/>
              </w:rPr>
              <w:t>小于2%</w:t>
            </w:r>
            <w:r>
              <w:rPr>
                <w:rFonts w:hint="eastAsia" w:asciiTheme="minorEastAsia" w:hAnsiTheme="minorEastAsia" w:eastAsiaTheme="minorEastAsia" w:cstheme="minorEastAsia"/>
                <w:b w:val="0"/>
                <w:bCs w:val="0"/>
                <w:color w:val="auto"/>
                <w:sz w:val="21"/>
                <w:szCs w:val="21"/>
                <w:highlight w:val="none"/>
                <w:lang w:eastAsia="zh-CN" w:bidi="ar"/>
              </w:rPr>
              <w:t>；</w:t>
            </w:r>
          </w:p>
          <w:p w14:paraId="47CDE445">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eastAsia="zh-CN" w:bidi="ar"/>
              </w:rPr>
            </w:pPr>
            <w:r>
              <w:rPr>
                <w:rFonts w:hint="eastAsia" w:asciiTheme="minorEastAsia" w:hAnsiTheme="minorEastAsia" w:eastAsiaTheme="minorEastAsia" w:cstheme="minorEastAsia"/>
                <w:b w:val="0"/>
                <w:bCs w:val="0"/>
                <w:color w:val="auto"/>
                <w:sz w:val="21"/>
                <w:szCs w:val="21"/>
                <w:highlight w:val="none"/>
                <w:lang w:bidi="ar"/>
              </w:rPr>
              <w:t>水溶性盐总量</w:t>
            </w:r>
            <w:r>
              <w:rPr>
                <w:rFonts w:hint="eastAsia" w:asciiTheme="minorEastAsia" w:hAnsiTheme="minorEastAsia" w:eastAsiaTheme="minorEastAsia" w:cstheme="minorEastAsia"/>
                <w:b w:val="0"/>
                <w:bCs w:val="0"/>
                <w:color w:val="auto"/>
                <w:sz w:val="21"/>
                <w:szCs w:val="21"/>
                <w:highlight w:val="none"/>
                <w:lang w:val="en-US" w:eastAsia="zh-CN" w:bidi="ar"/>
              </w:rPr>
              <w:t>0.1</w:t>
            </w:r>
            <w:r>
              <w:rPr>
                <w:rFonts w:hint="eastAsia" w:asciiTheme="minorEastAsia" w:hAnsiTheme="minorEastAsia" w:eastAsiaTheme="minorEastAsia" w:cstheme="minorEastAsia"/>
                <w:b w:val="0"/>
                <w:bCs w:val="0"/>
                <w:color w:val="auto"/>
                <w:sz w:val="21"/>
                <w:szCs w:val="21"/>
                <w:highlight w:val="none"/>
                <w:lang w:bidi="ar"/>
              </w:rPr>
              <w:t>g/kg</w:t>
            </w:r>
            <w:r>
              <w:rPr>
                <w:rFonts w:hint="eastAsia" w:asciiTheme="minorEastAsia" w:hAnsiTheme="minorEastAsia" w:eastAsiaTheme="minorEastAsia" w:cstheme="minorEastAsia"/>
                <w:b w:val="0"/>
                <w:bCs w:val="0"/>
                <w:color w:val="auto"/>
                <w:sz w:val="21"/>
                <w:szCs w:val="21"/>
                <w:highlight w:val="none"/>
                <w:lang w:eastAsia="zh-CN" w:bidi="ar"/>
              </w:rPr>
              <w:t>，</w:t>
            </w:r>
            <w:r>
              <w:rPr>
                <w:rFonts w:hint="eastAsia" w:asciiTheme="minorEastAsia" w:hAnsiTheme="minorEastAsia" w:eastAsiaTheme="minorEastAsia" w:cstheme="minorEastAsia"/>
                <w:b w:val="0"/>
                <w:bCs w:val="0"/>
                <w:color w:val="auto"/>
                <w:sz w:val="21"/>
                <w:szCs w:val="21"/>
                <w:highlight w:val="none"/>
                <w:lang w:bidi="ar"/>
              </w:rPr>
              <w:t>小于2%</w:t>
            </w:r>
            <w:r>
              <w:rPr>
                <w:rFonts w:hint="eastAsia" w:asciiTheme="minorEastAsia" w:hAnsiTheme="minorEastAsia" w:eastAsiaTheme="minorEastAsia" w:cstheme="minorEastAsia"/>
                <w:b w:val="0"/>
                <w:bCs w:val="0"/>
                <w:color w:val="auto"/>
                <w:sz w:val="21"/>
                <w:szCs w:val="21"/>
                <w:highlight w:val="none"/>
                <w:lang w:eastAsia="zh-CN" w:bidi="ar"/>
              </w:rPr>
              <w:t>。</w:t>
            </w:r>
          </w:p>
        </w:tc>
        <w:tc>
          <w:tcPr>
            <w:tcW w:w="439" w:type="pct"/>
            <w:tcBorders>
              <w:tl2br w:val="nil"/>
              <w:tr2bl w:val="nil"/>
            </w:tcBorders>
            <w:vAlign w:val="center"/>
          </w:tcPr>
          <w:p w14:paraId="39226F34">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val="en-US" w:eastAsia="zh-CN" w:bidi="ar"/>
              </w:rPr>
            </w:pPr>
            <w:r>
              <w:rPr>
                <w:rFonts w:hint="eastAsia" w:asciiTheme="minorEastAsia" w:hAnsiTheme="minorEastAsia" w:eastAsiaTheme="minorEastAsia" w:cstheme="minorEastAsia"/>
                <w:b w:val="0"/>
                <w:bCs w:val="0"/>
                <w:color w:val="auto"/>
                <w:sz w:val="21"/>
                <w:szCs w:val="21"/>
                <w:highlight w:val="none"/>
                <w:lang w:val="en-US" w:eastAsia="zh-CN" w:bidi="ar"/>
              </w:rPr>
              <w:t>符合</w:t>
            </w:r>
          </w:p>
        </w:tc>
      </w:tr>
      <w:tr w14:paraId="730C79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373" w:type="pct"/>
            <w:vMerge w:val="restart"/>
            <w:tcBorders>
              <w:tl2br w:val="nil"/>
              <w:tr2bl w:val="nil"/>
            </w:tcBorders>
            <w:vAlign w:val="center"/>
          </w:tcPr>
          <w:p w14:paraId="70883A19">
            <w:pPr>
              <w:keepNext w:val="0"/>
              <w:keepLines w:val="0"/>
              <w:widowControl w:val="0"/>
              <w:suppressLineNumbers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8充填及回填利用污染控制要求</w:t>
            </w:r>
          </w:p>
        </w:tc>
        <w:tc>
          <w:tcPr>
            <w:tcW w:w="2250" w:type="pct"/>
            <w:tcBorders>
              <w:tl2br w:val="nil"/>
              <w:tr2bl w:val="nil"/>
            </w:tcBorders>
            <w:vAlign w:val="center"/>
          </w:tcPr>
          <w:p w14:paraId="73F629B9">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eastAsia="zh-CN" w:bidi="ar"/>
              </w:rPr>
            </w:pPr>
            <w:r>
              <w:rPr>
                <w:rFonts w:hint="eastAsia" w:asciiTheme="minorEastAsia" w:hAnsiTheme="minorEastAsia" w:eastAsiaTheme="minorEastAsia" w:cstheme="minorEastAsia"/>
                <w:b w:val="0"/>
                <w:bCs w:val="0"/>
                <w:color w:val="auto"/>
                <w:sz w:val="21"/>
                <w:szCs w:val="21"/>
                <w:highlight w:val="none"/>
                <w:lang w:bidi="ar"/>
              </w:rPr>
              <w:t>8.1第I类一般工业固体废物可按下列途径进行充填或回填作业：a）粉煤灰可在煤炭开采矿区的采空区中充填或回填；b）煤矸石可在煤炭开采矿井、矿坑等采空区中充填或回填；c）尾矿、矿山废石等可在原矿开采区的矿井、矿坑等采空区中充填或回填</w:t>
            </w:r>
            <w:r>
              <w:rPr>
                <w:rFonts w:hint="eastAsia" w:asciiTheme="minorEastAsia" w:hAnsiTheme="minorEastAsia" w:eastAsiaTheme="minorEastAsia" w:cstheme="minorEastAsia"/>
                <w:b w:val="0"/>
                <w:bCs w:val="0"/>
                <w:color w:val="auto"/>
                <w:sz w:val="21"/>
                <w:szCs w:val="21"/>
                <w:highlight w:val="none"/>
                <w:lang w:eastAsia="zh-CN" w:bidi="ar"/>
              </w:rPr>
              <w:t>。</w:t>
            </w:r>
          </w:p>
        </w:tc>
        <w:tc>
          <w:tcPr>
            <w:tcW w:w="1936" w:type="pct"/>
            <w:tcBorders>
              <w:tl2br w:val="nil"/>
              <w:tr2bl w:val="nil"/>
            </w:tcBorders>
            <w:vAlign w:val="center"/>
          </w:tcPr>
          <w:p w14:paraId="22976050">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本项目属于不符合8.1条充填或回填途径的第I类一般工业固体废物。满足8.2条要求。</w:t>
            </w:r>
          </w:p>
        </w:tc>
        <w:tc>
          <w:tcPr>
            <w:tcW w:w="439" w:type="pct"/>
            <w:tcBorders>
              <w:tl2br w:val="nil"/>
              <w:tr2bl w:val="nil"/>
            </w:tcBorders>
            <w:vAlign w:val="center"/>
          </w:tcPr>
          <w:p w14:paraId="5AA3359D">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符合</w:t>
            </w:r>
          </w:p>
        </w:tc>
      </w:tr>
      <w:tr w14:paraId="1AF0E30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373" w:type="pct"/>
            <w:vMerge w:val="continue"/>
            <w:tcBorders>
              <w:tl2br w:val="nil"/>
              <w:tr2bl w:val="nil"/>
            </w:tcBorders>
            <w:vAlign w:val="center"/>
          </w:tcPr>
          <w:p w14:paraId="67BAE573">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bidi="ar"/>
              </w:rPr>
            </w:pPr>
          </w:p>
        </w:tc>
        <w:tc>
          <w:tcPr>
            <w:tcW w:w="2250" w:type="pct"/>
            <w:tcBorders>
              <w:tl2br w:val="nil"/>
              <w:tr2bl w:val="nil"/>
            </w:tcBorders>
            <w:vAlign w:val="center"/>
          </w:tcPr>
          <w:p w14:paraId="2D378868">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8.2第II类一般工业固体废物以及不符合8.1条充填或回填途径的第I类一般工业固体废物，其充填或回填活动前应开展环境本底调查，并按照HJ25.3等相关标准进行环境风险评估，重点评估对地下水、地表水及周边土壤的环境污染风险，确保环境风险可以接受。</w:t>
            </w:r>
          </w:p>
          <w:p w14:paraId="60A76A72">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充填或回填活动结束后，应根据风险评估结果对可能受到影响的土壤、地表水及地下水开展长期监测，监测频次至少每年1次。</w:t>
            </w:r>
          </w:p>
        </w:tc>
        <w:tc>
          <w:tcPr>
            <w:tcW w:w="1936" w:type="pct"/>
            <w:tcBorders>
              <w:tl2br w:val="nil"/>
              <w:tr2bl w:val="nil"/>
            </w:tcBorders>
            <w:vAlign w:val="center"/>
          </w:tcPr>
          <w:p w14:paraId="3F27B7AE">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本项目已开展环境本底调查，并按照HJ25.3等相关标准开展环境风险评估，形成了《</w:t>
            </w:r>
            <w:r>
              <w:rPr>
                <w:rFonts w:hint="eastAsia" w:ascii="Times New Roman" w:hAnsi="宋体" w:eastAsia="宋体" w:cs="Times New Roman"/>
                <w:color w:val="auto"/>
                <w:kern w:val="0"/>
                <w:sz w:val="24"/>
                <w:szCs w:val="24"/>
                <w:highlight w:val="none"/>
                <w:lang w:val="en-US" w:eastAsia="zh-CN"/>
              </w:rPr>
              <w:t>黑龙江嘉龙环保科技有限公司灰渣回填复垦利用项目</w:t>
            </w:r>
            <w:r>
              <w:rPr>
                <w:rFonts w:hint="eastAsia" w:asciiTheme="minorEastAsia" w:hAnsiTheme="minorEastAsia" w:eastAsiaTheme="minorEastAsia" w:cstheme="minorEastAsia"/>
                <w:b w:val="0"/>
                <w:bCs w:val="0"/>
                <w:color w:val="auto"/>
                <w:sz w:val="21"/>
                <w:szCs w:val="21"/>
                <w:highlight w:val="none"/>
              </w:rPr>
              <w:t>风险评估报告》，并通过专家评审，评审意见见附件。</w:t>
            </w:r>
          </w:p>
          <w:p w14:paraId="4E6937B0">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rPr>
              <w:t>项目灰渣土壤指标中不存在超筛选值的污染物，回填复垦无需要启动土壤污染人体健康风险评估程序；灰渣浸出液不存在超筛选值的有毒有害污染物，回填复垦无需要启动地下水污染人体健康风险评估程序。评估结论为环境风险可以接受。</w:t>
            </w:r>
          </w:p>
        </w:tc>
        <w:tc>
          <w:tcPr>
            <w:tcW w:w="439" w:type="pct"/>
            <w:tcBorders>
              <w:tl2br w:val="nil"/>
              <w:tr2bl w:val="nil"/>
            </w:tcBorders>
            <w:vAlign w:val="center"/>
          </w:tcPr>
          <w:p w14:paraId="3FEA1B9D">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符合</w:t>
            </w:r>
          </w:p>
        </w:tc>
      </w:tr>
      <w:tr w14:paraId="5FC66C9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373" w:type="pct"/>
            <w:vMerge w:val="continue"/>
            <w:tcBorders>
              <w:tl2br w:val="nil"/>
              <w:tr2bl w:val="nil"/>
            </w:tcBorders>
            <w:vAlign w:val="center"/>
          </w:tcPr>
          <w:p w14:paraId="3AC962F2">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bidi="ar"/>
              </w:rPr>
            </w:pPr>
          </w:p>
        </w:tc>
        <w:tc>
          <w:tcPr>
            <w:tcW w:w="2250" w:type="pct"/>
            <w:tcBorders>
              <w:tl2br w:val="nil"/>
              <w:tr2bl w:val="nil"/>
            </w:tcBorders>
            <w:vAlign w:val="center"/>
          </w:tcPr>
          <w:p w14:paraId="0965B00D">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8.3不应在充填物料中掺加除充填作业所需要的添加剂之外的其他固体废物。</w:t>
            </w:r>
          </w:p>
        </w:tc>
        <w:tc>
          <w:tcPr>
            <w:tcW w:w="1936" w:type="pct"/>
            <w:tcBorders>
              <w:tl2br w:val="nil"/>
              <w:tr2bl w:val="nil"/>
            </w:tcBorders>
            <w:vAlign w:val="center"/>
          </w:tcPr>
          <w:p w14:paraId="631AF4AB">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本项目不在回填物料中掺加除充填作业所需要的添加剂之外的其他固体废物，回填材料来源唯一，为</w:t>
            </w:r>
            <w:r>
              <w:rPr>
                <w:rFonts w:hint="eastAsia" w:asciiTheme="minorEastAsia" w:hAnsiTheme="minorEastAsia" w:eastAsiaTheme="minorEastAsia" w:cstheme="minorEastAsia"/>
                <w:b w:val="0"/>
                <w:bCs w:val="0"/>
                <w:color w:val="auto"/>
                <w:sz w:val="21"/>
                <w:szCs w:val="21"/>
                <w:highlight w:val="none"/>
                <w:lang w:val="en-US" w:eastAsia="zh-CN" w:bidi="ar"/>
              </w:rPr>
              <w:t>尚志周边企业</w:t>
            </w:r>
            <w:r>
              <w:rPr>
                <w:rFonts w:hint="eastAsia" w:asciiTheme="minorEastAsia" w:hAnsiTheme="minorEastAsia" w:eastAsiaTheme="minorEastAsia" w:cstheme="minorEastAsia"/>
                <w:b w:val="0"/>
                <w:bCs w:val="0"/>
                <w:color w:val="auto"/>
                <w:sz w:val="21"/>
                <w:szCs w:val="21"/>
                <w:highlight w:val="none"/>
                <w:lang w:bidi="ar"/>
              </w:rPr>
              <w:t>锅炉灰渣。</w:t>
            </w:r>
          </w:p>
        </w:tc>
        <w:tc>
          <w:tcPr>
            <w:tcW w:w="439" w:type="pct"/>
            <w:tcBorders>
              <w:tl2br w:val="nil"/>
              <w:tr2bl w:val="nil"/>
            </w:tcBorders>
            <w:vAlign w:val="center"/>
          </w:tcPr>
          <w:p w14:paraId="3B8118AF">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符合</w:t>
            </w:r>
          </w:p>
        </w:tc>
      </w:tr>
      <w:tr w14:paraId="03737F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373" w:type="pct"/>
            <w:vMerge w:val="continue"/>
            <w:tcBorders>
              <w:tl2br w:val="nil"/>
              <w:tr2bl w:val="nil"/>
            </w:tcBorders>
            <w:vAlign w:val="center"/>
          </w:tcPr>
          <w:p w14:paraId="143CAF0D">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bidi="ar"/>
              </w:rPr>
            </w:pPr>
          </w:p>
        </w:tc>
        <w:tc>
          <w:tcPr>
            <w:tcW w:w="2250" w:type="pct"/>
            <w:tcBorders>
              <w:tl2br w:val="nil"/>
              <w:tr2bl w:val="nil"/>
            </w:tcBorders>
            <w:vAlign w:val="center"/>
          </w:tcPr>
          <w:p w14:paraId="54A5B618">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8.4一般工业固体废物回填作业结束后应立即实施土地复垦（回填地下的除外），土地复垦应符合本标准9.9条的规定。</w:t>
            </w:r>
          </w:p>
        </w:tc>
        <w:tc>
          <w:tcPr>
            <w:tcW w:w="1936" w:type="pct"/>
            <w:tcBorders>
              <w:tl2br w:val="nil"/>
              <w:tr2bl w:val="nil"/>
            </w:tcBorders>
            <w:vAlign w:val="center"/>
          </w:tcPr>
          <w:p w14:paraId="70F2DE9C">
            <w:pPr>
              <w:keepNext w:val="0"/>
              <w:keepLines w:val="0"/>
              <w:widowControl w:val="0"/>
              <w:suppressLineNumbers w:val="0"/>
              <w:autoSpaceDE w:val="0"/>
              <w:autoSpaceDN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本项目复垦用土来自于</w:t>
            </w:r>
            <w:r>
              <w:rPr>
                <w:rFonts w:hint="eastAsia" w:ascii="Times New Roman" w:hAnsi="Times New Roman" w:eastAsia="宋体" w:cs="Times New Roman"/>
                <w:color w:val="auto"/>
                <w:sz w:val="21"/>
                <w:szCs w:val="21"/>
                <w:highlight w:val="none"/>
                <w:lang w:val="en-US" w:eastAsia="zh-CN"/>
              </w:rPr>
              <w:t>当地高标准农田建设</w:t>
            </w:r>
            <w:r>
              <w:rPr>
                <w:rFonts w:ascii="Times New Roman" w:hAnsi="Times New Roman" w:eastAsia="宋体" w:cs="Times New Roman"/>
                <w:color w:val="auto"/>
                <w:sz w:val="21"/>
                <w:szCs w:val="21"/>
                <w:highlight w:val="none"/>
              </w:rPr>
              <w:t>剥离的</w:t>
            </w:r>
            <w:r>
              <w:rPr>
                <w:rFonts w:hint="eastAsia" w:ascii="Times New Roman" w:hAnsi="Times New Roman" w:eastAsia="宋体" w:cs="Times New Roman"/>
                <w:color w:val="auto"/>
                <w:sz w:val="21"/>
                <w:szCs w:val="21"/>
                <w:highlight w:val="none"/>
                <w:lang w:val="en-US" w:eastAsia="zh-CN"/>
              </w:rPr>
              <w:t>种植</w:t>
            </w:r>
            <w:r>
              <w:rPr>
                <w:rFonts w:ascii="Times New Roman" w:hAnsi="Times New Roman" w:eastAsia="宋体" w:cs="Times New Roman"/>
                <w:color w:val="auto"/>
                <w:sz w:val="21"/>
                <w:szCs w:val="21"/>
                <w:highlight w:val="none"/>
              </w:rPr>
              <w:t>表土</w:t>
            </w:r>
            <w:r>
              <w:rPr>
                <w:rFonts w:hint="eastAsia" w:asciiTheme="minorEastAsia" w:hAnsiTheme="minorEastAsia" w:eastAsiaTheme="minorEastAsia" w:cstheme="minorEastAsia"/>
                <w:b w:val="0"/>
                <w:bCs w:val="0"/>
                <w:color w:val="auto"/>
                <w:sz w:val="21"/>
                <w:szCs w:val="21"/>
                <w:highlight w:val="none"/>
              </w:rPr>
              <w:t>。</w:t>
            </w:r>
          </w:p>
          <w:p w14:paraId="48F04E78">
            <w:pPr>
              <w:keepNext w:val="0"/>
              <w:keepLines w:val="0"/>
              <w:widowControl w:val="0"/>
              <w:suppressLineNumbers w:val="0"/>
              <w:autoSpaceDE w:val="0"/>
              <w:autoSpaceDN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rPr>
              <w:t>本项目</w:t>
            </w:r>
            <w:r>
              <w:rPr>
                <w:rFonts w:hint="eastAsia" w:asciiTheme="minorEastAsia" w:hAnsiTheme="minorEastAsia" w:eastAsiaTheme="minorEastAsia" w:cstheme="minorEastAsia"/>
                <w:b w:val="0"/>
                <w:bCs w:val="0"/>
                <w:color w:val="auto"/>
                <w:sz w:val="21"/>
                <w:szCs w:val="21"/>
                <w:highlight w:val="none"/>
                <w:lang w:val="en-US" w:eastAsia="zh-CN"/>
              </w:rPr>
              <w:t>回填</w:t>
            </w:r>
            <w:r>
              <w:rPr>
                <w:rFonts w:hint="eastAsia" w:asciiTheme="minorEastAsia" w:hAnsiTheme="minorEastAsia" w:eastAsiaTheme="minorEastAsia" w:cstheme="minorEastAsia"/>
                <w:b w:val="0"/>
                <w:bCs w:val="0"/>
                <w:color w:val="auto"/>
                <w:sz w:val="21"/>
                <w:szCs w:val="21"/>
                <w:highlight w:val="none"/>
              </w:rPr>
              <w:t>后进行封场、覆土80cm、上方种植</w:t>
            </w:r>
            <w:r>
              <w:rPr>
                <w:rFonts w:hint="eastAsia" w:ascii="Times New Roman" w:hAnsi="Times New Roman" w:cs="Times New Roman"/>
                <w:color w:val="auto"/>
                <w:sz w:val="24"/>
                <w:szCs w:val="24"/>
                <w:highlight w:val="none"/>
                <w:lang w:eastAsia="zh-CN"/>
              </w:rPr>
              <w:t>樟子松及针叶林</w:t>
            </w:r>
            <w:r>
              <w:rPr>
                <w:rFonts w:hint="eastAsia" w:asciiTheme="minorEastAsia" w:hAnsiTheme="minorEastAsia" w:eastAsiaTheme="minorEastAsia" w:cstheme="minorEastAsia"/>
                <w:b w:val="0"/>
                <w:bCs w:val="0"/>
                <w:color w:val="auto"/>
                <w:sz w:val="21"/>
                <w:szCs w:val="21"/>
                <w:highlight w:val="none"/>
              </w:rPr>
              <w:t>，土壤环境质量达到《土壤环境质量农用地土壤污染风险管控标准(试行)》(GB15618-2018)标准要求</w:t>
            </w:r>
            <w:r>
              <w:rPr>
                <w:rFonts w:hint="eastAsia" w:asciiTheme="minorEastAsia" w:hAnsiTheme="minorEastAsia" w:eastAsiaTheme="minorEastAsia" w:cstheme="minorEastAsia"/>
                <w:b w:val="0"/>
                <w:bCs w:val="0"/>
                <w:color w:val="auto"/>
                <w:sz w:val="21"/>
                <w:szCs w:val="21"/>
                <w:highlight w:val="none"/>
                <w:lang w:eastAsia="zh-CN"/>
              </w:rPr>
              <w:t>，</w:t>
            </w:r>
            <w:r>
              <w:rPr>
                <w:rFonts w:hint="eastAsia" w:asciiTheme="minorEastAsia" w:hAnsiTheme="minorEastAsia" w:eastAsiaTheme="minorEastAsia" w:cstheme="minorEastAsia"/>
                <w:b w:val="0"/>
                <w:bCs w:val="0"/>
                <w:color w:val="auto"/>
                <w:sz w:val="21"/>
                <w:szCs w:val="21"/>
                <w:highlight w:val="none"/>
              </w:rPr>
              <w:t>土地复垦实施过程</w:t>
            </w:r>
            <w:r>
              <w:rPr>
                <w:rFonts w:hint="eastAsia" w:asciiTheme="minorEastAsia" w:hAnsiTheme="minorEastAsia" w:eastAsiaTheme="minorEastAsia" w:cstheme="minorEastAsia"/>
                <w:b w:val="0"/>
                <w:bCs w:val="0"/>
                <w:color w:val="auto"/>
                <w:sz w:val="21"/>
                <w:szCs w:val="21"/>
                <w:highlight w:val="none"/>
                <w:lang w:val="en-US" w:eastAsia="zh-CN"/>
              </w:rPr>
              <w:t>按照</w:t>
            </w:r>
            <w:r>
              <w:rPr>
                <w:rFonts w:hint="eastAsia" w:asciiTheme="minorEastAsia" w:hAnsiTheme="minorEastAsia" w:eastAsiaTheme="minorEastAsia" w:cstheme="minorEastAsia"/>
                <w:b w:val="0"/>
                <w:bCs w:val="0"/>
                <w:color w:val="auto"/>
                <w:sz w:val="21"/>
                <w:szCs w:val="21"/>
                <w:highlight w:val="none"/>
              </w:rPr>
              <w:t xml:space="preserve"> TD/T 1036 规定的相关土地复垦质量控制要求</w:t>
            </w:r>
            <w:r>
              <w:rPr>
                <w:rFonts w:hint="eastAsia" w:asciiTheme="minorEastAsia" w:hAnsiTheme="minorEastAsia" w:eastAsiaTheme="minorEastAsia" w:cstheme="minorEastAsia"/>
                <w:b w:val="0"/>
                <w:bCs w:val="0"/>
                <w:color w:val="auto"/>
                <w:sz w:val="21"/>
                <w:szCs w:val="21"/>
                <w:highlight w:val="none"/>
                <w:lang w:val="en-US" w:eastAsia="zh-CN"/>
              </w:rPr>
              <w:t>执行</w:t>
            </w:r>
            <w:r>
              <w:rPr>
                <w:rFonts w:hint="eastAsia" w:asciiTheme="minorEastAsia" w:hAnsiTheme="minorEastAsia" w:eastAsiaTheme="minorEastAsia" w:cstheme="minorEastAsia"/>
                <w:b w:val="0"/>
                <w:bCs w:val="0"/>
                <w:color w:val="auto"/>
                <w:sz w:val="21"/>
                <w:szCs w:val="21"/>
                <w:highlight w:val="none"/>
              </w:rPr>
              <w:t>。</w:t>
            </w:r>
          </w:p>
        </w:tc>
        <w:tc>
          <w:tcPr>
            <w:tcW w:w="439" w:type="pct"/>
            <w:tcBorders>
              <w:tl2br w:val="nil"/>
              <w:tr2bl w:val="nil"/>
            </w:tcBorders>
            <w:vAlign w:val="center"/>
          </w:tcPr>
          <w:p w14:paraId="183D19AF">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符合</w:t>
            </w:r>
          </w:p>
        </w:tc>
      </w:tr>
      <w:tr w14:paraId="5A2DDBE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373" w:type="pct"/>
            <w:vMerge w:val="continue"/>
            <w:tcBorders>
              <w:tl2br w:val="nil"/>
              <w:tr2bl w:val="nil"/>
            </w:tcBorders>
            <w:vAlign w:val="center"/>
          </w:tcPr>
          <w:p w14:paraId="77B38239">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bidi="ar"/>
              </w:rPr>
            </w:pPr>
          </w:p>
        </w:tc>
        <w:tc>
          <w:tcPr>
            <w:tcW w:w="2250" w:type="pct"/>
            <w:tcBorders>
              <w:tl2br w:val="nil"/>
              <w:tr2bl w:val="nil"/>
            </w:tcBorders>
            <w:vAlign w:val="center"/>
          </w:tcPr>
          <w:p w14:paraId="2127EBAC">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8.5食品制造业、纺织服装和服饰业、造纸和纸制品业、农副食品加工业等为日常生活提供服务的活动中产生的与生活垃圾性质相近的一般工业固体废物以及其他有机物含量超过5%的一般工业固体废物（煤矸石除外）不得进行充填、回填作业。</w:t>
            </w:r>
          </w:p>
        </w:tc>
        <w:tc>
          <w:tcPr>
            <w:tcW w:w="1936" w:type="pct"/>
            <w:tcBorders>
              <w:tl2br w:val="nil"/>
              <w:tr2bl w:val="nil"/>
            </w:tcBorders>
            <w:vAlign w:val="center"/>
          </w:tcPr>
          <w:p w14:paraId="1DC297BD">
            <w:pPr>
              <w:keepNext w:val="0"/>
              <w:keepLines w:val="0"/>
              <w:widowControl w:val="0"/>
              <w:suppressLineNumbers w:val="0"/>
              <w:autoSpaceDE w:val="0"/>
              <w:autoSpaceDN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val="en-US" w:eastAsia="zh-CN" w:bidi="ar"/>
              </w:rPr>
            </w:pPr>
            <w:r>
              <w:rPr>
                <w:rFonts w:hint="eastAsia" w:asciiTheme="minorEastAsia" w:hAnsiTheme="minorEastAsia" w:eastAsiaTheme="minorEastAsia" w:cstheme="minorEastAsia"/>
                <w:b w:val="0"/>
                <w:bCs w:val="0"/>
                <w:color w:val="auto"/>
                <w:sz w:val="21"/>
                <w:szCs w:val="21"/>
                <w:highlight w:val="none"/>
                <w:lang w:bidi="ar"/>
              </w:rPr>
              <w:t>本项目回填使用的灰渣全部来源于</w:t>
            </w:r>
            <w:r>
              <w:rPr>
                <w:rFonts w:hint="eastAsia" w:asciiTheme="minorEastAsia" w:hAnsiTheme="minorEastAsia" w:eastAsiaTheme="minorEastAsia" w:cstheme="minorEastAsia"/>
                <w:b w:val="0"/>
                <w:bCs w:val="0"/>
                <w:color w:val="auto"/>
                <w:sz w:val="21"/>
                <w:szCs w:val="21"/>
                <w:highlight w:val="none"/>
                <w:lang w:val="en-US" w:eastAsia="zh-CN" w:bidi="ar"/>
              </w:rPr>
              <w:t>尚志周边企业锅炉产生的灰渣</w:t>
            </w:r>
            <w:r>
              <w:rPr>
                <w:rFonts w:hint="eastAsia" w:asciiTheme="minorEastAsia" w:hAnsiTheme="minorEastAsia" w:eastAsiaTheme="minorEastAsia" w:cstheme="minorEastAsia"/>
                <w:b w:val="0"/>
                <w:bCs w:val="0"/>
                <w:color w:val="auto"/>
                <w:sz w:val="21"/>
                <w:szCs w:val="21"/>
                <w:highlight w:val="none"/>
                <w:lang w:bidi="ar"/>
              </w:rPr>
              <w:t>，根据灰渣浸出液检测结果：灰渣浸出液中任何一种污染物的浓度均未超过《污水综合排放标准》（GB 8978-1996）中最高允许排放浓度，且pH值在6-9范围之内，因此</w:t>
            </w:r>
            <w:r>
              <w:rPr>
                <w:rFonts w:hint="eastAsia" w:asciiTheme="minorEastAsia" w:hAnsiTheme="minorEastAsia" w:eastAsiaTheme="minorEastAsia" w:cstheme="minorEastAsia"/>
                <w:b w:val="0"/>
                <w:bCs w:val="0"/>
                <w:color w:val="auto"/>
                <w:sz w:val="21"/>
                <w:szCs w:val="21"/>
                <w:highlight w:val="none"/>
                <w:lang w:val="en-US" w:eastAsia="zh-CN" w:bidi="ar"/>
              </w:rPr>
              <w:t>本项目使用的</w:t>
            </w:r>
            <w:r>
              <w:rPr>
                <w:rFonts w:hint="eastAsia" w:asciiTheme="minorEastAsia" w:hAnsiTheme="minorEastAsia" w:eastAsiaTheme="minorEastAsia" w:cstheme="minorEastAsia"/>
                <w:b w:val="0"/>
                <w:bCs w:val="0"/>
                <w:color w:val="auto"/>
                <w:sz w:val="21"/>
                <w:szCs w:val="21"/>
                <w:highlight w:val="none"/>
                <w:lang w:bidi="ar"/>
              </w:rPr>
              <w:t>灰渣属于“第I类一般工业固体废物”，</w:t>
            </w:r>
            <w:r>
              <w:rPr>
                <w:rFonts w:hint="eastAsia" w:asciiTheme="minorEastAsia" w:hAnsiTheme="minorEastAsia" w:eastAsiaTheme="minorEastAsia" w:cstheme="minorEastAsia"/>
                <w:b w:val="0"/>
                <w:bCs w:val="0"/>
                <w:color w:val="auto"/>
                <w:sz w:val="21"/>
                <w:szCs w:val="21"/>
                <w:highlight w:val="none"/>
                <w:lang w:val="en-US" w:eastAsia="zh-CN" w:bidi="ar"/>
              </w:rPr>
              <w:t>且有机物含量未超过5%。</w:t>
            </w:r>
          </w:p>
        </w:tc>
        <w:tc>
          <w:tcPr>
            <w:tcW w:w="439" w:type="pct"/>
            <w:tcBorders>
              <w:tl2br w:val="nil"/>
              <w:tr2bl w:val="nil"/>
            </w:tcBorders>
            <w:vAlign w:val="center"/>
          </w:tcPr>
          <w:p w14:paraId="4BE6B8EA">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符合</w:t>
            </w:r>
          </w:p>
        </w:tc>
      </w:tr>
      <w:tr w14:paraId="6DB740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373" w:type="pct"/>
            <w:tcBorders>
              <w:tl2br w:val="nil"/>
              <w:tr2bl w:val="nil"/>
            </w:tcBorders>
            <w:vAlign w:val="center"/>
          </w:tcPr>
          <w:p w14:paraId="6B3BAE88">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9封场及土地复垦要求</w:t>
            </w:r>
          </w:p>
        </w:tc>
        <w:tc>
          <w:tcPr>
            <w:tcW w:w="2250" w:type="pct"/>
            <w:tcBorders>
              <w:tl2br w:val="nil"/>
              <w:tr2bl w:val="nil"/>
            </w:tcBorders>
            <w:vAlign w:val="center"/>
          </w:tcPr>
          <w:p w14:paraId="71449FB3">
            <w:pPr>
              <w:keepNext w:val="0"/>
              <w:keepLines w:val="0"/>
              <w:widowControl w:val="0"/>
              <w:suppressLineNumbers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9.9贮存场、填埋场封场完成后，可依据当地地形条件、水资源及表土资源等自然环境条件和社会发展需求并按照相关规定进行土地复垦。土地复垦实施过程应满足TD/T1036规定的相关土地复垦质量控制要求。土地复垦后用作建设用地的，还应满足GB36600的要求；用作农用地的，还应满足GB15618的要求。</w:t>
            </w:r>
          </w:p>
        </w:tc>
        <w:tc>
          <w:tcPr>
            <w:tcW w:w="1936" w:type="pct"/>
            <w:tcBorders>
              <w:tl2br w:val="nil"/>
              <w:tr2bl w:val="nil"/>
            </w:tcBorders>
            <w:vAlign w:val="center"/>
          </w:tcPr>
          <w:p w14:paraId="6262DFA7">
            <w:pPr>
              <w:keepNext w:val="0"/>
              <w:keepLines w:val="0"/>
              <w:widowControl w:val="0"/>
              <w:suppressLineNumbers w:val="0"/>
              <w:autoSpaceDE w:val="0"/>
              <w:autoSpaceDN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本项目按照相关规定进行土地复垦。土地复垦实施过程按《土地复垦质量控制标准》（TD/T1036-2013）规定的相关土地复垦质量控制要求执行。</w:t>
            </w:r>
          </w:p>
          <w:p w14:paraId="48C7AF42">
            <w:pPr>
              <w:keepNext w:val="0"/>
              <w:keepLines w:val="0"/>
              <w:widowControl w:val="0"/>
              <w:suppressLineNumbers w:val="0"/>
              <w:autoSpaceDE w:val="0"/>
              <w:autoSpaceDN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本项目复垦用土来自于</w:t>
            </w:r>
            <w:r>
              <w:rPr>
                <w:rFonts w:hint="eastAsia" w:ascii="Times New Roman" w:hAnsi="Times New Roman" w:eastAsia="宋体" w:cs="Times New Roman"/>
                <w:color w:val="auto"/>
                <w:sz w:val="21"/>
                <w:szCs w:val="21"/>
                <w:highlight w:val="none"/>
                <w:lang w:val="en-US" w:eastAsia="zh-CN"/>
              </w:rPr>
              <w:t>当地高标准农田建设</w:t>
            </w:r>
            <w:r>
              <w:rPr>
                <w:rFonts w:ascii="Times New Roman" w:hAnsi="Times New Roman" w:eastAsia="宋体" w:cs="Times New Roman"/>
                <w:color w:val="auto"/>
                <w:sz w:val="21"/>
                <w:szCs w:val="21"/>
                <w:highlight w:val="none"/>
              </w:rPr>
              <w:t>剥离的</w:t>
            </w:r>
            <w:r>
              <w:rPr>
                <w:rFonts w:hint="eastAsia" w:ascii="Times New Roman" w:hAnsi="Times New Roman" w:eastAsia="宋体" w:cs="Times New Roman"/>
                <w:color w:val="auto"/>
                <w:sz w:val="21"/>
                <w:szCs w:val="21"/>
                <w:highlight w:val="none"/>
                <w:lang w:val="en-US" w:eastAsia="zh-CN"/>
              </w:rPr>
              <w:t>种植</w:t>
            </w:r>
            <w:r>
              <w:rPr>
                <w:rFonts w:ascii="Times New Roman" w:hAnsi="Times New Roman" w:eastAsia="宋体" w:cs="Times New Roman"/>
                <w:color w:val="auto"/>
                <w:sz w:val="21"/>
                <w:szCs w:val="21"/>
                <w:highlight w:val="none"/>
              </w:rPr>
              <w:t>表土</w:t>
            </w:r>
            <w:r>
              <w:rPr>
                <w:rFonts w:hint="eastAsia" w:asciiTheme="minorEastAsia" w:hAnsiTheme="minorEastAsia" w:eastAsiaTheme="minorEastAsia" w:cstheme="minorEastAsia"/>
                <w:b w:val="0"/>
                <w:bCs w:val="0"/>
                <w:color w:val="auto"/>
                <w:sz w:val="21"/>
                <w:szCs w:val="21"/>
                <w:highlight w:val="none"/>
              </w:rPr>
              <w:t>。</w:t>
            </w:r>
          </w:p>
          <w:p w14:paraId="2C61C8C9">
            <w:pPr>
              <w:keepNext w:val="0"/>
              <w:keepLines w:val="0"/>
              <w:widowControl w:val="0"/>
              <w:suppressLineNumbers w:val="0"/>
              <w:autoSpaceDE w:val="0"/>
              <w:autoSpaceDN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rPr>
              <w:t>本项目</w:t>
            </w:r>
            <w:r>
              <w:rPr>
                <w:rFonts w:hint="eastAsia" w:asciiTheme="minorEastAsia" w:hAnsiTheme="minorEastAsia" w:eastAsiaTheme="minorEastAsia" w:cstheme="minorEastAsia"/>
                <w:b w:val="0"/>
                <w:bCs w:val="0"/>
                <w:color w:val="auto"/>
                <w:sz w:val="21"/>
                <w:szCs w:val="21"/>
                <w:highlight w:val="none"/>
                <w:lang w:val="en-US" w:eastAsia="zh-CN"/>
              </w:rPr>
              <w:t>回填</w:t>
            </w:r>
            <w:r>
              <w:rPr>
                <w:rFonts w:hint="eastAsia" w:asciiTheme="minorEastAsia" w:hAnsiTheme="minorEastAsia" w:eastAsiaTheme="minorEastAsia" w:cstheme="minorEastAsia"/>
                <w:b w:val="0"/>
                <w:bCs w:val="0"/>
                <w:color w:val="auto"/>
                <w:sz w:val="21"/>
                <w:szCs w:val="21"/>
                <w:highlight w:val="none"/>
              </w:rPr>
              <w:t>后进行封场、覆土80cm、上方种植农作物，土壤环境质量达到《土壤环境质量农用地土壤污染风险管控标准(试行)》(GB15618-2018)标准要求</w:t>
            </w:r>
            <w:r>
              <w:rPr>
                <w:rFonts w:hint="eastAsia" w:asciiTheme="minorEastAsia" w:hAnsiTheme="minorEastAsia" w:eastAsiaTheme="minorEastAsia" w:cstheme="minorEastAsia"/>
                <w:b w:val="0"/>
                <w:bCs w:val="0"/>
                <w:color w:val="auto"/>
                <w:sz w:val="21"/>
                <w:szCs w:val="21"/>
                <w:highlight w:val="none"/>
                <w:lang w:eastAsia="zh-CN"/>
              </w:rPr>
              <w:t>，</w:t>
            </w:r>
            <w:r>
              <w:rPr>
                <w:rFonts w:hint="eastAsia" w:asciiTheme="minorEastAsia" w:hAnsiTheme="minorEastAsia" w:eastAsiaTheme="minorEastAsia" w:cstheme="minorEastAsia"/>
                <w:b w:val="0"/>
                <w:bCs w:val="0"/>
                <w:color w:val="auto"/>
                <w:sz w:val="21"/>
                <w:szCs w:val="21"/>
                <w:highlight w:val="none"/>
              </w:rPr>
              <w:t>土地复垦实施过程</w:t>
            </w:r>
            <w:r>
              <w:rPr>
                <w:rFonts w:hint="eastAsia" w:asciiTheme="minorEastAsia" w:hAnsiTheme="minorEastAsia" w:eastAsiaTheme="minorEastAsia" w:cstheme="minorEastAsia"/>
                <w:b w:val="0"/>
                <w:bCs w:val="0"/>
                <w:color w:val="auto"/>
                <w:sz w:val="21"/>
                <w:szCs w:val="21"/>
                <w:highlight w:val="none"/>
                <w:lang w:val="en-US" w:eastAsia="zh-CN"/>
              </w:rPr>
              <w:t>按照</w:t>
            </w:r>
            <w:r>
              <w:rPr>
                <w:rFonts w:hint="eastAsia" w:asciiTheme="minorEastAsia" w:hAnsiTheme="minorEastAsia" w:eastAsiaTheme="minorEastAsia" w:cstheme="minorEastAsia"/>
                <w:b w:val="0"/>
                <w:bCs w:val="0"/>
                <w:color w:val="auto"/>
                <w:sz w:val="21"/>
                <w:szCs w:val="21"/>
                <w:highlight w:val="none"/>
              </w:rPr>
              <w:t xml:space="preserve"> TD/T 1036 规定的相关土地复垦质量控制要求</w:t>
            </w:r>
            <w:r>
              <w:rPr>
                <w:rFonts w:hint="eastAsia" w:asciiTheme="minorEastAsia" w:hAnsiTheme="minorEastAsia" w:eastAsiaTheme="minorEastAsia" w:cstheme="minorEastAsia"/>
                <w:b w:val="0"/>
                <w:bCs w:val="0"/>
                <w:color w:val="auto"/>
                <w:sz w:val="21"/>
                <w:szCs w:val="21"/>
                <w:highlight w:val="none"/>
                <w:lang w:val="en-US" w:eastAsia="zh-CN"/>
              </w:rPr>
              <w:t>执行</w:t>
            </w:r>
            <w:r>
              <w:rPr>
                <w:rFonts w:hint="eastAsia" w:asciiTheme="minorEastAsia" w:hAnsiTheme="minorEastAsia" w:eastAsiaTheme="minorEastAsia" w:cstheme="minorEastAsia"/>
                <w:b w:val="0"/>
                <w:bCs w:val="0"/>
                <w:color w:val="auto"/>
                <w:sz w:val="21"/>
                <w:szCs w:val="21"/>
                <w:highlight w:val="none"/>
              </w:rPr>
              <w:t>。</w:t>
            </w:r>
          </w:p>
          <w:p w14:paraId="24C052FB">
            <w:pPr>
              <w:keepNext w:val="0"/>
              <w:keepLines w:val="0"/>
              <w:widowControl w:val="0"/>
              <w:suppressLineNumbers w:val="0"/>
              <w:autoSpaceDE w:val="0"/>
              <w:autoSpaceDN w:val="0"/>
              <w:adjustRightInd w:val="0"/>
              <w:snapToGrid w:val="0"/>
              <w:spacing w:before="0" w:beforeAutospacing="0" w:after="0" w:afterAutospacing="0"/>
              <w:ind w:left="0" w:right="0"/>
              <w:jc w:val="both"/>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val="en-US" w:eastAsia="zh-CN" w:bidi="ar"/>
              </w:rPr>
              <w:t>根据本项目灰渣浸出液检测结果，关注的铅、铬、镉、铜、镍、锌等均未检出，本项目回填所用的灰渣各项监测指标满足《土壤环境质量 农用地土壤污染风险管控标准（试行）》（GB 15618-2018 ）表1 农用地土壤污染风险筛选值（基本项目）要求</w:t>
            </w:r>
            <w:r>
              <w:rPr>
                <w:rFonts w:hint="eastAsia" w:asciiTheme="minorEastAsia" w:hAnsiTheme="minorEastAsia" w:eastAsiaTheme="minorEastAsia" w:cstheme="minorEastAsia"/>
                <w:b w:val="0"/>
                <w:bCs w:val="0"/>
                <w:color w:val="auto"/>
                <w:sz w:val="21"/>
                <w:szCs w:val="21"/>
                <w:highlight w:val="none"/>
                <w:lang w:bidi="ar"/>
              </w:rPr>
              <w:t>。</w:t>
            </w:r>
          </w:p>
        </w:tc>
        <w:tc>
          <w:tcPr>
            <w:tcW w:w="439" w:type="pct"/>
            <w:tcBorders>
              <w:tl2br w:val="nil"/>
              <w:tr2bl w:val="nil"/>
            </w:tcBorders>
            <w:vAlign w:val="center"/>
          </w:tcPr>
          <w:p w14:paraId="447FAEA5">
            <w:pPr>
              <w:keepNext w:val="0"/>
              <w:keepLines w:val="0"/>
              <w:widowControl w:val="0"/>
              <w:suppressLineNumbers w:val="0"/>
              <w:autoSpaceDE w:val="0"/>
              <w:autoSpaceDN w:val="0"/>
              <w:adjustRightInd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bidi="ar"/>
              </w:rPr>
            </w:pPr>
            <w:r>
              <w:rPr>
                <w:rFonts w:hint="eastAsia" w:asciiTheme="minorEastAsia" w:hAnsiTheme="minorEastAsia" w:eastAsiaTheme="minorEastAsia" w:cstheme="minorEastAsia"/>
                <w:b w:val="0"/>
                <w:bCs w:val="0"/>
                <w:color w:val="auto"/>
                <w:sz w:val="21"/>
                <w:szCs w:val="21"/>
                <w:highlight w:val="none"/>
                <w:lang w:bidi="ar"/>
              </w:rPr>
              <w:t>符合</w:t>
            </w:r>
          </w:p>
        </w:tc>
      </w:tr>
    </w:tbl>
    <w:p w14:paraId="76374476">
      <w:pPr>
        <w:widowControl w:val="0"/>
        <w:adjustRightInd w:val="0"/>
        <w:snapToGrid w:val="0"/>
        <w:spacing w:line="360" w:lineRule="auto"/>
        <w:jc w:val="both"/>
        <w:outlineLvl w:val="3"/>
        <w:rPr>
          <w:rFonts w:hint="default" w:asciiTheme="minorEastAsia" w:hAnsiTheme="minorEastAsia" w:eastAsiaTheme="minorEastAsia" w:cstheme="minorEastAsia"/>
          <w:b/>
          <w:snapToGrid w:val="0"/>
          <w:color w:val="auto"/>
          <w:highlight w:val="none"/>
          <w:lang w:val="en-US"/>
        </w:rPr>
      </w:pPr>
      <w:r>
        <w:rPr>
          <w:rFonts w:hint="eastAsia" w:asciiTheme="minorEastAsia" w:hAnsiTheme="minorEastAsia" w:eastAsiaTheme="minorEastAsia" w:cstheme="minorEastAsia"/>
          <w:b/>
          <w:snapToGrid w:val="0"/>
          <w:color w:val="auto"/>
          <w:highlight w:val="none"/>
        </w:rPr>
        <w:t>1.4.</w:t>
      </w:r>
      <w:r>
        <w:rPr>
          <w:rFonts w:hint="eastAsia" w:asciiTheme="minorEastAsia" w:hAnsiTheme="minorEastAsia" w:eastAsiaTheme="minorEastAsia" w:cstheme="minorEastAsia"/>
          <w:b/>
          <w:snapToGrid w:val="0"/>
          <w:color w:val="auto"/>
          <w:highlight w:val="none"/>
          <w:lang w:val="en-US" w:eastAsia="zh-CN"/>
        </w:rPr>
        <w:t>2</w:t>
      </w:r>
      <w:r>
        <w:rPr>
          <w:rFonts w:hint="eastAsia" w:asciiTheme="minorEastAsia" w:hAnsiTheme="minorEastAsia" w:eastAsiaTheme="minorEastAsia" w:cstheme="minorEastAsia"/>
          <w:b/>
          <w:snapToGrid w:val="0"/>
          <w:color w:val="auto"/>
          <w:highlight w:val="none"/>
        </w:rPr>
        <w:t>.1</w:t>
      </w:r>
      <w:r>
        <w:rPr>
          <w:rFonts w:hint="eastAsia" w:asciiTheme="minorEastAsia" w:hAnsiTheme="minorEastAsia" w:eastAsiaTheme="minorEastAsia" w:cstheme="minorEastAsia"/>
          <w:b/>
          <w:snapToGrid w:val="0"/>
          <w:color w:val="auto"/>
          <w:highlight w:val="none"/>
          <w:lang w:val="en-US" w:eastAsia="zh-CN"/>
        </w:rPr>
        <w:t xml:space="preserve">3 </w:t>
      </w:r>
      <w:r>
        <w:rPr>
          <w:rFonts w:hint="eastAsia" w:asciiTheme="minorEastAsia" w:hAnsiTheme="minorEastAsia" w:eastAsiaTheme="minorEastAsia" w:cstheme="minorEastAsia"/>
          <w:b/>
          <w:snapToGrid w:val="0"/>
          <w:color w:val="auto"/>
          <w:highlight w:val="none"/>
        </w:rPr>
        <w:t>与</w:t>
      </w:r>
      <w:r>
        <w:rPr>
          <w:rFonts w:hint="eastAsia" w:asciiTheme="minorEastAsia" w:hAnsiTheme="minorEastAsia" w:eastAsiaTheme="minorEastAsia" w:cstheme="minorEastAsia"/>
          <w:b/>
          <w:snapToGrid w:val="0"/>
          <w:color w:val="auto"/>
          <w:highlight w:val="none"/>
          <w:lang w:eastAsia="zh-CN"/>
        </w:rPr>
        <w:t>《</w:t>
      </w:r>
      <w:r>
        <w:rPr>
          <w:rFonts w:hint="eastAsia" w:asciiTheme="minorEastAsia" w:hAnsiTheme="minorEastAsia" w:eastAsiaTheme="minorEastAsia" w:cstheme="minorEastAsia"/>
          <w:b/>
          <w:snapToGrid w:val="0"/>
          <w:color w:val="auto"/>
          <w:highlight w:val="none"/>
        </w:rPr>
        <w:t>固体废物综合治理行动计划</w:t>
      </w:r>
      <w:r>
        <w:rPr>
          <w:rFonts w:hint="eastAsia" w:asciiTheme="minorEastAsia" w:hAnsiTheme="minorEastAsia" w:eastAsiaTheme="minorEastAsia" w:cstheme="minorEastAsia"/>
          <w:b/>
          <w:snapToGrid w:val="0"/>
          <w:color w:val="auto"/>
          <w:highlight w:val="none"/>
          <w:lang w:eastAsia="zh-CN"/>
        </w:rPr>
        <w:t>》国发〔2025〕14号</w:t>
      </w:r>
      <w:r>
        <w:rPr>
          <w:rFonts w:hint="eastAsia" w:asciiTheme="minorEastAsia" w:hAnsiTheme="minorEastAsia" w:eastAsiaTheme="minorEastAsia" w:cstheme="minorEastAsia"/>
          <w:b/>
          <w:snapToGrid w:val="0"/>
          <w:color w:val="auto"/>
          <w:highlight w:val="none"/>
          <w:lang w:val="en-US" w:eastAsia="zh-CN"/>
        </w:rPr>
        <w:t>符合性分析</w:t>
      </w:r>
    </w:p>
    <w:p w14:paraId="40D9CF34">
      <w:pPr>
        <w:pStyle w:val="217"/>
        <w:adjustRightInd w:val="0"/>
        <w:snapToGrid w:val="0"/>
        <w:spacing w:line="360" w:lineRule="auto"/>
        <w:ind w:firstLine="482" w:firstLineChars="200"/>
        <w:jc w:val="both"/>
        <w:rPr>
          <w:rStyle w:val="1330"/>
          <w:rFonts w:hint="eastAsia" w:asciiTheme="minorEastAsia" w:hAnsiTheme="minorEastAsia" w:eastAsiaTheme="minorEastAsia" w:cstheme="minorEastAsia"/>
          <w:color w:val="auto"/>
          <w:highlight w:val="none"/>
        </w:rPr>
      </w:pPr>
      <w:r>
        <w:rPr>
          <w:rStyle w:val="1330"/>
          <w:rFonts w:hint="eastAsia" w:asciiTheme="minorEastAsia" w:hAnsiTheme="minorEastAsia" w:eastAsiaTheme="minorEastAsia" w:cstheme="minorEastAsia"/>
          <w:b/>
          <w:bCs/>
          <w:color w:val="auto"/>
          <w:highlight w:val="none"/>
          <w:lang w:val="en-US" w:eastAsia="zh-CN"/>
        </w:rPr>
        <w:t>文件要求：</w:t>
      </w:r>
      <w:r>
        <w:rPr>
          <w:rStyle w:val="1330"/>
          <w:rFonts w:hint="eastAsia" w:asciiTheme="minorEastAsia" w:hAnsiTheme="minorEastAsia" w:eastAsiaTheme="minorEastAsia" w:cstheme="minorEastAsia"/>
          <w:color w:val="auto"/>
          <w:highlight w:val="none"/>
          <w:lang w:val="en-US" w:eastAsia="zh-CN"/>
        </w:rPr>
        <w:t>该计划中相关要求“</w:t>
      </w:r>
      <w:r>
        <w:rPr>
          <w:rStyle w:val="1330"/>
          <w:rFonts w:hint="eastAsia" w:asciiTheme="minorEastAsia" w:hAnsiTheme="minorEastAsia" w:eastAsiaTheme="minorEastAsia" w:cstheme="minorEastAsia"/>
          <w:color w:val="auto"/>
          <w:highlight w:val="none"/>
        </w:rPr>
        <w:t>（十一）稳妥有序探索规模化消纳利用渠道。在符合环境质量标准、污染风险管控要求和安全生产要求前提下，探索通过井下充填、矿坑回填、生态修复等方式规模化消纳利用大宗工业固体废物。建立统一规范的管理制度，加强部门协同，严格履行相关审批和决策程序，坚决防范以规模化消纳利用名义非法倾倒。</w:t>
      </w:r>
      <w:r>
        <w:rPr>
          <w:rStyle w:val="1330"/>
          <w:rFonts w:hint="eastAsia" w:asciiTheme="minorEastAsia" w:hAnsiTheme="minorEastAsia" w:eastAsiaTheme="minorEastAsia" w:cstheme="minorEastAsia"/>
          <w:color w:val="auto"/>
          <w:highlight w:val="none"/>
          <w:lang w:eastAsia="zh-CN"/>
        </w:rPr>
        <w:t>（</w:t>
      </w:r>
      <w:r>
        <w:rPr>
          <w:rStyle w:val="1330"/>
          <w:rFonts w:hint="eastAsia" w:asciiTheme="minorEastAsia" w:hAnsiTheme="minorEastAsia" w:eastAsiaTheme="minorEastAsia" w:cstheme="minorEastAsia"/>
          <w:color w:val="auto"/>
          <w:highlight w:val="none"/>
        </w:rPr>
        <w:t>二十二）强化用地保障。科学规划固体废物回填矿山采坑项目。将生活垃圾分类收集、中转贮存等项目纳入公共基础设施用地保障范围。各地加强资源循环利用项目用地保障，安排不少于1%的产业用地用于支持资源循环利用设施建设。</w:t>
      </w:r>
      <w:r>
        <w:rPr>
          <w:rStyle w:val="1330"/>
          <w:rFonts w:hint="eastAsia" w:asciiTheme="minorEastAsia" w:hAnsiTheme="minorEastAsia" w:eastAsiaTheme="minorEastAsia" w:cstheme="minorEastAsia"/>
          <w:color w:val="auto"/>
          <w:highlight w:val="none"/>
          <w:lang w:val="en-US" w:eastAsia="zh-CN"/>
        </w:rPr>
        <w:t>”</w:t>
      </w:r>
    </w:p>
    <w:p w14:paraId="1FF42616">
      <w:pPr>
        <w:shd w:val="clear" w:color="auto" w:fill="auto"/>
        <w:autoSpaceDE w:val="0"/>
        <w:autoSpaceDN w:val="0"/>
        <w:adjustRightInd w:val="0"/>
        <w:snapToGrid w:val="0"/>
        <w:spacing w:line="360" w:lineRule="auto"/>
        <w:ind w:firstLine="482" w:firstLineChars="200"/>
        <w:rPr>
          <w:rStyle w:val="1330"/>
          <w:rFonts w:hint="default" w:asciiTheme="minorEastAsia" w:hAnsiTheme="minorEastAsia" w:eastAsiaTheme="minorEastAsia" w:cstheme="minorEastAsia"/>
          <w:color w:val="auto"/>
          <w:highlight w:val="none"/>
          <w:lang w:val="en-US" w:eastAsia="zh-CN"/>
        </w:rPr>
      </w:pPr>
      <w:r>
        <w:rPr>
          <w:rStyle w:val="1330"/>
          <w:rFonts w:hint="eastAsia" w:asciiTheme="minorEastAsia" w:hAnsiTheme="minorEastAsia" w:eastAsiaTheme="minorEastAsia" w:cstheme="minorEastAsia"/>
          <w:b/>
          <w:bCs/>
          <w:color w:val="auto"/>
          <w:highlight w:val="none"/>
          <w:lang w:val="en-US" w:eastAsia="zh-CN"/>
        </w:rPr>
        <w:t>符合性分析：</w:t>
      </w:r>
      <w:r>
        <w:rPr>
          <w:rStyle w:val="1330"/>
          <w:rFonts w:hint="eastAsia" w:asciiTheme="minorEastAsia" w:hAnsiTheme="minorEastAsia" w:eastAsiaTheme="minorEastAsia" w:cstheme="minorEastAsia"/>
          <w:color w:val="auto"/>
          <w:highlight w:val="none"/>
          <w:lang w:val="en-US" w:eastAsia="zh-CN"/>
        </w:rPr>
        <w:t>①本项目已编制</w:t>
      </w:r>
      <w:r>
        <w:rPr>
          <w:rFonts w:hint="eastAsia" w:ascii="宋体" w:hAnsi="宋体" w:eastAsia="宋体" w:cs="宋体"/>
          <w:color w:val="auto"/>
          <w:kern w:val="0"/>
          <w:sz w:val="24"/>
          <w:szCs w:val="24"/>
          <w:highlight w:val="none"/>
          <w:lang w:val="en-US" w:eastAsia="zh-CN" w:bidi="ar-SA"/>
        </w:rPr>
        <w:t>《</w:t>
      </w:r>
      <w:r>
        <w:rPr>
          <w:rFonts w:hint="eastAsia" w:ascii="Times New Roman" w:hAnsi="宋体" w:eastAsia="宋体" w:cs="Times New Roman"/>
          <w:color w:val="auto"/>
          <w:kern w:val="0"/>
          <w:sz w:val="24"/>
          <w:szCs w:val="24"/>
          <w:highlight w:val="none"/>
          <w:lang w:val="en-US" w:eastAsia="zh-CN"/>
        </w:rPr>
        <w:t>黑龙江嘉龙环保科技有限公司灰渣回填复垦利用项目</w:t>
      </w:r>
      <w:r>
        <w:rPr>
          <w:rFonts w:hint="eastAsia" w:ascii="宋体" w:hAnsi="宋体" w:eastAsia="宋体" w:cs="宋体"/>
          <w:color w:val="auto"/>
          <w:spacing w:val="-3"/>
          <w:kern w:val="0"/>
          <w:sz w:val="24"/>
          <w:szCs w:val="24"/>
          <w:highlight w:val="none"/>
          <w:lang w:val="en-US" w:eastAsia="zh-CN" w:bidi="ar-SA"/>
        </w:rPr>
        <w:t>风险评估报告》，并通过专家评审</w:t>
      </w:r>
      <w:r>
        <w:rPr>
          <w:rFonts w:hint="eastAsia" w:hAnsi="宋体" w:cs="宋体"/>
          <w:color w:val="auto"/>
          <w:spacing w:val="-3"/>
          <w:kern w:val="0"/>
          <w:sz w:val="24"/>
          <w:szCs w:val="24"/>
          <w:highlight w:val="none"/>
          <w:lang w:val="en-US" w:eastAsia="zh-CN" w:bidi="ar-SA"/>
        </w:rPr>
        <w:t>，</w:t>
      </w:r>
      <w:r>
        <w:rPr>
          <w:rFonts w:hint="eastAsia" w:ascii="宋体" w:hAnsi="宋体" w:eastAsia="宋体" w:cs="宋体"/>
          <w:color w:val="auto"/>
          <w:kern w:val="0"/>
          <w:sz w:val="24"/>
          <w:szCs w:val="24"/>
          <w:highlight w:val="none"/>
          <w:lang w:val="en-US" w:eastAsia="zh-CN" w:bidi="ar-SA"/>
        </w:rPr>
        <w:t>评估结论为环境风险可以接受</w:t>
      </w:r>
      <w:r>
        <w:rPr>
          <w:rFonts w:hint="eastAsia" w:hAnsi="宋体" w:cs="宋体"/>
          <w:color w:val="auto"/>
          <w:kern w:val="0"/>
          <w:sz w:val="24"/>
          <w:szCs w:val="24"/>
          <w:highlight w:val="none"/>
          <w:lang w:val="en-US" w:eastAsia="zh-CN" w:bidi="ar-SA"/>
        </w:rPr>
        <w:t>。②本项目采取污染防治措施后均可达标排放，不改变环境质量现状。③</w:t>
      </w:r>
      <w:r>
        <w:rPr>
          <w:rFonts w:hint="eastAsia" w:ascii="宋体" w:hAnsi="宋体" w:eastAsia="宋体" w:cs="宋体"/>
          <w:color w:val="auto"/>
          <w:kern w:val="0"/>
          <w:sz w:val="24"/>
          <w:szCs w:val="24"/>
          <w:highlight w:val="none"/>
          <w:lang w:val="en-US" w:eastAsia="zh-CN" w:bidi="ar-SA"/>
        </w:rPr>
        <w:t>根据灰渣浸出液检测结果：</w:t>
      </w:r>
      <w:r>
        <w:rPr>
          <w:rFonts w:hint="eastAsia" w:ascii="宋体" w:hAnsi="宋体" w:eastAsia="宋体" w:cs="宋体"/>
          <w:color w:val="auto"/>
          <w:kern w:val="0"/>
          <w:sz w:val="24"/>
          <w:szCs w:val="22"/>
          <w:highlight w:val="none"/>
          <w:lang w:val="en-US" w:eastAsia="zh-CN" w:bidi="ar-SA"/>
        </w:rPr>
        <w:t>灰渣浸出液中任何一种污染物的浓度均未超过《污水综合排放标准》（GB 8978-1996）中最高允许排放浓度，且pH值在6-9范围之内，因此</w:t>
      </w:r>
      <w:r>
        <w:rPr>
          <w:rFonts w:hint="eastAsia" w:hAnsi="宋体" w:cs="宋体"/>
          <w:color w:val="auto"/>
          <w:spacing w:val="2"/>
          <w:kern w:val="0"/>
          <w:sz w:val="24"/>
          <w:szCs w:val="24"/>
          <w:highlight w:val="none"/>
          <w:lang w:val="en-US" w:eastAsia="zh-CN" w:bidi="ar-SA"/>
        </w:rPr>
        <w:t>本项目使用</w:t>
      </w:r>
      <w:r>
        <w:rPr>
          <w:rFonts w:hint="eastAsia" w:ascii="宋体" w:hAnsi="宋体" w:eastAsia="宋体" w:cs="宋体"/>
          <w:color w:val="auto"/>
          <w:kern w:val="0"/>
          <w:sz w:val="24"/>
          <w:szCs w:val="24"/>
          <w:highlight w:val="none"/>
          <w:lang w:val="en-US" w:eastAsia="zh-CN" w:bidi="ar-SA"/>
        </w:rPr>
        <w:t>灰渣</w:t>
      </w:r>
      <w:r>
        <w:rPr>
          <w:rFonts w:hint="eastAsia" w:ascii="宋体" w:hAnsi="宋体" w:eastAsia="宋体" w:cs="宋体"/>
          <w:color w:val="auto"/>
          <w:kern w:val="0"/>
          <w:sz w:val="24"/>
          <w:szCs w:val="24"/>
          <w:highlight w:val="none"/>
          <w:shd w:val="clear" w:color="auto" w:fill="FFFFFF"/>
          <w:lang w:val="en-US" w:eastAsia="zh-CN" w:bidi="ar-SA"/>
        </w:rPr>
        <w:t>属于“</w:t>
      </w:r>
      <w:r>
        <w:rPr>
          <w:rFonts w:hint="eastAsia" w:ascii="宋体" w:hAnsi="宋体" w:eastAsia="宋体" w:cs="宋体"/>
          <w:color w:val="auto"/>
          <w:kern w:val="2"/>
          <w:sz w:val="24"/>
          <w:szCs w:val="22"/>
          <w:highlight w:val="none"/>
          <w:lang w:val="en-US" w:eastAsia="zh-CN" w:bidi="ar"/>
        </w:rPr>
        <w:t>第I类一般工业固体废物</w:t>
      </w:r>
      <w:r>
        <w:rPr>
          <w:rFonts w:hint="eastAsia" w:ascii="宋体" w:hAnsi="宋体" w:eastAsia="宋体" w:cs="宋体"/>
          <w:color w:val="auto"/>
          <w:kern w:val="0"/>
          <w:sz w:val="24"/>
          <w:szCs w:val="24"/>
          <w:highlight w:val="none"/>
          <w:shd w:val="clear" w:color="auto" w:fill="FFFFFF"/>
          <w:lang w:val="en-US" w:eastAsia="zh-CN" w:bidi="ar-SA"/>
        </w:rPr>
        <w:t>”</w:t>
      </w:r>
      <w:r>
        <w:rPr>
          <w:rFonts w:hint="eastAsia" w:ascii="宋体" w:hAnsi="宋体" w:eastAsia="宋体" w:cs="宋体"/>
          <w:color w:val="auto"/>
          <w:kern w:val="2"/>
          <w:sz w:val="24"/>
          <w:szCs w:val="22"/>
          <w:highlight w:val="none"/>
          <w:lang w:val="en-US" w:eastAsia="zh-CN" w:bidi="ar"/>
        </w:rPr>
        <w:t>，且有机质含量小于2%，水溶性盐总量小于2%，满足《一般工业固体废物贮存和填埋污染控制标准》中充填及回填利用、封填及土地复垦要求。</w:t>
      </w:r>
      <w:r>
        <w:rPr>
          <w:rFonts w:hint="eastAsia" w:hAnsi="宋体" w:cs="宋体"/>
          <w:color w:val="auto"/>
          <w:kern w:val="0"/>
          <w:szCs w:val="21"/>
          <w:highlight w:val="none"/>
          <w:lang w:val="en-US" w:eastAsia="zh-CN"/>
        </w:rPr>
        <w:t>因此符合《固体废物综合治理行动计划》国发〔2025〕14号相关要求。</w:t>
      </w:r>
    </w:p>
    <w:p w14:paraId="760CBAE1">
      <w:pPr>
        <w:pStyle w:val="8"/>
        <w:numPr>
          <w:ilvl w:val="3"/>
          <w:numId w:val="0"/>
        </w:numPr>
        <w:rPr>
          <w:color w:val="auto"/>
          <w:highlight w:val="none"/>
        </w:rPr>
      </w:pPr>
      <w:r>
        <w:rPr>
          <w:rFonts w:ascii="Times New Roman"/>
          <w:color w:val="auto"/>
          <w:highlight w:val="none"/>
        </w:rPr>
        <w:t>1.</w:t>
      </w:r>
      <w:r>
        <w:rPr>
          <w:rFonts w:hint="eastAsia"/>
          <w:color w:val="auto"/>
          <w:highlight w:val="none"/>
          <w:lang w:val="en-US" w:eastAsia="zh-CN"/>
        </w:rPr>
        <w:t>4</w:t>
      </w:r>
      <w:r>
        <w:rPr>
          <w:rFonts w:ascii="Times New Roman"/>
          <w:color w:val="auto"/>
          <w:highlight w:val="none"/>
        </w:rPr>
        <w:t>.</w:t>
      </w:r>
      <w:r>
        <w:rPr>
          <w:rFonts w:hint="eastAsia" w:ascii="Times New Roman"/>
          <w:color w:val="auto"/>
          <w:highlight w:val="none"/>
        </w:rPr>
        <w:t>3</w:t>
      </w:r>
      <w:r>
        <w:rPr>
          <w:rFonts w:ascii="Times New Roman"/>
          <w:color w:val="auto"/>
          <w:highlight w:val="none"/>
        </w:rPr>
        <w:t>.</w:t>
      </w:r>
      <w:r>
        <w:rPr>
          <w:rFonts w:hint="eastAsia" w:ascii="Times New Roman"/>
          <w:color w:val="auto"/>
          <w:highlight w:val="none"/>
          <w:lang w:val="en-US" w:eastAsia="zh-CN"/>
        </w:rPr>
        <w:t>1</w:t>
      </w:r>
      <w:r>
        <w:rPr>
          <w:rFonts w:hint="eastAsia"/>
          <w:color w:val="auto"/>
          <w:highlight w:val="none"/>
          <w:lang w:val="en-US" w:eastAsia="zh-CN"/>
        </w:rPr>
        <w:t>4</w:t>
      </w:r>
      <w:r>
        <w:rPr>
          <w:rFonts w:ascii="Times New Roman"/>
          <w:color w:val="auto"/>
          <w:highlight w:val="none"/>
        </w:rPr>
        <w:t>与《</w:t>
      </w:r>
      <w:r>
        <w:rPr>
          <w:rFonts w:hint="eastAsia"/>
          <w:color w:val="auto"/>
          <w:highlight w:val="none"/>
          <w:lang w:val="en-US" w:eastAsia="zh-CN"/>
        </w:rPr>
        <w:t>黑龙江省哈尔滨市城乡固体废物分类治理专项规划（2019—2035年）》修编</w:t>
      </w:r>
      <w:r>
        <w:rPr>
          <w:rFonts w:ascii="Times New Roman"/>
          <w:color w:val="auto"/>
          <w:highlight w:val="none"/>
        </w:rPr>
        <w:t>的符合性分析</w:t>
      </w:r>
    </w:p>
    <w:p w14:paraId="005EC5C9">
      <w:pPr>
        <w:spacing w:line="440" w:lineRule="exact"/>
        <w:ind w:firstLine="482"/>
        <w:jc w:val="center"/>
        <w:rPr>
          <w:rFonts w:hint="eastAsia" w:ascii="Times New Roman" w:hAnsi="Times New Roman" w:eastAsia="宋体" w:cs="宋体"/>
          <w:b w:val="0"/>
          <w:bCs/>
          <w:color w:val="auto"/>
          <w:sz w:val="24"/>
          <w:highlight w:val="none"/>
        </w:rPr>
      </w:pPr>
    </w:p>
    <w:p w14:paraId="5A9ACC8F">
      <w:pPr>
        <w:spacing w:line="440" w:lineRule="exact"/>
        <w:ind w:firstLine="482"/>
        <w:jc w:val="center"/>
        <w:rPr>
          <w:rFonts w:hint="eastAsia" w:ascii="Times New Roman" w:hAnsi="Times New Roman" w:eastAsia="宋体" w:cs="宋体"/>
          <w:b w:val="0"/>
          <w:bCs/>
          <w:color w:val="auto"/>
          <w:sz w:val="24"/>
          <w:highlight w:val="none"/>
        </w:rPr>
      </w:pPr>
    </w:p>
    <w:p w14:paraId="319C3D4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bCs/>
          <w:color w:val="auto"/>
          <w:highlight w:val="none"/>
          <w:lang w:val="en-US" w:eastAsia="zh-CN"/>
        </w:rPr>
      </w:pPr>
      <w:r>
        <w:rPr>
          <w:rFonts w:hint="eastAsia" w:asciiTheme="minorEastAsia" w:hAnsiTheme="minorEastAsia" w:eastAsiaTheme="minorEastAsia" w:cstheme="minorEastAsia"/>
          <w:b/>
          <w:bCs/>
          <w:color w:val="auto"/>
          <w:highlight w:val="none"/>
          <w:lang w:val="en-US" w:eastAsia="zh-CN"/>
        </w:rPr>
        <w:t>表1.4-4  与《黑龙江省哈尔滨市城乡固体废物分类治理专项规划（2019—2035年）》修编符合性</w:t>
      </w:r>
    </w:p>
    <w:tbl>
      <w:tblPr>
        <w:tblStyle w:val="84"/>
        <w:tblW w:w="9185" w:type="dxa"/>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1"/>
        <w:gridCol w:w="3718"/>
        <w:gridCol w:w="3522"/>
        <w:gridCol w:w="1274"/>
      </w:tblGrid>
      <w:tr w14:paraId="751251E5">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5" w:hRule="atLeast"/>
          <w:jc w:val="center"/>
        </w:trPr>
        <w:tc>
          <w:tcPr>
            <w:tcW w:w="671" w:type="dxa"/>
            <w:tcBorders>
              <w:tl2br w:val="nil"/>
              <w:tr2bl w:val="nil"/>
            </w:tcBorders>
            <w:noWrap w:val="0"/>
            <w:vAlign w:val="center"/>
          </w:tcPr>
          <w:p w14:paraId="2027796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序号</w:t>
            </w:r>
          </w:p>
        </w:tc>
        <w:tc>
          <w:tcPr>
            <w:tcW w:w="3718" w:type="dxa"/>
            <w:tcBorders>
              <w:tl2br w:val="nil"/>
              <w:tr2bl w:val="nil"/>
            </w:tcBorders>
            <w:noWrap w:val="0"/>
            <w:vAlign w:val="center"/>
          </w:tcPr>
          <w:p w14:paraId="7CFC29F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文件要求</w:t>
            </w:r>
          </w:p>
        </w:tc>
        <w:tc>
          <w:tcPr>
            <w:tcW w:w="3522" w:type="dxa"/>
            <w:tcBorders>
              <w:tl2br w:val="nil"/>
              <w:tr2bl w:val="nil"/>
            </w:tcBorders>
            <w:noWrap w:val="0"/>
            <w:vAlign w:val="center"/>
          </w:tcPr>
          <w:p w14:paraId="0BA4BD9A">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符合性分析</w:t>
            </w:r>
          </w:p>
        </w:tc>
        <w:tc>
          <w:tcPr>
            <w:tcW w:w="1274" w:type="dxa"/>
            <w:tcBorders>
              <w:tl2br w:val="nil"/>
              <w:tr2bl w:val="nil"/>
            </w:tcBorders>
            <w:noWrap w:val="0"/>
            <w:vAlign w:val="center"/>
          </w:tcPr>
          <w:p w14:paraId="54A2A6A5">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符合性</w:t>
            </w:r>
          </w:p>
        </w:tc>
      </w:tr>
      <w:tr w14:paraId="07A6420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9" w:hRule="atLeast"/>
          <w:jc w:val="center"/>
        </w:trPr>
        <w:tc>
          <w:tcPr>
            <w:tcW w:w="671" w:type="dxa"/>
            <w:tcBorders>
              <w:tl2br w:val="nil"/>
              <w:tr2bl w:val="nil"/>
            </w:tcBorders>
            <w:noWrap w:val="0"/>
            <w:vAlign w:val="center"/>
          </w:tcPr>
          <w:p w14:paraId="35F2EBC9">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1</w:t>
            </w:r>
          </w:p>
        </w:tc>
        <w:tc>
          <w:tcPr>
            <w:tcW w:w="3718" w:type="dxa"/>
            <w:tcBorders>
              <w:tl2br w:val="nil"/>
              <w:tr2bl w:val="nil"/>
            </w:tcBorders>
            <w:noWrap w:val="0"/>
            <w:vAlign w:val="center"/>
          </w:tcPr>
          <w:p w14:paraId="193CBC0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420" w:firstLineChars="200"/>
              <w:textAlignment w:val="auto"/>
              <w:rPr>
                <w:rFonts w:ascii="Times New Roman"/>
                <w:color w:val="auto"/>
                <w:sz w:val="21"/>
                <w:szCs w:val="24"/>
                <w:highlight w:val="none"/>
                <w:lang w:bidi="ar"/>
              </w:rPr>
            </w:pPr>
            <w:r>
              <w:rPr>
                <w:rFonts w:hint="eastAsia" w:ascii="Times New Roman"/>
                <w:color w:val="auto"/>
                <w:sz w:val="21"/>
                <w:szCs w:val="24"/>
                <w:highlight w:val="none"/>
                <w:lang w:bidi="ar"/>
              </w:rPr>
              <w:t>一般工业固体废物实现源头大幅减量，充分资源化利用和安全处置。实现工业绿色生产，推动大宗工业固体废物贮存处置总量趋零增长；非法转移倾倒固体废物事件零发生；全过程规范化管理，构建全过程信息化监管体系。规划近期（2021</w:t>
            </w:r>
            <w:r>
              <w:rPr>
                <w:rFonts w:hint="eastAsia" w:ascii="Times New Roman"/>
                <w:color w:val="auto"/>
                <w:sz w:val="21"/>
                <w:szCs w:val="24"/>
                <w:highlight w:val="none"/>
                <w:lang w:eastAsia="zh-CN" w:bidi="ar"/>
              </w:rPr>
              <w:t>—</w:t>
            </w:r>
            <w:r>
              <w:rPr>
                <w:rFonts w:hint="eastAsia" w:ascii="Times New Roman"/>
                <w:color w:val="auto"/>
                <w:sz w:val="21"/>
                <w:szCs w:val="24"/>
                <w:highlight w:val="none"/>
                <w:lang w:bidi="ar"/>
              </w:rPr>
              <w:t>2025年）：综合利用率提高至95%；规划远期（2026</w:t>
            </w:r>
            <w:r>
              <w:rPr>
                <w:rFonts w:hint="eastAsia" w:ascii="Times New Roman"/>
                <w:color w:val="auto"/>
                <w:sz w:val="21"/>
                <w:szCs w:val="24"/>
                <w:highlight w:val="none"/>
                <w:lang w:eastAsia="zh-CN" w:bidi="ar"/>
              </w:rPr>
              <w:t>—</w:t>
            </w:r>
            <w:r>
              <w:rPr>
                <w:rFonts w:hint="eastAsia" w:ascii="Times New Roman"/>
                <w:color w:val="auto"/>
                <w:sz w:val="21"/>
                <w:szCs w:val="24"/>
                <w:highlight w:val="none"/>
                <w:lang w:bidi="ar"/>
              </w:rPr>
              <w:t>2035年）：综合利用率提高至98%。</w:t>
            </w:r>
          </w:p>
        </w:tc>
        <w:tc>
          <w:tcPr>
            <w:tcW w:w="3522" w:type="dxa"/>
            <w:tcBorders>
              <w:tl2br w:val="nil"/>
              <w:tr2bl w:val="nil"/>
            </w:tcBorders>
            <w:noWrap w:val="0"/>
            <w:vAlign w:val="center"/>
          </w:tcPr>
          <w:p w14:paraId="06EA3C53">
            <w:pPr>
              <w:keepNext w:val="0"/>
              <w:keepLines w:val="0"/>
              <w:suppressLineNumbers w:val="0"/>
              <w:adjustRightInd w:val="0"/>
              <w:snapToGrid w:val="0"/>
              <w:spacing w:before="0" w:beforeAutospacing="0" w:after="0" w:afterAutospacing="0" w:line="240" w:lineRule="auto"/>
              <w:ind w:left="0" w:right="0"/>
              <w:rPr>
                <w:rFonts w:ascii="Times New Roman"/>
                <w:color w:val="auto"/>
                <w:sz w:val="21"/>
                <w:szCs w:val="24"/>
                <w:highlight w:val="none"/>
                <w:lang w:bidi="ar"/>
              </w:rPr>
            </w:pPr>
            <w:r>
              <w:rPr>
                <w:rFonts w:hint="eastAsia" w:ascii="Times New Roman"/>
                <w:color w:val="auto"/>
                <w:sz w:val="21"/>
                <w:szCs w:val="24"/>
                <w:highlight w:val="none"/>
                <w:lang w:bidi="ar"/>
              </w:rPr>
              <w:t>本项目主要对</w:t>
            </w:r>
            <w:r>
              <w:rPr>
                <w:rFonts w:hint="eastAsia" w:ascii="Times New Roman"/>
                <w:color w:val="auto"/>
                <w:sz w:val="21"/>
                <w:szCs w:val="24"/>
                <w:highlight w:val="none"/>
                <w:lang w:val="en-US" w:eastAsia="zh-CN" w:bidi="ar"/>
              </w:rPr>
              <w:t>废弃</w:t>
            </w:r>
            <w:r>
              <w:rPr>
                <w:rFonts w:hint="eastAsia" w:asciiTheme="minorEastAsia" w:hAnsiTheme="minorEastAsia" w:eastAsiaTheme="minorEastAsia" w:cstheme="minorEastAsia"/>
                <w:color w:val="auto"/>
                <w:szCs w:val="24"/>
                <w:highlight w:val="none"/>
              </w:rPr>
              <w:t>采砂坑</w:t>
            </w:r>
            <w:r>
              <w:rPr>
                <w:rFonts w:hint="eastAsia" w:ascii="Times New Roman"/>
                <w:color w:val="auto"/>
                <w:sz w:val="21"/>
                <w:szCs w:val="24"/>
                <w:highlight w:val="none"/>
                <w:lang w:bidi="ar"/>
              </w:rPr>
              <w:t>进行回填及恢复治理，但是本项目采用回填修复方式，材料为灰渣。灰渣具有一般工业固体废物特性。本项目的实施既能实现源头大幅减量，充分资源化利用和安全处置。又能实现</w:t>
            </w:r>
            <w:r>
              <w:rPr>
                <w:rFonts w:hint="eastAsia" w:ascii="Times New Roman"/>
                <w:color w:val="auto"/>
                <w:sz w:val="21"/>
                <w:szCs w:val="24"/>
                <w:highlight w:val="none"/>
                <w:lang w:val="en-US" w:eastAsia="zh-CN" w:bidi="ar"/>
              </w:rPr>
              <w:t>废弃</w:t>
            </w:r>
            <w:r>
              <w:rPr>
                <w:rFonts w:hint="eastAsia" w:asciiTheme="minorEastAsia" w:hAnsiTheme="minorEastAsia" w:eastAsiaTheme="minorEastAsia" w:cstheme="minorEastAsia"/>
                <w:color w:val="auto"/>
                <w:szCs w:val="24"/>
                <w:highlight w:val="none"/>
              </w:rPr>
              <w:t>采砂坑</w:t>
            </w:r>
            <w:r>
              <w:rPr>
                <w:rFonts w:hint="eastAsia" w:ascii="Times New Roman"/>
                <w:color w:val="auto"/>
                <w:sz w:val="21"/>
                <w:szCs w:val="24"/>
                <w:highlight w:val="none"/>
                <w:lang w:bidi="ar"/>
              </w:rPr>
              <w:t>进行恢复治理。同时本项目开展了环境风险评估，形成了环境风险评估评审意见，风险评估报告重点评估项目对地下水及周边土壤的环境污染风险，评估结论为环境风险可以接受。</w:t>
            </w:r>
          </w:p>
        </w:tc>
        <w:tc>
          <w:tcPr>
            <w:tcW w:w="1274" w:type="dxa"/>
            <w:tcBorders>
              <w:tl2br w:val="nil"/>
              <w:tr2bl w:val="nil"/>
            </w:tcBorders>
            <w:noWrap w:val="0"/>
            <w:vAlign w:val="center"/>
          </w:tcPr>
          <w:p w14:paraId="401811E5">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符合</w:t>
            </w:r>
          </w:p>
        </w:tc>
      </w:tr>
    </w:tbl>
    <w:p w14:paraId="22AA9DC7">
      <w:pPr>
        <w:ind w:firstLine="480"/>
        <w:rPr>
          <w:rFonts w:ascii="Times New Roman"/>
          <w:color w:val="auto"/>
          <w:highlight w:val="none"/>
        </w:rPr>
      </w:pPr>
      <w:r>
        <w:rPr>
          <w:rFonts w:ascii="Times New Roman"/>
          <w:color w:val="auto"/>
          <w:highlight w:val="none"/>
        </w:rPr>
        <w:t>由上表可知，本项目符合</w:t>
      </w:r>
      <w:r>
        <w:rPr>
          <w:rFonts w:hint="eastAsia" w:ascii="Times New Roman" w:hAnsi="Times New Roman" w:eastAsia="宋体" w:cs="宋体"/>
          <w:b w:val="0"/>
          <w:bCs/>
          <w:color w:val="auto"/>
          <w:sz w:val="24"/>
          <w:highlight w:val="none"/>
        </w:rPr>
        <w:t>《</w:t>
      </w:r>
      <w:r>
        <w:rPr>
          <w:rFonts w:hint="eastAsia" w:ascii="Times New Roman" w:hAnsi="Times New Roman" w:eastAsia="宋体" w:cs="宋体"/>
          <w:b w:val="0"/>
          <w:bCs/>
          <w:color w:val="auto"/>
          <w:sz w:val="24"/>
          <w:highlight w:val="none"/>
          <w:lang w:val="en-US" w:eastAsia="zh-CN"/>
        </w:rPr>
        <w:t>黑龙江省哈尔滨市城乡固体废物分类治理专项规划（2019—2035年）》修编</w:t>
      </w:r>
      <w:r>
        <w:rPr>
          <w:rFonts w:hint="eastAsia" w:ascii="Times New Roman"/>
          <w:color w:val="auto"/>
          <w:highlight w:val="none"/>
        </w:rPr>
        <w:t>中</w:t>
      </w:r>
      <w:r>
        <w:rPr>
          <w:rFonts w:ascii="Times New Roman"/>
          <w:color w:val="auto"/>
          <w:highlight w:val="none"/>
        </w:rPr>
        <w:t>相关要求。</w:t>
      </w:r>
    </w:p>
    <w:p w14:paraId="1C3C09B9">
      <w:pPr>
        <w:pStyle w:val="8"/>
        <w:numPr>
          <w:ilvl w:val="3"/>
          <w:numId w:val="0"/>
        </w:numPr>
        <w:rPr>
          <w:rFonts w:ascii="Times New Roman"/>
          <w:b/>
          <w:bCs/>
          <w:color w:val="auto"/>
          <w:highlight w:val="none"/>
        </w:rPr>
      </w:pPr>
      <w:r>
        <w:rPr>
          <w:rFonts w:ascii="Times New Roman"/>
          <w:b/>
          <w:bCs/>
          <w:color w:val="auto"/>
          <w:highlight w:val="none"/>
        </w:rPr>
        <w:t>1.</w:t>
      </w:r>
      <w:r>
        <w:rPr>
          <w:rFonts w:hint="eastAsia"/>
          <w:b/>
          <w:bCs/>
          <w:color w:val="auto"/>
          <w:highlight w:val="none"/>
          <w:lang w:val="en-US" w:eastAsia="zh-CN"/>
        </w:rPr>
        <w:t>4</w:t>
      </w:r>
      <w:r>
        <w:rPr>
          <w:rFonts w:ascii="Times New Roman"/>
          <w:b/>
          <w:bCs/>
          <w:color w:val="auto"/>
          <w:highlight w:val="none"/>
        </w:rPr>
        <w:t>.</w:t>
      </w:r>
      <w:r>
        <w:rPr>
          <w:rFonts w:hint="eastAsia" w:ascii="Times New Roman"/>
          <w:b/>
          <w:bCs/>
          <w:color w:val="auto"/>
          <w:highlight w:val="none"/>
        </w:rPr>
        <w:t>3</w:t>
      </w:r>
      <w:r>
        <w:rPr>
          <w:rFonts w:ascii="Times New Roman"/>
          <w:b/>
          <w:bCs/>
          <w:color w:val="auto"/>
          <w:highlight w:val="none"/>
        </w:rPr>
        <w:t>.</w:t>
      </w:r>
      <w:r>
        <w:rPr>
          <w:rFonts w:hint="eastAsia" w:ascii="Times New Roman"/>
          <w:b/>
          <w:bCs/>
          <w:color w:val="auto"/>
          <w:highlight w:val="none"/>
          <w:lang w:val="en-US" w:eastAsia="zh-CN"/>
        </w:rPr>
        <w:t>1</w:t>
      </w:r>
      <w:r>
        <w:rPr>
          <w:rFonts w:hint="eastAsia"/>
          <w:b/>
          <w:bCs/>
          <w:color w:val="auto"/>
          <w:highlight w:val="none"/>
          <w:lang w:val="en-US" w:eastAsia="zh-CN"/>
        </w:rPr>
        <w:t>5</w:t>
      </w:r>
      <w:r>
        <w:rPr>
          <w:rFonts w:ascii="Times New Roman"/>
          <w:b/>
          <w:bCs/>
          <w:color w:val="auto"/>
          <w:highlight w:val="none"/>
        </w:rPr>
        <w:t>与《</w:t>
      </w:r>
      <w:r>
        <w:rPr>
          <w:rFonts w:hint="default" w:ascii="Times New Roman" w:hAnsi="Times New Roman" w:cs="Times New Roman"/>
          <w:b/>
          <w:bCs/>
          <w:color w:val="auto"/>
          <w:kern w:val="0"/>
          <w:sz w:val="24"/>
          <w:highlight w:val="none"/>
          <w:lang w:eastAsia="zh-CN"/>
        </w:rPr>
        <w:t>黑龙江省哈尔滨市城乡固体废物分类治理专项规划（2019-2035年）修编</w:t>
      </w:r>
      <w:r>
        <w:rPr>
          <w:rFonts w:hint="eastAsia" w:ascii="Times New Roman" w:hAnsi="Times New Roman" w:cs="Times New Roman"/>
          <w:b/>
          <w:bCs/>
          <w:color w:val="auto"/>
          <w:kern w:val="0"/>
          <w:sz w:val="24"/>
          <w:highlight w:val="none"/>
          <w:lang w:eastAsia="zh-CN"/>
        </w:rPr>
        <w:t>》</w:t>
      </w:r>
      <w:r>
        <w:rPr>
          <w:rFonts w:hint="default" w:ascii="Times New Roman" w:hAnsi="Times New Roman" w:cs="Times New Roman"/>
          <w:b/>
          <w:bCs/>
          <w:color w:val="auto"/>
          <w:kern w:val="0"/>
          <w:sz w:val="24"/>
          <w:highlight w:val="none"/>
          <w:lang w:eastAsia="zh-CN"/>
        </w:rPr>
        <w:t>环境影响报告书</w:t>
      </w:r>
      <w:r>
        <w:rPr>
          <w:rFonts w:hint="eastAsia"/>
          <w:b/>
          <w:bCs/>
          <w:color w:val="auto"/>
          <w:highlight w:val="none"/>
          <w:lang w:val="en-US" w:eastAsia="zh-CN"/>
        </w:rPr>
        <w:t>及审查意见</w:t>
      </w:r>
      <w:r>
        <w:rPr>
          <w:rFonts w:ascii="Times New Roman"/>
          <w:b/>
          <w:bCs/>
          <w:color w:val="auto"/>
          <w:highlight w:val="none"/>
        </w:rPr>
        <w:t>的符合性分析</w:t>
      </w:r>
    </w:p>
    <w:p w14:paraId="3BE08FA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bCs/>
          <w:color w:val="auto"/>
          <w:highlight w:val="none"/>
          <w:lang w:val="en-US" w:eastAsia="zh-CN"/>
        </w:rPr>
      </w:pPr>
      <w:r>
        <w:rPr>
          <w:rFonts w:hint="eastAsia" w:asciiTheme="minorEastAsia" w:hAnsiTheme="minorEastAsia" w:eastAsiaTheme="minorEastAsia" w:cstheme="minorEastAsia"/>
          <w:b/>
          <w:bCs/>
          <w:color w:val="auto"/>
          <w:highlight w:val="none"/>
          <w:lang w:val="en-US" w:eastAsia="zh-CN"/>
        </w:rPr>
        <w:t>表1.4-5  与《</w:t>
      </w:r>
      <w:r>
        <w:rPr>
          <w:rFonts w:hint="default" w:asciiTheme="minorEastAsia" w:hAnsiTheme="minorEastAsia" w:eastAsiaTheme="minorEastAsia" w:cstheme="minorEastAsia"/>
          <w:b/>
          <w:bCs/>
          <w:color w:val="auto"/>
          <w:highlight w:val="none"/>
          <w:lang w:val="en-US" w:eastAsia="zh-CN"/>
        </w:rPr>
        <w:t>黑龙江省哈尔滨市城乡固体废物分类治理专项规划（2019-2035年）修编</w:t>
      </w:r>
      <w:r>
        <w:rPr>
          <w:rFonts w:hint="eastAsia" w:asciiTheme="minorEastAsia" w:hAnsiTheme="minorEastAsia" w:eastAsiaTheme="minorEastAsia" w:cstheme="minorEastAsia"/>
          <w:b/>
          <w:bCs/>
          <w:color w:val="auto"/>
          <w:highlight w:val="none"/>
          <w:lang w:val="en-US" w:eastAsia="zh-CN"/>
        </w:rPr>
        <w:t>》</w:t>
      </w:r>
      <w:r>
        <w:rPr>
          <w:rFonts w:hint="default" w:asciiTheme="minorEastAsia" w:hAnsiTheme="minorEastAsia" w:eastAsiaTheme="minorEastAsia" w:cstheme="minorEastAsia"/>
          <w:b/>
          <w:bCs/>
          <w:color w:val="auto"/>
          <w:highlight w:val="none"/>
          <w:lang w:val="en-US" w:eastAsia="zh-CN"/>
        </w:rPr>
        <w:t>环境影响报告书</w:t>
      </w:r>
      <w:r>
        <w:rPr>
          <w:rFonts w:hint="eastAsia" w:asciiTheme="minorEastAsia" w:hAnsiTheme="minorEastAsia" w:eastAsiaTheme="minorEastAsia" w:cstheme="minorEastAsia"/>
          <w:b/>
          <w:bCs/>
          <w:color w:val="auto"/>
          <w:highlight w:val="none"/>
          <w:lang w:val="en-US" w:eastAsia="zh-CN"/>
        </w:rPr>
        <w:t>及审查意见符合性</w:t>
      </w:r>
    </w:p>
    <w:tbl>
      <w:tblPr>
        <w:tblStyle w:val="84"/>
        <w:tblW w:w="9185" w:type="dxa"/>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1"/>
        <w:gridCol w:w="3718"/>
        <w:gridCol w:w="3875"/>
        <w:gridCol w:w="921"/>
      </w:tblGrid>
      <w:tr w14:paraId="66E742B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5" w:hRule="atLeast"/>
          <w:jc w:val="center"/>
        </w:trPr>
        <w:tc>
          <w:tcPr>
            <w:tcW w:w="671" w:type="dxa"/>
            <w:tcBorders>
              <w:tl2br w:val="nil"/>
              <w:tr2bl w:val="nil"/>
            </w:tcBorders>
            <w:noWrap w:val="0"/>
            <w:vAlign w:val="center"/>
          </w:tcPr>
          <w:p w14:paraId="243F82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highlight w:val="none"/>
              </w:rPr>
            </w:pPr>
            <w:r>
              <w:rPr>
                <w:color w:val="auto"/>
                <w:sz w:val="21"/>
                <w:highlight w:val="none"/>
              </w:rPr>
              <w:t>序号</w:t>
            </w:r>
          </w:p>
        </w:tc>
        <w:tc>
          <w:tcPr>
            <w:tcW w:w="3718" w:type="dxa"/>
            <w:tcBorders>
              <w:tl2br w:val="nil"/>
              <w:tr2bl w:val="nil"/>
            </w:tcBorders>
            <w:noWrap w:val="0"/>
            <w:vAlign w:val="center"/>
          </w:tcPr>
          <w:p w14:paraId="6BD720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olor w:val="auto"/>
                <w:sz w:val="21"/>
                <w:highlight w:val="none"/>
                <w:lang w:val="en-US" w:eastAsia="zh-CN"/>
              </w:rPr>
            </w:pPr>
            <w:r>
              <w:rPr>
                <w:rFonts w:hint="eastAsia"/>
                <w:color w:val="auto"/>
                <w:sz w:val="21"/>
                <w:highlight w:val="none"/>
                <w:lang w:val="en-US" w:eastAsia="zh-CN"/>
              </w:rPr>
              <w:t>规划环评报告及审查意见</w:t>
            </w:r>
          </w:p>
        </w:tc>
        <w:tc>
          <w:tcPr>
            <w:tcW w:w="3875" w:type="dxa"/>
            <w:tcBorders>
              <w:tl2br w:val="nil"/>
              <w:tr2bl w:val="nil"/>
            </w:tcBorders>
            <w:noWrap w:val="0"/>
            <w:vAlign w:val="center"/>
          </w:tcPr>
          <w:p w14:paraId="014A32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highlight w:val="none"/>
              </w:rPr>
            </w:pPr>
            <w:r>
              <w:rPr>
                <w:color w:val="auto"/>
                <w:sz w:val="21"/>
                <w:highlight w:val="none"/>
              </w:rPr>
              <w:t>符合性分析</w:t>
            </w:r>
          </w:p>
        </w:tc>
        <w:tc>
          <w:tcPr>
            <w:tcW w:w="921" w:type="dxa"/>
            <w:tcBorders>
              <w:tl2br w:val="nil"/>
              <w:tr2bl w:val="nil"/>
            </w:tcBorders>
            <w:noWrap w:val="0"/>
            <w:vAlign w:val="center"/>
          </w:tcPr>
          <w:p w14:paraId="4F22E9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highlight w:val="none"/>
              </w:rPr>
            </w:pPr>
            <w:r>
              <w:rPr>
                <w:color w:val="auto"/>
                <w:sz w:val="21"/>
                <w:highlight w:val="none"/>
              </w:rPr>
              <w:t>符合性</w:t>
            </w:r>
          </w:p>
        </w:tc>
      </w:tr>
      <w:tr w14:paraId="42C6641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9" w:hRule="atLeast"/>
          <w:jc w:val="center"/>
        </w:trPr>
        <w:tc>
          <w:tcPr>
            <w:tcW w:w="671" w:type="dxa"/>
            <w:tcBorders>
              <w:tl2br w:val="nil"/>
              <w:tr2bl w:val="nil"/>
            </w:tcBorders>
            <w:noWrap w:val="0"/>
            <w:vAlign w:val="center"/>
          </w:tcPr>
          <w:p w14:paraId="11A520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highlight w:val="none"/>
              </w:rPr>
            </w:pPr>
            <w:r>
              <w:rPr>
                <w:color w:val="auto"/>
                <w:sz w:val="21"/>
                <w:highlight w:val="none"/>
              </w:rPr>
              <w:t>1</w:t>
            </w:r>
          </w:p>
        </w:tc>
        <w:tc>
          <w:tcPr>
            <w:tcW w:w="3718" w:type="dxa"/>
            <w:tcBorders>
              <w:tl2br w:val="nil"/>
              <w:tr2bl w:val="nil"/>
            </w:tcBorders>
            <w:noWrap w:val="0"/>
            <w:vAlign w:val="center"/>
          </w:tcPr>
          <w:p w14:paraId="75F242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color w:val="auto"/>
                <w:sz w:val="21"/>
                <w:highlight w:val="none"/>
                <w:lang w:eastAsia="zh-CN"/>
              </w:rPr>
            </w:pPr>
            <w:r>
              <w:rPr>
                <w:rFonts w:hint="default"/>
                <w:color w:val="auto"/>
                <w:sz w:val="21"/>
                <w:highlight w:val="none"/>
              </w:rPr>
              <w:t>规划范围</w:t>
            </w:r>
            <w:r>
              <w:rPr>
                <w:rFonts w:hint="eastAsia"/>
                <w:color w:val="auto"/>
                <w:sz w:val="21"/>
                <w:highlight w:val="none"/>
                <w:lang w:eastAsia="zh-CN"/>
              </w:rPr>
              <w:t>：</w:t>
            </w:r>
          </w:p>
          <w:p w14:paraId="60E3D3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color w:val="auto"/>
                <w:sz w:val="21"/>
                <w:highlight w:val="none"/>
              </w:rPr>
            </w:pPr>
            <w:r>
              <w:rPr>
                <w:rFonts w:hint="default"/>
                <w:color w:val="auto"/>
                <w:sz w:val="21"/>
                <w:highlight w:val="none"/>
              </w:rPr>
              <w:t>规划范围为哈尔滨市城市规划区，规划面积758km</w:t>
            </w:r>
            <w:r>
              <w:rPr>
                <w:rFonts w:hint="default"/>
                <w:color w:val="auto"/>
                <w:sz w:val="21"/>
                <w:highlight w:val="none"/>
                <w:vertAlign w:val="superscript"/>
              </w:rPr>
              <w:t>2</w:t>
            </w:r>
            <w:r>
              <w:rPr>
                <w:rFonts w:hint="default"/>
                <w:color w:val="auto"/>
                <w:sz w:val="21"/>
                <w:highlight w:val="none"/>
              </w:rPr>
              <w:t>，包括哈尔滨市区及周边乡镇，规划研究区域为哈尔滨市所辖行政区范围，总规划面积5.31万km</w:t>
            </w:r>
            <w:r>
              <w:rPr>
                <w:rFonts w:hint="default"/>
                <w:color w:val="auto"/>
                <w:sz w:val="21"/>
                <w:highlight w:val="none"/>
                <w:vertAlign w:val="superscript"/>
              </w:rPr>
              <w:t>2</w:t>
            </w:r>
            <w:r>
              <w:rPr>
                <w:rFonts w:hint="default"/>
                <w:color w:val="auto"/>
                <w:sz w:val="21"/>
                <w:highlight w:val="none"/>
              </w:rPr>
              <w:t>，包括九个市辖区和九县（市）：道里区、南岗区、道外区、香坊区、平房区、松北区、呼兰区、阿城区、双城区和依兰县、方正县、宾县、巴彦县、木兰县、通河县、延寿县、尚志市、五常市。</w:t>
            </w:r>
          </w:p>
        </w:tc>
        <w:tc>
          <w:tcPr>
            <w:tcW w:w="3875" w:type="dxa"/>
            <w:tcBorders>
              <w:tl2br w:val="nil"/>
              <w:tr2bl w:val="nil"/>
            </w:tcBorders>
            <w:noWrap w:val="0"/>
            <w:vAlign w:val="center"/>
          </w:tcPr>
          <w:p w14:paraId="49B7BD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color w:val="auto"/>
                <w:sz w:val="21"/>
                <w:highlight w:val="none"/>
                <w:lang w:val="en-US" w:eastAsia="zh-CN"/>
              </w:rPr>
            </w:pPr>
            <w:r>
              <w:rPr>
                <w:rFonts w:hint="eastAsia"/>
                <w:color w:val="auto"/>
                <w:sz w:val="21"/>
                <w:szCs w:val="21"/>
                <w:highlight w:val="none"/>
                <w:lang w:val="en-US" w:eastAsia="zh-CN"/>
              </w:rPr>
              <w:t>本项目位于黑龙江省哈尔滨市</w:t>
            </w:r>
            <w:r>
              <w:rPr>
                <w:rFonts w:hint="default" w:ascii="Times New Roman" w:hAnsi="宋体" w:eastAsia="宋体" w:cs="Times New Roman"/>
                <w:color w:val="auto"/>
                <w:kern w:val="0"/>
                <w:sz w:val="21"/>
                <w:szCs w:val="21"/>
                <w:highlight w:val="none"/>
                <w:lang w:val="en-US" w:eastAsia="zh-CN"/>
              </w:rPr>
              <w:t>尚志市元宝镇元宝村新村北侧</w:t>
            </w:r>
            <w:r>
              <w:rPr>
                <w:rFonts w:hint="eastAsia"/>
                <w:color w:val="auto"/>
                <w:sz w:val="21"/>
                <w:szCs w:val="21"/>
                <w:highlight w:val="none"/>
                <w:lang w:val="en-US" w:eastAsia="zh-CN"/>
              </w:rPr>
              <w:t>，符合规划范围。</w:t>
            </w:r>
          </w:p>
        </w:tc>
        <w:tc>
          <w:tcPr>
            <w:tcW w:w="921" w:type="dxa"/>
            <w:tcBorders>
              <w:tl2br w:val="nil"/>
              <w:tr2bl w:val="nil"/>
            </w:tcBorders>
            <w:noWrap w:val="0"/>
            <w:vAlign w:val="center"/>
          </w:tcPr>
          <w:p w14:paraId="7C788E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highlight w:val="none"/>
              </w:rPr>
            </w:pPr>
            <w:r>
              <w:rPr>
                <w:color w:val="auto"/>
                <w:sz w:val="21"/>
                <w:highlight w:val="none"/>
              </w:rPr>
              <w:t>符合</w:t>
            </w:r>
          </w:p>
        </w:tc>
      </w:tr>
      <w:tr w14:paraId="6556D82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9" w:hRule="atLeast"/>
          <w:jc w:val="center"/>
        </w:trPr>
        <w:tc>
          <w:tcPr>
            <w:tcW w:w="671" w:type="dxa"/>
            <w:tcBorders>
              <w:tl2br w:val="nil"/>
              <w:tr2bl w:val="nil"/>
            </w:tcBorders>
            <w:noWrap w:val="0"/>
            <w:vAlign w:val="center"/>
          </w:tcPr>
          <w:p w14:paraId="3FF5C7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color w:val="auto"/>
                <w:sz w:val="21"/>
                <w:highlight w:val="none"/>
                <w:lang w:val="en-US" w:eastAsia="zh-CN"/>
              </w:rPr>
            </w:pPr>
            <w:r>
              <w:rPr>
                <w:rFonts w:hint="eastAsia"/>
                <w:color w:val="auto"/>
                <w:sz w:val="21"/>
                <w:highlight w:val="none"/>
                <w:lang w:val="en-US" w:eastAsia="zh-CN"/>
              </w:rPr>
              <w:t>2</w:t>
            </w:r>
          </w:p>
        </w:tc>
        <w:tc>
          <w:tcPr>
            <w:tcW w:w="3718" w:type="dxa"/>
            <w:tcBorders>
              <w:tl2br w:val="nil"/>
              <w:tr2bl w:val="nil"/>
            </w:tcBorders>
            <w:noWrap w:val="0"/>
            <w:vAlign w:val="center"/>
          </w:tcPr>
          <w:p w14:paraId="2760C2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color w:val="auto"/>
                <w:sz w:val="21"/>
                <w:highlight w:val="none"/>
                <w:lang w:eastAsia="zh-CN"/>
              </w:rPr>
            </w:pPr>
            <w:r>
              <w:rPr>
                <w:rFonts w:hint="default"/>
                <w:color w:val="auto"/>
                <w:sz w:val="21"/>
                <w:highlight w:val="none"/>
              </w:rPr>
              <w:t>规划对象</w:t>
            </w:r>
            <w:r>
              <w:rPr>
                <w:rFonts w:hint="eastAsia"/>
                <w:color w:val="auto"/>
                <w:sz w:val="21"/>
                <w:highlight w:val="none"/>
                <w:lang w:eastAsia="zh-CN"/>
              </w:rPr>
              <w:t>：</w:t>
            </w:r>
          </w:p>
          <w:p w14:paraId="4EA61E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color w:val="auto"/>
                <w:sz w:val="21"/>
                <w:highlight w:val="none"/>
              </w:rPr>
            </w:pPr>
            <w:r>
              <w:rPr>
                <w:rFonts w:hint="default"/>
                <w:color w:val="auto"/>
                <w:sz w:val="21"/>
                <w:highlight w:val="none"/>
              </w:rPr>
              <w:t>对规划范围内产生的生活垃圾、建筑垃圾、危险废物、一般工业固体废物</w:t>
            </w:r>
            <w:r>
              <w:rPr>
                <w:rFonts w:hint="default"/>
                <w:color w:val="auto"/>
                <w:sz w:val="21"/>
                <w:highlight w:val="none"/>
                <w:lang w:eastAsia="zh-CN"/>
              </w:rPr>
              <w:t>等</w:t>
            </w:r>
            <w:r>
              <w:rPr>
                <w:rFonts w:hint="default"/>
                <w:color w:val="auto"/>
                <w:sz w:val="21"/>
                <w:highlight w:val="none"/>
              </w:rPr>
              <w:t>固体废物进行研究，并规划处理处置设施的布局等。</w:t>
            </w:r>
          </w:p>
        </w:tc>
        <w:tc>
          <w:tcPr>
            <w:tcW w:w="3875" w:type="dxa"/>
            <w:tcBorders>
              <w:tl2br w:val="nil"/>
              <w:tr2bl w:val="nil"/>
            </w:tcBorders>
            <w:noWrap w:val="0"/>
            <w:vAlign w:val="center"/>
          </w:tcPr>
          <w:p w14:paraId="7FD4FE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color w:val="auto"/>
                <w:sz w:val="21"/>
                <w:highlight w:val="none"/>
              </w:rPr>
            </w:pPr>
            <w:r>
              <w:rPr>
                <w:rFonts w:hint="eastAsia"/>
                <w:color w:val="auto"/>
                <w:sz w:val="21"/>
                <w:highlight w:val="none"/>
              </w:rPr>
              <w:t>本项目主要对</w:t>
            </w:r>
            <w:r>
              <w:rPr>
                <w:rFonts w:hint="eastAsia"/>
                <w:color w:val="auto"/>
                <w:sz w:val="21"/>
                <w:highlight w:val="none"/>
                <w:lang w:val="en-US" w:eastAsia="zh-CN"/>
              </w:rPr>
              <w:t>废弃</w:t>
            </w:r>
            <w:r>
              <w:rPr>
                <w:rFonts w:hint="eastAsia" w:asciiTheme="minorEastAsia" w:hAnsiTheme="minorEastAsia" w:eastAsiaTheme="minorEastAsia" w:cstheme="minorEastAsia"/>
                <w:color w:val="auto"/>
                <w:szCs w:val="24"/>
                <w:highlight w:val="none"/>
              </w:rPr>
              <w:t>采砂坑</w:t>
            </w:r>
            <w:r>
              <w:rPr>
                <w:rFonts w:hint="eastAsia"/>
                <w:color w:val="auto"/>
                <w:sz w:val="21"/>
                <w:highlight w:val="none"/>
              </w:rPr>
              <w:t>进行回填及恢复治理，但是本项目采用回填修复方式，材料为灰渣。灰渣具有一般工业固体废物特性。</w:t>
            </w:r>
          </w:p>
        </w:tc>
        <w:tc>
          <w:tcPr>
            <w:tcW w:w="921" w:type="dxa"/>
            <w:tcBorders>
              <w:tl2br w:val="nil"/>
              <w:tr2bl w:val="nil"/>
            </w:tcBorders>
            <w:noWrap w:val="0"/>
            <w:vAlign w:val="center"/>
          </w:tcPr>
          <w:p w14:paraId="4AA315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highlight w:val="none"/>
              </w:rPr>
            </w:pPr>
            <w:r>
              <w:rPr>
                <w:color w:val="auto"/>
                <w:sz w:val="21"/>
                <w:highlight w:val="none"/>
              </w:rPr>
              <w:t>符合</w:t>
            </w:r>
          </w:p>
        </w:tc>
      </w:tr>
      <w:tr w14:paraId="342DFEA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9" w:hRule="atLeast"/>
          <w:jc w:val="center"/>
        </w:trPr>
        <w:tc>
          <w:tcPr>
            <w:tcW w:w="671" w:type="dxa"/>
            <w:tcBorders>
              <w:tl2br w:val="nil"/>
              <w:tr2bl w:val="nil"/>
            </w:tcBorders>
            <w:noWrap w:val="0"/>
            <w:vAlign w:val="center"/>
          </w:tcPr>
          <w:p w14:paraId="290E86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color w:val="auto"/>
                <w:sz w:val="21"/>
                <w:highlight w:val="none"/>
                <w:lang w:val="en-US" w:eastAsia="zh-CN"/>
              </w:rPr>
            </w:pPr>
            <w:r>
              <w:rPr>
                <w:rFonts w:hint="eastAsia"/>
                <w:color w:val="auto"/>
                <w:sz w:val="21"/>
                <w:highlight w:val="none"/>
                <w:lang w:val="en-US" w:eastAsia="zh-CN"/>
              </w:rPr>
              <w:t>3</w:t>
            </w:r>
          </w:p>
        </w:tc>
        <w:tc>
          <w:tcPr>
            <w:tcW w:w="3718" w:type="dxa"/>
            <w:tcBorders>
              <w:tl2br w:val="nil"/>
              <w:tr2bl w:val="nil"/>
            </w:tcBorders>
            <w:noWrap w:val="0"/>
            <w:vAlign w:val="center"/>
          </w:tcPr>
          <w:p w14:paraId="4C4C1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color w:val="auto"/>
                <w:sz w:val="21"/>
                <w:highlight w:val="none"/>
                <w:lang w:eastAsia="zh-CN"/>
              </w:rPr>
            </w:pPr>
            <w:bookmarkStart w:id="105" w:name="_Toc69217737"/>
            <w:r>
              <w:rPr>
                <w:rFonts w:hint="default"/>
                <w:color w:val="auto"/>
                <w:sz w:val="21"/>
                <w:highlight w:val="none"/>
              </w:rPr>
              <w:t>一般工业废物规划</w:t>
            </w:r>
            <w:bookmarkEnd w:id="105"/>
            <w:r>
              <w:rPr>
                <w:rFonts w:hint="eastAsia"/>
                <w:color w:val="auto"/>
                <w:sz w:val="21"/>
                <w:highlight w:val="none"/>
                <w:lang w:eastAsia="zh-CN"/>
              </w:rPr>
              <w:t>：</w:t>
            </w:r>
          </w:p>
          <w:p w14:paraId="4C1281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color w:val="auto"/>
                <w:sz w:val="21"/>
                <w:highlight w:val="none"/>
                <w:lang w:eastAsia="zh-CN"/>
              </w:rPr>
            </w:pPr>
            <w:r>
              <w:rPr>
                <w:rFonts w:hint="default"/>
                <w:color w:val="auto"/>
                <w:sz w:val="21"/>
                <w:highlight w:val="none"/>
              </w:rPr>
              <w:t>规划目标</w:t>
            </w:r>
            <w:r>
              <w:rPr>
                <w:rFonts w:hint="eastAsia"/>
                <w:color w:val="auto"/>
                <w:sz w:val="21"/>
                <w:highlight w:val="none"/>
                <w:lang w:eastAsia="zh-CN"/>
              </w:rPr>
              <w:t>：</w:t>
            </w:r>
          </w:p>
          <w:p w14:paraId="245583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color w:val="auto"/>
                <w:sz w:val="21"/>
                <w:highlight w:val="none"/>
              </w:rPr>
            </w:pPr>
            <w:r>
              <w:rPr>
                <w:rFonts w:hint="default"/>
                <w:color w:val="auto"/>
                <w:sz w:val="21"/>
                <w:highlight w:val="none"/>
              </w:rPr>
              <w:t>一般工业固体废物实现源头大幅减量，充分资源化利用和安全处置。实现工业绿色生产，推动大宗工业固体废物贮存处置总量趋零增长；非法转移倾倒固体废物事件零发生；全过程规范化管理，构建全过程信息化监管体系。</w:t>
            </w:r>
          </w:p>
          <w:p w14:paraId="78D113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color w:val="auto"/>
                <w:sz w:val="21"/>
                <w:highlight w:val="none"/>
              </w:rPr>
            </w:pPr>
            <w:r>
              <w:rPr>
                <w:rFonts w:hint="default"/>
                <w:color w:val="auto"/>
                <w:sz w:val="21"/>
                <w:highlight w:val="none"/>
              </w:rPr>
              <w:t>规划近期（2021~2025年）：综合利用率提高至95%；</w:t>
            </w:r>
          </w:p>
          <w:p w14:paraId="0A7EA4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color w:val="auto"/>
                <w:sz w:val="21"/>
                <w:highlight w:val="none"/>
              </w:rPr>
            </w:pPr>
            <w:r>
              <w:rPr>
                <w:rFonts w:hint="default"/>
                <w:color w:val="auto"/>
                <w:sz w:val="21"/>
                <w:highlight w:val="none"/>
              </w:rPr>
              <w:t>规划远期（2026~2035年）：综合利用率提高至98%。</w:t>
            </w:r>
          </w:p>
        </w:tc>
        <w:tc>
          <w:tcPr>
            <w:tcW w:w="3875" w:type="dxa"/>
            <w:tcBorders>
              <w:tl2br w:val="nil"/>
              <w:tr2bl w:val="nil"/>
            </w:tcBorders>
            <w:noWrap w:val="0"/>
            <w:vAlign w:val="center"/>
          </w:tcPr>
          <w:p w14:paraId="2DFA33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color w:val="auto"/>
                <w:sz w:val="21"/>
                <w:highlight w:val="none"/>
              </w:rPr>
            </w:pPr>
            <w:r>
              <w:rPr>
                <w:rFonts w:hint="eastAsia"/>
                <w:color w:val="auto"/>
                <w:sz w:val="21"/>
                <w:highlight w:val="none"/>
              </w:rPr>
              <w:t>本项目主要对</w:t>
            </w:r>
            <w:r>
              <w:rPr>
                <w:rFonts w:hint="eastAsia"/>
                <w:color w:val="auto"/>
                <w:sz w:val="21"/>
                <w:highlight w:val="none"/>
                <w:lang w:val="en-US" w:eastAsia="zh-CN"/>
              </w:rPr>
              <w:t>废弃</w:t>
            </w:r>
            <w:r>
              <w:rPr>
                <w:rFonts w:hint="eastAsia" w:asciiTheme="minorEastAsia" w:hAnsiTheme="minorEastAsia" w:eastAsiaTheme="minorEastAsia" w:cstheme="minorEastAsia"/>
                <w:color w:val="auto"/>
                <w:szCs w:val="24"/>
                <w:highlight w:val="none"/>
              </w:rPr>
              <w:t>采砂坑</w:t>
            </w:r>
            <w:r>
              <w:rPr>
                <w:rFonts w:hint="eastAsia"/>
                <w:color w:val="auto"/>
                <w:sz w:val="21"/>
                <w:highlight w:val="none"/>
              </w:rPr>
              <w:t>进行回填及恢复治理，但是本项目采用回填修复方式，材料为灰渣。灰渣具有一般工业固体废物特性。本项目的实施既能实现源头大幅减量，充分资源化利用和安全处置。又能实现遗留</w:t>
            </w:r>
            <w:r>
              <w:rPr>
                <w:rFonts w:hint="eastAsia" w:ascii="Times New Roman"/>
                <w:color w:val="auto"/>
                <w:highlight w:val="none"/>
                <w:lang w:val="en-US" w:eastAsia="zh-CN"/>
              </w:rPr>
              <w:t>采砂坑</w:t>
            </w:r>
            <w:r>
              <w:rPr>
                <w:rFonts w:hint="eastAsia"/>
                <w:color w:val="auto"/>
                <w:sz w:val="21"/>
                <w:highlight w:val="none"/>
              </w:rPr>
              <w:t>进行恢复治理。</w:t>
            </w:r>
          </w:p>
        </w:tc>
        <w:tc>
          <w:tcPr>
            <w:tcW w:w="921" w:type="dxa"/>
            <w:tcBorders>
              <w:tl2br w:val="nil"/>
              <w:tr2bl w:val="nil"/>
            </w:tcBorders>
            <w:noWrap w:val="0"/>
            <w:vAlign w:val="center"/>
          </w:tcPr>
          <w:p w14:paraId="05B3A0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highlight w:val="none"/>
              </w:rPr>
            </w:pPr>
            <w:r>
              <w:rPr>
                <w:color w:val="auto"/>
                <w:sz w:val="21"/>
                <w:highlight w:val="none"/>
              </w:rPr>
              <w:t>符合</w:t>
            </w:r>
          </w:p>
        </w:tc>
      </w:tr>
      <w:tr w14:paraId="5BAB3F9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9" w:hRule="atLeast"/>
          <w:jc w:val="center"/>
        </w:trPr>
        <w:tc>
          <w:tcPr>
            <w:tcW w:w="671" w:type="dxa"/>
            <w:tcBorders>
              <w:tl2br w:val="nil"/>
              <w:tr2bl w:val="nil"/>
            </w:tcBorders>
            <w:noWrap w:val="0"/>
            <w:vAlign w:val="center"/>
          </w:tcPr>
          <w:p w14:paraId="1C3694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color w:val="auto"/>
                <w:sz w:val="21"/>
                <w:highlight w:val="none"/>
                <w:lang w:val="en-US" w:eastAsia="zh-CN"/>
              </w:rPr>
            </w:pPr>
            <w:r>
              <w:rPr>
                <w:rFonts w:hint="eastAsia"/>
                <w:color w:val="auto"/>
                <w:sz w:val="21"/>
                <w:highlight w:val="none"/>
                <w:lang w:val="en-US" w:eastAsia="zh-CN"/>
              </w:rPr>
              <w:t>4</w:t>
            </w:r>
          </w:p>
        </w:tc>
        <w:tc>
          <w:tcPr>
            <w:tcW w:w="3718" w:type="dxa"/>
            <w:tcBorders>
              <w:tl2br w:val="nil"/>
              <w:tr2bl w:val="nil"/>
            </w:tcBorders>
            <w:noWrap w:val="0"/>
            <w:vAlign w:val="center"/>
          </w:tcPr>
          <w:p w14:paraId="2C5110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color w:val="auto"/>
                <w:sz w:val="21"/>
                <w:highlight w:val="none"/>
                <w:lang w:val="en-US" w:eastAsia="zh-CN"/>
              </w:rPr>
            </w:pPr>
            <w:r>
              <w:rPr>
                <w:rFonts w:hint="eastAsia"/>
                <w:color w:val="auto"/>
                <w:sz w:val="21"/>
                <w:highlight w:val="none"/>
                <w:lang w:val="en-US" w:eastAsia="zh-CN"/>
              </w:rPr>
              <w:t>审查意见：</w:t>
            </w:r>
          </w:p>
          <w:p w14:paraId="412C28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color w:val="auto"/>
                <w:sz w:val="21"/>
                <w:highlight w:val="none"/>
                <w:lang w:val="en-US" w:eastAsia="zh-CN"/>
              </w:rPr>
            </w:pPr>
            <w:r>
              <w:rPr>
                <w:rFonts w:hint="eastAsia"/>
                <w:color w:val="auto"/>
                <w:sz w:val="21"/>
                <w:highlight w:val="none"/>
                <w:lang w:val="en-US" w:eastAsia="zh-CN"/>
              </w:rPr>
              <w:t>一</w:t>
            </w:r>
            <w:r>
              <w:rPr>
                <w:rFonts w:hint="default"/>
                <w:color w:val="auto"/>
                <w:sz w:val="21"/>
                <w:highlight w:val="none"/>
                <w:lang w:val="en-US" w:eastAsia="zh-CN"/>
              </w:rPr>
              <w:t>、规划范围、期限及对象。规划范围为哈尔滨市城市规划区，规划面积758</w:t>
            </w:r>
            <w:r>
              <w:rPr>
                <w:rFonts w:hint="eastAsia"/>
                <w:color w:val="auto"/>
                <w:sz w:val="21"/>
                <w:highlight w:val="none"/>
                <w:lang w:val="en-US" w:eastAsia="zh-CN"/>
              </w:rPr>
              <w:t>km</w:t>
            </w:r>
            <w:r>
              <w:rPr>
                <w:rFonts w:hint="eastAsia"/>
                <w:color w:val="auto"/>
                <w:sz w:val="21"/>
                <w:highlight w:val="none"/>
                <w:vertAlign w:val="superscript"/>
                <w:lang w:val="en-US" w:eastAsia="zh-CN"/>
              </w:rPr>
              <w:t>2</w:t>
            </w:r>
            <w:r>
              <w:rPr>
                <w:rFonts w:hint="default"/>
                <w:color w:val="auto"/>
                <w:sz w:val="21"/>
                <w:highlight w:val="none"/>
                <w:lang w:val="en-US" w:eastAsia="zh-CN"/>
              </w:rPr>
              <w:t>，规划研究区域为哈尔滨市所辖行政区范围，总规划面积5.31万</w:t>
            </w:r>
            <w:r>
              <w:rPr>
                <w:rFonts w:hint="eastAsia"/>
                <w:color w:val="auto"/>
                <w:sz w:val="21"/>
                <w:highlight w:val="none"/>
                <w:lang w:val="en-US" w:eastAsia="zh-CN"/>
              </w:rPr>
              <w:t>km</w:t>
            </w:r>
            <w:r>
              <w:rPr>
                <w:rFonts w:hint="eastAsia"/>
                <w:color w:val="auto"/>
                <w:sz w:val="21"/>
                <w:highlight w:val="none"/>
                <w:vertAlign w:val="superscript"/>
                <w:lang w:val="en-US" w:eastAsia="zh-CN"/>
              </w:rPr>
              <w:t>2</w:t>
            </w:r>
            <w:r>
              <w:rPr>
                <w:rFonts w:hint="default"/>
                <w:color w:val="auto"/>
                <w:sz w:val="21"/>
                <w:highlight w:val="none"/>
                <w:lang w:val="en-US" w:eastAsia="zh-CN"/>
              </w:rPr>
              <w:t>，包括九个市辖区和九县(市):道里区、南岗区、道外区、香坊区、平房区、松北区、呼兰区、阿城区、双城区和依兰县、方正县、宾县、巴彦县、木兰县、通河县、延寿县、尚志市、五常市。规划对象为生活垃圾、餐厨垃圾、建筑垃圾、危险废物和一般工业固体废物共五项固体废物进行研究，并规划收运和处理处置及资源化处理设施布局等</w:t>
            </w:r>
            <w:r>
              <w:rPr>
                <w:rFonts w:hint="eastAsia"/>
                <w:color w:val="auto"/>
                <w:sz w:val="21"/>
                <w:highlight w:val="none"/>
                <w:lang w:val="en-US" w:eastAsia="zh-CN"/>
              </w:rPr>
              <w:t>。</w:t>
            </w:r>
          </w:p>
        </w:tc>
        <w:tc>
          <w:tcPr>
            <w:tcW w:w="3875" w:type="dxa"/>
            <w:tcBorders>
              <w:tl2br w:val="nil"/>
              <w:tr2bl w:val="nil"/>
            </w:tcBorders>
            <w:noWrap w:val="0"/>
            <w:vAlign w:val="center"/>
          </w:tcPr>
          <w:p w14:paraId="70914F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color w:val="auto"/>
                <w:sz w:val="21"/>
                <w:highlight w:val="none"/>
                <w:lang w:val="en-US" w:eastAsia="zh-CN"/>
              </w:rPr>
            </w:pPr>
            <w:r>
              <w:rPr>
                <w:rFonts w:hint="eastAsia"/>
                <w:color w:val="auto"/>
                <w:sz w:val="21"/>
                <w:highlight w:val="none"/>
                <w:lang w:val="en-US" w:eastAsia="zh-CN"/>
              </w:rPr>
              <w:t>本项目位于黑龙江省哈尔</w:t>
            </w:r>
            <w:r>
              <w:rPr>
                <w:rFonts w:hint="eastAsia"/>
                <w:color w:val="auto"/>
                <w:sz w:val="21"/>
                <w:szCs w:val="21"/>
                <w:highlight w:val="none"/>
                <w:lang w:val="en-US" w:eastAsia="zh-CN"/>
              </w:rPr>
              <w:t>滨市</w:t>
            </w:r>
            <w:r>
              <w:rPr>
                <w:rFonts w:hint="default" w:ascii="Times New Roman" w:hAnsi="宋体" w:eastAsia="宋体" w:cs="Times New Roman"/>
                <w:color w:val="auto"/>
                <w:kern w:val="0"/>
                <w:sz w:val="21"/>
                <w:szCs w:val="21"/>
                <w:highlight w:val="none"/>
                <w:lang w:val="en-US" w:eastAsia="zh-CN"/>
              </w:rPr>
              <w:t>尚志市元宝镇元宝村新村北侧</w:t>
            </w:r>
            <w:r>
              <w:rPr>
                <w:rFonts w:hint="eastAsia"/>
                <w:color w:val="auto"/>
                <w:sz w:val="21"/>
                <w:highlight w:val="none"/>
                <w:lang w:val="en-US" w:eastAsia="zh-CN"/>
              </w:rPr>
              <w:t>。</w:t>
            </w:r>
            <w:r>
              <w:rPr>
                <w:rFonts w:hint="eastAsia"/>
                <w:color w:val="auto"/>
                <w:sz w:val="21"/>
                <w:highlight w:val="none"/>
              </w:rPr>
              <w:t>采用回填修复方式，材料为灰渣。灰渣具有一般工业固体废物特性。</w:t>
            </w:r>
            <w:r>
              <w:rPr>
                <w:rFonts w:hint="eastAsia"/>
                <w:color w:val="auto"/>
                <w:sz w:val="21"/>
                <w:highlight w:val="none"/>
                <w:lang w:val="en-US" w:eastAsia="zh-CN"/>
              </w:rPr>
              <w:t>同时本项目严格按照本报告书中设计的环保措施施工，做到“三同时”，减缓不良环境影响。</w:t>
            </w:r>
          </w:p>
        </w:tc>
        <w:tc>
          <w:tcPr>
            <w:tcW w:w="921" w:type="dxa"/>
            <w:tcBorders>
              <w:tl2br w:val="nil"/>
              <w:tr2bl w:val="nil"/>
            </w:tcBorders>
            <w:noWrap w:val="0"/>
            <w:vAlign w:val="center"/>
          </w:tcPr>
          <w:p w14:paraId="1DBF69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highlight w:val="none"/>
              </w:rPr>
            </w:pPr>
            <w:r>
              <w:rPr>
                <w:color w:val="auto"/>
                <w:sz w:val="21"/>
                <w:highlight w:val="none"/>
              </w:rPr>
              <w:t>符合</w:t>
            </w:r>
          </w:p>
        </w:tc>
      </w:tr>
    </w:tbl>
    <w:p w14:paraId="1AC7BC76">
      <w:pPr>
        <w:pStyle w:val="217"/>
        <w:adjustRightInd w:val="0"/>
        <w:snapToGrid w:val="0"/>
        <w:spacing w:line="360" w:lineRule="auto"/>
        <w:ind w:firstLine="480" w:firstLineChars="200"/>
        <w:jc w:val="both"/>
        <w:rPr>
          <w:rStyle w:val="1330"/>
          <w:rFonts w:hint="eastAsia" w:asciiTheme="minorEastAsia" w:hAnsiTheme="minorEastAsia" w:eastAsiaTheme="minorEastAsia" w:cstheme="minorEastAsia"/>
          <w:color w:val="auto"/>
          <w:highlight w:val="none"/>
        </w:rPr>
      </w:pPr>
      <w:r>
        <w:rPr>
          <w:rFonts w:ascii="Times New Roman"/>
          <w:color w:val="auto"/>
          <w:highlight w:val="none"/>
        </w:rPr>
        <w:t>由上表可知，本项目符合《</w:t>
      </w:r>
      <w:r>
        <w:rPr>
          <w:rFonts w:hint="default" w:ascii="Times New Roman" w:hAnsi="Times New Roman" w:cs="Times New Roman"/>
          <w:b w:val="0"/>
          <w:bCs w:val="0"/>
          <w:color w:val="auto"/>
          <w:kern w:val="0"/>
          <w:sz w:val="24"/>
          <w:highlight w:val="none"/>
          <w:lang w:eastAsia="zh-CN"/>
        </w:rPr>
        <w:t>黑龙江省哈尔滨市城乡固体废物分类治理专项规划（2019-2035年）修编</w:t>
      </w:r>
      <w:r>
        <w:rPr>
          <w:rFonts w:hint="eastAsia" w:ascii="Times New Roman" w:hAnsi="Times New Roman" w:cs="Times New Roman"/>
          <w:b w:val="0"/>
          <w:bCs w:val="0"/>
          <w:color w:val="auto"/>
          <w:kern w:val="0"/>
          <w:sz w:val="24"/>
          <w:highlight w:val="none"/>
          <w:lang w:eastAsia="zh-CN"/>
        </w:rPr>
        <w:t>》</w:t>
      </w:r>
      <w:r>
        <w:rPr>
          <w:rFonts w:hint="default" w:ascii="Times New Roman" w:hAnsi="Times New Roman" w:cs="Times New Roman"/>
          <w:b w:val="0"/>
          <w:bCs w:val="0"/>
          <w:color w:val="auto"/>
          <w:kern w:val="0"/>
          <w:sz w:val="24"/>
          <w:highlight w:val="none"/>
          <w:lang w:eastAsia="zh-CN"/>
        </w:rPr>
        <w:t>环境影响报告书</w:t>
      </w:r>
      <w:r>
        <w:rPr>
          <w:rFonts w:hint="eastAsia"/>
          <w:color w:val="auto"/>
          <w:highlight w:val="none"/>
          <w:lang w:val="en-US" w:eastAsia="zh-CN"/>
        </w:rPr>
        <w:t>及审查意见</w:t>
      </w:r>
      <w:r>
        <w:rPr>
          <w:rFonts w:ascii="Times New Roman"/>
          <w:color w:val="auto"/>
          <w:highlight w:val="none"/>
        </w:rPr>
        <w:t>要求。</w:t>
      </w:r>
    </w:p>
    <w:bookmarkEnd w:id="101"/>
    <w:p w14:paraId="06A2E26F">
      <w:pPr>
        <w:pStyle w:val="8"/>
        <w:numPr>
          <w:ilvl w:val="0"/>
          <w:numId w:val="0"/>
        </w:numPr>
        <w:bidi w:val="0"/>
        <w:ind w:leftChars="0"/>
        <w:rPr>
          <w:rFonts w:hint="eastAsia" w:asciiTheme="minorEastAsia" w:hAnsiTheme="minorEastAsia" w:eastAsiaTheme="minorEastAsia" w:cstheme="minorEastAsia"/>
          <w:b/>
          <w:bCs w:val="0"/>
          <w:snapToGrid w:val="0"/>
          <w:color w:val="auto"/>
          <w:kern w:val="2"/>
          <w:sz w:val="24"/>
          <w:szCs w:val="24"/>
          <w:highlight w:val="none"/>
          <w:lang w:val="en-US" w:eastAsia="zh-CN" w:bidi="ar-SA"/>
        </w:rPr>
      </w:pPr>
      <w:bookmarkStart w:id="106" w:name="_Toc506120771"/>
      <w:r>
        <w:rPr>
          <w:rFonts w:hint="eastAsia" w:asciiTheme="minorEastAsia" w:hAnsiTheme="minorEastAsia" w:eastAsiaTheme="minorEastAsia" w:cstheme="minorEastAsia"/>
          <w:b/>
          <w:bCs w:val="0"/>
          <w:snapToGrid w:val="0"/>
          <w:color w:val="auto"/>
          <w:kern w:val="2"/>
          <w:sz w:val="24"/>
          <w:szCs w:val="24"/>
          <w:highlight w:val="none"/>
          <w:lang w:val="en-US" w:eastAsia="zh-CN" w:bidi="ar-SA"/>
        </w:rPr>
        <w:t>1.4.2.17与</w:t>
      </w:r>
      <w:r>
        <w:rPr>
          <w:rFonts w:hint="eastAsia" w:asciiTheme="minorEastAsia" w:hAnsiTheme="minorEastAsia" w:eastAsiaTheme="minorEastAsia" w:cstheme="minorEastAsia"/>
          <w:b/>
          <w:bCs w:val="0"/>
          <w:snapToGrid w:val="0"/>
          <w:color w:val="auto"/>
          <w:kern w:val="2"/>
          <w:sz w:val="24"/>
          <w:szCs w:val="24"/>
          <w:highlight w:val="none"/>
          <w:lang w:val="zh-CN" w:eastAsia="zh-CN" w:bidi="ar-SA"/>
        </w:rPr>
        <w:t>《关于发布2023年生态环境分区管控动态更新成果的通知》黑环发【2024】1号</w:t>
      </w:r>
      <w:r>
        <w:rPr>
          <w:rFonts w:hint="eastAsia" w:asciiTheme="minorEastAsia" w:hAnsiTheme="minorEastAsia" w:eastAsiaTheme="minorEastAsia" w:cstheme="minorEastAsia"/>
          <w:b/>
          <w:bCs w:val="0"/>
          <w:snapToGrid w:val="0"/>
          <w:color w:val="auto"/>
          <w:kern w:val="2"/>
          <w:sz w:val="24"/>
          <w:szCs w:val="24"/>
          <w:highlight w:val="none"/>
          <w:lang w:val="en-US" w:eastAsia="zh-CN" w:bidi="ar-SA"/>
        </w:rPr>
        <w:t>符合性分析</w:t>
      </w:r>
    </w:p>
    <w:p w14:paraId="264FA677">
      <w:pPr>
        <w:keepNext w:val="0"/>
        <w:keepLines w:val="0"/>
        <w:pageBreakBefore w:val="0"/>
        <w:widowControl w:val="0"/>
        <w:kinsoku/>
        <w:wordWrap/>
        <w:overflowPunct/>
        <w:topLinePunct w:val="0"/>
        <w:autoSpaceDE w:val="0"/>
        <w:autoSpaceDN w:val="0"/>
        <w:bidi w:val="0"/>
        <w:adjustRightInd/>
        <w:snapToGrid/>
        <w:spacing w:line="360" w:lineRule="auto"/>
        <w:ind w:right="0" w:firstLine="480" w:firstLineChars="200"/>
        <w:textAlignment w:val="auto"/>
        <w:rPr>
          <w:rFonts w:hint="eastAsia" w:asciiTheme="minorEastAsia" w:hAnsiTheme="minorEastAsia" w:eastAsiaTheme="minorEastAsia" w:cstheme="minorEastAsia"/>
          <w:bCs/>
          <w:snapToGrid w:val="0"/>
          <w:color w:val="auto"/>
          <w:sz w:val="24"/>
          <w:szCs w:val="24"/>
          <w:highlight w:val="none"/>
        </w:rPr>
      </w:pPr>
      <w:r>
        <w:rPr>
          <w:rFonts w:hint="eastAsia" w:asciiTheme="minorEastAsia" w:hAnsiTheme="minorEastAsia" w:eastAsiaTheme="minorEastAsia" w:cstheme="minorEastAsia"/>
          <w:bCs/>
          <w:snapToGrid w:val="0"/>
          <w:color w:val="auto"/>
          <w:sz w:val="24"/>
          <w:szCs w:val="24"/>
          <w:highlight w:val="none"/>
        </w:rPr>
        <w:t>根据</w:t>
      </w:r>
      <w:bookmarkStart w:id="107" w:name="_Toc3817"/>
      <w:r>
        <w:rPr>
          <w:rFonts w:hint="eastAsia" w:asciiTheme="minorEastAsia" w:hAnsiTheme="minorEastAsia" w:eastAsiaTheme="minorEastAsia" w:cstheme="minorEastAsia"/>
          <w:bCs/>
          <w:snapToGrid w:val="0"/>
          <w:color w:val="auto"/>
          <w:sz w:val="24"/>
          <w:szCs w:val="24"/>
          <w:highlight w:val="none"/>
          <w:lang w:val="en-US" w:eastAsia="zh-CN"/>
        </w:rPr>
        <w:t>《黑龙江省生态环境分区管控文本》（2023年版）、《哈尔滨市</w:t>
      </w:r>
      <w:r>
        <w:rPr>
          <w:rFonts w:hint="eastAsia" w:asciiTheme="minorEastAsia" w:hAnsiTheme="minorEastAsia" w:eastAsiaTheme="minorEastAsia" w:cstheme="minorEastAsia"/>
          <w:bCs/>
          <w:snapToGrid w:val="0"/>
          <w:color w:val="auto"/>
          <w:sz w:val="24"/>
          <w:szCs w:val="24"/>
          <w:highlight w:val="none"/>
        </w:rPr>
        <w:t>生态环境准入清单</w:t>
      </w:r>
      <w:r>
        <w:rPr>
          <w:rFonts w:hint="eastAsia" w:asciiTheme="minorEastAsia" w:hAnsiTheme="minorEastAsia" w:eastAsiaTheme="minorEastAsia" w:cstheme="minorEastAsia"/>
          <w:bCs/>
          <w:snapToGrid w:val="0"/>
          <w:color w:val="auto"/>
          <w:sz w:val="24"/>
          <w:szCs w:val="24"/>
          <w:highlight w:val="none"/>
          <w:lang w:val="en-US" w:eastAsia="zh-CN"/>
        </w:rPr>
        <w:t>》</w:t>
      </w:r>
      <w:bookmarkEnd w:id="107"/>
      <w:r>
        <w:rPr>
          <w:rFonts w:hint="eastAsia" w:asciiTheme="minorEastAsia" w:hAnsiTheme="minorEastAsia" w:eastAsiaTheme="minorEastAsia" w:cstheme="minorEastAsia"/>
          <w:bCs/>
          <w:snapToGrid w:val="0"/>
          <w:color w:val="auto"/>
          <w:sz w:val="24"/>
          <w:szCs w:val="24"/>
          <w:highlight w:val="none"/>
          <w:lang w:val="zh-CN"/>
        </w:rPr>
        <w:t>（</w:t>
      </w:r>
      <w:r>
        <w:rPr>
          <w:rFonts w:hint="eastAsia" w:asciiTheme="minorEastAsia" w:hAnsiTheme="minorEastAsia" w:eastAsiaTheme="minorEastAsia" w:cstheme="minorEastAsia"/>
          <w:bCs/>
          <w:snapToGrid w:val="0"/>
          <w:color w:val="auto"/>
          <w:sz w:val="24"/>
          <w:szCs w:val="24"/>
          <w:highlight w:val="none"/>
          <w:lang w:val="en-US" w:eastAsia="zh-CN"/>
        </w:rPr>
        <w:t>2023年版</w:t>
      </w:r>
      <w:r>
        <w:rPr>
          <w:rFonts w:hint="eastAsia" w:asciiTheme="minorEastAsia" w:hAnsiTheme="minorEastAsia" w:eastAsiaTheme="minorEastAsia" w:cstheme="minorEastAsia"/>
          <w:bCs/>
          <w:snapToGrid w:val="0"/>
          <w:color w:val="auto"/>
          <w:sz w:val="24"/>
          <w:szCs w:val="24"/>
          <w:highlight w:val="none"/>
          <w:lang w:val="zh-CN"/>
        </w:rPr>
        <w:t>）、《关于发布2023年生态环境分区管控动态更新成果的通知》黑环发〔2024〕1 号</w:t>
      </w:r>
      <w:r>
        <w:rPr>
          <w:rFonts w:hint="eastAsia" w:asciiTheme="minorEastAsia" w:hAnsiTheme="minorEastAsia" w:eastAsiaTheme="minorEastAsia" w:cstheme="minorEastAsia"/>
          <w:bCs/>
          <w:snapToGrid w:val="0"/>
          <w:color w:val="auto"/>
          <w:sz w:val="24"/>
          <w:szCs w:val="24"/>
          <w:highlight w:val="none"/>
          <w:lang w:val="en-US" w:eastAsia="zh-CN"/>
        </w:rPr>
        <w:t>和《生态环境分区管控分析报告-</w:t>
      </w:r>
      <w:r>
        <w:rPr>
          <w:rFonts w:hint="default" w:asciiTheme="minorEastAsia" w:hAnsiTheme="minorEastAsia" w:eastAsiaTheme="minorEastAsia" w:cstheme="minorEastAsia"/>
          <w:bCs/>
          <w:snapToGrid w:val="0"/>
          <w:color w:val="auto"/>
          <w:sz w:val="24"/>
          <w:szCs w:val="24"/>
          <w:highlight w:val="none"/>
          <w:lang w:val="en-US" w:eastAsia="zh-CN"/>
        </w:rPr>
        <w:t>黑龙江嘉龙环保科技有限公司</w:t>
      </w:r>
      <w:r>
        <w:rPr>
          <w:rFonts w:hint="eastAsia" w:asciiTheme="minorEastAsia" w:hAnsiTheme="minorEastAsia" w:eastAsiaTheme="minorEastAsia" w:cstheme="minorEastAsia"/>
          <w:bCs/>
          <w:snapToGrid w:val="0"/>
          <w:color w:val="auto"/>
          <w:sz w:val="24"/>
          <w:szCs w:val="24"/>
          <w:highlight w:val="none"/>
          <w:lang w:val="en-US" w:eastAsia="zh-CN"/>
        </w:rPr>
        <w:t>灰渣回填复垦利用项目》等文件，</w:t>
      </w:r>
      <w:r>
        <w:rPr>
          <w:rFonts w:hint="eastAsia" w:asciiTheme="minorEastAsia" w:hAnsiTheme="minorEastAsia" w:eastAsiaTheme="minorEastAsia" w:cstheme="minorEastAsia"/>
          <w:bCs/>
          <w:snapToGrid w:val="0"/>
          <w:color w:val="auto"/>
          <w:sz w:val="24"/>
          <w:szCs w:val="24"/>
          <w:highlight w:val="none"/>
        </w:rPr>
        <w:t>本项目与“</w:t>
      </w:r>
      <w:r>
        <w:rPr>
          <w:rFonts w:hint="eastAsia" w:ascii="Times New Roman"/>
          <w:color w:val="auto"/>
          <w:highlight w:val="none"/>
          <w:lang w:val="en-US" w:eastAsia="zh-CN"/>
        </w:rPr>
        <w:t>生态环境分区管控</w:t>
      </w:r>
      <w:r>
        <w:rPr>
          <w:rFonts w:hint="eastAsia" w:asciiTheme="minorEastAsia" w:hAnsiTheme="minorEastAsia" w:eastAsiaTheme="minorEastAsia" w:cstheme="minorEastAsia"/>
          <w:bCs/>
          <w:snapToGrid w:val="0"/>
          <w:color w:val="auto"/>
          <w:sz w:val="24"/>
          <w:szCs w:val="24"/>
          <w:highlight w:val="none"/>
        </w:rPr>
        <w:t>”的符合性如下：</w:t>
      </w:r>
    </w:p>
    <w:p w14:paraId="4E1D39C3">
      <w:pPr>
        <w:keepNext w:val="0"/>
        <w:keepLines w:val="0"/>
        <w:pageBreakBefore w:val="0"/>
        <w:widowControl w:val="0"/>
        <w:kinsoku/>
        <w:wordWrap/>
        <w:topLinePunct w:val="0"/>
        <w:bidi w:val="0"/>
        <w:snapToGrid/>
        <w:spacing w:line="360" w:lineRule="auto"/>
        <w:ind w:firstLine="480" w:firstLineChars="20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1、</w:t>
      </w:r>
      <w:r>
        <w:rPr>
          <w:rFonts w:hint="eastAsia" w:asciiTheme="minorEastAsia" w:hAnsiTheme="minorEastAsia" w:eastAsiaTheme="minorEastAsia" w:cstheme="minorEastAsia"/>
          <w:color w:val="auto"/>
          <w:sz w:val="24"/>
          <w:szCs w:val="24"/>
          <w:highlight w:val="none"/>
        </w:rPr>
        <w:t>生态保护红线符合性分析</w:t>
      </w:r>
    </w:p>
    <w:p w14:paraId="0390B9D2">
      <w:pPr>
        <w:keepNext w:val="0"/>
        <w:keepLines w:val="0"/>
        <w:pageBreakBefore w:val="0"/>
        <w:widowControl w:val="0"/>
        <w:kinsoku/>
        <w:wordWrap/>
        <w:overflowPunct/>
        <w:topLinePunct w:val="0"/>
        <w:autoSpaceDE w:val="0"/>
        <w:autoSpaceDN w:val="0"/>
        <w:bidi w:val="0"/>
        <w:adjustRightInd/>
        <w:snapToGrid/>
        <w:spacing w:line="360" w:lineRule="auto"/>
        <w:ind w:right="0" w:firstLine="480" w:firstLineChars="20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bCs/>
          <w:snapToGrid w:val="0"/>
          <w:color w:val="auto"/>
          <w:sz w:val="24"/>
          <w:szCs w:val="24"/>
          <w:highlight w:val="none"/>
          <w:lang w:val="en-US" w:eastAsia="zh-CN"/>
        </w:rPr>
        <w:t>本项目位于</w:t>
      </w:r>
      <w:r>
        <w:rPr>
          <w:rFonts w:hint="eastAsia" w:asciiTheme="minorEastAsia" w:hAnsiTheme="minorEastAsia" w:eastAsiaTheme="minorEastAsia" w:cstheme="minorEastAsia"/>
          <w:color w:val="auto"/>
          <w:sz w:val="24"/>
          <w:szCs w:val="24"/>
          <w:highlight w:val="none"/>
          <w:lang w:val="en-US" w:eastAsia="zh-CN"/>
        </w:rPr>
        <w:t>尚志市元宝镇元宝村新村北侧</w:t>
      </w:r>
      <w:r>
        <w:rPr>
          <w:rFonts w:hint="eastAsia" w:asciiTheme="minorEastAsia" w:hAnsiTheme="minorEastAsia" w:eastAsiaTheme="minorEastAsia" w:cstheme="minorEastAsia"/>
          <w:bCs/>
          <w:snapToGrid w:val="0"/>
          <w:color w:val="auto"/>
          <w:sz w:val="24"/>
          <w:szCs w:val="24"/>
          <w:highlight w:val="none"/>
        </w:rPr>
        <w:t>，</w:t>
      </w:r>
      <w:r>
        <w:rPr>
          <w:rFonts w:hint="eastAsia" w:asciiTheme="minorEastAsia" w:hAnsiTheme="minorEastAsia" w:eastAsiaTheme="minorEastAsia" w:cstheme="minorEastAsia"/>
          <w:bCs/>
          <w:snapToGrid w:val="0"/>
          <w:color w:val="auto"/>
          <w:sz w:val="24"/>
          <w:szCs w:val="24"/>
          <w:highlight w:val="none"/>
          <w:lang w:val="en-US" w:eastAsia="zh-CN"/>
        </w:rPr>
        <w:t>该</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bCs/>
          <w:snapToGrid w:val="0"/>
          <w:color w:val="auto"/>
          <w:sz w:val="24"/>
          <w:szCs w:val="24"/>
          <w:highlight w:val="none"/>
        </w:rPr>
        <w:t>不涉及国家公园、自然保护区、森林公园、风景名胜区、地质公园、世界自然遗产、湿地公园、饮用水水源保护区、水产种质资源保护区以及其它类型禁止开发区域，不涉及生态保护红线。</w:t>
      </w:r>
      <w:r>
        <w:rPr>
          <w:rFonts w:hint="eastAsia" w:asciiTheme="minorEastAsia" w:hAnsiTheme="minorEastAsia" w:eastAsiaTheme="minorEastAsia" w:cstheme="minorEastAsia"/>
          <w:bCs/>
          <w:snapToGrid w:val="0"/>
          <w:color w:val="auto"/>
          <w:sz w:val="24"/>
          <w:szCs w:val="24"/>
          <w:highlight w:val="none"/>
          <w:lang w:val="en-US" w:eastAsia="zh-CN"/>
        </w:rPr>
        <w:t>且</w:t>
      </w:r>
      <w:r>
        <w:rPr>
          <w:rFonts w:hint="eastAsia" w:asciiTheme="minorEastAsia" w:hAnsiTheme="minorEastAsia" w:eastAsiaTheme="minorEastAsia" w:cstheme="minorEastAsia"/>
          <w:color w:val="auto"/>
          <w:sz w:val="24"/>
          <w:szCs w:val="24"/>
          <w:highlight w:val="none"/>
        </w:rPr>
        <w:t>本项目为</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 w:val="24"/>
          <w:szCs w:val="24"/>
          <w:highlight w:val="none"/>
          <w:lang w:val="en-US" w:eastAsia="zh-CN"/>
        </w:rPr>
        <w:t>生态修复</w:t>
      </w:r>
      <w:r>
        <w:rPr>
          <w:rFonts w:hint="eastAsia" w:asciiTheme="minorEastAsia" w:hAnsiTheme="minorEastAsia" w:eastAsiaTheme="minorEastAsia" w:cstheme="minorEastAsia"/>
          <w:color w:val="auto"/>
          <w:sz w:val="24"/>
          <w:szCs w:val="24"/>
          <w:highlight w:val="none"/>
        </w:rPr>
        <w:t>项目，</w:t>
      </w:r>
      <w:r>
        <w:rPr>
          <w:rFonts w:hint="eastAsia" w:asciiTheme="minorEastAsia" w:hAnsiTheme="minorEastAsia" w:eastAsiaTheme="minorEastAsia" w:cstheme="minorEastAsia"/>
          <w:color w:val="auto"/>
          <w:sz w:val="24"/>
          <w:szCs w:val="24"/>
          <w:highlight w:val="none"/>
          <w:lang w:val="en-US" w:eastAsia="zh-CN"/>
        </w:rPr>
        <w:t>利用锅炉灰渣作为回填材料进行回填、</w:t>
      </w:r>
      <w:r>
        <w:rPr>
          <w:rFonts w:hint="eastAsia" w:asciiTheme="minorEastAsia" w:hAnsiTheme="minorEastAsia" w:eastAsiaTheme="minorEastAsia" w:cstheme="minorEastAsia"/>
          <w:color w:val="auto"/>
          <w:sz w:val="24"/>
          <w:szCs w:val="24"/>
          <w:highlight w:val="none"/>
        </w:rPr>
        <w:t>覆土</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恢复成</w:t>
      </w:r>
      <w:r>
        <w:rPr>
          <w:rFonts w:hint="eastAsia" w:asciiTheme="minorEastAsia" w:hAnsiTheme="minorEastAsia" w:eastAsiaTheme="minorEastAsia" w:cstheme="minorEastAsia"/>
          <w:color w:val="auto"/>
          <w:sz w:val="24"/>
          <w:szCs w:val="24"/>
          <w:highlight w:val="none"/>
          <w:lang w:val="en-US" w:eastAsia="zh-CN"/>
        </w:rPr>
        <w:t>林</w:t>
      </w:r>
      <w:r>
        <w:rPr>
          <w:rFonts w:hint="eastAsia" w:asciiTheme="minorEastAsia" w:hAnsiTheme="minorEastAsia" w:eastAsiaTheme="minorEastAsia" w:cstheme="minorEastAsia"/>
          <w:color w:val="auto"/>
          <w:sz w:val="24"/>
          <w:szCs w:val="24"/>
          <w:highlight w:val="none"/>
        </w:rPr>
        <w:t>地，对恢复生态、减少水土流失，保护环境具有重要意义</w:t>
      </w:r>
      <w:r>
        <w:rPr>
          <w:rFonts w:hint="eastAsia" w:asciiTheme="minorEastAsia" w:hAnsiTheme="minorEastAsia" w:eastAsiaTheme="minorEastAsia" w:cstheme="minorEastAsia"/>
          <w:color w:val="auto"/>
          <w:sz w:val="24"/>
          <w:szCs w:val="24"/>
          <w:highlight w:val="none"/>
          <w:lang w:val="en-US" w:eastAsia="zh-CN"/>
        </w:rPr>
        <w:t>。</w:t>
      </w:r>
    </w:p>
    <w:p w14:paraId="74CDD6B7">
      <w:pPr>
        <w:keepNext w:val="0"/>
        <w:keepLines w:val="0"/>
        <w:pageBreakBefore w:val="0"/>
        <w:widowControl w:val="0"/>
        <w:numPr>
          <w:ilvl w:val="0"/>
          <w:numId w:val="13"/>
        </w:numPr>
        <w:kinsoku/>
        <w:wordWrap/>
        <w:topLinePunct w:val="0"/>
        <w:bidi w:val="0"/>
        <w:snapToGrid/>
        <w:spacing w:line="360" w:lineRule="auto"/>
        <w:ind w:firstLine="480" w:firstLineChars="20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环境质量底线符合性分析</w:t>
      </w:r>
    </w:p>
    <w:p w14:paraId="57347BDA">
      <w:pPr>
        <w:pStyle w:val="148"/>
        <w:keepNext w:val="0"/>
        <w:keepLines w:val="0"/>
        <w:pageBreakBefore w:val="0"/>
        <w:widowControl w:val="0"/>
        <w:kinsoku/>
        <w:wordWrap/>
        <w:topLinePunct w:val="0"/>
        <w:bidi w:val="0"/>
        <w:snapToGrid/>
        <w:spacing w:line="360" w:lineRule="auto"/>
        <w:ind w:firstLine="480" w:firstLineChars="20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（1）环境空气</w:t>
      </w:r>
    </w:p>
    <w:p w14:paraId="7DB695BA">
      <w:pPr>
        <w:keepNext w:val="0"/>
        <w:keepLines w:val="0"/>
        <w:pageBreakBefore w:val="0"/>
        <w:widowControl w:val="0"/>
        <w:kinsoku/>
        <w:wordWrap/>
        <w:overflowPunct w:val="0"/>
        <w:topLinePunct w:val="0"/>
        <w:bidi w:val="0"/>
        <w:snapToGrid/>
        <w:spacing w:line="360" w:lineRule="auto"/>
        <w:ind w:firstLine="480" w:firstLineChars="200"/>
        <w:textAlignment w:val="auto"/>
        <w:rPr>
          <w:rFonts w:hint="eastAsia" w:asciiTheme="minorEastAsia" w:hAnsiTheme="minorEastAsia" w:eastAsiaTheme="minorEastAsia" w:cstheme="minorEastAsia"/>
          <w:color w:val="auto"/>
          <w:sz w:val="24"/>
          <w:szCs w:val="24"/>
          <w:highlight w:val="none"/>
          <w:lang w:val="en-US" w:eastAsia="zh-CN"/>
        </w:rPr>
      </w:pPr>
      <w:r>
        <w:rPr>
          <w:rFonts w:hint="default" w:ascii="Times New Roman" w:hAnsi="Times New Roman" w:eastAsia="宋体" w:cs="Times New Roman"/>
          <w:color w:val="auto"/>
          <w:kern w:val="2"/>
          <w:sz w:val="24"/>
          <w:highlight w:val="none"/>
          <w:lang w:val="en-US" w:eastAsia="zh-CN" w:bidi="ar-SA"/>
        </w:rPr>
        <w:t>根据</w:t>
      </w:r>
      <w:r>
        <w:rPr>
          <w:rFonts w:hint="eastAsia" w:eastAsia="宋体" w:cs="Times New Roman"/>
          <w:color w:val="auto"/>
          <w:kern w:val="2"/>
          <w:sz w:val="24"/>
          <w:highlight w:val="none"/>
          <w:lang w:val="en-US" w:eastAsia="zh-CN" w:bidi="ar-SA"/>
        </w:rPr>
        <w:t>《2024年哈尔滨生态环境质量状况年报》</w:t>
      </w:r>
      <w:r>
        <w:rPr>
          <w:rFonts w:hint="eastAsia" w:asciiTheme="minorEastAsia" w:hAnsiTheme="minorEastAsia" w:eastAsiaTheme="minorEastAsia" w:cstheme="minorEastAsia"/>
          <w:color w:val="auto"/>
          <w:sz w:val="24"/>
          <w:szCs w:val="24"/>
          <w:highlight w:val="none"/>
        </w:rPr>
        <w:t>基本污染</w:t>
      </w:r>
      <w:r>
        <w:rPr>
          <w:rFonts w:hint="eastAsia" w:asciiTheme="minorEastAsia" w:hAnsiTheme="minorEastAsia" w:eastAsiaTheme="minorEastAsia" w:cstheme="minorEastAsia"/>
          <w:color w:val="auto"/>
          <w:sz w:val="24"/>
          <w:szCs w:val="24"/>
          <w:highlight w:val="none"/>
          <w:lang w:val="en-US" w:eastAsia="zh-CN"/>
        </w:rPr>
        <w:t>物除</w:t>
      </w:r>
      <w:r>
        <w:rPr>
          <w:rFonts w:hint="eastAsia" w:asciiTheme="minorEastAsia" w:hAnsiTheme="minorEastAsia" w:eastAsiaTheme="minorEastAsia" w:cstheme="minorEastAsia"/>
          <w:color w:val="auto"/>
          <w:sz w:val="24"/>
          <w:szCs w:val="24"/>
          <w:highlight w:val="none"/>
        </w:rPr>
        <w:t>PM</w:t>
      </w:r>
      <w:r>
        <w:rPr>
          <w:rFonts w:hint="eastAsia" w:asciiTheme="minorEastAsia" w:hAnsiTheme="minorEastAsia" w:eastAsiaTheme="minorEastAsia" w:cstheme="minorEastAsia"/>
          <w:color w:val="auto"/>
          <w:sz w:val="24"/>
          <w:szCs w:val="24"/>
          <w:highlight w:val="none"/>
          <w:vertAlign w:val="subscript"/>
        </w:rPr>
        <w:t>2.5</w:t>
      </w:r>
      <w:r>
        <w:rPr>
          <w:rFonts w:hint="eastAsia" w:asciiTheme="minorEastAsia" w:hAnsiTheme="minorEastAsia" w:eastAsiaTheme="minorEastAsia" w:cstheme="minorEastAsia"/>
          <w:color w:val="auto"/>
          <w:sz w:val="24"/>
          <w:szCs w:val="24"/>
          <w:highlight w:val="none"/>
          <w:vertAlign w:val="baseline"/>
          <w:lang w:val="en-US" w:eastAsia="zh-CN"/>
        </w:rPr>
        <w:t>外，</w:t>
      </w:r>
      <w:r>
        <w:rPr>
          <w:rFonts w:hint="default" w:ascii="Times New Roman" w:hAnsi="Times New Roman" w:cs="Times New Roman" w:eastAsiaTheme="minorEastAsia"/>
          <w:color w:val="auto"/>
          <w:sz w:val="24"/>
          <w:szCs w:val="24"/>
          <w:highlight w:val="none"/>
        </w:rPr>
        <w:t>SO</w:t>
      </w:r>
      <w:r>
        <w:rPr>
          <w:rFonts w:hint="default" w:ascii="Times New Roman" w:hAnsi="Times New Roman" w:cs="Times New Roman" w:eastAsiaTheme="minorEastAsia"/>
          <w:color w:val="auto"/>
          <w:sz w:val="24"/>
          <w:szCs w:val="24"/>
          <w:highlight w:val="none"/>
          <w:vertAlign w:val="subscript"/>
        </w:rPr>
        <w:t>2</w:t>
      </w:r>
      <w:r>
        <w:rPr>
          <w:rFonts w:hint="default" w:ascii="Times New Roman" w:hAnsi="Times New Roman" w:cs="Times New Roman" w:eastAsiaTheme="minorEastAsia"/>
          <w:color w:val="auto"/>
          <w:sz w:val="24"/>
          <w:szCs w:val="24"/>
          <w:highlight w:val="none"/>
        </w:rPr>
        <w:t>、NO</w:t>
      </w:r>
      <w:r>
        <w:rPr>
          <w:rFonts w:hint="default" w:ascii="Times New Roman" w:hAnsi="Times New Roman" w:cs="Times New Roman" w:eastAsiaTheme="minorEastAsia"/>
          <w:color w:val="auto"/>
          <w:sz w:val="24"/>
          <w:szCs w:val="24"/>
          <w:highlight w:val="none"/>
          <w:vertAlign w:val="subscript"/>
        </w:rPr>
        <w:t>2</w:t>
      </w:r>
      <w:r>
        <w:rPr>
          <w:rFonts w:hint="default" w:ascii="Times New Roman" w:hAnsi="Times New Roman" w:cs="Times New Roman" w:eastAsiaTheme="minorEastAsia"/>
          <w:color w:val="auto"/>
          <w:sz w:val="24"/>
          <w:szCs w:val="24"/>
          <w:highlight w:val="none"/>
        </w:rPr>
        <w:t>、、PM</w:t>
      </w:r>
      <w:r>
        <w:rPr>
          <w:rFonts w:hint="default" w:ascii="Times New Roman" w:hAnsi="Times New Roman" w:cs="Times New Roman" w:eastAsiaTheme="minorEastAsia"/>
          <w:color w:val="auto"/>
          <w:sz w:val="24"/>
          <w:szCs w:val="24"/>
          <w:highlight w:val="none"/>
          <w:vertAlign w:val="subscript"/>
        </w:rPr>
        <w:t>10</w:t>
      </w:r>
      <w:r>
        <w:rPr>
          <w:rFonts w:hint="default" w:ascii="Times New Roman" w:hAnsi="Times New Roman" w:cs="Times New Roman" w:eastAsiaTheme="minorEastAsia"/>
          <w:color w:val="auto"/>
          <w:sz w:val="24"/>
          <w:szCs w:val="24"/>
          <w:highlight w:val="none"/>
          <w:vertAlign w:val="baseline"/>
          <w:lang w:eastAsia="zh-CN"/>
        </w:rPr>
        <w:t>、</w:t>
      </w:r>
      <w:r>
        <w:rPr>
          <w:rFonts w:hint="default" w:ascii="Times New Roman" w:hAnsi="Times New Roman" w:eastAsia="宋体" w:cs="Times New Roman"/>
          <w:color w:val="auto"/>
          <w:sz w:val="24"/>
          <w:szCs w:val="24"/>
          <w:highlight w:val="none"/>
        </w:rPr>
        <w:t>CO</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O</w:t>
      </w:r>
      <w:r>
        <w:rPr>
          <w:rFonts w:hint="default" w:ascii="Times New Roman" w:hAnsi="Times New Roman" w:eastAsia="宋体" w:cs="Times New Roman"/>
          <w:color w:val="auto"/>
          <w:sz w:val="24"/>
          <w:szCs w:val="24"/>
          <w:highlight w:val="none"/>
          <w:vertAlign w:val="subscript"/>
        </w:rPr>
        <w:t>3</w:t>
      </w:r>
      <w:r>
        <w:rPr>
          <w:rFonts w:hint="eastAsia" w:asciiTheme="minorEastAsia" w:hAnsiTheme="minorEastAsia" w:eastAsiaTheme="minorEastAsia" w:cstheme="minorEastAsia"/>
          <w:color w:val="auto"/>
          <w:sz w:val="24"/>
          <w:szCs w:val="24"/>
          <w:highlight w:val="none"/>
        </w:rPr>
        <w:t>年均浓度均满足《环境空气质量标准》（GB3095-20</w:t>
      </w:r>
      <w:r>
        <w:rPr>
          <w:rFonts w:hint="eastAsia" w:asciiTheme="minorEastAsia" w:hAnsiTheme="minorEastAsia" w:eastAsiaTheme="minorEastAsia" w:cstheme="minorEastAsia"/>
          <w:color w:val="auto"/>
          <w:sz w:val="24"/>
          <w:szCs w:val="24"/>
          <w:highlight w:val="none"/>
          <w:lang w:val="en-US" w:eastAsia="zh-CN"/>
        </w:rPr>
        <w:t>26</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表1过渡阶段浓度限值</w:t>
      </w:r>
      <w:r>
        <w:rPr>
          <w:rFonts w:hint="eastAsia" w:asciiTheme="minorEastAsia" w:hAnsiTheme="minorEastAsia" w:eastAsiaTheme="minorEastAsia" w:cstheme="minorEastAsia"/>
          <w:color w:val="auto"/>
          <w:sz w:val="24"/>
          <w:szCs w:val="24"/>
          <w:highlight w:val="none"/>
        </w:rPr>
        <w:t>二级标准</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依据补充检测的TSP环境质量现状检测报告，评价区域TSP满足《环境空气质量标准》（GB3095-2026）表2中二级标准。本项目为</w:t>
      </w:r>
      <w:r>
        <w:rPr>
          <w:rFonts w:hint="eastAsia" w:ascii="Times New Roman" w:hAnsi="宋体" w:eastAsia="宋体" w:cs="Times New Roman"/>
          <w:color w:val="auto"/>
          <w:kern w:val="0"/>
          <w:sz w:val="24"/>
          <w:szCs w:val="24"/>
          <w:highlight w:val="none"/>
          <w:lang w:val="en-US" w:eastAsia="zh-CN"/>
        </w:rPr>
        <w:t>灰渣回填复垦利用项目，主要对</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 w:val="24"/>
          <w:szCs w:val="24"/>
          <w:highlight w:val="none"/>
          <w:lang w:val="en-US" w:eastAsia="zh-CN"/>
        </w:rPr>
        <w:t>进行生态修复，非生产类项目，</w:t>
      </w:r>
      <w:r>
        <w:rPr>
          <w:rFonts w:hint="default"/>
          <w:color w:val="auto"/>
          <w:highlight w:val="none"/>
          <w:lang w:val="en-US" w:eastAsia="zh-CN"/>
        </w:rPr>
        <w:t>废气主要为回填堆存过程产生的扬尘</w:t>
      </w:r>
      <w:r>
        <w:rPr>
          <w:rFonts w:hint="eastAsia"/>
          <w:color w:val="auto"/>
          <w:highlight w:val="none"/>
          <w:lang w:val="en-US" w:eastAsia="zh-CN"/>
        </w:rPr>
        <w:t>、运输扬尘和施工机械废气。在项目区外围设置隔声隔尘挡板、定期</w:t>
      </w:r>
      <w:r>
        <w:rPr>
          <w:rFonts w:hint="default"/>
          <w:color w:val="auto"/>
          <w:highlight w:val="none"/>
          <w:lang w:val="en-US" w:eastAsia="zh-CN"/>
        </w:rPr>
        <w:t>洒水降尘</w:t>
      </w:r>
      <w:r>
        <w:rPr>
          <w:rFonts w:hint="eastAsia"/>
          <w:color w:val="auto"/>
          <w:highlight w:val="none"/>
          <w:lang w:val="en-US" w:eastAsia="zh-CN"/>
        </w:rPr>
        <w:t>，</w:t>
      </w:r>
      <w:r>
        <w:rPr>
          <w:rFonts w:hint="default"/>
          <w:color w:val="auto"/>
          <w:highlight w:val="none"/>
          <w:lang w:val="en-US" w:eastAsia="zh-CN"/>
        </w:rPr>
        <w:t>运输车辆加盖苫布等遮盖物</w:t>
      </w:r>
      <w:r>
        <w:rPr>
          <w:rFonts w:hint="eastAsia"/>
          <w:color w:val="auto"/>
          <w:highlight w:val="none"/>
          <w:lang w:val="en-US" w:eastAsia="zh-CN"/>
        </w:rPr>
        <w:t>，</w:t>
      </w:r>
      <w:r>
        <w:rPr>
          <w:rFonts w:hint="default"/>
          <w:color w:val="auto"/>
          <w:highlight w:val="none"/>
          <w:lang w:val="en-US" w:eastAsia="zh-CN"/>
        </w:rPr>
        <w:t>严格限制车辆运输过程中超载、超速，</w:t>
      </w:r>
      <w:r>
        <w:rPr>
          <w:rFonts w:hint="eastAsia"/>
          <w:color w:val="auto"/>
          <w:highlight w:val="none"/>
          <w:lang w:val="en-US" w:eastAsia="zh-CN"/>
        </w:rPr>
        <w:t>从而减少扬尘</w:t>
      </w:r>
      <w:r>
        <w:rPr>
          <w:rFonts w:hint="default"/>
          <w:color w:val="auto"/>
          <w:highlight w:val="none"/>
          <w:lang w:val="en-US" w:eastAsia="zh-CN"/>
        </w:rPr>
        <w:t>对周围环境</w:t>
      </w:r>
      <w:r>
        <w:rPr>
          <w:rFonts w:hint="eastAsia"/>
          <w:color w:val="auto"/>
          <w:highlight w:val="none"/>
          <w:lang w:val="en-US" w:eastAsia="zh-CN"/>
        </w:rPr>
        <w:t>的影响</w:t>
      </w:r>
      <w:r>
        <w:rPr>
          <w:rFonts w:hint="default"/>
          <w:color w:val="auto"/>
          <w:highlight w:val="none"/>
          <w:lang w:val="en-US" w:eastAsia="zh-CN"/>
        </w:rPr>
        <w:t>。选用质量好、环保型机械设备和运输车辆</w:t>
      </w:r>
      <w:r>
        <w:rPr>
          <w:rFonts w:hint="eastAsia"/>
          <w:color w:val="auto"/>
          <w:highlight w:val="none"/>
          <w:lang w:val="en-US" w:eastAsia="zh-CN"/>
        </w:rPr>
        <w:t>，</w:t>
      </w:r>
      <w:r>
        <w:rPr>
          <w:rFonts w:hint="default"/>
          <w:color w:val="auto"/>
          <w:highlight w:val="none"/>
          <w:lang w:val="en-US" w:eastAsia="zh-CN"/>
        </w:rPr>
        <w:t>定期进行维护</w:t>
      </w:r>
      <w:r>
        <w:rPr>
          <w:rFonts w:hint="eastAsia"/>
          <w:color w:val="auto"/>
          <w:highlight w:val="none"/>
          <w:lang w:val="en-US" w:eastAsia="zh-CN"/>
        </w:rPr>
        <w:t>保养，无组织排放的废气</w:t>
      </w:r>
      <w:r>
        <w:rPr>
          <w:rFonts w:hint="default"/>
          <w:color w:val="auto"/>
          <w:highlight w:val="none"/>
          <w:lang w:val="en-US" w:eastAsia="zh-CN"/>
        </w:rPr>
        <w:t>对周围环境影响较小</w:t>
      </w:r>
      <w:r>
        <w:rPr>
          <w:rStyle w:val="1330"/>
          <w:rFonts w:hint="eastAsia" w:asciiTheme="minorEastAsia" w:hAnsiTheme="minorEastAsia" w:eastAsiaTheme="minorEastAsia" w:cstheme="minorEastAsia"/>
          <w:color w:val="auto"/>
          <w:highlight w:val="none"/>
          <w:lang w:val="en-US" w:eastAsia="zh-CN"/>
        </w:rPr>
        <w:t>，确保厂界符合《大气污染物综合排放标准》（GB16297-1996）中表2无组织排放监控浓度限值要求，对周围环境空气影响可接受。</w:t>
      </w:r>
    </w:p>
    <w:p w14:paraId="74120FA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（2）水环境</w:t>
      </w:r>
    </w:p>
    <w:p w14:paraId="236FAD3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eastAsia="zh-CN"/>
        </w:rPr>
      </w:pPr>
      <w:r>
        <w:rPr>
          <w:rFonts w:hint="eastAsia" w:ascii="Times New Roman" w:hAnsi="Times New Roman" w:eastAsia="宋体" w:cs="Times New Roman"/>
          <w:color w:val="auto"/>
          <w:kern w:val="2"/>
          <w:sz w:val="24"/>
          <w:highlight w:val="none"/>
          <w:lang w:val="en-US" w:eastAsia="zh-CN" w:bidi="ar-SA"/>
        </w:rPr>
        <w:t>本项目地表水体为黄泥河，为蚂蚁河一级支流。根据《2024年哈尔滨生态环境质量状况年报》，2024年蚂蚁河总体水质为优。监测的8个断面中，Ⅱ类断面1个，占12.5%</w:t>
      </w:r>
      <w:r>
        <w:rPr>
          <w:rFonts w:hint="eastAsia" w:eastAsia="宋体" w:cs="Times New Roman"/>
          <w:color w:val="auto"/>
          <w:kern w:val="2"/>
          <w:sz w:val="24"/>
          <w:highlight w:val="none"/>
          <w:lang w:val="en-US" w:eastAsia="zh-CN" w:bidi="ar-SA"/>
        </w:rPr>
        <w:t>；</w:t>
      </w:r>
      <w:r>
        <w:rPr>
          <w:rFonts w:hint="eastAsia" w:ascii="Times New Roman" w:hAnsi="Times New Roman" w:eastAsia="宋体" w:cs="Times New Roman"/>
          <w:color w:val="auto"/>
          <w:kern w:val="2"/>
          <w:sz w:val="24"/>
          <w:highlight w:val="none"/>
          <w:lang w:val="en-US" w:eastAsia="zh-CN" w:bidi="ar-SA"/>
        </w:rPr>
        <w:t>Ⅲ类断面7个，占87.5%</w:t>
      </w:r>
      <w:r>
        <w:rPr>
          <w:rFonts w:hint="eastAsia" w:eastAsia="宋体" w:cs="Times New Roman"/>
          <w:color w:val="auto"/>
          <w:kern w:val="2"/>
          <w:sz w:val="24"/>
          <w:highlight w:val="none"/>
          <w:lang w:val="en-US" w:eastAsia="zh-CN" w:bidi="ar-SA"/>
        </w:rPr>
        <w:t>；</w:t>
      </w:r>
      <w:r>
        <w:rPr>
          <w:rFonts w:hint="eastAsia" w:ascii="Times New Roman" w:hAnsi="Times New Roman" w:eastAsia="宋体" w:cs="Times New Roman"/>
          <w:color w:val="auto"/>
          <w:kern w:val="2"/>
          <w:sz w:val="24"/>
          <w:highlight w:val="none"/>
          <w:lang w:val="en-US" w:eastAsia="zh-CN" w:bidi="ar-SA"/>
        </w:rPr>
        <w:t>无I类、IV类V类、劣V类断面</w:t>
      </w:r>
      <w:r>
        <w:rPr>
          <w:rFonts w:hint="eastAsia" w:asciiTheme="minorEastAsia" w:hAnsiTheme="minorEastAsia" w:eastAsiaTheme="minorEastAsia" w:cstheme="minorEastAsia"/>
          <w:color w:val="auto"/>
          <w:highlight w:val="none"/>
          <w:lang w:eastAsia="zh-CN"/>
        </w:rPr>
        <w:t>。</w:t>
      </w:r>
    </w:p>
    <w:p w14:paraId="3530C59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color w:val="auto"/>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本项目为</w:t>
      </w:r>
      <w:r>
        <w:rPr>
          <w:rFonts w:hint="eastAsia" w:ascii="Times New Roman" w:hAnsi="宋体" w:eastAsia="宋体" w:cs="Times New Roman"/>
          <w:color w:val="auto"/>
          <w:kern w:val="0"/>
          <w:sz w:val="24"/>
          <w:szCs w:val="24"/>
          <w:highlight w:val="none"/>
          <w:lang w:val="en-US" w:eastAsia="zh-CN"/>
        </w:rPr>
        <w:t>灰渣回填复垦利用项目，主要对</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 w:val="24"/>
          <w:szCs w:val="24"/>
          <w:highlight w:val="none"/>
          <w:lang w:val="en-US" w:eastAsia="zh-CN"/>
        </w:rPr>
        <w:t>进行生态修复，非生产类项目，本项目</w:t>
      </w:r>
      <w:r>
        <w:rPr>
          <w:rFonts w:hint="default"/>
          <w:color w:val="auto"/>
          <w:highlight w:val="none"/>
          <w:lang w:val="en-US" w:eastAsia="zh-CN"/>
        </w:rPr>
        <w:t>生活污水依托</w:t>
      </w:r>
      <w:r>
        <w:rPr>
          <w:rFonts w:hint="eastAsia" w:ascii="Times New Roman" w:hAnsi="Times New Roman" w:eastAsia="宋体" w:cs="Times New Roman"/>
          <w:snapToGrid/>
          <w:color w:val="auto"/>
          <w:kern w:val="2"/>
          <w:sz w:val="24"/>
          <w:szCs w:val="22"/>
          <w:highlight w:val="none"/>
          <w:lang w:val="en-US" w:eastAsia="zh-CN" w:bidi="ar-SA"/>
        </w:rPr>
        <w:t>民房防渗旱厕，定期外运堆肥。</w:t>
      </w:r>
      <w:r>
        <w:rPr>
          <w:rFonts w:hint="eastAsia"/>
          <w:color w:val="auto"/>
          <w:highlight w:val="none"/>
          <w:lang w:val="en-US" w:eastAsia="zh-CN"/>
        </w:rPr>
        <w:t>在回填区东南侧设置1座沉淀池，</w:t>
      </w:r>
      <w:r>
        <w:rPr>
          <w:rFonts w:cs="Times New Roman"/>
          <w:color w:val="auto"/>
          <w:highlight w:val="none"/>
        </w:rPr>
        <w:t>回填期产生的淋</w:t>
      </w:r>
      <w:r>
        <w:rPr>
          <w:rFonts w:hint="eastAsia" w:cs="Times New Roman"/>
          <w:color w:val="auto"/>
          <w:highlight w:val="none"/>
          <w:lang w:val="en-US" w:eastAsia="zh-CN"/>
        </w:rPr>
        <w:t>滤</w:t>
      </w:r>
      <w:r>
        <w:rPr>
          <w:rFonts w:cs="Times New Roman"/>
          <w:color w:val="auto"/>
          <w:highlight w:val="none"/>
        </w:rPr>
        <w:t>水经导排系统收集后排入</w:t>
      </w:r>
      <w:r>
        <w:rPr>
          <w:rFonts w:hint="eastAsia"/>
          <w:color w:val="auto"/>
          <w:highlight w:val="none"/>
          <w:lang w:val="en-US" w:eastAsia="zh-CN"/>
        </w:rPr>
        <w:t>沉淀池沉淀后</w:t>
      </w:r>
      <w:r>
        <w:rPr>
          <w:rFonts w:cs="Times New Roman"/>
          <w:color w:val="auto"/>
          <w:highlight w:val="none"/>
        </w:rPr>
        <w:t>，</w:t>
      </w:r>
      <w:r>
        <w:rPr>
          <w:rFonts w:hint="eastAsia"/>
          <w:color w:val="auto"/>
          <w:highlight w:val="none"/>
          <w:lang w:val="en-US" w:eastAsia="zh-CN"/>
        </w:rPr>
        <w:t>用于回填区洒水降尘，不外排。对地表水环境影响可接受。</w:t>
      </w:r>
    </w:p>
    <w:p w14:paraId="587ABCB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3、资源利用上线符合性分析</w:t>
      </w:r>
    </w:p>
    <w:p w14:paraId="06C014F9">
      <w:pPr>
        <w:spacing w:line="360" w:lineRule="auto"/>
        <w:ind w:firstLine="480"/>
        <w:rPr>
          <w:rFonts w:hint="eastAsia" w:asciiTheme="minorEastAsia" w:hAnsiTheme="minorEastAsia" w:eastAsiaTheme="minorEastAsia" w:cstheme="minorEastAsia"/>
          <w:bCs/>
          <w:snapToGrid w:val="0"/>
          <w:color w:val="auto"/>
          <w:sz w:val="24"/>
          <w:szCs w:val="24"/>
          <w:highlight w:val="none"/>
        </w:rPr>
      </w:pPr>
      <w:r>
        <w:rPr>
          <w:rFonts w:hint="eastAsia" w:ascii="Times New Roman"/>
          <w:color w:val="auto"/>
          <w:sz w:val="24"/>
          <w:szCs w:val="24"/>
          <w:highlight w:val="none"/>
          <w:lang w:val="en-US" w:eastAsia="zh-CN"/>
        </w:rPr>
        <w:t>本项目</w:t>
      </w:r>
      <w:r>
        <w:rPr>
          <w:rFonts w:hint="eastAsia" w:ascii="Times New Roman"/>
          <w:color w:val="auto"/>
          <w:sz w:val="24"/>
          <w:szCs w:val="24"/>
          <w:highlight w:val="none"/>
          <w:lang w:bidi="ar"/>
        </w:rPr>
        <w:t>施工用水</w:t>
      </w:r>
      <w:r>
        <w:rPr>
          <w:rFonts w:hint="eastAsia" w:ascii="Times New Roman"/>
          <w:color w:val="auto"/>
          <w:sz w:val="24"/>
          <w:szCs w:val="24"/>
          <w:highlight w:val="none"/>
          <w:lang w:val="en-US" w:eastAsia="zh-CN" w:bidi="ar"/>
        </w:rPr>
        <w:t>为井水</w:t>
      </w:r>
      <w:r>
        <w:rPr>
          <w:rFonts w:ascii="Times New Roman"/>
          <w:color w:val="auto"/>
          <w:sz w:val="24"/>
          <w:szCs w:val="24"/>
          <w:highlight w:val="none"/>
          <w:lang w:bidi="ar"/>
        </w:rPr>
        <w:t>，生活用水采用桶装水</w:t>
      </w:r>
      <w:r>
        <w:rPr>
          <w:rFonts w:hint="eastAsia" w:asciiTheme="minorEastAsia" w:hAnsiTheme="minorEastAsia" w:eastAsiaTheme="minorEastAsia" w:cstheme="minorEastAsia"/>
          <w:bCs/>
          <w:snapToGrid w:val="0"/>
          <w:color w:val="auto"/>
          <w:sz w:val="24"/>
          <w:szCs w:val="24"/>
          <w:highlight w:val="none"/>
          <w:lang w:val="en-US" w:eastAsia="zh-CN"/>
        </w:rPr>
        <w:t>；</w:t>
      </w:r>
      <w:r>
        <w:rPr>
          <w:rFonts w:hint="eastAsia" w:asciiTheme="minorEastAsia" w:hAnsiTheme="minorEastAsia" w:eastAsiaTheme="minorEastAsia" w:cstheme="minorEastAsia"/>
          <w:bCs/>
          <w:snapToGrid w:val="0"/>
          <w:color w:val="auto"/>
          <w:sz w:val="24"/>
          <w:szCs w:val="24"/>
          <w:highlight w:val="none"/>
        </w:rPr>
        <w:t>本项目利用锅炉灰渣作为回填材料进行</w:t>
      </w:r>
      <w:r>
        <w:rPr>
          <w:rFonts w:hint="eastAsia" w:asciiTheme="minorEastAsia" w:hAnsiTheme="minorEastAsia" w:eastAsiaTheme="minorEastAsia" w:cstheme="minorEastAsia"/>
          <w:bCs/>
          <w:snapToGrid w:val="0"/>
          <w:color w:val="auto"/>
          <w:sz w:val="24"/>
          <w:szCs w:val="24"/>
          <w:highlight w:val="none"/>
          <w:lang w:val="en-US" w:eastAsia="zh-CN"/>
        </w:rPr>
        <w:t>废</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bCs/>
          <w:snapToGrid w:val="0"/>
          <w:color w:val="auto"/>
          <w:sz w:val="24"/>
          <w:szCs w:val="24"/>
          <w:highlight w:val="none"/>
        </w:rPr>
        <w:t>治理，可以恢复采矿破坏的土地使用功能，充分利用土地资源，生态环境将得到进一步改善；综上项目消耗资源对于区域资源利用总量较少，符合资源利用上线要求。</w:t>
      </w:r>
    </w:p>
    <w:p w14:paraId="1AF82224">
      <w:pPr>
        <w:spacing w:line="360" w:lineRule="auto"/>
        <w:ind w:firstLine="480" w:firstLineChars="200"/>
        <w:rPr>
          <w:rFonts w:hint="eastAsia" w:asciiTheme="minorEastAsia" w:hAnsiTheme="minorEastAsia" w:eastAsiaTheme="minorEastAsia" w:cstheme="minorEastAsia"/>
          <w:bCs/>
          <w:snapToGrid w:val="0"/>
          <w:color w:val="auto"/>
          <w:sz w:val="24"/>
          <w:szCs w:val="24"/>
          <w:highlight w:val="none"/>
        </w:rPr>
      </w:pPr>
      <w:r>
        <w:rPr>
          <w:rFonts w:hint="eastAsia" w:asciiTheme="minorEastAsia" w:hAnsiTheme="minorEastAsia" w:eastAsiaTheme="minorEastAsia" w:cstheme="minorEastAsia"/>
          <w:color w:val="auto"/>
          <w:sz w:val="24"/>
          <w:szCs w:val="24"/>
          <w:highlight w:val="none"/>
        </w:rPr>
        <w:t>4、生态环境准入清单</w:t>
      </w:r>
    </w:p>
    <w:p w14:paraId="5BC6BEBD">
      <w:pPr>
        <w:spacing w:line="360" w:lineRule="auto"/>
        <w:ind w:firstLine="480"/>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黑龙江嘉龙环保科技有限公司灰渣回填复垦利用项目位置涉及哈尔滨市尚志市;项目占地总面积小于 0.01平方公里。与生态保护红线交集面积为0.00平方公里，占项目占地面积的0.00%。与自然保护地整合优化方案数据交集面积为000平方公里，占项目占地面积的0.00%。保护地涉及等类型。与自然保护地(现状管理数据)交集面积为0.00平方公里，占项目占地面积的0.00%。保护地涉及等类型。与饮用水水源保护区交集面积为0.00平方公里，占项目占地面积的0.00%。与国家级水产种质资源保护区交集面积为0.00平方公里，占项目占地面积的 0.00%。</w:t>
      </w:r>
    </w:p>
    <w:p w14:paraId="77D48ACE">
      <w:pPr>
        <w:spacing w:line="360" w:lineRule="auto"/>
        <w:ind w:firstLine="480"/>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与环境管控单元优先保护单元交集面积为小于0.01平方公里，占项目占地面积的 84.84%;与重点管控单元交集面积为0.00平方公里，占项目占地面积的0.00%:一般管控单元交集面积为小于0.01平方公里，占项目占地面积的15.16%。</w:t>
      </w:r>
    </w:p>
    <w:p w14:paraId="5D33BEDC">
      <w:pPr>
        <w:spacing w:line="360" w:lineRule="auto"/>
        <w:ind w:firstLine="480"/>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 xml:space="preserve">与地下水环境优先保护区交集面积为0.00平方公里，占项目占地面积的 0.00%;与地下水环境重点管控区交集面积为0.00平方公里，占项目占地面积的0.00%，与地下水环境一般管控区交集面积为小于0.01平方公里，占项目占地面积的100.00%。 </w:t>
      </w:r>
    </w:p>
    <w:p w14:paraId="2603E07B">
      <w:pPr>
        <w:keepNext w:val="0"/>
        <w:keepLines w:val="0"/>
        <w:pageBreakBefore w:val="0"/>
        <w:widowControl w:val="0"/>
        <w:tabs>
          <w:tab w:val="left" w:pos="1350"/>
          <w:tab w:val="left" w:pos="1560"/>
        </w:tabs>
        <w:kinsoku/>
        <w:wordWrap/>
        <w:overflowPunct/>
        <w:topLinePunct w:val="0"/>
        <w:autoSpaceDE/>
        <w:autoSpaceDN/>
        <w:bidi w:val="0"/>
        <w:adjustRightInd/>
        <w:snapToGrid/>
        <w:spacing w:line="240" w:lineRule="auto"/>
        <w:jc w:val="center"/>
        <w:textAlignment w:val="auto"/>
        <w:outlineLvl w:val="9"/>
        <w:rPr>
          <w:rFonts w:hint="eastAsia" w:asciiTheme="minorEastAsia" w:hAnsiTheme="minorEastAsia" w:eastAsiaTheme="minorEastAsia" w:cstheme="minorEastAsia"/>
          <w:b/>
          <w:bCs/>
          <w:color w:val="auto"/>
          <w:sz w:val="24"/>
          <w:szCs w:val="24"/>
          <w:highlight w:val="none"/>
          <w:lang w:val="en-US" w:eastAsia="zh-CN"/>
        </w:rPr>
      </w:pPr>
      <w:r>
        <w:rPr>
          <w:rFonts w:hint="eastAsia" w:asciiTheme="minorEastAsia" w:hAnsiTheme="minorEastAsia" w:eastAsiaTheme="minorEastAsia" w:cstheme="minorEastAsia"/>
          <w:b/>
          <w:bCs/>
          <w:color w:val="auto"/>
          <w:sz w:val="24"/>
          <w:szCs w:val="24"/>
          <w:highlight w:val="none"/>
          <w:lang w:val="en-US" w:eastAsia="zh-CN"/>
        </w:rPr>
        <w:t>表1.4-6  项目与“三线一单”成果数据相交情况汇总表</w:t>
      </w:r>
    </w:p>
    <w:tbl>
      <w:tblPr>
        <w:tblStyle w:val="1316"/>
        <w:tblW w:w="8781"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64"/>
        <w:gridCol w:w="1255"/>
        <w:gridCol w:w="490"/>
        <w:gridCol w:w="779"/>
        <w:gridCol w:w="865"/>
        <w:gridCol w:w="2208"/>
        <w:gridCol w:w="1153"/>
        <w:gridCol w:w="1167"/>
      </w:tblGrid>
      <w:tr w14:paraId="79B2C0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64" w:type="dxa"/>
            <w:tcBorders>
              <w:tl2br w:val="nil"/>
              <w:tr2bl w:val="nil"/>
            </w:tcBorders>
            <w:noWrap w:val="0"/>
            <w:vAlign w:val="center"/>
          </w:tcPr>
          <w:p w14:paraId="186333A8">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一级分类</w:t>
            </w:r>
          </w:p>
        </w:tc>
        <w:tc>
          <w:tcPr>
            <w:tcW w:w="1255" w:type="dxa"/>
            <w:tcBorders>
              <w:tl2br w:val="nil"/>
              <w:tr2bl w:val="nil"/>
            </w:tcBorders>
            <w:noWrap w:val="0"/>
            <w:vAlign w:val="center"/>
          </w:tcPr>
          <w:p w14:paraId="5F723C57">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二级分类</w:t>
            </w:r>
          </w:p>
        </w:tc>
        <w:tc>
          <w:tcPr>
            <w:tcW w:w="490" w:type="dxa"/>
            <w:tcBorders>
              <w:tl2br w:val="nil"/>
              <w:tr2bl w:val="nil"/>
            </w:tcBorders>
            <w:noWrap w:val="0"/>
            <w:vAlign w:val="center"/>
          </w:tcPr>
          <w:p w14:paraId="202A3D63">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是否相交</w:t>
            </w:r>
          </w:p>
        </w:tc>
        <w:tc>
          <w:tcPr>
            <w:tcW w:w="779" w:type="dxa"/>
            <w:tcBorders>
              <w:tl2br w:val="nil"/>
              <w:tr2bl w:val="nil"/>
            </w:tcBorders>
            <w:noWrap w:val="0"/>
            <w:vAlign w:val="center"/>
          </w:tcPr>
          <w:p w14:paraId="22EE3881">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所属地市</w:t>
            </w:r>
          </w:p>
        </w:tc>
        <w:tc>
          <w:tcPr>
            <w:tcW w:w="865" w:type="dxa"/>
            <w:tcBorders>
              <w:tl2br w:val="nil"/>
              <w:tr2bl w:val="nil"/>
            </w:tcBorders>
            <w:noWrap w:val="0"/>
            <w:vAlign w:val="center"/>
          </w:tcPr>
          <w:p w14:paraId="7830B8B0">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所属区县</w:t>
            </w:r>
          </w:p>
        </w:tc>
        <w:tc>
          <w:tcPr>
            <w:tcW w:w="2208" w:type="dxa"/>
            <w:tcBorders>
              <w:tl2br w:val="nil"/>
              <w:tr2bl w:val="nil"/>
            </w:tcBorders>
            <w:noWrap w:val="0"/>
            <w:vAlign w:val="center"/>
          </w:tcPr>
          <w:p w14:paraId="18B62AAB">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相交单元名称</w:t>
            </w:r>
          </w:p>
        </w:tc>
        <w:tc>
          <w:tcPr>
            <w:tcW w:w="1153" w:type="dxa"/>
            <w:tcBorders>
              <w:tl2br w:val="nil"/>
              <w:tr2bl w:val="nil"/>
            </w:tcBorders>
            <w:noWrap w:val="0"/>
            <w:vAlign w:val="center"/>
          </w:tcPr>
          <w:p w14:paraId="00E80193">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 xml:space="preserve">相交面积 </w:t>
            </w:r>
            <w:r>
              <w:rPr>
                <w:rFonts w:hint="eastAsia" w:asciiTheme="minorEastAsia" w:hAnsiTheme="minorEastAsia" w:eastAsiaTheme="minorEastAsia" w:cstheme="minorEastAsia"/>
                <w:b w:val="0"/>
                <w:bCs w:val="0"/>
                <w:color w:val="auto"/>
                <w:sz w:val="21"/>
                <w:szCs w:val="21"/>
                <w:highlight w:val="none"/>
                <w:lang w:eastAsia="zh-CN"/>
              </w:rPr>
              <w:t>（</w:t>
            </w:r>
            <w:r>
              <w:rPr>
                <w:rFonts w:hint="eastAsia" w:asciiTheme="minorEastAsia" w:hAnsiTheme="minorEastAsia" w:eastAsiaTheme="minorEastAsia" w:cstheme="minorEastAsia"/>
                <w:b w:val="0"/>
                <w:bCs w:val="0"/>
                <w:color w:val="auto"/>
                <w:sz w:val="21"/>
                <w:szCs w:val="21"/>
                <w:highlight w:val="none"/>
              </w:rPr>
              <w:t>平方公里</w:t>
            </w:r>
            <w:r>
              <w:rPr>
                <w:rFonts w:hint="eastAsia" w:asciiTheme="minorEastAsia" w:hAnsiTheme="minorEastAsia" w:eastAsiaTheme="minorEastAsia" w:cstheme="minorEastAsia"/>
                <w:b w:val="0"/>
                <w:bCs w:val="0"/>
                <w:color w:val="auto"/>
                <w:sz w:val="21"/>
                <w:szCs w:val="21"/>
                <w:highlight w:val="none"/>
                <w:lang w:eastAsia="zh-CN"/>
              </w:rPr>
              <w:t>）</w:t>
            </w:r>
          </w:p>
        </w:tc>
        <w:tc>
          <w:tcPr>
            <w:tcW w:w="1167" w:type="dxa"/>
            <w:tcBorders>
              <w:tl2br w:val="nil"/>
              <w:tr2bl w:val="nil"/>
            </w:tcBorders>
            <w:noWrap w:val="0"/>
            <w:vAlign w:val="center"/>
          </w:tcPr>
          <w:p w14:paraId="5E62C7C5">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相交面积占目标范围百分比 (%)</w:t>
            </w:r>
          </w:p>
        </w:tc>
      </w:tr>
      <w:tr w14:paraId="71EE06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64" w:type="dxa"/>
            <w:tcBorders>
              <w:tl2br w:val="nil"/>
              <w:tr2bl w:val="nil"/>
            </w:tcBorders>
            <w:noWrap w:val="0"/>
            <w:vAlign w:val="center"/>
          </w:tcPr>
          <w:p w14:paraId="6025AD31">
            <w:pPr>
              <w:keepNext w:val="0"/>
              <w:keepLines w:val="0"/>
              <w:widowControl/>
              <w:suppressLineNumbers w:val="0"/>
              <w:jc w:val="center"/>
              <w:rPr>
                <w:b w:val="0"/>
                <w:bCs w:val="0"/>
                <w:color w:val="auto"/>
                <w:sz w:val="21"/>
                <w:szCs w:val="21"/>
                <w:highlight w:val="none"/>
              </w:rPr>
            </w:pPr>
            <w:r>
              <w:rPr>
                <w:rFonts w:hint="eastAsia" w:ascii="宋体" w:hAnsi="宋体" w:eastAsia="宋体" w:cs="宋体"/>
                <w:b w:val="0"/>
                <w:bCs w:val="0"/>
                <w:color w:val="auto"/>
                <w:kern w:val="0"/>
                <w:sz w:val="21"/>
                <w:szCs w:val="21"/>
                <w:highlight w:val="none"/>
                <w:lang w:val="en-US" w:eastAsia="zh-CN" w:bidi="ar"/>
              </w:rPr>
              <w:t>生态保护红线与一</w:t>
            </w:r>
          </w:p>
          <w:p w14:paraId="38B5ED27">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rPr>
            </w:pPr>
            <w:r>
              <w:rPr>
                <w:rFonts w:hint="eastAsia" w:ascii="宋体" w:hAnsi="宋体" w:eastAsia="宋体" w:cs="宋体"/>
                <w:b w:val="0"/>
                <w:bCs w:val="0"/>
                <w:color w:val="auto"/>
                <w:kern w:val="0"/>
                <w:sz w:val="21"/>
                <w:szCs w:val="21"/>
                <w:highlight w:val="none"/>
                <w:lang w:val="en-US" w:eastAsia="zh-CN" w:bidi="ar"/>
              </w:rPr>
              <w:t>般生态空间</w:t>
            </w:r>
          </w:p>
        </w:tc>
        <w:tc>
          <w:tcPr>
            <w:tcW w:w="1255" w:type="dxa"/>
            <w:tcBorders>
              <w:tl2br w:val="nil"/>
              <w:tr2bl w:val="nil"/>
            </w:tcBorders>
            <w:noWrap w:val="0"/>
            <w:vAlign w:val="center"/>
          </w:tcPr>
          <w:p w14:paraId="67CE0695">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一般生态空间</w:t>
            </w:r>
          </w:p>
        </w:tc>
        <w:tc>
          <w:tcPr>
            <w:tcW w:w="490" w:type="dxa"/>
            <w:tcBorders>
              <w:tl2br w:val="nil"/>
              <w:tr2bl w:val="nil"/>
            </w:tcBorders>
            <w:noWrap w:val="0"/>
            <w:vAlign w:val="center"/>
          </w:tcPr>
          <w:p w14:paraId="57012CF2">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是</w:t>
            </w:r>
          </w:p>
        </w:tc>
        <w:tc>
          <w:tcPr>
            <w:tcW w:w="779" w:type="dxa"/>
            <w:tcBorders>
              <w:tl2br w:val="nil"/>
              <w:tr2bl w:val="nil"/>
            </w:tcBorders>
            <w:noWrap w:val="0"/>
            <w:vAlign w:val="center"/>
          </w:tcPr>
          <w:p w14:paraId="7386B4E0">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哈尔滨市</w:t>
            </w:r>
          </w:p>
        </w:tc>
        <w:tc>
          <w:tcPr>
            <w:tcW w:w="865" w:type="dxa"/>
            <w:tcBorders>
              <w:tl2br w:val="nil"/>
              <w:tr2bl w:val="nil"/>
            </w:tcBorders>
            <w:noWrap w:val="0"/>
            <w:vAlign w:val="center"/>
          </w:tcPr>
          <w:p w14:paraId="0A52B1A7">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尚志市</w:t>
            </w:r>
          </w:p>
        </w:tc>
        <w:tc>
          <w:tcPr>
            <w:tcW w:w="2208" w:type="dxa"/>
            <w:tcBorders>
              <w:tl2br w:val="nil"/>
              <w:tr2bl w:val="nil"/>
            </w:tcBorders>
            <w:noWrap w:val="0"/>
            <w:vAlign w:val="center"/>
          </w:tcPr>
          <w:p w14:paraId="30837B97">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尚志市一般生态空间区</w:t>
            </w:r>
          </w:p>
        </w:tc>
        <w:tc>
          <w:tcPr>
            <w:tcW w:w="1153" w:type="dxa"/>
            <w:tcBorders>
              <w:tl2br w:val="nil"/>
              <w:tr2bl w:val="nil"/>
            </w:tcBorders>
            <w:noWrap w:val="0"/>
            <w:vAlign w:val="center"/>
          </w:tcPr>
          <w:p w14:paraId="21F3D4D0">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小于 0.01</w:t>
            </w:r>
          </w:p>
        </w:tc>
        <w:tc>
          <w:tcPr>
            <w:tcW w:w="1167" w:type="dxa"/>
            <w:tcBorders>
              <w:tl2br w:val="nil"/>
              <w:tr2bl w:val="nil"/>
            </w:tcBorders>
            <w:noWrap w:val="0"/>
            <w:vAlign w:val="center"/>
          </w:tcPr>
          <w:p w14:paraId="5BA22694">
            <w:pPr>
              <w:keepNext w:val="0"/>
              <w:keepLines w:val="0"/>
              <w:pageBreakBefore w:val="0"/>
              <w:widowControl w:val="0"/>
              <w:kinsoku/>
              <w:wordWrap/>
              <w:overflowPunct/>
              <w:topLinePunct w:val="0"/>
              <w:autoSpaceDE/>
              <w:autoSpaceDN/>
              <w:bidi w:val="0"/>
              <w:adjustRightInd/>
              <w:snapToGrid/>
              <w:jc w:val="center"/>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89.90</w:t>
            </w:r>
          </w:p>
        </w:tc>
      </w:tr>
      <w:tr w14:paraId="794730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64" w:type="dxa"/>
            <w:vMerge w:val="restart"/>
            <w:tcBorders>
              <w:tl2br w:val="nil"/>
              <w:tr2bl w:val="nil"/>
            </w:tcBorders>
            <w:noWrap w:val="0"/>
            <w:vAlign w:val="center"/>
          </w:tcPr>
          <w:p w14:paraId="7ECEA476">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rPr>
            </w:pPr>
            <w:r>
              <w:rPr>
                <w:rFonts w:hint="eastAsia" w:ascii="宋体" w:hAnsi="宋体" w:eastAsia="宋体" w:cs="宋体"/>
                <w:b w:val="0"/>
                <w:bCs w:val="0"/>
                <w:color w:val="auto"/>
                <w:kern w:val="0"/>
                <w:sz w:val="21"/>
                <w:szCs w:val="21"/>
                <w:highlight w:val="none"/>
                <w:lang w:val="en-US" w:eastAsia="zh-CN" w:bidi="ar"/>
              </w:rPr>
              <w:t>环境质量底线</w:t>
            </w:r>
          </w:p>
        </w:tc>
        <w:tc>
          <w:tcPr>
            <w:tcW w:w="1255" w:type="dxa"/>
            <w:tcBorders>
              <w:tl2br w:val="nil"/>
              <w:tr2bl w:val="nil"/>
            </w:tcBorders>
            <w:noWrap w:val="0"/>
            <w:vAlign w:val="center"/>
          </w:tcPr>
          <w:p w14:paraId="63BBC89E">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其他区域</w:t>
            </w:r>
          </w:p>
        </w:tc>
        <w:tc>
          <w:tcPr>
            <w:tcW w:w="490" w:type="dxa"/>
            <w:tcBorders>
              <w:tl2br w:val="nil"/>
              <w:tr2bl w:val="nil"/>
            </w:tcBorders>
            <w:noWrap w:val="0"/>
            <w:vAlign w:val="center"/>
          </w:tcPr>
          <w:p w14:paraId="0C61D39C">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是</w:t>
            </w:r>
          </w:p>
        </w:tc>
        <w:tc>
          <w:tcPr>
            <w:tcW w:w="779" w:type="dxa"/>
            <w:tcBorders>
              <w:tl2br w:val="nil"/>
              <w:tr2bl w:val="nil"/>
            </w:tcBorders>
            <w:noWrap w:val="0"/>
            <w:vAlign w:val="center"/>
          </w:tcPr>
          <w:p w14:paraId="7BB99D5C">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哈尔滨市</w:t>
            </w:r>
          </w:p>
        </w:tc>
        <w:tc>
          <w:tcPr>
            <w:tcW w:w="865" w:type="dxa"/>
            <w:tcBorders>
              <w:tl2br w:val="nil"/>
              <w:tr2bl w:val="nil"/>
            </w:tcBorders>
            <w:shd w:val="clear" w:color="auto" w:fill="auto"/>
            <w:noWrap w:val="0"/>
            <w:vAlign w:val="center"/>
          </w:tcPr>
          <w:p w14:paraId="48B31037">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尚志市</w:t>
            </w:r>
          </w:p>
        </w:tc>
        <w:tc>
          <w:tcPr>
            <w:tcW w:w="2208" w:type="dxa"/>
            <w:tcBorders>
              <w:tl2br w:val="nil"/>
              <w:tr2bl w:val="nil"/>
            </w:tcBorders>
            <w:noWrap w:val="0"/>
            <w:vAlign w:val="center"/>
          </w:tcPr>
          <w:p w14:paraId="3F154036">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蚂蚁河北兴屯尚志市</w:t>
            </w:r>
          </w:p>
        </w:tc>
        <w:tc>
          <w:tcPr>
            <w:tcW w:w="1153" w:type="dxa"/>
            <w:tcBorders>
              <w:tl2br w:val="nil"/>
              <w:tr2bl w:val="nil"/>
            </w:tcBorders>
            <w:noWrap w:val="0"/>
            <w:vAlign w:val="center"/>
          </w:tcPr>
          <w:p w14:paraId="1D431327">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rPr>
            </w:pPr>
            <w:r>
              <w:rPr>
                <w:rFonts w:hint="eastAsia" w:ascii="宋体" w:hAnsi="宋体" w:eastAsia="宋体" w:cs="宋体"/>
                <w:b w:val="0"/>
                <w:bCs w:val="0"/>
                <w:color w:val="auto"/>
                <w:kern w:val="0"/>
                <w:sz w:val="21"/>
                <w:szCs w:val="21"/>
                <w:highlight w:val="none"/>
                <w:lang w:val="en-US" w:eastAsia="zh-CN" w:bidi="ar"/>
              </w:rPr>
              <w:t>小于 0.01</w:t>
            </w:r>
          </w:p>
        </w:tc>
        <w:tc>
          <w:tcPr>
            <w:tcW w:w="1167" w:type="dxa"/>
            <w:tcBorders>
              <w:tl2br w:val="nil"/>
              <w:tr2bl w:val="nil"/>
            </w:tcBorders>
            <w:noWrap w:val="0"/>
            <w:vAlign w:val="center"/>
          </w:tcPr>
          <w:p w14:paraId="30729D41">
            <w:pPr>
              <w:keepNext w:val="0"/>
              <w:keepLines w:val="0"/>
              <w:pageBreakBefore w:val="0"/>
              <w:widowControl w:val="0"/>
              <w:kinsoku/>
              <w:wordWrap/>
              <w:overflowPunct/>
              <w:topLinePunct w:val="0"/>
              <w:autoSpaceDE/>
              <w:autoSpaceDN/>
              <w:bidi w:val="0"/>
              <w:adjustRightInd/>
              <w:snapToGrid/>
              <w:jc w:val="center"/>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100</w:t>
            </w:r>
          </w:p>
        </w:tc>
      </w:tr>
      <w:tr w14:paraId="57AC2A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64" w:type="dxa"/>
            <w:vMerge w:val="continue"/>
            <w:tcBorders>
              <w:tl2br w:val="nil"/>
              <w:tr2bl w:val="nil"/>
            </w:tcBorders>
            <w:noWrap w:val="0"/>
            <w:vAlign w:val="center"/>
          </w:tcPr>
          <w:p w14:paraId="23E0A50C">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rPr>
            </w:pPr>
          </w:p>
        </w:tc>
        <w:tc>
          <w:tcPr>
            <w:tcW w:w="1255" w:type="dxa"/>
            <w:tcBorders>
              <w:tl2br w:val="nil"/>
              <w:tr2bl w:val="nil"/>
            </w:tcBorders>
            <w:noWrap w:val="0"/>
            <w:vAlign w:val="center"/>
          </w:tcPr>
          <w:p w14:paraId="726684DC">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大气环境一般管控区</w:t>
            </w:r>
          </w:p>
        </w:tc>
        <w:tc>
          <w:tcPr>
            <w:tcW w:w="490" w:type="dxa"/>
            <w:tcBorders>
              <w:tl2br w:val="nil"/>
              <w:tr2bl w:val="nil"/>
            </w:tcBorders>
            <w:noWrap w:val="0"/>
            <w:vAlign w:val="center"/>
          </w:tcPr>
          <w:p w14:paraId="1879BEC4">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是</w:t>
            </w:r>
          </w:p>
        </w:tc>
        <w:tc>
          <w:tcPr>
            <w:tcW w:w="779" w:type="dxa"/>
            <w:tcBorders>
              <w:tl2br w:val="nil"/>
              <w:tr2bl w:val="nil"/>
            </w:tcBorders>
            <w:noWrap w:val="0"/>
            <w:vAlign w:val="center"/>
          </w:tcPr>
          <w:p w14:paraId="6F20C5A0">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哈尔滨市</w:t>
            </w:r>
          </w:p>
        </w:tc>
        <w:tc>
          <w:tcPr>
            <w:tcW w:w="865" w:type="dxa"/>
            <w:tcBorders>
              <w:tl2br w:val="nil"/>
              <w:tr2bl w:val="nil"/>
            </w:tcBorders>
            <w:shd w:val="clear" w:color="auto" w:fill="auto"/>
            <w:noWrap w:val="0"/>
            <w:vAlign w:val="center"/>
          </w:tcPr>
          <w:p w14:paraId="135DB2A8">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尚志市</w:t>
            </w:r>
          </w:p>
        </w:tc>
        <w:tc>
          <w:tcPr>
            <w:tcW w:w="2208" w:type="dxa"/>
            <w:tcBorders>
              <w:tl2br w:val="nil"/>
              <w:tr2bl w:val="nil"/>
            </w:tcBorders>
            <w:noWrap w:val="0"/>
            <w:vAlign w:val="center"/>
          </w:tcPr>
          <w:p w14:paraId="19C481A9">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尚志市大气环境一般管控区</w:t>
            </w:r>
          </w:p>
        </w:tc>
        <w:tc>
          <w:tcPr>
            <w:tcW w:w="1153" w:type="dxa"/>
            <w:tcBorders>
              <w:tl2br w:val="nil"/>
              <w:tr2bl w:val="nil"/>
            </w:tcBorders>
            <w:noWrap w:val="0"/>
            <w:vAlign w:val="center"/>
          </w:tcPr>
          <w:p w14:paraId="4602DE17">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小于 0.01</w:t>
            </w:r>
          </w:p>
        </w:tc>
        <w:tc>
          <w:tcPr>
            <w:tcW w:w="1167" w:type="dxa"/>
            <w:tcBorders>
              <w:tl2br w:val="nil"/>
              <w:tr2bl w:val="nil"/>
            </w:tcBorders>
            <w:noWrap w:val="0"/>
            <w:vAlign w:val="center"/>
          </w:tcPr>
          <w:p w14:paraId="11E3D8A0">
            <w:pPr>
              <w:keepNext w:val="0"/>
              <w:keepLines w:val="0"/>
              <w:pageBreakBefore w:val="0"/>
              <w:widowControl w:val="0"/>
              <w:kinsoku/>
              <w:wordWrap/>
              <w:overflowPunct/>
              <w:topLinePunct w:val="0"/>
              <w:autoSpaceDE/>
              <w:autoSpaceDN/>
              <w:bidi w:val="0"/>
              <w:adjustRightInd/>
              <w:snapToGrid/>
              <w:jc w:val="center"/>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100</w:t>
            </w:r>
          </w:p>
        </w:tc>
      </w:tr>
      <w:tr w14:paraId="6B3980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64" w:type="dxa"/>
            <w:tcBorders>
              <w:tl2br w:val="nil"/>
              <w:tr2bl w:val="nil"/>
            </w:tcBorders>
            <w:noWrap w:val="0"/>
            <w:vAlign w:val="center"/>
          </w:tcPr>
          <w:p w14:paraId="284E5117">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rPr>
            </w:pPr>
            <w:r>
              <w:rPr>
                <w:rFonts w:hint="eastAsia" w:ascii="宋体" w:hAnsi="宋体" w:eastAsia="宋体" w:cs="宋体"/>
                <w:b w:val="0"/>
                <w:bCs w:val="0"/>
                <w:color w:val="auto"/>
                <w:kern w:val="0"/>
                <w:sz w:val="21"/>
                <w:szCs w:val="21"/>
                <w:highlight w:val="none"/>
                <w:lang w:val="en-US" w:eastAsia="zh-CN" w:bidi="ar"/>
              </w:rPr>
              <w:t>资源利用上线</w:t>
            </w:r>
          </w:p>
        </w:tc>
        <w:tc>
          <w:tcPr>
            <w:tcW w:w="1255" w:type="dxa"/>
            <w:tcBorders>
              <w:tl2br w:val="nil"/>
              <w:tr2bl w:val="nil"/>
            </w:tcBorders>
            <w:noWrap w:val="0"/>
            <w:vAlign w:val="center"/>
          </w:tcPr>
          <w:p w14:paraId="11F95223">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自然资源一般管控区</w:t>
            </w:r>
          </w:p>
        </w:tc>
        <w:tc>
          <w:tcPr>
            <w:tcW w:w="490" w:type="dxa"/>
            <w:tcBorders>
              <w:tl2br w:val="nil"/>
              <w:tr2bl w:val="nil"/>
            </w:tcBorders>
            <w:shd w:val="clear" w:color="auto" w:fill="auto"/>
            <w:noWrap w:val="0"/>
            <w:vAlign w:val="center"/>
          </w:tcPr>
          <w:p w14:paraId="53E5426B">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是</w:t>
            </w:r>
          </w:p>
        </w:tc>
        <w:tc>
          <w:tcPr>
            <w:tcW w:w="779" w:type="dxa"/>
            <w:tcBorders>
              <w:tl2br w:val="nil"/>
              <w:tr2bl w:val="nil"/>
            </w:tcBorders>
            <w:shd w:val="clear" w:color="auto" w:fill="auto"/>
            <w:noWrap w:val="0"/>
            <w:vAlign w:val="center"/>
          </w:tcPr>
          <w:p w14:paraId="380027F2">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哈尔滨市</w:t>
            </w:r>
          </w:p>
        </w:tc>
        <w:tc>
          <w:tcPr>
            <w:tcW w:w="865" w:type="dxa"/>
            <w:tcBorders>
              <w:tl2br w:val="nil"/>
              <w:tr2bl w:val="nil"/>
            </w:tcBorders>
            <w:shd w:val="clear" w:color="auto" w:fill="auto"/>
            <w:noWrap w:val="0"/>
            <w:vAlign w:val="center"/>
          </w:tcPr>
          <w:p w14:paraId="54E05429">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尚志市</w:t>
            </w:r>
          </w:p>
        </w:tc>
        <w:tc>
          <w:tcPr>
            <w:tcW w:w="2208" w:type="dxa"/>
            <w:tcBorders>
              <w:tl2br w:val="nil"/>
              <w:tr2bl w:val="nil"/>
            </w:tcBorders>
            <w:noWrap w:val="0"/>
            <w:vAlign w:val="center"/>
          </w:tcPr>
          <w:p w14:paraId="2D732E51">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尚志市自然资源一般管控区</w:t>
            </w:r>
          </w:p>
        </w:tc>
        <w:tc>
          <w:tcPr>
            <w:tcW w:w="1153" w:type="dxa"/>
            <w:tcBorders>
              <w:tl2br w:val="nil"/>
              <w:tr2bl w:val="nil"/>
            </w:tcBorders>
            <w:shd w:val="clear" w:color="auto" w:fill="auto"/>
            <w:noWrap w:val="0"/>
            <w:vAlign w:val="center"/>
          </w:tcPr>
          <w:p w14:paraId="09E0197A">
            <w:pPr>
              <w:keepNext w:val="0"/>
              <w:keepLines w:val="0"/>
              <w:widowControl/>
              <w:suppressLineNumbers w:val="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宋体" w:hAnsi="宋体" w:eastAsia="宋体" w:cs="宋体"/>
                <w:b w:val="0"/>
                <w:bCs w:val="0"/>
                <w:color w:val="auto"/>
                <w:kern w:val="0"/>
                <w:sz w:val="21"/>
                <w:szCs w:val="21"/>
                <w:highlight w:val="none"/>
                <w:lang w:val="en-US" w:eastAsia="zh-CN" w:bidi="ar"/>
              </w:rPr>
              <w:t>小于 0.01</w:t>
            </w:r>
          </w:p>
        </w:tc>
        <w:tc>
          <w:tcPr>
            <w:tcW w:w="1167" w:type="dxa"/>
            <w:tcBorders>
              <w:tl2br w:val="nil"/>
              <w:tr2bl w:val="nil"/>
            </w:tcBorders>
            <w:shd w:val="clear" w:color="auto" w:fill="auto"/>
            <w:noWrap w:val="0"/>
            <w:vAlign w:val="center"/>
          </w:tcPr>
          <w:p w14:paraId="75F4C927">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100</w:t>
            </w:r>
          </w:p>
        </w:tc>
      </w:tr>
      <w:tr w14:paraId="778D18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64" w:type="dxa"/>
            <w:vMerge w:val="restart"/>
            <w:tcBorders>
              <w:tl2br w:val="nil"/>
              <w:tr2bl w:val="nil"/>
            </w:tcBorders>
            <w:noWrap w:val="0"/>
            <w:vAlign w:val="center"/>
          </w:tcPr>
          <w:p w14:paraId="518A1049">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rPr>
            </w:pPr>
            <w:r>
              <w:rPr>
                <w:rFonts w:hint="eastAsia" w:ascii="宋体" w:hAnsi="宋体" w:eastAsia="宋体" w:cs="宋体"/>
                <w:b w:val="0"/>
                <w:bCs w:val="0"/>
                <w:color w:val="auto"/>
                <w:kern w:val="0"/>
                <w:sz w:val="21"/>
                <w:szCs w:val="21"/>
                <w:highlight w:val="none"/>
                <w:lang w:val="en-US" w:eastAsia="zh-CN" w:bidi="ar"/>
              </w:rPr>
              <w:t>环境管控单元</w:t>
            </w:r>
          </w:p>
        </w:tc>
        <w:tc>
          <w:tcPr>
            <w:tcW w:w="1255" w:type="dxa"/>
            <w:tcBorders>
              <w:tl2br w:val="nil"/>
              <w:tr2bl w:val="nil"/>
            </w:tcBorders>
            <w:noWrap w:val="0"/>
            <w:vAlign w:val="center"/>
          </w:tcPr>
          <w:p w14:paraId="4787F517">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优先保护单元</w:t>
            </w:r>
          </w:p>
        </w:tc>
        <w:tc>
          <w:tcPr>
            <w:tcW w:w="490" w:type="dxa"/>
            <w:tcBorders>
              <w:tl2br w:val="nil"/>
              <w:tr2bl w:val="nil"/>
            </w:tcBorders>
            <w:shd w:val="clear" w:color="auto" w:fill="auto"/>
            <w:noWrap w:val="0"/>
            <w:vAlign w:val="center"/>
          </w:tcPr>
          <w:p w14:paraId="5E49300E">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是</w:t>
            </w:r>
          </w:p>
        </w:tc>
        <w:tc>
          <w:tcPr>
            <w:tcW w:w="779" w:type="dxa"/>
            <w:tcBorders>
              <w:tl2br w:val="nil"/>
              <w:tr2bl w:val="nil"/>
            </w:tcBorders>
            <w:shd w:val="clear" w:color="auto" w:fill="auto"/>
            <w:noWrap w:val="0"/>
            <w:vAlign w:val="center"/>
          </w:tcPr>
          <w:p w14:paraId="1AD699CC">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哈尔滨市</w:t>
            </w:r>
          </w:p>
        </w:tc>
        <w:tc>
          <w:tcPr>
            <w:tcW w:w="865" w:type="dxa"/>
            <w:tcBorders>
              <w:tl2br w:val="nil"/>
              <w:tr2bl w:val="nil"/>
            </w:tcBorders>
            <w:shd w:val="clear" w:color="auto" w:fill="auto"/>
            <w:noWrap w:val="0"/>
            <w:vAlign w:val="center"/>
          </w:tcPr>
          <w:p w14:paraId="70854672">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尚志市</w:t>
            </w:r>
          </w:p>
        </w:tc>
        <w:tc>
          <w:tcPr>
            <w:tcW w:w="2208" w:type="dxa"/>
            <w:tcBorders>
              <w:tl2br w:val="nil"/>
              <w:tr2bl w:val="nil"/>
            </w:tcBorders>
            <w:noWrap w:val="0"/>
            <w:vAlign w:val="center"/>
          </w:tcPr>
          <w:p w14:paraId="488285FB">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尚志市一般生态空间</w:t>
            </w:r>
          </w:p>
        </w:tc>
        <w:tc>
          <w:tcPr>
            <w:tcW w:w="1153" w:type="dxa"/>
            <w:tcBorders>
              <w:tl2br w:val="nil"/>
              <w:tr2bl w:val="nil"/>
            </w:tcBorders>
            <w:shd w:val="clear" w:color="auto" w:fill="auto"/>
            <w:noWrap w:val="0"/>
            <w:vAlign w:val="center"/>
          </w:tcPr>
          <w:p w14:paraId="31F22E2F">
            <w:pPr>
              <w:keepNext w:val="0"/>
              <w:keepLines w:val="0"/>
              <w:widowControl/>
              <w:suppressLineNumbers w:val="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宋体" w:hAnsi="宋体" w:eastAsia="宋体" w:cs="宋体"/>
                <w:b w:val="0"/>
                <w:bCs w:val="0"/>
                <w:color w:val="auto"/>
                <w:kern w:val="0"/>
                <w:sz w:val="21"/>
                <w:szCs w:val="21"/>
                <w:highlight w:val="none"/>
                <w:lang w:val="en-US" w:eastAsia="zh-CN" w:bidi="ar"/>
              </w:rPr>
              <w:t>小于 0.01</w:t>
            </w:r>
          </w:p>
        </w:tc>
        <w:tc>
          <w:tcPr>
            <w:tcW w:w="1167" w:type="dxa"/>
            <w:tcBorders>
              <w:tl2br w:val="nil"/>
              <w:tr2bl w:val="nil"/>
            </w:tcBorders>
            <w:shd w:val="clear" w:color="auto" w:fill="auto"/>
            <w:noWrap w:val="0"/>
            <w:vAlign w:val="center"/>
          </w:tcPr>
          <w:p w14:paraId="66248807">
            <w:pPr>
              <w:keepNext w:val="0"/>
              <w:keepLines w:val="0"/>
              <w:pageBreakBefore w:val="0"/>
              <w:widowControl w:val="0"/>
              <w:kinsoku/>
              <w:wordWrap/>
              <w:overflowPunct/>
              <w:topLinePunct w:val="0"/>
              <w:autoSpaceDE/>
              <w:autoSpaceDN/>
              <w:bidi w:val="0"/>
              <w:adjustRightInd/>
              <w:snapToGrid/>
              <w:jc w:val="center"/>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84.84</w:t>
            </w:r>
          </w:p>
        </w:tc>
      </w:tr>
      <w:tr w14:paraId="77DFAA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864" w:type="dxa"/>
            <w:vMerge w:val="continue"/>
            <w:tcBorders>
              <w:tl2br w:val="nil"/>
              <w:tr2bl w:val="nil"/>
            </w:tcBorders>
            <w:noWrap w:val="0"/>
            <w:vAlign w:val="center"/>
          </w:tcPr>
          <w:p w14:paraId="66FD8D70">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sz w:val="21"/>
                <w:szCs w:val="21"/>
                <w:highlight w:val="none"/>
              </w:rPr>
            </w:pPr>
          </w:p>
        </w:tc>
        <w:tc>
          <w:tcPr>
            <w:tcW w:w="1255" w:type="dxa"/>
            <w:tcBorders>
              <w:tl2br w:val="nil"/>
              <w:tr2bl w:val="nil"/>
            </w:tcBorders>
            <w:noWrap w:val="0"/>
            <w:vAlign w:val="center"/>
          </w:tcPr>
          <w:p w14:paraId="3928B34D">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一般管控单元</w:t>
            </w:r>
          </w:p>
        </w:tc>
        <w:tc>
          <w:tcPr>
            <w:tcW w:w="490" w:type="dxa"/>
            <w:tcBorders>
              <w:tl2br w:val="nil"/>
              <w:tr2bl w:val="nil"/>
            </w:tcBorders>
            <w:shd w:val="clear" w:color="auto" w:fill="auto"/>
            <w:noWrap w:val="0"/>
            <w:vAlign w:val="center"/>
          </w:tcPr>
          <w:p w14:paraId="2C73629A">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是</w:t>
            </w:r>
          </w:p>
        </w:tc>
        <w:tc>
          <w:tcPr>
            <w:tcW w:w="779" w:type="dxa"/>
            <w:tcBorders>
              <w:tl2br w:val="nil"/>
              <w:tr2bl w:val="nil"/>
            </w:tcBorders>
            <w:shd w:val="clear" w:color="auto" w:fill="auto"/>
            <w:noWrap w:val="0"/>
            <w:vAlign w:val="center"/>
          </w:tcPr>
          <w:p w14:paraId="5938BEC6">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哈尔滨市</w:t>
            </w:r>
          </w:p>
        </w:tc>
        <w:tc>
          <w:tcPr>
            <w:tcW w:w="865" w:type="dxa"/>
            <w:tcBorders>
              <w:tl2br w:val="nil"/>
              <w:tr2bl w:val="nil"/>
            </w:tcBorders>
            <w:shd w:val="clear" w:color="auto" w:fill="auto"/>
            <w:noWrap w:val="0"/>
            <w:vAlign w:val="center"/>
          </w:tcPr>
          <w:p w14:paraId="679E8FA9">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尚志市</w:t>
            </w:r>
          </w:p>
        </w:tc>
        <w:tc>
          <w:tcPr>
            <w:tcW w:w="2208" w:type="dxa"/>
            <w:tcBorders>
              <w:tl2br w:val="nil"/>
              <w:tr2bl w:val="nil"/>
            </w:tcBorders>
            <w:noWrap w:val="0"/>
            <w:vAlign w:val="center"/>
          </w:tcPr>
          <w:p w14:paraId="09BA4476">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b w:val="0"/>
                <w:bCs w:val="0"/>
                <w:color w:val="auto"/>
                <w:kern w:val="0"/>
                <w:sz w:val="21"/>
                <w:szCs w:val="21"/>
                <w:highlight w:val="none"/>
                <w:lang w:val="en-US" w:eastAsia="zh-CN" w:bidi="ar"/>
              </w:rPr>
              <w:t>尚志市其他区域</w:t>
            </w:r>
          </w:p>
        </w:tc>
        <w:tc>
          <w:tcPr>
            <w:tcW w:w="1153" w:type="dxa"/>
            <w:tcBorders>
              <w:tl2br w:val="nil"/>
              <w:tr2bl w:val="nil"/>
            </w:tcBorders>
            <w:shd w:val="clear" w:color="auto" w:fill="auto"/>
            <w:noWrap w:val="0"/>
            <w:vAlign w:val="center"/>
          </w:tcPr>
          <w:p w14:paraId="0720A402">
            <w:pPr>
              <w:keepNext w:val="0"/>
              <w:keepLines w:val="0"/>
              <w:widowControl/>
              <w:suppressLineNumbers w:val="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宋体" w:hAnsi="宋体" w:eastAsia="宋体" w:cs="宋体"/>
                <w:b w:val="0"/>
                <w:bCs w:val="0"/>
                <w:color w:val="auto"/>
                <w:kern w:val="0"/>
                <w:sz w:val="21"/>
                <w:szCs w:val="21"/>
                <w:highlight w:val="none"/>
                <w:lang w:val="en-US" w:eastAsia="zh-CN" w:bidi="ar"/>
              </w:rPr>
              <w:t>小于 0.01</w:t>
            </w:r>
          </w:p>
        </w:tc>
        <w:tc>
          <w:tcPr>
            <w:tcW w:w="1167" w:type="dxa"/>
            <w:tcBorders>
              <w:tl2br w:val="nil"/>
              <w:tr2bl w:val="nil"/>
            </w:tcBorders>
            <w:shd w:val="clear" w:color="auto" w:fill="auto"/>
            <w:noWrap w:val="0"/>
            <w:vAlign w:val="center"/>
          </w:tcPr>
          <w:p w14:paraId="7BC15674">
            <w:pPr>
              <w:keepNext w:val="0"/>
              <w:keepLines w:val="0"/>
              <w:pageBreakBefore w:val="0"/>
              <w:widowControl w:val="0"/>
              <w:kinsoku/>
              <w:wordWrap/>
              <w:overflowPunct/>
              <w:topLinePunct w:val="0"/>
              <w:autoSpaceDE/>
              <w:autoSpaceDN/>
              <w:bidi w:val="0"/>
              <w:adjustRightInd/>
              <w:snapToGrid/>
              <w:jc w:val="center"/>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15.16</w:t>
            </w:r>
          </w:p>
        </w:tc>
      </w:tr>
    </w:tbl>
    <w:p w14:paraId="3EE076CB">
      <w:pPr>
        <w:pStyle w:val="70"/>
        <w:rPr>
          <w:rFonts w:hint="eastAsia" w:asciiTheme="minorEastAsia" w:hAnsiTheme="minorEastAsia" w:eastAsiaTheme="minorEastAsia" w:cstheme="minorEastAsia"/>
          <w:color w:val="auto"/>
          <w:highlight w:val="none"/>
        </w:rPr>
      </w:pPr>
    </w:p>
    <w:p w14:paraId="778F221F">
      <w:pPr>
        <w:keepNext w:val="0"/>
        <w:keepLines w:val="0"/>
        <w:pageBreakBefore w:val="0"/>
        <w:widowControl w:val="0"/>
        <w:tabs>
          <w:tab w:val="left" w:pos="1350"/>
          <w:tab w:val="left" w:pos="1560"/>
        </w:tabs>
        <w:kinsoku/>
        <w:wordWrap/>
        <w:overflowPunct/>
        <w:topLinePunct w:val="0"/>
        <w:autoSpaceDE/>
        <w:autoSpaceDN/>
        <w:bidi w:val="0"/>
        <w:adjustRightInd/>
        <w:snapToGrid/>
        <w:spacing w:line="240" w:lineRule="auto"/>
        <w:jc w:val="center"/>
        <w:textAlignment w:val="auto"/>
        <w:outlineLvl w:val="9"/>
        <w:rPr>
          <w:rFonts w:hint="eastAsia" w:asciiTheme="minorEastAsia" w:hAnsiTheme="minorEastAsia" w:eastAsiaTheme="minorEastAsia" w:cstheme="minorEastAsia"/>
          <w:b/>
          <w:bCs/>
          <w:color w:val="auto"/>
          <w:sz w:val="24"/>
          <w:szCs w:val="24"/>
          <w:highlight w:val="none"/>
          <w:lang w:val="en-US" w:eastAsia="zh-CN"/>
        </w:rPr>
      </w:pPr>
      <w:r>
        <w:rPr>
          <w:rFonts w:hint="eastAsia" w:asciiTheme="minorEastAsia" w:hAnsiTheme="minorEastAsia" w:eastAsiaTheme="minorEastAsia" w:cstheme="minorEastAsia"/>
          <w:b/>
          <w:bCs/>
          <w:color w:val="auto"/>
          <w:sz w:val="24"/>
          <w:szCs w:val="24"/>
          <w:highlight w:val="none"/>
          <w:lang w:val="en-US" w:eastAsia="zh-CN"/>
        </w:rPr>
        <w:t>表1.4-7  生态环境准入清单管控要求符合性分析</w:t>
      </w:r>
    </w:p>
    <w:tbl>
      <w:tblPr>
        <w:tblStyle w:val="1316"/>
        <w:tblW w:w="5142"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719"/>
        <w:gridCol w:w="811"/>
        <w:gridCol w:w="720"/>
        <w:gridCol w:w="3376"/>
        <w:gridCol w:w="2760"/>
        <w:gridCol w:w="629"/>
      </w:tblGrid>
      <w:tr w14:paraId="68C93F7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98" w:type="pct"/>
            <w:tcBorders>
              <w:tl2br w:val="nil"/>
              <w:tr2bl w:val="nil"/>
            </w:tcBorders>
            <w:noWrap w:val="0"/>
            <w:vAlign w:val="center"/>
          </w:tcPr>
          <w:p w14:paraId="6E18F9AF">
            <w:pPr>
              <w:bidi w:val="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环境管控单元编码</w:t>
            </w:r>
          </w:p>
        </w:tc>
        <w:tc>
          <w:tcPr>
            <w:tcW w:w="449" w:type="pct"/>
            <w:tcBorders>
              <w:tl2br w:val="nil"/>
              <w:tr2bl w:val="nil"/>
            </w:tcBorders>
            <w:noWrap w:val="0"/>
            <w:vAlign w:val="center"/>
          </w:tcPr>
          <w:p w14:paraId="39A6D703">
            <w:pPr>
              <w:bidi w:val="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环境管控单元名称</w:t>
            </w:r>
          </w:p>
        </w:tc>
        <w:tc>
          <w:tcPr>
            <w:tcW w:w="399" w:type="pct"/>
            <w:tcBorders>
              <w:tl2br w:val="nil"/>
              <w:tr2bl w:val="nil"/>
            </w:tcBorders>
            <w:noWrap w:val="0"/>
            <w:vAlign w:val="center"/>
          </w:tcPr>
          <w:p w14:paraId="5EAD4243">
            <w:pPr>
              <w:bidi w:val="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管控单元分类</w:t>
            </w:r>
          </w:p>
        </w:tc>
        <w:tc>
          <w:tcPr>
            <w:tcW w:w="1872" w:type="pct"/>
            <w:tcBorders>
              <w:tl2br w:val="nil"/>
              <w:tr2bl w:val="nil"/>
            </w:tcBorders>
            <w:noWrap w:val="0"/>
            <w:vAlign w:val="center"/>
          </w:tcPr>
          <w:p w14:paraId="31C926ED">
            <w:pPr>
              <w:bidi w:val="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管控要求</w:t>
            </w:r>
          </w:p>
        </w:tc>
        <w:tc>
          <w:tcPr>
            <w:tcW w:w="1530" w:type="pct"/>
            <w:tcBorders>
              <w:tl2br w:val="nil"/>
              <w:tr2bl w:val="nil"/>
            </w:tcBorders>
            <w:noWrap w:val="0"/>
            <w:vAlign w:val="center"/>
          </w:tcPr>
          <w:p w14:paraId="42059F67">
            <w:pPr>
              <w:bidi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本项目情况</w:t>
            </w:r>
          </w:p>
        </w:tc>
        <w:tc>
          <w:tcPr>
            <w:tcW w:w="348" w:type="pct"/>
            <w:tcBorders>
              <w:tl2br w:val="nil"/>
              <w:tr2bl w:val="nil"/>
            </w:tcBorders>
            <w:noWrap w:val="0"/>
            <w:vAlign w:val="center"/>
          </w:tcPr>
          <w:p w14:paraId="7704C966">
            <w:pPr>
              <w:bidi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符合</w:t>
            </w:r>
          </w:p>
          <w:p w14:paraId="5605D934">
            <w:pPr>
              <w:bidi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情况</w:t>
            </w:r>
          </w:p>
        </w:tc>
      </w:tr>
      <w:tr w14:paraId="5B6E120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98" w:type="pct"/>
            <w:tcBorders>
              <w:tl2br w:val="nil"/>
              <w:tr2bl w:val="nil"/>
            </w:tcBorders>
            <w:noWrap w:val="0"/>
            <w:vAlign w:val="center"/>
          </w:tcPr>
          <w:p w14:paraId="5AF19343">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color w:val="auto"/>
                <w:kern w:val="0"/>
                <w:sz w:val="21"/>
                <w:szCs w:val="21"/>
                <w:highlight w:val="none"/>
                <w:lang w:val="en-US" w:eastAsia="zh-CN" w:bidi="ar"/>
              </w:rPr>
              <w:t>ZH23018310002</w:t>
            </w:r>
          </w:p>
        </w:tc>
        <w:tc>
          <w:tcPr>
            <w:tcW w:w="449" w:type="pct"/>
            <w:tcBorders>
              <w:tl2br w:val="nil"/>
              <w:tr2bl w:val="nil"/>
            </w:tcBorders>
            <w:noWrap w:val="0"/>
            <w:vAlign w:val="center"/>
          </w:tcPr>
          <w:p w14:paraId="5AFF4E4B">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color w:val="auto"/>
                <w:kern w:val="0"/>
                <w:sz w:val="21"/>
                <w:szCs w:val="21"/>
                <w:highlight w:val="none"/>
                <w:lang w:val="en-US" w:eastAsia="zh-CN" w:bidi="ar"/>
              </w:rPr>
              <w:t>尚志市一般生态空间</w:t>
            </w:r>
          </w:p>
        </w:tc>
        <w:tc>
          <w:tcPr>
            <w:tcW w:w="399" w:type="pct"/>
            <w:tcBorders>
              <w:tl2br w:val="nil"/>
              <w:tr2bl w:val="nil"/>
            </w:tcBorders>
            <w:noWrap w:val="0"/>
            <w:vAlign w:val="center"/>
          </w:tcPr>
          <w:p w14:paraId="1E22431A">
            <w:pPr>
              <w:keepNext w:val="0"/>
              <w:keepLines w:val="0"/>
              <w:widowControl/>
              <w:suppressLineNumbers w:val="0"/>
              <w:jc w:val="center"/>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优先保护单元</w:t>
            </w:r>
          </w:p>
        </w:tc>
        <w:tc>
          <w:tcPr>
            <w:tcW w:w="1872" w:type="pct"/>
            <w:tcBorders>
              <w:tl2br w:val="nil"/>
              <w:tr2bl w:val="nil"/>
            </w:tcBorders>
            <w:noWrap w:val="0"/>
            <w:vAlign w:val="center"/>
          </w:tcPr>
          <w:p w14:paraId="6AFB09F0">
            <w:pPr>
              <w:keepNext w:val="0"/>
              <w:keepLines w:val="0"/>
              <w:widowControl/>
              <w:suppressLineNumbers w:val="0"/>
              <w:jc w:val="left"/>
              <w:rPr>
                <w:rFonts w:hint="eastAsia" w:ascii="宋体" w:hAnsi="宋体" w:eastAsia="宋体" w:cs="宋体"/>
                <w:b/>
                <w:bCs/>
                <w:color w:val="auto"/>
                <w:kern w:val="0"/>
                <w:sz w:val="21"/>
                <w:szCs w:val="21"/>
                <w:highlight w:val="none"/>
                <w:lang w:val="en-US" w:eastAsia="zh-CN" w:bidi="ar"/>
              </w:rPr>
            </w:pPr>
            <w:r>
              <w:rPr>
                <w:rFonts w:hint="eastAsia" w:ascii="宋体" w:hAnsi="宋体" w:eastAsia="宋体" w:cs="宋体"/>
                <w:b/>
                <w:bCs/>
                <w:color w:val="auto"/>
                <w:kern w:val="0"/>
                <w:sz w:val="21"/>
                <w:szCs w:val="21"/>
                <w:highlight w:val="none"/>
                <w:lang w:val="en-US" w:eastAsia="zh-CN" w:bidi="ar"/>
              </w:rPr>
              <w:t>一、空间布局约束</w:t>
            </w:r>
          </w:p>
          <w:p w14:paraId="40DC2127">
            <w:pPr>
              <w:keepNext w:val="0"/>
              <w:keepLines w:val="0"/>
              <w:widowControl/>
              <w:suppressLineNumbers w:val="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区域执行要求： 1.原则上按限制开发区域的要求进行管理。严格限制与生态功能不一致的开发建设活动。符合区域准入条件的新增建设项目，涉及占用生态空间中的林地、草原等，按有关法律法规规定办理；涉及占用生态空间中其他未作明确规定的用地，应当加强论证和管理。符合条件的农业开发项目，须依法由市县级及以上地方人民政府统筹安排。除符合国家生态退耕条件的耕地，并纳入国家生态退耕总体安排，或因国家重大生态工程建设需要外，不得随意转用。 2.对依法保护的生态空间实行承载力控制，防止过度垦殖、放牧、采伐、取水、渔猎、旅游等对生态功能造成损害，确保自然生态系统的稳定。 3.避免开发建设活动损害其生态服务功能和生态产品质量。 4.已经侵占生态空间的，应建立退出机制、制定治理方案及时间表。 二、黑龙江八里湾国家森林公园同时执行： 禁止开发建设活动要求：1）在国家级自然公园内开展相关活动和设施建设，不得擅自改变其自然状态和历史风貌。2）禁止擅自在国家级自然公园内从事采矿、房地产、开发区、高尔夫球场、风力光伏电场等不符合管控要求的开发活动。3）禁止违规侵占国家级自然公园，排放不符合水污染物排放标准的工业废水、生活污水及其他的废水、污水，倾倒、堆放、丢弃、遗撒固体废物等污染生态环境的行为。 限制开发建设活动要求：国家级自然公园范围内除国家重大项目外，仅允许对生态功能不造成破坏的有限人为活动：自然公园内居民和其他合法权益主体依法依规开展的生产生活及设施建设；符合自然公园保护管理要求的文化、体育活动和必要的配套设施建设；符合生态保护红线管控要求的其他活动和设施建设；法律法规和国家政策允许在自然公园内开展的其他活动。 三、幸福沟水库饮用水水源、大亮子河饮用水水源同时执行： 1.饮用水地表水源各级保护区及准保护区内均必须遵守下列规定： （1）禁止一切破坏水环境生态平衡的活动以及破坏水源林、护岸林、与水源保护相关植被的活动。 （2）禁止向水域倾倒工业废渣、城市垃圾、粪便及其它废弃物。 （3）运输有毒有害物质、油类、粪便的船舶和车辆一般不准进入保护区，必须进入者应事先申请并经有关部门批准、登记并设置防渗、防溢、防漏设施。 （4）禁止使用剧毒和高残留农药，不得滥用化肥，不得使用炸药、毒品捕杀鱼类。 （5）禁止建设畜禽养殖场、养殖小区。 （6）禁止设置排污口。 2.饮用水地表水源各级保护区及准保护区内必须分别遵守下列规定： （1）一级保护区内：禁止新建、扩建与供水设施和保护水源无关的建设项目，已建成的与供水设施和保护水源无关的建设项目，由县级以上人民政府责令拆除或者关闭；禁止向水域排放污水，已设置的排污口必须拆除；不得设置与供水需要无关的码头，禁止停靠船舶；禁止堆置和存放工业废渣、城市垃圾、粪便和其他废弃物；禁止设置油库；禁止从事种植、放养畜禽和网箱养殖活动；禁止可能污染水源的旅游活动和其他活动。 （2）二级保护区内：禁止新建、改建、扩建排放污染物的建设项目，已建成的排放污染物的建设项目，由县级以上人民政府责令拆除或者关闭；原有排污口依法拆除或者关闭；禁止设立装卸垃圾、粪便、油类和有毒物品的码头。 （3）准保护区内：禁止新建、扩建对水体污染严重的建设项目；改建建设项目，不得增加排污量。 3.国务院和省、自治区、直辖市人民政府根据水环境保护的需要，可以规定在饮用水水源保护区内，采取禁止或者限制使用含磷洗涤剂、化肥、农药以及限制种植养殖等措施。 4.饮用水地下水源各级保护区及准保护区内均必须遵守下列规定：禁止利用渗坑、渗井、裂隙、溶洞等排放污水和其它有害废弃物；禁止利用透水层孔隙、裂隙、溶洞及废弃矿坑储存石油、天然气、放射性物质、有毒有害化工原料、农药等；实行人工回灌地下水时不得污染当地地下水源。 （1）一级保护区内：禁止建设与取水设施无关的建筑物；禁止从事农牧业活动；禁止倾倒、堆放工业废渣及城市垃圾、粪便和其它有害废弃物；禁止输送污水的渠道、管道及输油管道通过本区；禁止建设油库；禁止建立墓地。（2）二级保护区内：1）对于潜水含水层地下水水源地：禁止建设化工、电镀、皮革、造纸、制浆、冶炼、放射性、印染、染料、炼焦、炼油及其它有严重污染的企业，已建成的要限期治理，转产或搬迁；禁止设置城市垃圾、粪便和易溶、有毒有害废弃物堆放场和转运站，已有的上述场站要限期搬迁；禁止利用未经净化的污水灌溉农田，已有的污灌农田要限期改用清水灌溉；化工原料、矿物油类及有毒有害矿产品的堆放场所必须有防雨、防渗措施。2）对于承压含水层地下水水源地：禁止承压水和潜水的混合开采，作好潜水的止水措施。（3）准保护区内：禁止建设城市垃圾、粪便和易溶、有毒有害废弃物的堆放场站，因特殊需要设立转运站的，必须经有关部门批准，并采取防渗漏措施；当补给源为地表水体时，该地表水体水质不应低于《地表水环境质量标准》Ⅲ类标准；不得使用不符合《农田灌溉水质标准》的污水进行灌溉，合理使用化肥；保护水源林，禁止毁林开荒，禁止非更新砍伐水源林。</w:t>
            </w:r>
          </w:p>
          <w:p w14:paraId="5A28D17B">
            <w:pPr>
              <w:keepNext w:val="0"/>
              <w:keepLines w:val="0"/>
              <w:widowControl/>
              <w:suppressLineNumbers w:val="0"/>
              <w:jc w:val="left"/>
              <w:rPr>
                <w:rFonts w:hint="eastAsia" w:ascii="宋体" w:hAnsi="宋体" w:eastAsia="宋体" w:cs="宋体"/>
                <w:b/>
                <w:bCs/>
                <w:color w:val="auto"/>
                <w:kern w:val="0"/>
                <w:sz w:val="21"/>
                <w:szCs w:val="21"/>
                <w:highlight w:val="none"/>
                <w:lang w:val="en-US" w:eastAsia="zh-CN" w:bidi="ar"/>
              </w:rPr>
            </w:pPr>
            <w:r>
              <w:rPr>
                <w:rFonts w:hint="eastAsia" w:ascii="宋体" w:hAnsi="宋体" w:eastAsia="宋体" w:cs="宋体"/>
                <w:b/>
                <w:bCs/>
                <w:color w:val="auto"/>
                <w:kern w:val="0"/>
                <w:sz w:val="21"/>
                <w:szCs w:val="21"/>
                <w:highlight w:val="none"/>
                <w:lang w:val="en-US" w:eastAsia="zh-CN" w:bidi="ar"/>
              </w:rPr>
              <w:t>二、污染物排放管控</w:t>
            </w:r>
          </w:p>
          <w:p w14:paraId="6F0B392A">
            <w:pPr>
              <w:keepNext w:val="0"/>
              <w:keepLines w:val="0"/>
              <w:widowControl/>
              <w:suppressLineNumbers w:val="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p>
          <w:p w14:paraId="40EAC272">
            <w:pPr>
              <w:keepNext w:val="0"/>
              <w:keepLines w:val="0"/>
              <w:widowControl/>
              <w:suppressLineNumbers w:val="0"/>
              <w:jc w:val="left"/>
              <w:rPr>
                <w:rFonts w:hint="eastAsia" w:ascii="宋体" w:hAnsi="宋体" w:eastAsia="宋体" w:cs="宋体"/>
                <w:b/>
                <w:bCs/>
                <w:color w:val="auto"/>
                <w:kern w:val="0"/>
                <w:sz w:val="21"/>
                <w:szCs w:val="21"/>
                <w:highlight w:val="none"/>
                <w:lang w:val="en-US" w:eastAsia="zh-CN" w:bidi="ar"/>
              </w:rPr>
            </w:pPr>
            <w:r>
              <w:rPr>
                <w:rFonts w:hint="eastAsia" w:ascii="宋体" w:hAnsi="宋体" w:eastAsia="宋体" w:cs="宋体"/>
                <w:b/>
                <w:bCs/>
                <w:color w:val="auto"/>
                <w:kern w:val="0"/>
                <w:sz w:val="21"/>
                <w:szCs w:val="21"/>
                <w:highlight w:val="none"/>
                <w:lang w:val="en-US" w:eastAsia="zh-CN" w:bidi="ar"/>
              </w:rPr>
              <w:t>三、环境风险防控</w:t>
            </w:r>
          </w:p>
          <w:p w14:paraId="2B26D61A">
            <w:pPr>
              <w:keepNext w:val="0"/>
              <w:keepLines w:val="0"/>
              <w:widowControl/>
              <w:suppressLineNumbers w:val="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p>
          <w:p w14:paraId="46A5F8F8">
            <w:pPr>
              <w:keepNext w:val="0"/>
              <w:keepLines w:val="0"/>
              <w:widowControl/>
              <w:suppressLineNumbers w:val="0"/>
              <w:jc w:val="left"/>
              <w:rPr>
                <w:rFonts w:hint="eastAsia" w:ascii="宋体" w:hAnsi="宋体" w:eastAsia="宋体" w:cs="宋体"/>
                <w:b/>
                <w:bCs/>
                <w:color w:val="auto"/>
                <w:kern w:val="0"/>
                <w:sz w:val="21"/>
                <w:szCs w:val="21"/>
                <w:highlight w:val="none"/>
                <w:lang w:val="en-US" w:eastAsia="zh-CN" w:bidi="ar"/>
              </w:rPr>
            </w:pPr>
            <w:r>
              <w:rPr>
                <w:rFonts w:hint="eastAsia" w:ascii="宋体" w:hAnsi="宋体" w:eastAsia="宋体" w:cs="宋体"/>
                <w:b/>
                <w:bCs/>
                <w:color w:val="auto"/>
                <w:kern w:val="0"/>
                <w:sz w:val="21"/>
                <w:szCs w:val="21"/>
                <w:highlight w:val="none"/>
                <w:lang w:val="en-US" w:eastAsia="zh-CN" w:bidi="ar"/>
              </w:rPr>
              <w:t>四、资源开发效率要求</w:t>
            </w:r>
          </w:p>
          <w:p w14:paraId="0456C103">
            <w:pPr>
              <w:keepNext w:val="0"/>
              <w:keepLines w:val="0"/>
              <w:widowControl/>
              <w:suppressLineNumbers w:val="0"/>
              <w:jc w:val="left"/>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p>
        </w:tc>
        <w:tc>
          <w:tcPr>
            <w:tcW w:w="1530" w:type="pct"/>
            <w:tcBorders>
              <w:tl2br w:val="nil"/>
              <w:tr2bl w:val="nil"/>
            </w:tcBorders>
            <w:noWrap w:val="0"/>
            <w:vAlign w:val="center"/>
          </w:tcPr>
          <w:p w14:paraId="4A958F8A">
            <w:pPr>
              <w:bidi w:val="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本项目为</w:t>
            </w:r>
            <w:r>
              <w:rPr>
                <w:rFonts w:hint="eastAsia" w:ascii="Times New Roman" w:hAnsi="宋体" w:eastAsia="宋体" w:cs="Times New Roman"/>
                <w:color w:val="auto"/>
                <w:kern w:val="0"/>
                <w:sz w:val="21"/>
                <w:szCs w:val="21"/>
                <w:highlight w:val="none"/>
                <w:lang w:val="en-US" w:eastAsia="zh-CN"/>
              </w:rPr>
              <w:t>灰渣回填复垦利用项目，主要对</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 w:val="21"/>
                <w:szCs w:val="21"/>
                <w:highlight w:val="none"/>
                <w:lang w:val="en-US" w:eastAsia="zh-CN"/>
              </w:rPr>
              <w:t>进行生态修复，不属于与区域</w:t>
            </w:r>
            <w:r>
              <w:rPr>
                <w:rFonts w:hint="eastAsia" w:ascii="宋体" w:hAnsi="宋体" w:eastAsia="宋体" w:cs="宋体"/>
                <w:color w:val="auto"/>
                <w:kern w:val="0"/>
                <w:sz w:val="21"/>
                <w:szCs w:val="21"/>
                <w:highlight w:val="none"/>
                <w:lang w:val="en-US" w:eastAsia="zh-CN" w:bidi="ar"/>
              </w:rPr>
              <w:t>生态功能不一致的开发建设活动，本项目不新增占地，临时占地位于</w:t>
            </w:r>
            <w:r>
              <w:rPr>
                <w:rFonts w:hint="eastAsia" w:asciiTheme="minorEastAsia" w:hAnsiTheme="minorEastAsia" w:eastAsiaTheme="minorEastAsia" w:cstheme="minorEastAsia"/>
                <w:color w:val="auto"/>
                <w:szCs w:val="24"/>
                <w:highlight w:val="none"/>
              </w:rPr>
              <w:t>采砂坑</w:t>
            </w:r>
            <w:r>
              <w:rPr>
                <w:rFonts w:hint="eastAsia" w:ascii="宋体" w:hAnsi="宋体" w:eastAsia="宋体" w:cs="宋体"/>
                <w:color w:val="auto"/>
                <w:kern w:val="0"/>
                <w:sz w:val="21"/>
                <w:szCs w:val="21"/>
                <w:highlight w:val="none"/>
                <w:lang w:val="en-US" w:eastAsia="zh-CN" w:bidi="ar"/>
              </w:rPr>
              <w:t>内，不涉及周围林地、草地及农田的占用，</w:t>
            </w:r>
            <w:r>
              <w:rPr>
                <w:rFonts w:hint="default" w:ascii="Times New Roman" w:hAnsi="Times New Roman" w:eastAsia="宋体"/>
                <w:color w:val="auto"/>
                <w:sz w:val="21"/>
                <w:szCs w:val="21"/>
                <w:highlight w:val="none"/>
                <w:lang w:val="en-US" w:eastAsia="zh-CN"/>
              </w:rPr>
              <w:t>项目完成生态修复治理后，恢复</w:t>
            </w:r>
            <w:r>
              <w:rPr>
                <w:rFonts w:hint="eastAsia" w:ascii="Times New Roman" w:eastAsia="宋体"/>
                <w:color w:val="auto"/>
                <w:sz w:val="21"/>
                <w:szCs w:val="21"/>
                <w:highlight w:val="none"/>
                <w:lang w:val="en-US" w:eastAsia="zh-CN"/>
              </w:rPr>
              <w:t>为</w:t>
            </w:r>
            <w:r>
              <w:rPr>
                <w:rFonts w:hint="eastAsia" w:ascii="Times New Roman" w:hAnsi="Times New Roman" w:eastAsia="宋体"/>
                <w:color w:val="auto"/>
                <w:sz w:val="21"/>
                <w:szCs w:val="21"/>
                <w:highlight w:val="none"/>
                <w:lang w:val="en-US" w:eastAsia="zh-CN"/>
              </w:rPr>
              <w:t>林地，栽种</w:t>
            </w:r>
            <w:r>
              <w:rPr>
                <w:rFonts w:hint="eastAsia" w:ascii="Times New Roman" w:hAnsi="Times New Roman" w:eastAsia="宋体" w:cs="Times New Roman"/>
                <w:color w:val="auto"/>
                <w:sz w:val="21"/>
                <w:szCs w:val="21"/>
                <w:highlight w:val="none"/>
                <w:lang w:val="en-US" w:eastAsia="zh-CN" w:bidi="ar-SA"/>
              </w:rPr>
              <w:t>樟子松及针叶林，与当地自然景观相协调</w:t>
            </w:r>
            <w:r>
              <w:rPr>
                <w:rFonts w:hint="default" w:ascii="Times New Roman" w:hAnsi="Times New Roman" w:eastAsia="宋体"/>
                <w:color w:val="auto"/>
                <w:sz w:val="21"/>
                <w:szCs w:val="21"/>
                <w:highlight w:val="none"/>
                <w:lang w:val="en-US" w:eastAsia="zh-CN"/>
              </w:rPr>
              <w:t>。</w:t>
            </w:r>
          </w:p>
        </w:tc>
        <w:tc>
          <w:tcPr>
            <w:tcW w:w="348" w:type="pct"/>
            <w:tcBorders>
              <w:tl2br w:val="nil"/>
              <w:tr2bl w:val="nil"/>
            </w:tcBorders>
            <w:noWrap w:val="0"/>
            <w:vAlign w:val="center"/>
          </w:tcPr>
          <w:p w14:paraId="6ADDC466">
            <w:pPr>
              <w:bidi w:val="0"/>
              <w:jc w:val="center"/>
              <w:rPr>
                <w:rFonts w:hint="eastAsia" w:asciiTheme="minorEastAsia" w:hAnsiTheme="minorEastAsia" w:eastAsiaTheme="minorEastAsia" w:cstheme="minorEastAsia"/>
                <w:b w:val="0"/>
                <w:bCs w:val="0"/>
                <w:color w:val="auto"/>
                <w:sz w:val="21"/>
                <w:szCs w:val="21"/>
                <w:highlight w:val="none"/>
                <w:lang w:eastAsia="zh-CN"/>
              </w:rPr>
            </w:pPr>
            <w:r>
              <w:rPr>
                <w:rFonts w:hint="eastAsia" w:asciiTheme="minorEastAsia" w:hAnsiTheme="minorEastAsia" w:eastAsiaTheme="minorEastAsia" w:cstheme="minorEastAsia"/>
                <w:b w:val="0"/>
                <w:bCs w:val="0"/>
                <w:color w:val="auto"/>
                <w:sz w:val="21"/>
                <w:szCs w:val="21"/>
                <w:highlight w:val="none"/>
                <w:lang w:eastAsia="zh-CN"/>
              </w:rPr>
              <w:t>符合</w:t>
            </w:r>
          </w:p>
        </w:tc>
      </w:tr>
      <w:tr w14:paraId="7820AA4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98" w:type="pct"/>
            <w:tcBorders>
              <w:tl2br w:val="nil"/>
              <w:tr2bl w:val="nil"/>
            </w:tcBorders>
            <w:noWrap w:val="0"/>
            <w:vAlign w:val="center"/>
          </w:tcPr>
          <w:p w14:paraId="37BF9822">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color w:val="auto"/>
                <w:kern w:val="0"/>
                <w:sz w:val="21"/>
                <w:szCs w:val="21"/>
                <w:highlight w:val="none"/>
                <w:lang w:val="en-US" w:eastAsia="zh-CN" w:bidi="ar"/>
              </w:rPr>
              <w:t>ZH23018330002</w:t>
            </w:r>
          </w:p>
        </w:tc>
        <w:tc>
          <w:tcPr>
            <w:tcW w:w="449" w:type="pct"/>
            <w:tcBorders>
              <w:tl2br w:val="nil"/>
              <w:tr2bl w:val="nil"/>
            </w:tcBorders>
            <w:noWrap w:val="0"/>
            <w:vAlign w:val="center"/>
          </w:tcPr>
          <w:p w14:paraId="7D397473">
            <w:pPr>
              <w:keepNext w:val="0"/>
              <w:keepLines w:val="0"/>
              <w:widowControl/>
              <w:suppressLineNumbers w:val="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宋体" w:hAnsi="宋体" w:eastAsia="宋体" w:cs="宋体"/>
                <w:color w:val="auto"/>
                <w:kern w:val="0"/>
                <w:sz w:val="21"/>
                <w:szCs w:val="21"/>
                <w:highlight w:val="none"/>
                <w:lang w:val="en-US" w:eastAsia="zh-CN" w:bidi="ar"/>
              </w:rPr>
              <w:t>尚志市其他区域</w:t>
            </w:r>
          </w:p>
        </w:tc>
        <w:tc>
          <w:tcPr>
            <w:tcW w:w="399" w:type="pct"/>
            <w:tcBorders>
              <w:tl2br w:val="nil"/>
              <w:tr2bl w:val="nil"/>
            </w:tcBorders>
            <w:noWrap w:val="0"/>
            <w:vAlign w:val="center"/>
          </w:tcPr>
          <w:p w14:paraId="4DDCE036">
            <w:pPr>
              <w:bidi w:val="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一般管控单元</w:t>
            </w:r>
          </w:p>
        </w:tc>
        <w:tc>
          <w:tcPr>
            <w:tcW w:w="1872" w:type="pct"/>
            <w:tcBorders>
              <w:tl2br w:val="nil"/>
              <w:tr2bl w:val="nil"/>
            </w:tcBorders>
            <w:noWrap w:val="0"/>
            <w:vAlign w:val="center"/>
          </w:tcPr>
          <w:p w14:paraId="255BEB8D">
            <w:pPr>
              <w:keepNext w:val="0"/>
              <w:keepLines w:val="0"/>
              <w:widowControl/>
              <w:suppressLineNumbers w:val="0"/>
              <w:jc w:val="left"/>
              <w:rPr>
                <w:color w:val="auto"/>
                <w:sz w:val="21"/>
                <w:szCs w:val="21"/>
                <w:highlight w:val="none"/>
              </w:rPr>
            </w:pPr>
            <w:r>
              <w:rPr>
                <w:rFonts w:hint="eastAsia" w:ascii="宋体" w:hAnsi="宋体" w:eastAsia="宋体" w:cs="宋体"/>
                <w:b/>
                <w:bCs/>
                <w:color w:val="auto"/>
                <w:kern w:val="0"/>
                <w:sz w:val="21"/>
                <w:szCs w:val="21"/>
                <w:highlight w:val="none"/>
                <w:lang w:val="en-US" w:eastAsia="zh-CN" w:bidi="ar"/>
              </w:rPr>
              <w:t xml:space="preserve">一、空间布局约束 </w:t>
            </w:r>
          </w:p>
          <w:p w14:paraId="2C7E67E5">
            <w:pPr>
              <w:keepNext w:val="0"/>
              <w:keepLines w:val="0"/>
              <w:widowControl/>
              <w:suppressLineNumbers w:val="0"/>
              <w:jc w:val="left"/>
              <w:rPr>
                <w:color w:val="auto"/>
                <w:sz w:val="21"/>
                <w:szCs w:val="21"/>
                <w:highlight w:val="none"/>
              </w:rPr>
            </w:pPr>
            <w:r>
              <w:rPr>
                <w:rFonts w:hint="eastAsia" w:ascii="宋体" w:hAnsi="宋体" w:eastAsia="宋体" w:cs="宋体"/>
                <w:color w:val="auto"/>
                <w:kern w:val="0"/>
                <w:sz w:val="21"/>
                <w:szCs w:val="21"/>
                <w:highlight w:val="none"/>
                <w:lang w:val="en-US" w:eastAsia="zh-CN" w:bidi="ar"/>
              </w:rPr>
              <w:t>执行要求： 1.引导工业项目向开发区集中，促进产业集聚、资源集约、绿色发展。 2.强化节能环保标准约束，严格行业规范、准入管理和节能审查，对电力、钢铁、建材、有色、化工、石油石化、船舶、煤炭、印染、造纸、制革、染料、焦化、电镀等行业中，环保、能耗、安全等不达标或生产、使用淘汰类产品的企业和产能，要依法依规有序退出。</w:t>
            </w:r>
          </w:p>
          <w:p w14:paraId="5EB70A11">
            <w:pPr>
              <w:keepNext w:val="0"/>
              <w:keepLines w:val="0"/>
              <w:widowControl/>
              <w:suppressLineNumbers w:val="0"/>
              <w:jc w:val="left"/>
              <w:rPr>
                <w:color w:val="auto"/>
                <w:sz w:val="21"/>
                <w:szCs w:val="21"/>
                <w:highlight w:val="none"/>
              </w:rPr>
            </w:pPr>
            <w:r>
              <w:rPr>
                <w:rFonts w:hint="eastAsia" w:ascii="宋体" w:hAnsi="宋体" w:eastAsia="宋体" w:cs="宋体"/>
                <w:b/>
                <w:bCs/>
                <w:color w:val="auto"/>
                <w:kern w:val="0"/>
                <w:sz w:val="21"/>
                <w:szCs w:val="21"/>
                <w:highlight w:val="none"/>
                <w:lang w:val="en-US" w:eastAsia="zh-CN" w:bidi="ar"/>
              </w:rPr>
              <w:t>二、污染物排放管控</w:t>
            </w:r>
          </w:p>
          <w:p w14:paraId="5F4CFE25">
            <w:pPr>
              <w:pStyle w:val="2"/>
              <w:numPr>
                <w:ilvl w:val="0"/>
                <w:numId w:val="0"/>
              </w:numPr>
              <w:rPr>
                <w:rFonts w:hint="eastAsia"/>
                <w:color w:val="auto"/>
                <w:sz w:val="21"/>
                <w:szCs w:val="21"/>
                <w:highlight w:val="none"/>
                <w:lang w:val="en-US" w:eastAsia="zh-CN"/>
              </w:rPr>
            </w:pPr>
            <w:r>
              <w:rPr>
                <w:rFonts w:hint="eastAsia"/>
                <w:color w:val="auto"/>
                <w:sz w:val="21"/>
                <w:szCs w:val="21"/>
                <w:highlight w:val="none"/>
                <w:lang w:val="en-US" w:eastAsia="zh-CN"/>
              </w:rPr>
              <w:t>/</w:t>
            </w:r>
          </w:p>
          <w:p w14:paraId="5AF3CB15">
            <w:pPr>
              <w:keepNext w:val="0"/>
              <w:keepLines w:val="0"/>
              <w:widowControl/>
              <w:suppressLineNumbers w:val="0"/>
              <w:jc w:val="left"/>
              <w:rPr>
                <w:color w:val="auto"/>
                <w:sz w:val="21"/>
                <w:szCs w:val="21"/>
                <w:highlight w:val="none"/>
              </w:rPr>
            </w:pPr>
            <w:r>
              <w:rPr>
                <w:rFonts w:hint="eastAsia" w:ascii="宋体" w:hAnsi="宋体" w:eastAsia="宋体" w:cs="宋体"/>
                <w:b/>
                <w:bCs/>
                <w:color w:val="auto"/>
                <w:kern w:val="0"/>
                <w:sz w:val="21"/>
                <w:szCs w:val="21"/>
                <w:highlight w:val="none"/>
                <w:lang w:val="en-US" w:eastAsia="zh-CN" w:bidi="ar"/>
              </w:rPr>
              <w:t>三、环境风险防控</w:t>
            </w:r>
          </w:p>
          <w:p w14:paraId="3317A9B5">
            <w:pPr>
              <w:pStyle w:val="2"/>
              <w:numPr>
                <w:ilvl w:val="0"/>
                <w:numId w:val="0"/>
              </w:numPr>
              <w:rPr>
                <w:rFonts w:hint="eastAsia"/>
                <w:color w:val="auto"/>
                <w:sz w:val="21"/>
                <w:szCs w:val="21"/>
                <w:highlight w:val="none"/>
                <w:lang w:val="en-US" w:eastAsia="zh-CN"/>
              </w:rPr>
            </w:pPr>
            <w:r>
              <w:rPr>
                <w:rFonts w:hint="eastAsia"/>
                <w:color w:val="auto"/>
                <w:sz w:val="21"/>
                <w:szCs w:val="21"/>
                <w:highlight w:val="none"/>
                <w:lang w:val="en-US" w:eastAsia="zh-CN"/>
              </w:rPr>
              <w:t>/</w:t>
            </w:r>
          </w:p>
          <w:p w14:paraId="1F48E5EF">
            <w:pPr>
              <w:keepNext w:val="0"/>
              <w:keepLines w:val="0"/>
              <w:widowControl/>
              <w:suppressLineNumbers w:val="0"/>
              <w:jc w:val="left"/>
              <w:rPr>
                <w:color w:val="auto"/>
                <w:sz w:val="21"/>
                <w:szCs w:val="21"/>
                <w:highlight w:val="none"/>
              </w:rPr>
            </w:pPr>
            <w:r>
              <w:rPr>
                <w:rFonts w:hint="eastAsia" w:ascii="宋体" w:hAnsi="宋体" w:eastAsia="宋体" w:cs="宋体"/>
                <w:b/>
                <w:bCs/>
                <w:color w:val="auto"/>
                <w:kern w:val="0"/>
                <w:sz w:val="21"/>
                <w:szCs w:val="21"/>
                <w:highlight w:val="none"/>
                <w:lang w:val="en-US" w:eastAsia="zh-CN" w:bidi="ar"/>
              </w:rPr>
              <w:t>四、资源开发效率要求</w:t>
            </w:r>
          </w:p>
          <w:p w14:paraId="4A8BEA15">
            <w:pPr>
              <w:pStyle w:val="2"/>
              <w:numPr>
                <w:ilvl w:val="0"/>
                <w:numId w:val="0"/>
              </w:numPr>
              <w:rPr>
                <w:rFonts w:hint="eastAsia"/>
                <w:color w:val="auto"/>
                <w:sz w:val="21"/>
                <w:szCs w:val="21"/>
                <w:highlight w:val="none"/>
                <w:lang w:val="en-US" w:eastAsia="zh-CN"/>
              </w:rPr>
            </w:pPr>
            <w:r>
              <w:rPr>
                <w:rFonts w:hint="eastAsia"/>
                <w:color w:val="auto"/>
                <w:sz w:val="21"/>
                <w:szCs w:val="21"/>
                <w:highlight w:val="none"/>
                <w:lang w:val="en-US" w:eastAsia="zh-CN"/>
              </w:rPr>
              <w:t>/</w:t>
            </w:r>
          </w:p>
        </w:tc>
        <w:tc>
          <w:tcPr>
            <w:tcW w:w="1530" w:type="pct"/>
            <w:tcBorders>
              <w:tl2br w:val="nil"/>
              <w:tr2bl w:val="nil"/>
            </w:tcBorders>
            <w:noWrap w:val="0"/>
            <w:vAlign w:val="center"/>
          </w:tcPr>
          <w:p w14:paraId="57D94F12">
            <w:pPr>
              <w:bidi w:val="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不涉及</w:t>
            </w:r>
          </w:p>
        </w:tc>
        <w:tc>
          <w:tcPr>
            <w:tcW w:w="348" w:type="pct"/>
            <w:tcBorders>
              <w:tl2br w:val="nil"/>
              <w:tr2bl w:val="nil"/>
            </w:tcBorders>
            <w:noWrap w:val="0"/>
            <w:vAlign w:val="center"/>
          </w:tcPr>
          <w:p w14:paraId="79D67ECF">
            <w:pPr>
              <w:bidi w:val="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符合</w:t>
            </w:r>
          </w:p>
        </w:tc>
      </w:tr>
    </w:tbl>
    <w:p w14:paraId="728AD724">
      <w:pPr>
        <w:pStyle w:val="8"/>
        <w:numPr>
          <w:ilvl w:val="0"/>
          <w:numId w:val="0"/>
        </w:numPr>
        <w:bidi w:val="0"/>
        <w:ind w:leftChars="0"/>
        <w:rPr>
          <w:rFonts w:ascii="Times New Roman"/>
          <w:b/>
          <w:bCs/>
          <w:color w:val="auto"/>
          <w:highlight w:val="none"/>
        </w:rPr>
      </w:pPr>
      <w:r>
        <w:rPr>
          <w:rFonts w:hint="eastAsia" w:asciiTheme="minorEastAsia" w:hAnsiTheme="minorEastAsia" w:eastAsiaTheme="minorEastAsia" w:cstheme="minorEastAsia"/>
          <w:b/>
          <w:snapToGrid w:val="0"/>
          <w:color w:val="auto"/>
          <w:highlight w:val="none"/>
        </w:rPr>
        <w:t>1.4.</w:t>
      </w:r>
      <w:r>
        <w:rPr>
          <w:rFonts w:hint="eastAsia" w:asciiTheme="minorEastAsia" w:hAnsiTheme="minorEastAsia" w:eastAsiaTheme="minorEastAsia" w:cstheme="minorEastAsia"/>
          <w:b/>
          <w:snapToGrid w:val="0"/>
          <w:color w:val="auto"/>
          <w:highlight w:val="none"/>
          <w:lang w:val="en-US" w:eastAsia="zh-CN"/>
        </w:rPr>
        <w:t>2</w:t>
      </w:r>
      <w:r>
        <w:rPr>
          <w:rFonts w:hint="eastAsia" w:asciiTheme="minorEastAsia" w:hAnsiTheme="minorEastAsia" w:eastAsiaTheme="minorEastAsia" w:cstheme="minorEastAsia"/>
          <w:b/>
          <w:snapToGrid w:val="0"/>
          <w:color w:val="auto"/>
          <w:highlight w:val="none"/>
        </w:rPr>
        <w:t>.1</w:t>
      </w:r>
      <w:r>
        <w:rPr>
          <w:rFonts w:hint="eastAsia" w:asciiTheme="minorEastAsia" w:hAnsiTheme="minorEastAsia" w:eastAsiaTheme="minorEastAsia" w:cstheme="minorEastAsia"/>
          <w:b/>
          <w:snapToGrid w:val="0"/>
          <w:color w:val="auto"/>
          <w:highlight w:val="none"/>
          <w:lang w:val="en-US" w:eastAsia="zh-CN"/>
        </w:rPr>
        <w:t>8</w:t>
      </w:r>
      <w:r>
        <w:rPr>
          <w:rFonts w:ascii="Times New Roman"/>
          <w:b/>
          <w:bCs/>
          <w:color w:val="auto"/>
          <w:highlight w:val="none"/>
        </w:rPr>
        <w:t>与</w:t>
      </w:r>
      <w:r>
        <w:rPr>
          <w:rFonts w:hint="eastAsia" w:ascii="Times New Roman"/>
          <w:b/>
          <w:bCs/>
          <w:color w:val="auto"/>
          <w:highlight w:val="none"/>
        </w:rPr>
        <w:t>《哈尔滨市国土空间总体规划（2021</w:t>
      </w:r>
      <w:r>
        <w:rPr>
          <w:rFonts w:hint="eastAsia" w:ascii="Times New Roman"/>
          <w:b/>
          <w:bCs/>
          <w:color w:val="auto"/>
          <w:highlight w:val="none"/>
          <w:lang w:eastAsia="zh-CN"/>
        </w:rPr>
        <w:t>—</w:t>
      </w:r>
      <w:r>
        <w:rPr>
          <w:rFonts w:hint="eastAsia" w:ascii="Times New Roman"/>
          <w:b/>
          <w:bCs/>
          <w:color w:val="auto"/>
          <w:highlight w:val="none"/>
        </w:rPr>
        <w:t>2035年）》《</w:t>
      </w:r>
      <w:r>
        <w:rPr>
          <w:rFonts w:hint="eastAsia" w:ascii="Times New Roman"/>
          <w:b/>
          <w:bCs/>
          <w:color w:val="auto"/>
          <w:highlight w:val="none"/>
          <w:lang w:val="en-US" w:eastAsia="zh-CN"/>
        </w:rPr>
        <w:t>尚志市</w:t>
      </w:r>
      <w:r>
        <w:rPr>
          <w:rFonts w:hint="eastAsia" w:ascii="Times New Roman"/>
          <w:b/>
          <w:bCs/>
          <w:color w:val="auto"/>
          <w:highlight w:val="none"/>
        </w:rPr>
        <w:t>国土空间总体规划（2021—2035 年）》</w:t>
      </w:r>
      <w:r>
        <w:rPr>
          <w:rFonts w:ascii="Times New Roman"/>
          <w:b/>
          <w:bCs/>
          <w:color w:val="auto"/>
          <w:highlight w:val="none"/>
        </w:rPr>
        <w:t>符合性判定</w:t>
      </w:r>
    </w:p>
    <w:p w14:paraId="356DDB13">
      <w:pPr>
        <w:pStyle w:val="28"/>
        <w:spacing w:line="360" w:lineRule="auto"/>
        <w:ind w:firstLine="482" w:firstLineChars="200"/>
        <w:rPr>
          <w:rFonts w:hint="eastAsia" w:ascii="宋体" w:hAnsi="Times New Roman" w:eastAsia="宋体" w:cs="Times New Roman"/>
          <w:color w:val="auto"/>
          <w:kern w:val="0"/>
          <w:sz w:val="24"/>
          <w:szCs w:val="20"/>
          <w:highlight w:val="none"/>
          <w:lang w:val="en-US" w:eastAsia="zh-CN" w:bidi="ar-SA"/>
        </w:rPr>
      </w:pPr>
      <w:r>
        <w:rPr>
          <w:rFonts w:hint="eastAsia" w:cs="Times New Roman"/>
          <w:b/>
          <w:bCs/>
          <w:color w:val="auto"/>
          <w:kern w:val="0"/>
          <w:sz w:val="24"/>
          <w:szCs w:val="20"/>
          <w:highlight w:val="none"/>
          <w:lang w:val="en-US" w:eastAsia="zh-CN" w:bidi="ar-SA"/>
        </w:rPr>
        <w:t>文件</w:t>
      </w:r>
      <w:r>
        <w:rPr>
          <w:rFonts w:hint="eastAsia" w:ascii="宋体" w:hAnsi="Times New Roman" w:eastAsia="宋体" w:cs="Times New Roman"/>
          <w:b/>
          <w:bCs/>
          <w:color w:val="auto"/>
          <w:kern w:val="0"/>
          <w:sz w:val="24"/>
          <w:szCs w:val="20"/>
          <w:highlight w:val="none"/>
          <w:lang w:val="en-US" w:eastAsia="zh-CN" w:bidi="ar-SA"/>
        </w:rPr>
        <w:t>要求：</w:t>
      </w:r>
      <w:r>
        <w:rPr>
          <w:rFonts w:hint="eastAsia" w:ascii="宋体" w:hAnsi="Times New Roman" w:eastAsia="宋体" w:cs="Times New Roman"/>
          <w:color w:val="auto"/>
          <w:kern w:val="0"/>
          <w:sz w:val="24"/>
          <w:szCs w:val="20"/>
          <w:highlight w:val="none"/>
          <w:lang w:val="en-US" w:eastAsia="zh-CN" w:bidi="ar-SA"/>
        </w:rPr>
        <w:t>第52条 生态修复重点区域</w:t>
      </w:r>
    </w:p>
    <w:p w14:paraId="3495D33B">
      <w:pPr>
        <w:pStyle w:val="28"/>
        <w:spacing w:line="360" w:lineRule="auto"/>
        <w:ind w:firstLine="480" w:firstLineChars="200"/>
        <w:rPr>
          <w:rFonts w:hint="eastAsia" w:ascii="宋体" w:hAnsi="Times New Roman" w:eastAsia="宋体" w:cs="Times New Roman"/>
          <w:color w:val="auto"/>
          <w:kern w:val="0"/>
          <w:sz w:val="24"/>
          <w:szCs w:val="20"/>
          <w:highlight w:val="none"/>
          <w:lang w:val="en-US" w:eastAsia="zh-CN" w:bidi="ar-SA"/>
        </w:rPr>
      </w:pPr>
      <w:r>
        <w:rPr>
          <w:rFonts w:hint="eastAsia" w:ascii="宋体" w:hAnsi="Times New Roman" w:eastAsia="宋体" w:cs="Times New Roman"/>
          <w:color w:val="auto"/>
          <w:kern w:val="0"/>
          <w:sz w:val="24"/>
          <w:szCs w:val="20"/>
          <w:highlight w:val="none"/>
          <w:lang w:val="en-US" w:eastAsia="zh-CN" w:bidi="ar-SA"/>
        </w:rPr>
        <w:t>按照山水林田湖草沙生命共同体理念，结合自然地理格局和生态问题识别，重点加强湿地生态修复重点区、水土流失治理重点区、森林生态修复重点区、水环境和水生态修复重点区以及矿山生态修复治理区系统修复。到2035年，全市森林、草原、河湖、湿地等生态服务功能显著提高，生态稳定性明显增强。</w:t>
      </w:r>
    </w:p>
    <w:p w14:paraId="40A4BA83">
      <w:pPr>
        <w:pStyle w:val="28"/>
        <w:spacing w:line="360" w:lineRule="auto"/>
        <w:ind w:firstLine="482" w:firstLineChars="200"/>
        <w:rPr>
          <w:rFonts w:ascii="宋体" w:hAnsi="Times New Roman" w:eastAsia="宋体" w:cs="Times New Roman"/>
          <w:color w:val="auto"/>
          <w:kern w:val="0"/>
          <w:sz w:val="24"/>
          <w:szCs w:val="20"/>
          <w:highlight w:val="none"/>
          <w:lang w:val="zh-CN" w:eastAsia="zh-CN" w:bidi="ar-SA"/>
        </w:rPr>
      </w:pPr>
      <w:r>
        <w:rPr>
          <w:b/>
          <w:bCs/>
          <w:color w:val="auto"/>
          <w:highlight w:val="none"/>
          <w:lang w:val="zh-CN"/>
        </w:rPr>
        <w:t>符合性分析</w:t>
      </w:r>
      <w:r>
        <w:rPr>
          <w:rFonts w:hint="eastAsia"/>
          <w:b/>
          <w:bCs/>
          <w:color w:val="auto"/>
          <w:highlight w:val="none"/>
          <w:lang w:val="zh-CN"/>
        </w:rPr>
        <w:t>：</w:t>
      </w:r>
      <w:r>
        <w:rPr>
          <w:rFonts w:hint="eastAsia"/>
          <w:color w:val="auto"/>
          <w:highlight w:val="none"/>
          <w:lang w:val="zh-CN"/>
        </w:rPr>
        <w:t>本项目是利用锅炉灰渣作为回填材料</w:t>
      </w:r>
      <w:r>
        <w:rPr>
          <w:rFonts w:hint="eastAsia"/>
          <w:color w:val="auto"/>
          <w:highlight w:val="none"/>
          <w:lang w:val="en-US" w:eastAsia="zh-CN"/>
        </w:rPr>
        <w:t>对废</w:t>
      </w:r>
      <w:r>
        <w:rPr>
          <w:rFonts w:hint="eastAsia" w:asciiTheme="minorEastAsia" w:hAnsiTheme="minorEastAsia" w:eastAsiaTheme="minorEastAsia" w:cstheme="minorEastAsia"/>
          <w:color w:val="auto"/>
          <w:szCs w:val="24"/>
          <w:highlight w:val="none"/>
        </w:rPr>
        <w:t>采砂坑</w:t>
      </w:r>
      <w:r>
        <w:rPr>
          <w:rFonts w:hint="eastAsia"/>
          <w:color w:val="auto"/>
          <w:highlight w:val="none"/>
          <w:lang w:val="en-US" w:eastAsia="zh-CN"/>
        </w:rPr>
        <w:t>进行生态修复，</w:t>
      </w:r>
      <w:r>
        <w:rPr>
          <w:rFonts w:hint="default" w:ascii="宋体" w:hAnsi="Times New Roman" w:eastAsia="宋体" w:cs="Times New Roman"/>
          <w:color w:val="auto"/>
          <w:kern w:val="0"/>
          <w:sz w:val="24"/>
          <w:szCs w:val="20"/>
          <w:highlight w:val="none"/>
          <w:lang w:val="en-US" w:eastAsia="zh-CN" w:bidi="ar-SA"/>
        </w:rPr>
        <w:t>项目完成生态修复治理后，可</w:t>
      </w:r>
      <w:r>
        <w:rPr>
          <w:rFonts w:hint="eastAsia" w:ascii="宋体" w:hAnsi="Times New Roman" w:eastAsia="宋体" w:cs="Times New Roman"/>
          <w:color w:val="auto"/>
          <w:kern w:val="0"/>
          <w:sz w:val="24"/>
          <w:szCs w:val="20"/>
          <w:highlight w:val="none"/>
          <w:lang w:val="en-US" w:eastAsia="zh-CN" w:bidi="ar-SA"/>
        </w:rPr>
        <w:t>将废弃</w:t>
      </w:r>
      <w:r>
        <w:rPr>
          <w:rFonts w:hint="eastAsia" w:asciiTheme="minorEastAsia" w:hAnsiTheme="minorEastAsia" w:eastAsiaTheme="minorEastAsia" w:cstheme="minorEastAsia"/>
          <w:color w:val="auto"/>
          <w:szCs w:val="24"/>
          <w:highlight w:val="none"/>
        </w:rPr>
        <w:t>采砂坑</w:t>
      </w:r>
      <w:r>
        <w:rPr>
          <w:rFonts w:hint="eastAsia" w:ascii="宋体" w:hAnsi="Times New Roman" w:eastAsia="宋体" w:cs="Times New Roman"/>
          <w:color w:val="auto"/>
          <w:kern w:val="0"/>
          <w:sz w:val="24"/>
          <w:szCs w:val="20"/>
          <w:highlight w:val="none"/>
          <w:lang w:val="en-US" w:eastAsia="zh-CN" w:bidi="ar-SA"/>
        </w:rPr>
        <w:t>区域恢复成林地地貌</w:t>
      </w:r>
      <w:r>
        <w:rPr>
          <w:rFonts w:hint="default" w:ascii="宋体" w:hAnsi="Times New Roman" w:eastAsia="宋体" w:cs="Times New Roman"/>
          <w:color w:val="auto"/>
          <w:kern w:val="0"/>
          <w:sz w:val="24"/>
          <w:szCs w:val="20"/>
          <w:highlight w:val="none"/>
          <w:lang w:val="en-US" w:eastAsia="zh-CN" w:bidi="ar-SA"/>
        </w:rPr>
        <w:t>。</w:t>
      </w:r>
      <w:r>
        <w:rPr>
          <w:rFonts w:hint="eastAsia" w:ascii="宋体" w:hAnsi="Times New Roman" w:eastAsia="宋体" w:cs="Times New Roman"/>
          <w:color w:val="auto"/>
          <w:kern w:val="0"/>
          <w:sz w:val="24"/>
          <w:szCs w:val="20"/>
          <w:highlight w:val="none"/>
          <w:lang w:val="en-US" w:eastAsia="zh-CN" w:bidi="ar-SA"/>
        </w:rPr>
        <w:t>将</w:t>
      </w:r>
      <w:r>
        <w:rPr>
          <w:rFonts w:ascii="宋体" w:hAnsi="Times New Roman" w:eastAsia="宋体" w:cs="Times New Roman"/>
          <w:color w:val="auto"/>
          <w:kern w:val="0"/>
          <w:sz w:val="24"/>
          <w:szCs w:val="20"/>
          <w:highlight w:val="none"/>
          <w:lang w:val="zh-CN" w:eastAsia="zh-CN" w:bidi="ar-SA"/>
        </w:rPr>
        <w:t>已损毁的土地修复为可利用的土地资源，</w:t>
      </w:r>
      <w:r>
        <w:rPr>
          <w:rFonts w:hint="eastAsia" w:ascii="宋体" w:hAnsi="Times New Roman" w:eastAsia="宋体" w:cs="Times New Roman"/>
          <w:color w:val="auto"/>
          <w:kern w:val="0"/>
          <w:sz w:val="24"/>
          <w:szCs w:val="20"/>
          <w:highlight w:val="none"/>
          <w:lang w:val="zh-CN" w:eastAsia="zh-CN" w:bidi="ar-SA"/>
        </w:rPr>
        <w:t>使</w:t>
      </w:r>
      <w:r>
        <w:rPr>
          <w:rFonts w:ascii="宋体" w:hAnsi="Times New Roman" w:eastAsia="宋体" w:cs="Times New Roman"/>
          <w:color w:val="auto"/>
          <w:kern w:val="0"/>
          <w:sz w:val="24"/>
          <w:szCs w:val="20"/>
          <w:highlight w:val="none"/>
          <w:lang w:val="zh-CN" w:eastAsia="zh-CN" w:bidi="ar-SA"/>
        </w:rPr>
        <w:t>土地的利用率提高</w:t>
      </w:r>
      <w:r>
        <w:rPr>
          <w:rFonts w:hint="eastAsia" w:ascii="宋体" w:hAnsi="Times New Roman" w:eastAsia="宋体" w:cs="Times New Roman"/>
          <w:color w:val="auto"/>
          <w:kern w:val="0"/>
          <w:sz w:val="24"/>
          <w:szCs w:val="20"/>
          <w:highlight w:val="none"/>
          <w:lang w:val="zh-CN" w:eastAsia="zh-CN" w:bidi="ar-SA"/>
        </w:rPr>
        <w:t>至100%</w:t>
      </w:r>
      <w:r>
        <w:rPr>
          <w:rFonts w:ascii="宋体" w:hAnsi="Times New Roman" w:eastAsia="宋体" w:cs="Times New Roman"/>
          <w:color w:val="auto"/>
          <w:kern w:val="0"/>
          <w:sz w:val="24"/>
          <w:szCs w:val="20"/>
          <w:highlight w:val="none"/>
          <w:lang w:val="zh-CN" w:eastAsia="zh-CN" w:bidi="ar-SA"/>
        </w:rPr>
        <w:t>。</w:t>
      </w:r>
    </w:p>
    <w:p w14:paraId="45339D57">
      <w:pPr>
        <w:pStyle w:val="28"/>
        <w:spacing w:line="360" w:lineRule="auto"/>
        <w:ind w:firstLine="480" w:firstLineChars="200"/>
        <w:rPr>
          <w:rFonts w:hint="eastAsia" w:ascii="宋体" w:hAnsi="Times New Roman" w:eastAsia="宋体" w:cs="Times New Roman"/>
          <w:color w:val="auto"/>
          <w:kern w:val="0"/>
          <w:sz w:val="24"/>
          <w:szCs w:val="20"/>
          <w:highlight w:val="none"/>
          <w:lang w:val="en-US" w:eastAsia="zh-CN" w:bidi="ar-SA"/>
        </w:rPr>
      </w:pPr>
      <w:r>
        <w:rPr>
          <w:rFonts w:hint="eastAsia" w:ascii="宋体" w:hAnsi="Times New Roman" w:eastAsia="宋体" w:cs="Times New Roman"/>
          <w:color w:val="auto"/>
          <w:kern w:val="0"/>
          <w:sz w:val="24"/>
          <w:szCs w:val="20"/>
          <w:highlight w:val="none"/>
          <w:lang w:val="en-US" w:eastAsia="zh-CN" w:bidi="ar-SA"/>
        </w:rPr>
        <w:t>综上，本项目与</w:t>
      </w:r>
      <w:r>
        <w:rPr>
          <w:rFonts w:hint="default" w:ascii="宋体" w:hAnsi="Times New Roman" w:eastAsia="宋体" w:cs="Times New Roman"/>
          <w:color w:val="auto"/>
          <w:kern w:val="0"/>
          <w:sz w:val="24"/>
          <w:szCs w:val="20"/>
          <w:highlight w:val="none"/>
          <w:lang w:val="en-US" w:eastAsia="zh-CN" w:bidi="ar-SA"/>
        </w:rPr>
        <w:t>《</w:t>
      </w:r>
      <w:r>
        <w:rPr>
          <w:rFonts w:hint="eastAsia" w:ascii="宋体" w:hAnsi="Times New Roman" w:eastAsia="宋体" w:cs="Times New Roman"/>
          <w:color w:val="auto"/>
          <w:kern w:val="0"/>
          <w:sz w:val="24"/>
          <w:szCs w:val="20"/>
          <w:highlight w:val="none"/>
          <w:lang w:val="en-US" w:eastAsia="zh-CN" w:bidi="ar-SA"/>
        </w:rPr>
        <w:t>哈尔滨市国土空间总体规划（2021—2035年）</w:t>
      </w:r>
      <w:r>
        <w:rPr>
          <w:rFonts w:hint="default" w:ascii="宋体" w:hAnsi="Times New Roman" w:eastAsia="宋体" w:cs="Times New Roman"/>
          <w:color w:val="auto"/>
          <w:kern w:val="0"/>
          <w:sz w:val="24"/>
          <w:szCs w:val="20"/>
          <w:highlight w:val="none"/>
          <w:lang w:val="en-US" w:eastAsia="zh-CN" w:bidi="ar-SA"/>
        </w:rPr>
        <w:t>》</w:t>
      </w:r>
      <w:r>
        <w:rPr>
          <w:rFonts w:hint="eastAsia" w:ascii="宋体" w:hAnsi="Times New Roman" w:eastAsia="宋体" w:cs="Times New Roman"/>
          <w:color w:val="auto"/>
          <w:kern w:val="0"/>
          <w:sz w:val="24"/>
          <w:szCs w:val="20"/>
          <w:highlight w:val="none"/>
          <w:lang w:val="zh-CN" w:eastAsia="zh-CN" w:bidi="ar-SA"/>
        </w:rPr>
        <w:t>《</w:t>
      </w:r>
      <w:r>
        <w:rPr>
          <w:rFonts w:hint="eastAsia" w:ascii="宋体" w:hAnsi="Times New Roman" w:eastAsia="宋体" w:cs="Times New Roman"/>
          <w:color w:val="auto"/>
          <w:kern w:val="0"/>
          <w:sz w:val="24"/>
          <w:szCs w:val="20"/>
          <w:highlight w:val="none"/>
          <w:lang w:val="en-US" w:eastAsia="zh-CN" w:bidi="ar-SA"/>
        </w:rPr>
        <w:t>尚志市</w:t>
      </w:r>
      <w:r>
        <w:rPr>
          <w:rFonts w:hint="eastAsia" w:ascii="宋体" w:hAnsi="Times New Roman" w:eastAsia="宋体" w:cs="Times New Roman"/>
          <w:color w:val="auto"/>
          <w:kern w:val="0"/>
          <w:sz w:val="24"/>
          <w:szCs w:val="20"/>
          <w:highlight w:val="none"/>
          <w:lang w:val="zh-CN" w:eastAsia="zh-CN" w:bidi="ar-SA"/>
        </w:rPr>
        <w:t>国土空间总体规划（2021—2035 年）》</w:t>
      </w:r>
      <w:r>
        <w:rPr>
          <w:rFonts w:hint="eastAsia" w:ascii="宋体" w:hAnsi="Times New Roman" w:eastAsia="宋体" w:cs="Times New Roman"/>
          <w:color w:val="auto"/>
          <w:kern w:val="0"/>
          <w:sz w:val="24"/>
          <w:szCs w:val="20"/>
          <w:highlight w:val="none"/>
          <w:lang w:val="en-US" w:eastAsia="zh-CN" w:bidi="ar-SA"/>
        </w:rPr>
        <w:t>相符合。</w:t>
      </w:r>
    </w:p>
    <w:p w14:paraId="75074A73">
      <w:pPr>
        <w:shd w:val="clear" w:color="auto" w:fill="auto"/>
        <w:autoSpaceDE w:val="0"/>
        <w:autoSpaceDN w:val="0"/>
        <w:adjustRightInd w:val="0"/>
        <w:snapToGrid w:val="0"/>
        <w:spacing w:line="360" w:lineRule="auto"/>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1.4.</w:t>
      </w:r>
      <w:r>
        <w:rPr>
          <w:rFonts w:hint="eastAsia" w:asciiTheme="minorEastAsia" w:hAnsiTheme="minorEastAsia" w:eastAsiaTheme="minorEastAsia" w:cstheme="minorEastAsia"/>
          <w:b/>
          <w:snapToGrid w:val="0"/>
          <w:color w:val="auto"/>
          <w:highlight w:val="none"/>
          <w:lang w:val="en-US" w:eastAsia="zh-CN"/>
        </w:rPr>
        <w:t>2</w:t>
      </w:r>
      <w:r>
        <w:rPr>
          <w:rFonts w:hint="eastAsia" w:asciiTheme="minorEastAsia" w:hAnsiTheme="minorEastAsia" w:eastAsiaTheme="minorEastAsia" w:cstheme="minorEastAsia"/>
          <w:b/>
          <w:snapToGrid w:val="0"/>
          <w:color w:val="auto"/>
          <w:highlight w:val="none"/>
        </w:rPr>
        <w:t>.1</w:t>
      </w:r>
      <w:r>
        <w:rPr>
          <w:rFonts w:hint="eastAsia" w:asciiTheme="minorEastAsia" w:hAnsiTheme="minorEastAsia" w:eastAsiaTheme="minorEastAsia" w:cstheme="minorEastAsia"/>
          <w:b/>
          <w:snapToGrid w:val="0"/>
          <w:color w:val="auto"/>
          <w:highlight w:val="none"/>
          <w:lang w:val="en-US" w:eastAsia="zh-CN"/>
        </w:rPr>
        <w:t>9与《关于“十四五”大宗固体废弃物综合利用的指导意见》符合性分析</w:t>
      </w:r>
    </w:p>
    <w:p w14:paraId="5D607B0E">
      <w:pPr>
        <w:pStyle w:val="217"/>
        <w:rPr>
          <w:b/>
          <w:bCs/>
          <w:color w:val="auto"/>
          <w:highlight w:val="none"/>
          <w:lang w:val="zh-CN"/>
        </w:rPr>
      </w:pPr>
      <w:r>
        <w:rPr>
          <w:rFonts w:hint="eastAsia"/>
          <w:b/>
          <w:bCs/>
          <w:color w:val="auto"/>
          <w:highlight w:val="none"/>
          <w:lang w:val="en-US" w:eastAsia="zh-CN"/>
        </w:rPr>
        <w:t>文件要求</w:t>
      </w:r>
      <w:r>
        <w:rPr>
          <w:rFonts w:hint="eastAsia"/>
          <w:b/>
          <w:bCs/>
          <w:color w:val="auto"/>
          <w:highlight w:val="none"/>
          <w:lang w:val="zh-CN"/>
        </w:rPr>
        <w:t>：</w:t>
      </w:r>
    </w:p>
    <w:p w14:paraId="0E5F6F26">
      <w:pPr>
        <w:pStyle w:val="217"/>
        <w:rPr>
          <w:color w:val="auto"/>
          <w:highlight w:val="none"/>
          <w:lang w:val="zh-CN"/>
        </w:rPr>
      </w:pPr>
      <w:r>
        <w:rPr>
          <w:color w:val="auto"/>
          <w:highlight w:val="none"/>
          <w:lang w:val="zh-CN"/>
        </w:rPr>
        <w:t>（五）主要目标。到2025年，煤矸石、粉煤灰、尾矿（共伴生矿）、冶炼渣、工业副产石膏、建筑垃圾、农作物秸秆等大宗固废的综合利用能力显著提升，利用规模不断扩大，新增大宗固废综合利用率达到60%，存量大宗固废有序减少。</w:t>
      </w:r>
    </w:p>
    <w:p w14:paraId="34E42E5D">
      <w:pPr>
        <w:pStyle w:val="217"/>
        <w:rPr>
          <w:color w:val="auto"/>
          <w:highlight w:val="none"/>
          <w:lang w:val="zh-CN"/>
        </w:rPr>
      </w:pPr>
      <w:r>
        <w:rPr>
          <w:rFonts w:hint="eastAsia"/>
          <w:color w:val="auto"/>
          <w:highlight w:val="none"/>
          <w:lang w:val="zh-CN"/>
        </w:rPr>
        <w:t>加强建筑垃圾分类处理和回收利用，规范建筑垃圾堆存、中转和资源化利用场所建设和运营，推动建筑垃圾综合利用产品应用。鼓励建筑垃圾再生骨料及制品在建筑工程和道路工程中的应用，以及将建筑垃圾用于土方平衡、林业用土、环境治理、烧结制品及回填等，不断提高利用质量、扩大资源化利用规模。</w:t>
      </w:r>
    </w:p>
    <w:p w14:paraId="4497FE03">
      <w:pPr>
        <w:pStyle w:val="217"/>
        <w:rPr>
          <w:color w:val="auto"/>
          <w:highlight w:val="none"/>
          <w:lang w:val="zh-CN"/>
        </w:rPr>
      </w:pPr>
      <w:r>
        <w:rPr>
          <w:b/>
          <w:bCs/>
          <w:color w:val="auto"/>
          <w:highlight w:val="none"/>
          <w:lang w:val="zh-CN"/>
        </w:rPr>
        <w:t>符合性分析</w:t>
      </w:r>
      <w:r>
        <w:rPr>
          <w:rFonts w:hint="eastAsia"/>
          <w:b/>
          <w:bCs/>
          <w:color w:val="auto"/>
          <w:highlight w:val="none"/>
          <w:lang w:val="zh-CN"/>
        </w:rPr>
        <w:t>：</w:t>
      </w:r>
      <w:r>
        <w:rPr>
          <w:rFonts w:hint="eastAsia"/>
          <w:color w:val="auto"/>
          <w:highlight w:val="none"/>
          <w:lang w:val="zh-CN"/>
        </w:rPr>
        <w:t>本项目是利用锅炉灰渣作为回填材料</w:t>
      </w:r>
      <w:r>
        <w:rPr>
          <w:rFonts w:hint="eastAsia"/>
          <w:color w:val="auto"/>
          <w:highlight w:val="none"/>
          <w:lang w:val="en-US" w:eastAsia="zh-CN"/>
        </w:rPr>
        <w:t>对废</w:t>
      </w:r>
      <w:r>
        <w:rPr>
          <w:rFonts w:hint="eastAsia" w:asciiTheme="minorEastAsia" w:hAnsiTheme="minorEastAsia" w:eastAsiaTheme="minorEastAsia" w:cstheme="minorEastAsia"/>
          <w:color w:val="auto"/>
          <w:szCs w:val="24"/>
          <w:highlight w:val="none"/>
        </w:rPr>
        <w:t>采砂坑</w:t>
      </w:r>
      <w:r>
        <w:rPr>
          <w:rFonts w:hint="eastAsia"/>
          <w:color w:val="auto"/>
          <w:highlight w:val="none"/>
          <w:lang w:val="en-US" w:eastAsia="zh-CN"/>
        </w:rPr>
        <w:t>进行生态修复，即可以使一般工业固体废物得到规范处置，又实现废弃资源综合利用，同时通过对废弃</w:t>
      </w:r>
      <w:r>
        <w:rPr>
          <w:rFonts w:hint="eastAsia" w:ascii="Times New Roman"/>
          <w:color w:val="auto"/>
          <w:highlight w:val="none"/>
          <w:lang w:val="en-US" w:eastAsia="zh-CN"/>
        </w:rPr>
        <w:t>采砂坑</w:t>
      </w:r>
      <w:r>
        <w:rPr>
          <w:rFonts w:hint="eastAsia"/>
          <w:color w:val="auto"/>
          <w:highlight w:val="none"/>
          <w:lang w:val="en-US" w:eastAsia="zh-CN"/>
        </w:rPr>
        <w:t>合理地进行复垦，对恢复生态、保护环境具有重要意义，</w:t>
      </w:r>
      <w:r>
        <w:rPr>
          <w:rFonts w:hint="eastAsia"/>
          <w:color w:val="auto"/>
          <w:highlight w:val="none"/>
          <w:lang w:val="zh-CN"/>
        </w:rPr>
        <w:t>满足《关于“十四五”大宗固体废弃物综合利用的指导意见》</w:t>
      </w:r>
      <w:r>
        <w:rPr>
          <w:color w:val="auto"/>
          <w:highlight w:val="none"/>
          <w:lang w:val="zh-CN"/>
        </w:rPr>
        <w:t>(发改环资[2021]381号)的要求。</w:t>
      </w:r>
    </w:p>
    <w:p w14:paraId="7B289787">
      <w:pPr>
        <w:pStyle w:val="217"/>
        <w:ind w:left="0" w:leftChars="0" w:firstLine="0" w:firstLineChars="0"/>
        <w:rPr>
          <w:rFonts w:hint="eastAsia" w:hAnsi="Times New Roman" w:cs="Times New Roman"/>
          <w:color w:val="auto"/>
          <w:highlight w:val="none"/>
          <w:lang w:val="en-US" w:eastAsia="zh-CN"/>
        </w:rPr>
      </w:pPr>
      <w:r>
        <w:rPr>
          <w:rFonts w:hint="eastAsia" w:asciiTheme="minorEastAsia" w:hAnsiTheme="minorEastAsia" w:eastAsiaTheme="minorEastAsia" w:cstheme="minorEastAsia"/>
          <w:b/>
          <w:snapToGrid w:val="0"/>
          <w:color w:val="auto"/>
          <w:highlight w:val="none"/>
        </w:rPr>
        <w:t>1.4.</w:t>
      </w:r>
      <w:r>
        <w:rPr>
          <w:rFonts w:hint="eastAsia" w:asciiTheme="minorEastAsia" w:hAnsiTheme="minorEastAsia" w:eastAsiaTheme="minorEastAsia" w:cstheme="minorEastAsia"/>
          <w:b/>
          <w:snapToGrid w:val="0"/>
          <w:color w:val="auto"/>
          <w:highlight w:val="none"/>
          <w:lang w:val="en-US" w:eastAsia="zh-CN"/>
        </w:rPr>
        <w:t>2</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20与《黑龙江省自然资源厅关于印发&lt;关于探索利用市场化方式推进矿山生态修复的实施意见&gt;的通知》(黑自然资规[2021]3号)符合性分析</w:t>
      </w:r>
    </w:p>
    <w:p w14:paraId="69FC4072">
      <w:pPr>
        <w:pStyle w:val="217"/>
        <w:rPr>
          <w:rFonts w:hint="eastAsia" w:cs="Times New Roman"/>
          <w:b/>
          <w:bCs/>
          <w:color w:val="auto"/>
          <w:highlight w:val="none"/>
          <w:lang w:val="en-US" w:eastAsia="zh-CN"/>
        </w:rPr>
      </w:pPr>
      <w:r>
        <w:rPr>
          <w:rFonts w:hint="eastAsia"/>
          <w:b/>
          <w:bCs/>
          <w:color w:val="auto"/>
          <w:highlight w:val="none"/>
          <w:lang w:val="en-US" w:eastAsia="zh-CN"/>
        </w:rPr>
        <w:t>文件</w:t>
      </w:r>
      <w:r>
        <w:rPr>
          <w:rFonts w:hint="eastAsia" w:cs="Times New Roman"/>
          <w:b/>
          <w:bCs/>
          <w:color w:val="auto"/>
          <w:highlight w:val="none"/>
          <w:lang w:val="en-US" w:eastAsia="zh-CN"/>
        </w:rPr>
        <w:t>要求：</w:t>
      </w:r>
    </w:p>
    <w:p w14:paraId="6FA9626D">
      <w:pPr>
        <w:pStyle w:val="217"/>
        <w:rPr>
          <w:rFonts w:hint="eastAsia" w:hAnsi="Times New Roman" w:cs="Times New Roman"/>
          <w:color w:val="auto"/>
          <w:highlight w:val="none"/>
          <w:lang w:val="en-US" w:eastAsia="zh-CN"/>
        </w:rPr>
      </w:pPr>
      <w:r>
        <w:rPr>
          <w:rFonts w:hint="eastAsia" w:cs="Times New Roman"/>
          <w:color w:val="auto"/>
          <w:highlight w:val="none"/>
          <w:lang w:val="en-US" w:eastAsia="zh-CN"/>
        </w:rPr>
        <w:t>（</w:t>
      </w:r>
      <w:r>
        <w:rPr>
          <w:rFonts w:hint="eastAsia" w:hAnsi="Times New Roman" w:cs="Times New Roman"/>
          <w:color w:val="auto"/>
          <w:highlight w:val="none"/>
          <w:lang w:val="en-US" w:eastAsia="zh-CN"/>
        </w:rPr>
        <w:t>一）保障安全、恢复功能。树立山水林田湖草沙冰生命共同体理念，落实“源头严控、过程严管、后果严惩”的要求，切实保障生态安全，同步推进历史遗留矿山和正在开采矿山整体保护、系统修复、综合治理，恢复绿水青山，再造金山银山</w:t>
      </w:r>
      <w:r>
        <w:rPr>
          <w:rFonts w:hint="eastAsia" w:cs="Times New Roman"/>
          <w:color w:val="auto"/>
          <w:highlight w:val="none"/>
          <w:lang w:val="en-US" w:eastAsia="zh-CN"/>
        </w:rPr>
        <w:t>。</w:t>
      </w:r>
    </w:p>
    <w:p w14:paraId="3B2D94F9">
      <w:pPr>
        <w:pStyle w:val="217"/>
        <w:rPr>
          <w:rFonts w:hint="eastAsia" w:hAnsi="Times New Roman" w:cs="Times New Roman"/>
          <w:color w:val="auto"/>
          <w:highlight w:val="none"/>
          <w:lang w:val="en-US" w:eastAsia="zh-CN"/>
        </w:rPr>
      </w:pPr>
      <w:r>
        <w:rPr>
          <w:rFonts w:hint="eastAsia" w:hAnsi="Times New Roman" w:cs="Times New Roman"/>
          <w:color w:val="auto"/>
          <w:highlight w:val="none"/>
          <w:lang w:val="en-US" w:eastAsia="zh-CN"/>
        </w:rPr>
        <w:t>（二）支持矿山土地综合修复利用</w:t>
      </w:r>
    </w:p>
    <w:p w14:paraId="1527BED7">
      <w:pPr>
        <w:pStyle w:val="217"/>
        <w:rPr>
          <w:rFonts w:hint="eastAsia" w:hAnsi="Times New Roman" w:cs="Times New Roman"/>
          <w:color w:val="auto"/>
          <w:highlight w:val="none"/>
          <w:lang w:val="en-US" w:eastAsia="zh-CN"/>
        </w:rPr>
      </w:pPr>
      <w:r>
        <w:rPr>
          <w:rFonts w:hint="eastAsia" w:hAnsi="Times New Roman" w:cs="Times New Roman"/>
          <w:color w:val="auto"/>
          <w:highlight w:val="none"/>
          <w:lang w:val="en-US" w:eastAsia="zh-CN"/>
        </w:rPr>
        <w:t>历史遗留矿山废弃国有建设用地修复后拟作为经营性建设用地的，在符合国土空间规划前提下</w:t>
      </w:r>
      <w:r>
        <w:rPr>
          <w:rFonts w:hint="eastAsia" w:cs="Times New Roman"/>
          <w:color w:val="auto"/>
          <w:highlight w:val="none"/>
          <w:lang w:val="en-US" w:eastAsia="zh-CN"/>
        </w:rPr>
        <w:t>····</w:t>
      </w:r>
      <w:r>
        <w:rPr>
          <w:rFonts w:hint="eastAsia" w:hAnsi="Times New Roman" w:cs="Times New Roman"/>
          <w:color w:val="auto"/>
          <w:highlight w:val="none"/>
          <w:lang w:val="en-US" w:eastAsia="zh-CN"/>
        </w:rPr>
        <w:t>不同用途确定使用年限。历史遗留矿山废弃国有建设用地修复后拟作为国有农用地的，可由市、县级人民政府或其授权部门以协议方式确定修复主体，双方签订国有农用地承包经营权合同，从事种植业、林业、畜牧业或者渔业生产。</w:t>
      </w:r>
    </w:p>
    <w:p w14:paraId="108C0E6B">
      <w:pPr>
        <w:pStyle w:val="217"/>
        <w:rPr>
          <w:rFonts w:hint="eastAsia" w:hAnsi="Times New Roman" w:cs="Times New Roman"/>
          <w:color w:val="auto"/>
          <w:highlight w:val="none"/>
          <w:lang w:val="en-US" w:eastAsia="zh-CN"/>
        </w:rPr>
      </w:pPr>
      <w:r>
        <w:rPr>
          <w:rFonts w:hint="eastAsia" w:hAnsi="Times New Roman" w:cs="Times New Roman"/>
          <w:color w:val="auto"/>
          <w:highlight w:val="none"/>
          <w:lang w:val="en-US" w:eastAsia="zh-CN"/>
        </w:rPr>
        <w:t>对历史遗留矿山废弃土地中的集体建设用地，集体经济组织可自行投入修复，也可以公开竞争或协议方式吸引社会资本参与修复。修复后国土空间规划确定为工业、商业等经营性用途的，并经依法登记的集体经营性建设用地，土地所有权人可以出让、出租方式用于发展相关产业，修复后拟入市的集体建设用地，修复主体可在同等条件下优先取得使用权。</w:t>
      </w:r>
    </w:p>
    <w:p w14:paraId="528CADFC">
      <w:pPr>
        <w:pStyle w:val="217"/>
        <w:rPr>
          <w:rFonts w:hint="eastAsia" w:hAnsi="Times New Roman" w:cs="Times New Roman"/>
          <w:color w:val="auto"/>
          <w:highlight w:val="none"/>
          <w:lang w:val="en-US" w:eastAsia="zh-CN"/>
        </w:rPr>
      </w:pPr>
      <w:r>
        <w:rPr>
          <w:rFonts w:hint="eastAsia" w:hAnsi="Times New Roman" w:cs="Times New Roman"/>
          <w:color w:val="auto"/>
          <w:highlight w:val="none"/>
          <w:lang w:val="en-US" w:eastAsia="zh-CN"/>
        </w:rPr>
        <w:t>对因采矿损毁（如采矿塌陷）确实无法恢复原用途的农用地，由县级自然资源主管部门组织踏查，市级自然资源主管部门进行认定，经省级自然资源主管部门会同相关部门组织核实，并征得土地权利人同意，报自然资源部核定后，可变更为其他类型农用地（二级地类）或未利用地，涉及耕地的要据实统筹进行核减，其中涉及永久基本农田的按规定进行调整补划，并纳入国土空间规划。耕地核减不免除采矿损毁责任人的法定应尽义务，采矿损毁责任人应负责或委托第三方异地开垦（复垦）与所占用耕地数量和质量相当的耕地，以补充所占耕地。没有条件开垦或者开垦的耕地不符合要求的，按规定缴纳耕地开垦费，落实耕地占补平衡</w:t>
      </w:r>
      <w:r>
        <w:rPr>
          <w:rFonts w:hint="eastAsia" w:cs="Times New Roman"/>
          <w:color w:val="auto"/>
          <w:highlight w:val="none"/>
          <w:lang w:val="en-US" w:eastAsia="zh-CN"/>
        </w:rPr>
        <w:t>。</w:t>
      </w:r>
    </w:p>
    <w:p w14:paraId="16A18541">
      <w:pPr>
        <w:pStyle w:val="217"/>
        <w:rPr>
          <w:rFonts w:hint="eastAsia"/>
          <w:color w:val="auto"/>
          <w:highlight w:val="none"/>
        </w:rPr>
      </w:pPr>
      <w:r>
        <w:rPr>
          <w:rFonts w:hint="eastAsia" w:asciiTheme="minorEastAsia" w:hAnsiTheme="minorEastAsia" w:eastAsiaTheme="minorEastAsia" w:cstheme="minorEastAsia"/>
          <w:b/>
          <w:bCs/>
          <w:color w:val="auto"/>
          <w:sz w:val="24"/>
          <w:szCs w:val="24"/>
          <w:highlight w:val="none"/>
          <w:lang w:val="en-US" w:eastAsia="zh-CN" w:bidi="ar"/>
        </w:rPr>
        <w:t>符合性分析：</w:t>
      </w:r>
      <w:r>
        <w:rPr>
          <w:rFonts w:hint="eastAsia"/>
          <w:color w:val="auto"/>
          <w:highlight w:val="none"/>
        </w:rPr>
        <w:t>本项目修复的废</w:t>
      </w:r>
      <w:r>
        <w:rPr>
          <w:rFonts w:hint="eastAsia" w:asciiTheme="minorEastAsia" w:hAnsiTheme="minorEastAsia" w:eastAsiaTheme="minorEastAsia" w:cstheme="minorEastAsia"/>
          <w:color w:val="auto"/>
          <w:szCs w:val="24"/>
          <w:highlight w:val="none"/>
        </w:rPr>
        <w:t>采砂坑</w:t>
      </w:r>
      <w:r>
        <w:rPr>
          <w:rFonts w:hint="eastAsia"/>
          <w:color w:val="auto"/>
          <w:highlight w:val="none"/>
          <w:lang w:val="en-US" w:eastAsia="zh-CN"/>
        </w:rPr>
        <w:t>为</w:t>
      </w:r>
      <w:r>
        <w:rPr>
          <w:rFonts w:hint="eastAsia" w:asciiTheme="minorEastAsia" w:hAnsiTheme="minorEastAsia" w:eastAsiaTheme="minorEastAsia" w:cstheme="minorEastAsia"/>
          <w:color w:val="auto"/>
          <w:sz w:val="24"/>
          <w:szCs w:val="24"/>
          <w:highlight w:val="none"/>
          <w:lang w:val="en-US" w:eastAsia="zh-CN"/>
        </w:rPr>
        <w:t>无主废弃</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 w:val="24"/>
          <w:szCs w:val="24"/>
          <w:highlight w:val="none"/>
          <w:lang w:val="en-US" w:eastAsia="zh-CN"/>
        </w:rPr>
        <w:t>，由于疏于管理由附近村民修建建筑物盗采所形成的</w:t>
      </w:r>
      <w:r>
        <w:rPr>
          <w:rFonts w:hint="eastAsia" w:ascii="Times New Roman"/>
          <w:color w:val="auto"/>
          <w:highlight w:val="none"/>
          <w:lang w:val="en-US" w:eastAsia="zh-CN"/>
        </w:rPr>
        <w:t>采砂坑</w:t>
      </w:r>
      <w:r>
        <w:rPr>
          <w:rFonts w:hint="eastAsia" w:asciiTheme="minorEastAsia" w:hAnsiTheme="minorEastAsia" w:eastAsiaTheme="minorEastAsia" w:cstheme="minorEastAsia"/>
          <w:color w:val="auto"/>
          <w:sz w:val="24"/>
          <w:szCs w:val="24"/>
          <w:highlight w:val="none"/>
          <w:lang w:val="en-US" w:eastAsia="zh-CN"/>
        </w:rPr>
        <w:t>，</w:t>
      </w:r>
      <w:r>
        <w:rPr>
          <w:rFonts w:hint="eastAsia"/>
          <w:color w:val="auto"/>
          <w:highlight w:val="none"/>
        </w:rPr>
        <w:t>土地使用权收归</w:t>
      </w:r>
      <w:r>
        <w:rPr>
          <w:rFonts w:hint="eastAsia" w:asciiTheme="minorEastAsia" w:hAnsiTheme="minorEastAsia" w:eastAsiaTheme="minorEastAsia" w:cstheme="minorEastAsia"/>
          <w:color w:val="auto"/>
          <w:sz w:val="24"/>
          <w:szCs w:val="24"/>
          <w:highlight w:val="none"/>
          <w:lang w:val="en-US" w:eastAsia="zh-CN"/>
        </w:rPr>
        <w:t>尚志市元宝镇元宝村</w:t>
      </w:r>
      <w:r>
        <w:rPr>
          <w:rFonts w:hint="eastAsia"/>
          <w:color w:val="auto"/>
          <w:highlight w:val="none"/>
        </w:rPr>
        <w:t>所有，现</w:t>
      </w:r>
      <w:r>
        <w:rPr>
          <w:rFonts w:hint="eastAsia" w:asciiTheme="minorEastAsia" w:hAnsiTheme="minorEastAsia" w:eastAsiaTheme="minorEastAsia" w:cstheme="minorEastAsia"/>
          <w:color w:val="auto"/>
          <w:sz w:val="24"/>
          <w:szCs w:val="24"/>
          <w:highlight w:val="none"/>
          <w:lang w:val="en-US" w:eastAsia="zh-CN"/>
        </w:rPr>
        <w:t>尚志市元宝镇元宝村</w:t>
      </w:r>
      <w:r>
        <w:rPr>
          <w:rFonts w:hint="eastAsia"/>
          <w:color w:val="auto"/>
          <w:highlight w:val="none"/>
        </w:rPr>
        <w:t>民委员会委托</w:t>
      </w:r>
      <w:r>
        <w:rPr>
          <w:rFonts w:hint="eastAsia" w:ascii="Times New Roman" w:hAnsi="宋体" w:eastAsia="宋体" w:cs="Times New Roman"/>
          <w:color w:val="auto"/>
          <w:kern w:val="0"/>
          <w:sz w:val="24"/>
          <w:szCs w:val="24"/>
          <w:highlight w:val="none"/>
          <w:lang w:val="en-US" w:eastAsia="zh-CN"/>
        </w:rPr>
        <w:t>黑龙江嘉龙环保科技有限公司</w:t>
      </w:r>
      <w:r>
        <w:rPr>
          <w:rFonts w:hint="eastAsia"/>
          <w:color w:val="auto"/>
          <w:highlight w:val="none"/>
        </w:rPr>
        <w:t>对该</w:t>
      </w:r>
      <w:r>
        <w:rPr>
          <w:rFonts w:hint="eastAsia" w:asciiTheme="minorEastAsia" w:hAnsiTheme="minorEastAsia" w:eastAsiaTheme="minorEastAsia" w:cstheme="minorEastAsia"/>
          <w:color w:val="auto"/>
          <w:szCs w:val="24"/>
          <w:highlight w:val="none"/>
        </w:rPr>
        <w:t>采砂坑</w:t>
      </w:r>
      <w:r>
        <w:rPr>
          <w:rFonts w:hint="eastAsia"/>
          <w:color w:val="auto"/>
          <w:highlight w:val="none"/>
        </w:rPr>
        <w:t>进行生态修复。</w:t>
      </w:r>
    </w:p>
    <w:p w14:paraId="7CB81472">
      <w:pPr>
        <w:pStyle w:val="217"/>
        <w:rPr>
          <w:rFonts w:hint="eastAsia" w:hAnsi="Times New Roman" w:eastAsia="宋体" w:cs="Times New Roman"/>
          <w:color w:val="auto"/>
          <w:highlight w:val="none"/>
          <w:lang w:val="en-US" w:eastAsia="zh-CN"/>
        </w:rPr>
      </w:pPr>
      <w:r>
        <w:rPr>
          <w:rFonts w:hint="eastAsia"/>
          <w:color w:val="auto"/>
          <w:highlight w:val="none"/>
        </w:rPr>
        <w:t>该公司将</w:t>
      </w:r>
      <w:r>
        <w:rPr>
          <w:rFonts w:hint="eastAsia" w:asciiTheme="minorEastAsia" w:hAnsiTheme="minorEastAsia" w:eastAsiaTheme="minorEastAsia" w:cstheme="minorEastAsia"/>
          <w:color w:val="auto"/>
          <w:szCs w:val="24"/>
          <w:highlight w:val="none"/>
        </w:rPr>
        <w:t>采砂坑</w:t>
      </w:r>
      <w:r>
        <w:rPr>
          <w:rFonts w:hint="eastAsia"/>
          <w:color w:val="auto"/>
          <w:highlight w:val="none"/>
        </w:rPr>
        <w:t>修复为</w:t>
      </w:r>
      <w:r>
        <w:rPr>
          <w:rFonts w:hint="eastAsia"/>
          <w:color w:val="auto"/>
          <w:highlight w:val="none"/>
          <w:lang w:val="en-US" w:eastAsia="zh-CN"/>
        </w:rPr>
        <w:t>林</w:t>
      </w:r>
      <w:r>
        <w:rPr>
          <w:rFonts w:hint="eastAsia"/>
          <w:color w:val="auto"/>
          <w:highlight w:val="none"/>
        </w:rPr>
        <w:t>地符合《黑龙江省自然资源厅关于印发&lt;关于探索利用市场化方式推进矿山生态修复的实施意见&gt;的通知》</w:t>
      </w:r>
      <w:r>
        <w:rPr>
          <w:rFonts w:hint="eastAsia"/>
          <w:color w:val="auto"/>
          <w:highlight w:val="none"/>
          <w:lang w:val="en-US" w:eastAsia="zh-CN"/>
        </w:rPr>
        <w:t>中相关</w:t>
      </w:r>
      <w:r>
        <w:rPr>
          <w:rFonts w:hint="eastAsia"/>
          <w:color w:val="auto"/>
          <w:highlight w:val="none"/>
        </w:rPr>
        <w:t>要求</w:t>
      </w:r>
      <w:r>
        <w:rPr>
          <w:rFonts w:hint="eastAsia"/>
          <w:color w:val="auto"/>
          <w:highlight w:val="none"/>
          <w:lang w:eastAsia="zh-CN"/>
        </w:rPr>
        <w:t>。</w:t>
      </w:r>
    </w:p>
    <w:p w14:paraId="2D5412B3">
      <w:pPr>
        <w:pStyle w:val="217"/>
        <w:ind w:left="0" w:leftChars="0" w:firstLine="0" w:firstLineChars="0"/>
        <w:rPr>
          <w:rFonts w:hint="eastAsia" w:hAnsi="Times New Roman" w:cs="Times New Roman"/>
          <w:color w:val="auto"/>
          <w:highlight w:val="none"/>
          <w:lang w:val="en-US" w:eastAsia="zh-CN"/>
        </w:rPr>
      </w:pPr>
      <w:r>
        <w:rPr>
          <w:rFonts w:hint="eastAsia" w:asciiTheme="minorEastAsia" w:hAnsiTheme="minorEastAsia" w:eastAsiaTheme="minorEastAsia" w:cstheme="minorEastAsia"/>
          <w:b/>
          <w:snapToGrid w:val="0"/>
          <w:color w:val="auto"/>
          <w:highlight w:val="none"/>
        </w:rPr>
        <w:t>1.4.</w:t>
      </w:r>
      <w:r>
        <w:rPr>
          <w:rFonts w:hint="eastAsia" w:asciiTheme="minorEastAsia" w:hAnsiTheme="minorEastAsia" w:eastAsiaTheme="minorEastAsia" w:cstheme="minorEastAsia"/>
          <w:b/>
          <w:snapToGrid w:val="0"/>
          <w:color w:val="auto"/>
          <w:highlight w:val="none"/>
          <w:lang w:val="en-US" w:eastAsia="zh-CN"/>
        </w:rPr>
        <w:t>2</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21 与《黑龙江省空气质量持续改善行动计划方案》符合性分析</w:t>
      </w:r>
    </w:p>
    <w:p w14:paraId="1A74100D">
      <w:pPr>
        <w:pStyle w:val="217"/>
        <w:rPr>
          <w:rFonts w:hint="eastAsia" w:hAnsi="Times New Roman" w:cs="Times New Roman"/>
          <w:color w:val="auto"/>
          <w:highlight w:val="none"/>
          <w:lang w:val="en-US" w:eastAsia="zh-CN"/>
        </w:rPr>
      </w:pPr>
      <w:r>
        <w:rPr>
          <w:rFonts w:hint="eastAsia"/>
          <w:b/>
          <w:bCs/>
          <w:color w:val="auto"/>
          <w:highlight w:val="none"/>
          <w:lang w:val="en-US" w:eastAsia="zh-CN"/>
        </w:rPr>
        <w:t>文件</w:t>
      </w:r>
      <w:r>
        <w:rPr>
          <w:rFonts w:hint="eastAsia" w:cs="Times New Roman"/>
          <w:b/>
          <w:bCs/>
          <w:color w:val="auto"/>
          <w:highlight w:val="none"/>
          <w:lang w:val="en-US" w:eastAsia="zh-CN"/>
        </w:rPr>
        <w:t>要求：</w:t>
      </w:r>
      <w:r>
        <w:rPr>
          <w:rFonts w:hint="eastAsia" w:hAnsi="Times New Roman" w:cs="Times New Roman"/>
          <w:color w:val="auto"/>
          <w:highlight w:val="none"/>
          <w:lang w:val="en-US" w:eastAsia="zh-CN"/>
        </w:rPr>
        <w:t>（十九）深化扬尘污染综合治理。全面推行绿色施工，严格执行“六个百分之百”，将防治扬尘污染费用纳入工程造价。到2025年，装配式建筑占新建建筑面积的比例达到30%；地级及以上城市建成区道路机械化清扫率达80%左右，县城达70%左右。对城市公共裸地进行排查建档并采取防尘措施。城市大型煤炭、矿石等干散货码头物料堆场基本完成抑尘设施建设和物料输送系统封闭改造。</w:t>
      </w:r>
    </w:p>
    <w:p w14:paraId="45423D0E">
      <w:pPr>
        <w:pStyle w:val="217"/>
        <w:rPr>
          <w:rFonts w:hint="default" w:hAnsi="Times New Roman" w:cs="Times New Roman"/>
          <w:color w:val="auto"/>
          <w:highlight w:val="none"/>
          <w:lang w:val="en-US" w:eastAsia="zh-CN"/>
        </w:rPr>
      </w:pPr>
      <w:r>
        <w:rPr>
          <w:rFonts w:hint="eastAsia" w:asciiTheme="minorEastAsia" w:hAnsiTheme="minorEastAsia" w:eastAsiaTheme="minorEastAsia" w:cstheme="minorEastAsia"/>
          <w:b/>
          <w:bCs/>
          <w:color w:val="auto"/>
          <w:sz w:val="24"/>
          <w:szCs w:val="24"/>
          <w:highlight w:val="none"/>
          <w:lang w:val="en-US" w:eastAsia="zh-CN" w:bidi="ar"/>
        </w:rPr>
        <w:t>符合性分析：</w:t>
      </w:r>
      <w:r>
        <w:rPr>
          <w:rFonts w:hint="eastAsia" w:asciiTheme="minorEastAsia" w:hAnsiTheme="minorEastAsia" w:eastAsiaTheme="minorEastAsia" w:cstheme="minorEastAsia"/>
          <w:color w:val="auto"/>
          <w:sz w:val="24"/>
          <w:szCs w:val="24"/>
          <w:highlight w:val="none"/>
          <w:lang w:val="en-US" w:eastAsia="zh-CN" w:bidi="ar"/>
        </w:rPr>
        <w:t>本次</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 w:val="24"/>
          <w:szCs w:val="24"/>
          <w:highlight w:val="none"/>
          <w:lang w:val="en-US" w:eastAsia="zh-CN" w:bidi="ar"/>
        </w:rPr>
        <w:t>修复过程中</w:t>
      </w:r>
      <w:r>
        <w:rPr>
          <w:rFonts w:hint="eastAsia" w:asciiTheme="minorEastAsia" w:hAnsiTheme="minorEastAsia" w:eastAsiaTheme="minorEastAsia" w:cstheme="minorEastAsia"/>
          <w:color w:val="auto"/>
          <w:sz w:val="24"/>
          <w:szCs w:val="24"/>
          <w:highlight w:val="none"/>
          <w:lang w:eastAsia="zh-CN" w:bidi="ar"/>
        </w:rPr>
        <w:t>灰渣倾倒时作业采用</w:t>
      </w:r>
      <w:r>
        <w:rPr>
          <w:rFonts w:hint="eastAsia" w:asciiTheme="minorEastAsia" w:hAnsiTheme="minorEastAsia" w:eastAsiaTheme="minorEastAsia" w:cstheme="minorEastAsia"/>
          <w:color w:val="auto"/>
          <w:sz w:val="24"/>
          <w:szCs w:val="24"/>
          <w:highlight w:val="none"/>
          <w:lang w:val="en-US" w:eastAsia="zh-CN" w:bidi="ar"/>
        </w:rPr>
        <w:t>洒水车</w:t>
      </w:r>
      <w:r>
        <w:rPr>
          <w:rFonts w:hint="eastAsia" w:asciiTheme="minorEastAsia" w:hAnsiTheme="minorEastAsia" w:eastAsiaTheme="minorEastAsia" w:cstheme="minorEastAsia"/>
          <w:color w:val="auto"/>
          <w:sz w:val="24"/>
          <w:szCs w:val="24"/>
          <w:highlight w:val="none"/>
          <w:lang w:eastAsia="zh-CN" w:bidi="ar"/>
        </w:rPr>
        <w:t>定点、短时喷洒，回填作业单元四周加装</w:t>
      </w:r>
      <w:r>
        <w:rPr>
          <w:rFonts w:hint="eastAsia" w:ascii="Times New Roman"/>
          <w:color w:val="auto"/>
          <w:sz w:val="24"/>
          <w:szCs w:val="24"/>
          <w:highlight w:val="none"/>
          <w:shd w:val="clear" w:color="auto" w:fill="FFFFFF"/>
          <w:lang w:eastAsia="zh-CN"/>
        </w:rPr>
        <w:t>隔声隔尘挡板</w:t>
      </w:r>
      <w:r>
        <w:rPr>
          <w:rFonts w:hint="eastAsia" w:asciiTheme="minorEastAsia" w:hAnsiTheme="minorEastAsia" w:eastAsiaTheme="minorEastAsia" w:cstheme="minorEastAsia"/>
          <w:color w:val="auto"/>
          <w:sz w:val="24"/>
          <w:szCs w:val="24"/>
          <w:highlight w:val="none"/>
          <w:lang w:eastAsia="zh-CN" w:bidi="ar"/>
        </w:rPr>
        <w:t>，回填单元非作业面以及已碾实的灰渣表面采用编织布覆盖，灰车采用灰罐车运输，灰渣车上面采用苫布苫盖，确保无裸露物料</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确保</w:t>
      </w:r>
      <w:r>
        <w:rPr>
          <w:rFonts w:hint="eastAsia" w:asciiTheme="minorEastAsia" w:hAnsiTheme="minorEastAsia" w:eastAsiaTheme="minorEastAsia" w:cstheme="minorEastAsia"/>
          <w:color w:val="auto"/>
          <w:highlight w:val="none"/>
          <w:lang w:val="en-US" w:eastAsia="zh-CN"/>
        </w:rPr>
        <w:t>厂界颗粒物达标排放，符合《黑龙江省空气质量持续改善行动计划方案》中相关要求。</w:t>
      </w:r>
    </w:p>
    <w:p w14:paraId="309D3476">
      <w:pPr>
        <w:pStyle w:val="217"/>
        <w:ind w:left="0" w:leftChars="0" w:firstLine="0" w:firstLineChars="0"/>
        <w:rPr>
          <w:rFonts w:hint="eastAsia" w:hAnsi="Times New Roman" w:cs="Times New Roman"/>
          <w:color w:val="auto"/>
          <w:highlight w:val="none"/>
          <w:lang w:val="en-US" w:eastAsia="zh-CN"/>
        </w:rPr>
      </w:pPr>
      <w:r>
        <w:rPr>
          <w:rFonts w:hint="eastAsia" w:asciiTheme="minorEastAsia" w:hAnsiTheme="minorEastAsia" w:eastAsiaTheme="minorEastAsia" w:cstheme="minorEastAsia"/>
          <w:b/>
          <w:snapToGrid w:val="0"/>
          <w:color w:val="auto"/>
          <w:highlight w:val="none"/>
        </w:rPr>
        <w:t>1.4.</w:t>
      </w:r>
      <w:r>
        <w:rPr>
          <w:rFonts w:hint="eastAsia" w:asciiTheme="minorEastAsia" w:hAnsiTheme="minorEastAsia" w:eastAsiaTheme="minorEastAsia" w:cstheme="minorEastAsia"/>
          <w:b/>
          <w:snapToGrid w:val="0"/>
          <w:color w:val="auto"/>
          <w:highlight w:val="none"/>
          <w:lang w:val="en-US" w:eastAsia="zh-CN"/>
        </w:rPr>
        <w:t>2</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25 与《黑龙江省地质环境保护条例》（2013修正版）符合性</w:t>
      </w:r>
    </w:p>
    <w:p w14:paraId="26F134EB">
      <w:pPr>
        <w:pStyle w:val="217"/>
        <w:rPr>
          <w:rFonts w:hint="eastAsia" w:cs="Times New Roman"/>
          <w:color w:val="auto"/>
          <w:highlight w:val="none"/>
          <w:lang w:val="en-US" w:eastAsia="zh-CN"/>
        </w:rPr>
      </w:pPr>
      <w:r>
        <w:rPr>
          <w:rFonts w:hint="eastAsia"/>
          <w:b/>
          <w:bCs/>
          <w:color w:val="auto"/>
          <w:highlight w:val="none"/>
          <w:lang w:val="en-US" w:eastAsia="zh-CN"/>
        </w:rPr>
        <w:t>文件</w:t>
      </w:r>
      <w:r>
        <w:rPr>
          <w:rFonts w:hint="eastAsia" w:cs="Times New Roman"/>
          <w:b/>
          <w:bCs/>
          <w:color w:val="auto"/>
          <w:highlight w:val="none"/>
          <w:lang w:val="en-US" w:eastAsia="zh-CN"/>
        </w:rPr>
        <w:t>要求：</w:t>
      </w:r>
      <w:r>
        <w:rPr>
          <w:rFonts w:hint="eastAsia" w:cs="Times New Roman"/>
          <w:color w:val="auto"/>
          <w:highlight w:val="none"/>
          <w:lang w:val="en-US" w:eastAsia="zh-CN"/>
        </w:rPr>
        <w:t>第十六条 经过恢复治理的矿山地质环境应当达到下列标准：</w:t>
      </w:r>
    </w:p>
    <w:p w14:paraId="70A062DE">
      <w:pPr>
        <w:pStyle w:val="217"/>
        <w:rPr>
          <w:rFonts w:hint="eastAsia" w:cs="Times New Roman"/>
          <w:color w:val="auto"/>
          <w:highlight w:val="none"/>
          <w:lang w:val="en-US" w:eastAsia="zh-CN"/>
        </w:rPr>
      </w:pPr>
      <w:r>
        <w:rPr>
          <w:rFonts w:hint="eastAsia" w:cs="Times New Roman"/>
          <w:color w:val="auto"/>
          <w:highlight w:val="none"/>
          <w:lang w:val="en-US" w:eastAsia="zh-CN"/>
        </w:rPr>
        <w:t>　　（一）破坏或者废弃的土地达到可供利用的状态；</w:t>
      </w:r>
    </w:p>
    <w:p w14:paraId="7514DC3B">
      <w:pPr>
        <w:pStyle w:val="217"/>
        <w:rPr>
          <w:rFonts w:hint="eastAsia" w:cs="Times New Roman"/>
          <w:color w:val="auto"/>
          <w:highlight w:val="none"/>
          <w:lang w:val="en-US" w:eastAsia="zh-CN"/>
        </w:rPr>
      </w:pPr>
      <w:r>
        <w:rPr>
          <w:rFonts w:hint="eastAsia" w:cs="Times New Roman"/>
          <w:color w:val="auto"/>
          <w:highlight w:val="none"/>
          <w:lang w:val="en-US" w:eastAsia="zh-CN"/>
        </w:rPr>
        <w:t>　　（二）对采矿活动遗留的矿坑、废石、尾矿等进行防护处理，达到安全状态；</w:t>
      </w:r>
    </w:p>
    <w:p w14:paraId="62514206">
      <w:pPr>
        <w:pStyle w:val="217"/>
        <w:rPr>
          <w:rFonts w:hint="eastAsia" w:cs="Times New Roman"/>
          <w:color w:val="auto"/>
          <w:highlight w:val="none"/>
          <w:lang w:val="en-US" w:eastAsia="zh-CN"/>
        </w:rPr>
      </w:pPr>
      <w:r>
        <w:rPr>
          <w:rFonts w:hint="eastAsia" w:cs="Times New Roman"/>
          <w:color w:val="auto"/>
          <w:highlight w:val="none"/>
          <w:lang w:val="en-US" w:eastAsia="zh-CN"/>
        </w:rPr>
        <w:t>　　（三）地质灾害隐患得到有效排除；</w:t>
      </w:r>
    </w:p>
    <w:p w14:paraId="5A4DEE23">
      <w:pPr>
        <w:pStyle w:val="217"/>
        <w:rPr>
          <w:rFonts w:hint="eastAsia" w:cs="Times New Roman"/>
          <w:color w:val="auto"/>
          <w:highlight w:val="none"/>
          <w:lang w:val="en-US" w:eastAsia="zh-CN"/>
        </w:rPr>
      </w:pPr>
      <w:r>
        <w:rPr>
          <w:rFonts w:hint="eastAsia" w:cs="Times New Roman"/>
          <w:color w:val="auto"/>
          <w:highlight w:val="none"/>
          <w:lang w:val="en-US" w:eastAsia="zh-CN"/>
        </w:rPr>
        <w:t>　　（四）各类废弃物处置达到国家规定标准；</w:t>
      </w:r>
    </w:p>
    <w:p w14:paraId="10D1D2F7">
      <w:pPr>
        <w:pStyle w:val="217"/>
        <w:rPr>
          <w:rFonts w:hint="eastAsia" w:cs="Times New Roman"/>
          <w:color w:val="auto"/>
          <w:highlight w:val="none"/>
          <w:lang w:val="en-US" w:eastAsia="zh-CN"/>
        </w:rPr>
      </w:pPr>
      <w:r>
        <w:rPr>
          <w:rFonts w:hint="eastAsia" w:cs="Times New Roman"/>
          <w:color w:val="auto"/>
          <w:highlight w:val="none"/>
          <w:lang w:val="en-US" w:eastAsia="zh-CN"/>
        </w:rPr>
        <w:t>　　（五）采场和矿山固体废弃物堆放场的植被得到恢复；</w:t>
      </w:r>
    </w:p>
    <w:p w14:paraId="5A1759A8">
      <w:pPr>
        <w:pStyle w:val="217"/>
        <w:rPr>
          <w:rFonts w:hint="default" w:hAnsi="Times New Roman" w:cs="Times New Roman"/>
          <w:color w:val="auto"/>
          <w:highlight w:val="none"/>
          <w:lang w:val="en-US" w:eastAsia="zh-CN"/>
        </w:rPr>
      </w:pPr>
      <w:r>
        <w:rPr>
          <w:rFonts w:hint="eastAsia" w:cs="Times New Roman"/>
          <w:color w:val="auto"/>
          <w:highlight w:val="none"/>
          <w:lang w:val="en-US" w:eastAsia="zh-CN"/>
        </w:rPr>
        <w:t>　　（六）矿山地质环境恢复治理方案和矿山地质环境恢复治理保证书（以下简称保证书）中承诺的义务全面履行。</w:t>
      </w:r>
    </w:p>
    <w:p w14:paraId="6F32C948">
      <w:pPr>
        <w:pStyle w:val="217"/>
        <w:rPr>
          <w:rFonts w:hint="default" w:hAnsi="Times New Roman" w:cs="Times New Roman"/>
          <w:color w:val="auto"/>
          <w:highlight w:val="none"/>
          <w:lang w:val="en-US" w:eastAsia="zh-CN"/>
        </w:rPr>
      </w:pPr>
      <w:r>
        <w:rPr>
          <w:rFonts w:hint="eastAsia" w:cs="Times New Roman"/>
          <w:b/>
          <w:bCs/>
          <w:color w:val="auto"/>
          <w:highlight w:val="none"/>
          <w:lang w:val="en-US" w:eastAsia="zh-CN"/>
        </w:rPr>
        <w:t>符合性分析：</w:t>
      </w:r>
      <w:r>
        <w:rPr>
          <w:rFonts w:hint="eastAsia" w:cs="Times New Roman"/>
          <w:color w:val="auto"/>
          <w:highlight w:val="none"/>
          <w:lang w:val="en-US" w:eastAsia="zh-CN"/>
        </w:rPr>
        <w:t>本项目修复的为废</w:t>
      </w:r>
      <w:r>
        <w:rPr>
          <w:rFonts w:hint="eastAsia" w:asciiTheme="minorEastAsia" w:hAnsiTheme="minorEastAsia" w:eastAsiaTheme="minorEastAsia" w:cstheme="minorEastAsia"/>
          <w:color w:val="auto"/>
          <w:szCs w:val="24"/>
          <w:highlight w:val="none"/>
        </w:rPr>
        <w:t>采砂坑</w:t>
      </w:r>
      <w:r>
        <w:rPr>
          <w:rFonts w:hint="eastAsia" w:cs="Times New Roman"/>
          <w:color w:val="auto"/>
          <w:highlight w:val="none"/>
          <w:lang w:val="en-US" w:eastAsia="zh-CN"/>
        </w:rPr>
        <w:t>，该露天采坑</w:t>
      </w:r>
      <w:r>
        <w:rPr>
          <w:rFonts w:hint="eastAsia" w:asciiTheme="minorEastAsia" w:hAnsiTheme="minorEastAsia" w:eastAsiaTheme="minorEastAsia" w:cstheme="minorEastAsia"/>
          <w:color w:val="auto"/>
          <w:sz w:val="24"/>
          <w:szCs w:val="24"/>
          <w:highlight w:val="none"/>
          <w:lang w:val="en-US" w:eastAsia="zh-CN"/>
        </w:rPr>
        <w:t>由附近村民修建建筑物盗采所形成</w:t>
      </w:r>
      <w:r>
        <w:rPr>
          <w:rFonts w:hint="eastAsia" w:cs="Times New Roman"/>
          <w:color w:val="auto"/>
          <w:highlight w:val="none"/>
          <w:lang w:val="en-US" w:eastAsia="zh-CN"/>
        </w:rPr>
        <w:t>，</w:t>
      </w:r>
      <w:r>
        <w:rPr>
          <w:rFonts w:hint="eastAsia" w:asciiTheme="minorEastAsia" w:hAnsiTheme="minorEastAsia" w:eastAsiaTheme="minorEastAsia" w:cstheme="minorEastAsia"/>
          <w:color w:val="auto"/>
          <w:kern w:val="0"/>
          <w:sz w:val="24"/>
          <w:szCs w:val="24"/>
          <w:highlight w:val="none"/>
          <w:lang w:val="en-US" w:eastAsia="zh-CN" w:bidi="ar"/>
        </w:rPr>
        <w:t>长期以来处于无法利用的废弃状态，目前坑内主要为杂草，无积水，没有形成开采台阶，没有发现残留化学品以及异常气味、表面金属析出等污染痕迹，同时依据</w:t>
      </w:r>
      <w:r>
        <w:rPr>
          <w:rFonts w:hint="eastAsia" w:asciiTheme="minorEastAsia" w:hAnsiTheme="minorEastAsia" w:eastAsiaTheme="minorEastAsia" w:cstheme="minorEastAsia"/>
          <w:color w:val="auto"/>
          <w:highlight w:val="none"/>
        </w:rPr>
        <w:t>《</w:t>
      </w:r>
      <w:r>
        <w:rPr>
          <w:rFonts w:hint="eastAsia" w:ascii="Times New Roman" w:hAnsi="宋体" w:eastAsia="宋体" w:cs="Times New Roman"/>
          <w:color w:val="auto"/>
          <w:kern w:val="0"/>
          <w:sz w:val="24"/>
          <w:szCs w:val="24"/>
          <w:highlight w:val="none"/>
          <w:lang w:val="en-US" w:eastAsia="zh-CN"/>
        </w:rPr>
        <w:t>黑龙江嘉龙环保科技有限公司灰渣回填复垦利用项目</w:t>
      </w:r>
      <w:r>
        <w:rPr>
          <w:rFonts w:hint="eastAsia" w:asciiTheme="minorEastAsia" w:hAnsiTheme="minorEastAsia" w:eastAsiaTheme="minorEastAsia" w:cstheme="minorEastAsia"/>
          <w:color w:val="auto"/>
          <w:spacing w:val="-3"/>
          <w:szCs w:val="24"/>
          <w:highlight w:val="none"/>
        </w:rPr>
        <w:t>风险评估报告》</w:t>
      </w:r>
      <w:r>
        <w:rPr>
          <w:rFonts w:hint="eastAsia" w:asciiTheme="minorEastAsia" w:hAnsiTheme="minorEastAsia" w:eastAsiaTheme="minorEastAsia" w:cstheme="minorEastAsia"/>
          <w:color w:val="auto"/>
          <w:spacing w:val="-3"/>
          <w:szCs w:val="24"/>
          <w:highlight w:val="none"/>
          <w:lang w:val="en-US" w:eastAsia="zh-CN"/>
        </w:rPr>
        <w:t>中相关结论</w:t>
      </w:r>
      <w:r>
        <w:rPr>
          <w:rFonts w:hint="eastAsia" w:asciiTheme="minorEastAsia" w:hAnsiTheme="minorEastAsia" w:eastAsiaTheme="minorEastAsia" w:cstheme="minorEastAsia"/>
          <w:color w:val="auto"/>
          <w:spacing w:val="-3"/>
          <w:szCs w:val="24"/>
          <w:highlight w:val="none"/>
          <w:lang w:eastAsia="zh-CN"/>
        </w:rPr>
        <w:t>“</w:t>
      </w:r>
      <w:r>
        <w:rPr>
          <w:rFonts w:hint="eastAsia" w:asciiTheme="minorEastAsia" w:hAnsiTheme="minorEastAsia" w:eastAsiaTheme="minorEastAsia" w:cstheme="minorEastAsia"/>
          <w:color w:val="auto"/>
          <w:kern w:val="0"/>
          <w:sz w:val="24"/>
          <w:highlight w:val="none"/>
          <w:lang w:bidi="ar"/>
        </w:rPr>
        <w:t>评价区整体及各样点土壤中各监测因子含量基本属自然本底状态，没有受到人为活动污染。</w:t>
      </w:r>
      <w:r>
        <w:rPr>
          <w:rFonts w:hint="eastAsia" w:asciiTheme="minorEastAsia" w:hAnsiTheme="minorEastAsia" w:eastAsiaTheme="minorEastAsia" w:cstheme="minorEastAsia"/>
          <w:color w:val="auto"/>
          <w:kern w:val="0"/>
          <w:sz w:val="24"/>
          <w:highlight w:val="none"/>
          <w:lang w:val="en-US" w:eastAsia="zh-CN" w:bidi="ar"/>
        </w:rPr>
        <w:t>地下水</w:t>
      </w:r>
      <w:r>
        <w:rPr>
          <w:rFonts w:hint="eastAsia" w:asciiTheme="minorEastAsia" w:hAnsiTheme="minorEastAsia" w:eastAsiaTheme="minorEastAsia" w:cstheme="minorEastAsia"/>
          <w:color w:val="auto"/>
          <w:kern w:val="0"/>
          <w:sz w:val="24"/>
          <w:highlight w:val="none"/>
          <w:lang w:bidi="ar"/>
        </w:rPr>
        <w:t>各监测点位监测因子均能满足《地下水质量标准》（GB/T14848-2017）中III类标准</w:t>
      </w:r>
      <w:r>
        <w:rPr>
          <w:rFonts w:hint="eastAsia" w:asciiTheme="minorEastAsia" w:hAnsiTheme="minorEastAsia" w:eastAsiaTheme="minorEastAsia" w:cstheme="minorEastAsia"/>
          <w:color w:val="auto"/>
          <w:kern w:val="0"/>
          <w:sz w:val="24"/>
          <w:highlight w:val="none"/>
          <w:lang w:val="en-US" w:eastAsia="zh-CN" w:bidi="ar"/>
        </w:rPr>
        <w:t>。</w:t>
      </w:r>
      <w:r>
        <w:rPr>
          <w:rFonts w:hint="eastAsia" w:asciiTheme="minorEastAsia" w:hAnsiTheme="minorEastAsia" w:eastAsiaTheme="minorEastAsia" w:cstheme="minorEastAsia"/>
          <w:color w:val="auto"/>
          <w:highlight w:val="none"/>
          <w:lang w:val="en-US" w:eastAsia="zh-CN"/>
        </w:rPr>
        <w:t>项目地块土壤、地下水中不存在超筛选值的污染物，项目地块不属于污染地块</w:t>
      </w:r>
      <w:r>
        <w:rPr>
          <w:rFonts w:hint="eastAsia" w:asciiTheme="minorEastAsia" w:hAnsiTheme="minorEastAsia" w:eastAsiaTheme="minorEastAsia" w:cstheme="minorEastAsia"/>
          <w:color w:val="auto"/>
          <w:spacing w:val="-3"/>
          <w:szCs w:val="24"/>
          <w:highlight w:val="none"/>
          <w:lang w:eastAsia="zh-CN"/>
        </w:rPr>
        <w:t>”。</w:t>
      </w:r>
      <w:r>
        <w:rPr>
          <w:rFonts w:hint="eastAsia"/>
          <w:color w:val="auto"/>
          <w:highlight w:val="none"/>
          <w:lang w:val="zh-CN"/>
        </w:rPr>
        <w:t>本项目是利用锅炉灰渣作为回填材料</w:t>
      </w:r>
      <w:r>
        <w:rPr>
          <w:rFonts w:hint="eastAsia"/>
          <w:color w:val="auto"/>
          <w:highlight w:val="none"/>
          <w:lang w:val="en-US" w:eastAsia="zh-CN"/>
        </w:rPr>
        <w:t>对废</w:t>
      </w:r>
      <w:r>
        <w:rPr>
          <w:rFonts w:hint="eastAsia" w:asciiTheme="minorEastAsia" w:hAnsiTheme="minorEastAsia" w:eastAsiaTheme="minorEastAsia" w:cstheme="minorEastAsia"/>
          <w:color w:val="auto"/>
          <w:szCs w:val="24"/>
          <w:highlight w:val="none"/>
        </w:rPr>
        <w:t>采砂坑</w:t>
      </w:r>
      <w:r>
        <w:rPr>
          <w:rFonts w:hint="eastAsia"/>
          <w:color w:val="auto"/>
          <w:highlight w:val="none"/>
          <w:lang w:val="en-US" w:eastAsia="zh-CN"/>
        </w:rPr>
        <w:t>进行生态修复为林地，即可以使一般工业固体废物得到规范处置，又实现废弃资源综合利用，同时通过对废弃</w:t>
      </w:r>
      <w:r>
        <w:rPr>
          <w:rFonts w:hint="eastAsia" w:ascii="Times New Roman"/>
          <w:color w:val="auto"/>
          <w:highlight w:val="none"/>
          <w:lang w:val="en-US" w:eastAsia="zh-CN"/>
        </w:rPr>
        <w:t>采砂坑</w:t>
      </w:r>
      <w:r>
        <w:rPr>
          <w:rFonts w:hint="eastAsia"/>
          <w:color w:val="auto"/>
          <w:highlight w:val="none"/>
          <w:lang w:val="en-US" w:eastAsia="zh-CN"/>
        </w:rPr>
        <w:t>合理地进行复垦，对恢复生态、保护环境具有重要意义，因此符合《黑龙江省地质环境保护条例》（2013修正版）中相关要求。</w:t>
      </w:r>
    </w:p>
    <w:p w14:paraId="77B61B63">
      <w:pPr>
        <w:pStyle w:val="217"/>
        <w:ind w:left="0" w:leftChars="0" w:firstLine="0" w:firstLineChars="0"/>
        <w:rPr>
          <w:rFonts w:hint="eastAsia" w:hAnsi="Times New Roman" w:cs="Times New Roman"/>
          <w:color w:val="auto"/>
          <w:highlight w:val="none"/>
          <w:lang w:val="en-US" w:eastAsia="zh-CN"/>
        </w:rPr>
      </w:pPr>
      <w:r>
        <w:rPr>
          <w:rFonts w:hint="eastAsia" w:asciiTheme="minorEastAsia" w:hAnsiTheme="minorEastAsia" w:eastAsiaTheme="minorEastAsia" w:cstheme="minorEastAsia"/>
          <w:b/>
          <w:snapToGrid w:val="0"/>
          <w:color w:val="auto"/>
          <w:highlight w:val="none"/>
        </w:rPr>
        <w:t>1.4.</w:t>
      </w:r>
      <w:r>
        <w:rPr>
          <w:rFonts w:hint="eastAsia" w:asciiTheme="minorEastAsia" w:hAnsiTheme="minorEastAsia" w:eastAsiaTheme="minorEastAsia" w:cstheme="minorEastAsia"/>
          <w:b/>
          <w:snapToGrid w:val="0"/>
          <w:color w:val="auto"/>
          <w:highlight w:val="none"/>
          <w:lang w:val="en-US" w:eastAsia="zh-CN"/>
        </w:rPr>
        <w:t>2</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26 与《矿山生态环境保护与恢复治理技术规范（试行）》符合性</w:t>
      </w:r>
    </w:p>
    <w:p w14:paraId="1ED534CD">
      <w:pPr>
        <w:pStyle w:val="217"/>
        <w:rPr>
          <w:rFonts w:hint="eastAsia" w:cs="Times New Roman"/>
          <w:b/>
          <w:bCs/>
          <w:color w:val="auto"/>
          <w:highlight w:val="none"/>
          <w:lang w:val="en-US" w:eastAsia="zh-CN"/>
        </w:rPr>
      </w:pPr>
      <w:r>
        <w:rPr>
          <w:rFonts w:hint="eastAsia" w:cs="Times New Roman"/>
          <w:b/>
          <w:bCs/>
          <w:color w:val="auto"/>
          <w:highlight w:val="none"/>
          <w:lang w:val="en-US" w:eastAsia="zh-CN"/>
        </w:rPr>
        <w:t>文件要求：</w:t>
      </w:r>
    </w:p>
    <w:p w14:paraId="02ED510E">
      <w:pPr>
        <w:pStyle w:val="217"/>
        <w:rPr>
          <w:rFonts w:hint="eastAsia" w:cs="Times New Roman"/>
          <w:color w:val="auto"/>
          <w:highlight w:val="none"/>
          <w:lang w:val="en-US" w:eastAsia="zh-CN"/>
        </w:rPr>
      </w:pPr>
      <w:r>
        <w:rPr>
          <w:rFonts w:hint="eastAsia" w:cs="Times New Roman"/>
          <w:color w:val="auto"/>
          <w:highlight w:val="none"/>
          <w:lang w:val="en-US" w:eastAsia="zh-CN"/>
        </w:rPr>
        <w:t>8.2 露天采场植被恢复8.2.1 边坡治理后应保持稳定。非干旱地区露天采场边坡应恢复植被。边坡恢复措施及设计要求应符合 GB 50433 的相关要求。8.2.2 位于交通干线两侧、城镇居民区周边、景区景点等可视范围的采石宕口及裸露岩石，应采取挂网喷播、种植藤本植物等工程与生物措施进行恢复，并使恢复后的宕口与周围景观相协调。</w:t>
      </w:r>
    </w:p>
    <w:p w14:paraId="7D085155">
      <w:pPr>
        <w:pStyle w:val="217"/>
        <w:rPr>
          <w:rFonts w:hint="default" w:hAnsi="Times New Roman" w:cs="Times New Roman"/>
          <w:color w:val="auto"/>
          <w:highlight w:val="none"/>
          <w:lang w:val="en-US" w:eastAsia="zh-CN"/>
        </w:rPr>
      </w:pPr>
      <w:r>
        <w:rPr>
          <w:rFonts w:hint="eastAsia" w:cs="Times New Roman"/>
          <w:color w:val="auto"/>
          <w:highlight w:val="none"/>
          <w:lang w:val="en-US" w:eastAsia="zh-CN"/>
        </w:rPr>
        <w:t xml:space="preserve">8.3 露天采场恢复与利用露天采场作为内排土场时，场地水土保持与稳定性、植被恢复要求按 7.2-7.3 执行。露天采场不作为内排土场时，按满足以下要求：8.3.1 采矿剥离物含有毒有害或放射性物质时，按照 7.1.2 的要求执行。8.3.2 </w:t>
      </w:r>
      <w:r>
        <w:rPr>
          <w:rFonts w:hint="eastAsia" w:cs="Times New Roman"/>
          <w:color w:val="auto"/>
          <w:highlight w:val="none"/>
          <w:u w:val="single"/>
          <w:lang w:val="en-US" w:eastAsia="zh-CN"/>
        </w:rPr>
        <w:t>平原地区的露天采场应平整、回填后进行生态恢复，并与周边地表景观相协调，位于山区的露天采场可保持平台和边坡。</w:t>
      </w:r>
      <w:r>
        <w:rPr>
          <w:rFonts w:hint="eastAsia" w:cs="Times New Roman"/>
          <w:color w:val="auto"/>
          <w:highlight w:val="none"/>
          <w:lang w:val="en-US" w:eastAsia="zh-CN"/>
        </w:rPr>
        <w:t xml:space="preserve">8.3.3 </w:t>
      </w:r>
      <w:r>
        <w:rPr>
          <w:rFonts w:hint="eastAsia" w:cs="Times New Roman"/>
          <w:color w:val="auto"/>
          <w:highlight w:val="none"/>
          <w:u w:val="single"/>
          <w:lang w:val="en-US" w:eastAsia="zh-CN"/>
        </w:rPr>
        <w:t>露天采场回填应做到地面平整，充分利用工程前收集的表土和露天采场风化物覆盖于表层（覆土要求按 7.3.2 执行），并做好水土保持与防风固沙措施</w:t>
      </w:r>
      <w:r>
        <w:rPr>
          <w:rFonts w:hint="eastAsia" w:cs="Times New Roman"/>
          <w:color w:val="auto"/>
          <w:highlight w:val="none"/>
          <w:lang w:val="en-US" w:eastAsia="zh-CN"/>
        </w:rPr>
        <w:t xml:space="preserve">。8.3.4 </w:t>
      </w:r>
      <w:r>
        <w:rPr>
          <w:rFonts w:hint="eastAsia" w:cs="Times New Roman"/>
          <w:color w:val="auto"/>
          <w:highlight w:val="none"/>
          <w:u w:val="single"/>
          <w:lang w:val="en-US" w:eastAsia="zh-CN"/>
        </w:rPr>
        <w:t>恢复后的露天采场进行土地资源再利用时，在坡度、土层厚度、稳定性、土壤环境安全性等方面应满足相关用地要求</w:t>
      </w:r>
      <w:r>
        <w:rPr>
          <w:rFonts w:hint="eastAsia" w:cs="Times New Roman"/>
          <w:color w:val="auto"/>
          <w:highlight w:val="none"/>
          <w:lang w:val="en-US" w:eastAsia="zh-CN"/>
        </w:rPr>
        <w:t>。</w:t>
      </w:r>
    </w:p>
    <w:p w14:paraId="1BFDC62B">
      <w:pPr>
        <w:pStyle w:val="217"/>
        <w:rPr>
          <w:rFonts w:hint="eastAsia" w:cs="Times New Roman"/>
          <w:color w:val="auto"/>
          <w:highlight w:val="none"/>
          <w:lang w:val="en-US" w:eastAsia="zh-CN"/>
        </w:rPr>
      </w:pPr>
      <w:r>
        <w:rPr>
          <w:rFonts w:hint="eastAsia" w:cs="Times New Roman"/>
          <w:b/>
          <w:bCs/>
          <w:color w:val="auto"/>
          <w:highlight w:val="none"/>
          <w:lang w:val="en-US" w:eastAsia="zh-CN"/>
        </w:rPr>
        <w:t>符合性分析：</w:t>
      </w:r>
      <w:r>
        <w:rPr>
          <w:rFonts w:hint="eastAsia" w:cs="Times New Roman"/>
          <w:color w:val="auto"/>
          <w:highlight w:val="none"/>
          <w:lang w:val="en-US" w:eastAsia="zh-CN"/>
        </w:rPr>
        <w:t>本项目回填后复垦为林地，与周围相协调。为保证修复治理效果，回填过程采用“分层摊铺、往返碾压、分单元作业”的回填处理工艺，摊铺作业方法采用下推法。每层摊铺厚度不大于1m，压实系数不小于0.9，单元作业面积1200m</w:t>
      </w:r>
      <w:r>
        <w:rPr>
          <w:rFonts w:hint="eastAsia" w:cs="Times New Roman"/>
          <w:color w:val="auto"/>
          <w:highlight w:val="none"/>
          <w:vertAlign w:val="superscript"/>
          <w:lang w:val="en-US" w:eastAsia="zh-CN"/>
        </w:rPr>
        <w:t>2</w:t>
      </w:r>
      <w:r>
        <w:rPr>
          <w:rFonts w:hint="eastAsia" w:cs="Times New Roman"/>
          <w:color w:val="auto"/>
          <w:highlight w:val="none"/>
          <w:lang w:val="en-US" w:eastAsia="zh-CN"/>
        </w:rPr>
        <w:t>，修复完毕后，在回填平整完成的基础上表层覆土并压实，覆土厚度80cm，可保证回填后地质稳定性。符合《矿山生态环境保护与恢复治理技术规范（试行）》中相关要求。</w:t>
      </w:r>
    </w:p>
    <w:p w14:paraId="678DCDBA">
      <w:pPr>
        <w:pStyle w:val="217"/>
        <w:ind w:left="0" w:leftChars="0" w:firstLine="0" w:firstLineChars="0"/>
        <w:rPr>
          <w:rFonts w:hint="eastAsia" w:hAnsi="Times New Roman" w:cs="Times New Roman"/>
          <w:color w:val="auto"/>
          <w:highlight w:val="none"/>
          <w:lang w:val="en-US" w:eastAsia="zh-CN"/>
        </w:rPr>
      </w:pPr>
      <w:r>
        <w:rPr>
          <w:rFonts w:hint="eastAsia" w:asciiTheme="minorEastAsia" w:hAnsiTheme="minorEastAsia" w:eastAsiaTheme="minorEastAsia" w:cstheme="minorEastAsia"/>
          <w:b/>
          <w:snapToGrid w:val="0"/>
          <w:color w:val="auto"/>
          <w:highlight w:val="none"/>
        </w:rPr>
        <w:t>1.4.</w:t>
      </w:r>
      <w:r>
        <w:rPr>
          <w:rFonts w:hint="eastAsia" w:asciiTheme="minorEastAsia" w:hAnsiTheme="minorEastAsia" w:eastAsiaTheme="minorEastAsia" w:cstheme="minorEastAsia"/>
          <w:b/>
          <w:snapToGrid w:val="0"/>
          <w:color w:val="auto"/>
          <w:highlight w:val="none"/>
          <w:lang w:val="en-US" w:eastAsia="zh-CN"/>
        </w:rPr>
        <w:t>2</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27 与《黑龙江省黑土地保护利用条例》符合性</w:t>
      </w:r>
    </w:p>
    <w:p w14:paraId="150B9B88">
      <w:pPr>
        <w:pStyle w:val="217"/>
        <w:rPr>
          <w:rFonts w:hint="eastAsia" w:cs="Times New Roman"/>
          <w:b/>
          <w:bCs/>
          <w:color w:val="auto"/>
          <w:highlight w:val="none"/>
          <w:lang w:val="en-US" w:eastAsia="zh-CN"/>
        </w:rPr>
      </w:pPr>
      <w:r>
        <w:rPr>
          <w:rFonts w:hint="eastAsia" w:cs="Times New Roman"/>
          <w:b/>
          <w:bCs/>
          <w:color w:val="auto"/>
          <w:highlight w:val="none"/>
          <w:lang w:val="en-US" w:eastAsia="zh-CN"/>
        </w:rPr>
        <w:t>文件要求：</w:t>
      </w:r>
    </w:p>
    <w:p w14:paraId="64EEE8ED">
      <w:pPr>
        <w:pStyle w:val="217"/>
        <w:rPr>
          <w:rFonts w:hint="default" w:hAnsi="Times New Roman" w:cs="Times New Roman"/>
          <w:color w:val="auto"/>
          <w:highlight w:val="none"/>
          <w:lang w:val="en-US" w:eastAsia="zh-CN"/>
        </w:rPr>
      </w:pPr>
      <w:r>
        <w:rPr>
          <w:rFonts w:hint="eastAsia" w:cs="Times New Roman"/>
          <w:color w:val="auto"/>
          <w:highlight w:val="none"/>
          <w:lang w:val="en-US" w:eastAsia="zh-CN"/>
        </w:rPr>
        <w:t>第四十条 县级以上人民政府应当采取土地复垦、治理修复、土壤改良、培肥地力等措施，稳定黑土地面积，提高黑土地质量。农村集体经济组织、国有农场、农业企业、农民专业合作社、农户和其他农业生产经营者应当加强农田基础设施建设，采取提升黑土地质量和改善农田生态环境的养护措施，依法保护和合理利用黑土地。</w:t>
      </w:r>
    </w:p>
    <w:p w14:paraId="13589405">
      <w:pPr>
        <w:pStyle w:val="217"/>
        <w:rPr>
          <w:rFonts w:hint="eastAsia" w:hAnsi="Times New Roman" w:cs="Times New Roman"/>
          <w:color w:val="auto"/>
          <w:highlight w:val="none"/>
          <w:lang w:val="en-US" w:eastAsia="zh-CN"/>
        </w:rPr>
      </w:pPr>
      <w:r>
        <w:rPr>
          <w:rFonts w:hint="eastAsia" w:hAnsi="Times New Roman" w:cs="Times New Roman"/>
          <w:color w:val="auto"/>
          <w:highlight w:val="none"/>
          <w:lang w:val="en-US" w:eastAsia="zh-CN"/>
        </w:rPr>
        <w:t>第四十四条 建设项目不得占用黑土地；确需占用的，应当依法严格审批，并补充数量和质量相当的耕地。基础设施建设应当采取必要措施，避免因建设项目导致水淹耕地或者破坏黑土地生态环境。</w:t>
      </w:r>
    </w:p>
    <w:p w14:paraId="7E73A4E6">
      <w:pPr>
        <w:pStyle w:val="217"/>
        <w:rPr>
          <w:rFonts w:hint="eastAsia"/>
          <w:color w:val="auto"/>
          <w:highlight w:val="none"/>
          <w:lang w:val="en-US" w:eastAsia="zh-CN"/>
        </w:rPr>
      </w:pPr>
      <w:r>
        <w:rPr>
          <w:rFonts w:hint="eastAsia" w:cs="Times New Roman"/>
          <w:b/>
          <w:bCs/>
          <w:color w:val="auto"/>
          <w:highlight w:val="none"/>
          <w:lang w:val="en-US" w:eastAsia="zh-CN"/>
        </w:rPr>
        <w:t>符合性分析：</w:t>
      </w:r>
      <w:r>
        <w:rPr>
          <w:rFonts w:hint="eastAsia" w:cs="Times New Roman"/>
          <w:color w:val="auto"/>
          <w:highlight w:val="none"/>
          <w:lang w:val="en-US" w:eastAsia="zh-CN"/>
        </w:rPr>
        <w:t>本项目为</w:t>
      </w:r>
      <w:r>
        <w:rPr>
          <w:rFonts w:hint="eastAsia" w:ascii="Times New Roman" w:hAnsi="宋体" w:eastAsia="宋体" w:cs="Times New Roman"/>
          <w:color w:val="auto"/>
          <w:kern w:val="0"/>
          <w:sz w:val="24"/>
          <w:szCs w:val="24"/>
          <w:highlight w:val="none"/>
          <w:lang w:val="en-US" w:eastAsia="zh-CN"/>
        </w:rPr>
        <w:t>灰渣回填复垦利用项目，</w:t>
      </w:r>
      <w:r>
        <w:rPr>
          <w:rFonts w:hint="eastAsia"/>
          <w:color w:val="auto"/>
          <w:highlight w:val="none"/>
          <w:lang w:val="zh-CN"/>
        </w:rPr>
        <w:t>利用锅炉灰渣作为回填材料</w:t>
      </w:r>
      <w:r>
        <w:rPr>
          <w:rFonts w:hint="eastAsia"/>
          <w:color w:val="auto"/>
          <w:highlight w:val="none"/>
          <w:lang w:val="en-US" w:eastAsia="zh-CN"/>
        </w:rPr>
        <w:t>对废</w:t>
      </w:r>
      <w:r>
        <w:rPr>
          <w:rFonts w:hint="eastAsia" w:asciiTheme="minorEastAsia" w:hAnsiTheme="minorEastAsia" w:eastAsiaTheme="minorEastAsia" w:cstheme="minorEastAsia"/>
          <w:color w:val="auto"/>
          <w:szCs w:val="24"/>
          <w:highlight w:val="none"/>
        </w:rPr>
        <w:t>采砂坑</w:t>
      </w:r>
      <w:r>
        <w:rPr>
          <w:rFonts w:hint="eastAsia"/>
          <w:color w:val="auto"/>
          <w:highlight w:val="none"/>
          <w:lang w:val="en-US" w:eastAsia="zh-CN"/>
        </w:rPr>
        <w:t>进行回填、覆土，修复为林地，覆土来</w:t>
      </w:r>
      <w:r>
        <w:rPr>
          <w:rFonts w:hint="eastAsia" w:asciiTheme="minorEastAsia" w:hAnsiTheme="minorEastAsia" w:eastAsiaTheme="minorEastAsia" w:cstheme="minorEastAsia"/>
          <w:color w:val="auto"/>
          <w:szCs w:val="24"/>
          <w:highlight w:val="none"/>
        </w:rPr>
        <w:t>自于</w:t>
      </w:r>
      <w:r>
        <w:rPr>
          <w:rFonts w:hint="eastAsia" w:ascii="Times New Roman" w:hAnsi="Times New Roman" w:eastAsia="宋体" w:cs="Times New Roman"/>
          <w:color w:val="auto"/>
          <w:sz w:val="24"/>
          <w:szCs w:val="24"/>
          <w:highlight w:val="none"/>
          <w:lang w:val="en-US" w:eastAsia="zh-CN"/>
        </w:rPr>
        <w:t>当地高标准农田建设</w:t>
      </w:r>
      <w:r>
        <w:rPr>
          <w:rFonts w:ascii="Times New Roman" w:hAnsi="Times New Roman" w:eastAsia="宋体" w:cs="Times New Roman"/>
          <w:color w:val="auto"/>
          <w:sz w:val="24"/>
          <w:szCs w:val="24"/>
          <w:highlight w:val="none"/>
        </w:rPr>
        <w:t>剥离的</w:t>
      </w:r>
      <w:r>
        <w:rPr>
          <w:rFonts w:hint="eastAsia" w:ascii="Times New Roman" w:hAnsi="Times New Roman" w:eastAsia="宋体" w:cs="Times New Roman"/>
          <w:color w:val="auto"/>
          <w:sz w:val="24"/>
          <w:szCs w:val="24"/>
          <w:highlight w:val="none"/>
          <w:lang w:val="en-US" w:eastAsia="zh-CN"/>
        </w:rPr>
        <w:t>种植</w:t>
      </w:r>
      <w:r>
        <w:rPr>
          <w:rFonts w:ascii="Times New Roman" w:hAnsi="Times New Roman" w:eastAsia="宋体" w:cs="Times New Roman"/>
          <w:color w:val="auto"/>
          <w:sz w:val="24"/>
          <w:szCs w:val="24"/>
          <w:highlight w:val="none"/>
        </w:rPr>
        <w:t>表土</w:t>
      </w:r>
      <w:r>
        <w:rPr>
          <w:rFonts w:hint="eastAsia"/>
          <w:color w:val="auto"/>
          <w:highlight w:val="none"/>
          <w:lang w:val="en-US" w:eastAsia="zh-CN"/>
        </w:rPr>
        <w:t>，不涉及黑土地开采，项目的实施即可以使一般工业固体废物得到规范处置，又实现废弃资源综合利用，同时通过对废弃采坑合理地进行复垦为林地，增加了林地面积，与周围景观相一致，对恢复生态、保护环境具有重要意义，因此符合《黑龙江省黑土地保护利用条例》中相关要求。</w:t>
      </w:r>
    </w:p>
    <w:p w14:paraId="4F818814">
      <w:pPr>
        <w:pStyle w:val="217"/>
        <w:ind w:left="0" w:leftChars="0" w:firstLine="0" w:firstLineChars="0"/>
        <w:rPr>
          <w:rFonts w:hint="eastAsia" w:hAnsi="Times New Roman" w:cs="Times New Roman"/>
          <w:color w:val="auto"/>
          <w:highlight w:val="none"/>
          <w:lang w:val="en-US" w:eastAsia="zh-CN"/>
        </w:rPr>
      </w:pPr>
      <w:r>
        <w:rPr>
          <w:rFonts w:hint="eastAsia" w:asciiTheme="minorEastAsia" w:hAnsiTheme="minorEastAsia" w:eastAsiaTheme="minorEastAsia" w:cstheme="minorEastAsia"/>
          <w:b/>
          <w:snapToGrid w:val="0"/>
          <w:color w:val="auto"/>
          <w:highlight w:val="none"/>
        </w:rPr>
        <w:t>1.4.</w:t>
      </w:r>
      <w:r>
        <w:rPr>
          <w:rFonts w:hint="eastAsia" w:asciiTheme="minorEastAsia" w:hAnsiTheme="minorEastAsia" w:eastAsiaTheme="minorEastAsia" w:cstheme="minorEastAsia"/>
          <w:b/>
          <w:snapToGrid w:val="0"/>
          <w:color w:val="auto"/>
          <w:highlight w:val="none"/>
          <w:lang w:val="en-US" w:eastAsia="zh-CN"/>
        </w:rPr>
        <w:t>2</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28与《一般工业固体废物环境管理工作指南》环办固体函[2026]18号符合性</w:t>
      </w:r>
    </w:p>
    <w:p w14:paraId="5B54E2DB">
      <w:pPr>
        <w:pStyle w:val="217"/>
        <w:rPr>
          <w:rFonts w:hint="eastAsia" w:cs="Times New Roman"/>
          <w:b/>
          <w:bCs/>
          <w:color w:val="auto"/>
          <w:highlight w:val="none"/>
          <w:lang w:val="en-US" w:eastAsia="zh-CN"/>
        </w:rPr>
      </w:pPr>
      <w:r>
        <w:rPr>
          <w:rFonts w:hint="eastAsia" w:cs="Times New Roman"/>
          <w:b/>
          <w:bCs/>
          <w:color w:val="auto"/>
          <w:highlight w:val="none"/>
          <w:lang w:val="en-US" w:eastAsia="zh-CN"/>
        </w:rPr>
        <w:t>文件要求：</w:t>
      </w:r>
    </w:p>
    <w:p w14:paraId="3D2D2AE7">
      <w:pPr>
        <w:pStyle w:val="217"/>
        <w:rPr>
          <w:rFonts w:hint="eastAsia"/>
          <w:color w:val="auto"/>
          <w:highlight w:val="none"/>
          <w:lang w:val="en-US" w:eastAsia="zh-CN"/>
        </w:rPr>
      </w:pPr>
      <w:r>
        <w:rPr>
          <w:rFonts w:hint="eastAsia"/>
          <w:color w:val="auto"/>
          <w:highlight w:val="none"/>
          <w:lang w:val="en-US" w:eastAsia="zh-CN"/>
        </w:rPr>
        <w:t>(四)加强利用处置管理。产废单位依法依规对一般工业固体废物加以利用，减少贮存量和填埋量。产废单位利用、处置一般工业固体废物的，应当遵守生态环境法律法规，符合有关环境保护标准规范要求。鼓励产废单位按照“科学论证、制定规范、主动公开、全程监督”等程序，积极开展一般工业固体废物规模化消纳利用。······综合利用固体废物应当遵守生态环境法律法规，符合固体废物污染环境防治技术标准。使用固体废物综合利用产物应当符合国家规定的用途、标准。</w:t>
      </w:r>
    </w:p>
    <w:p w14:paraId="68EC64C0">
      <w:pPr>
        <w:pStyle w:val="217"/>
        <w:rPr>
          <w:rFonts w:hint="default"/>
          <w:color w:val="auto"/>
          <w:highlight w:val="none"/>
          <w:lang w:val="en-US" w:eastAsia="zh-CN"/>
        </w:rPr>
      </w:pPr>
      <w:r>
        <w:rPr>
          <w:rStyle w:val="1330"/>
          <w:rFonts w:hint="eastAsia" w:asciiTheme="minorEastAsia" w:hAnsiTheme="minorEastAsia" w:eastAsiaTheme="minorEastAsia" w:cstheme="minorEastAsia"/>
          <w:b/>
          <w:bCs/>
          <w:color w:val="auto"/>
          <w:highlight w:val="none"/>
          <w:lang w:val="en-US" w:eastAsia="zh-CN"/>
        </w:rPr>
        <w:t>符合性分析：</w:t>
      </w:r>
      <w:r>
        <w:rPr>
          <w:rFonts w:hint="eastAsia" w:asciiTheme="minorEastAsia" w:hAnsiTheme="minorEastAsia" w:eastAsiaTheme="minorEastAsia" w:cstheme="minorEastAsia"/>
          <w:color w:val="auto"/>
          <w:highlight w:val="none"/>
        </w:rPr>
        <w:t>本项目为</w:t>
      </w:r>
      <w:r>
        <w:rPr>
          <w:rFonts w:hint="eastAsia" w:ascii="Times New Roman" w:hAnsi="宋体" w:eastAsia="宋体" w:cs="Times New Roman"/>
          <w:color w:val="auto"/>
          <w:kern w:val="0"/>
          <w:sz w:val="24"/>
          <w:szCs w:val="24"/>
          <w:highlight w:val="none"/>
          <w:lang w:val="en-US" w:eastAsia="zh-CN"/>
        </w:rPr>
        <w:t>灰渣回填复垦利用项目</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lang w:val="en-US" w:eastAsia="zh-CN"/>
        </w:rPr>
        <w:t>利用锅炉灰渣作为回填材料对</w:t>
      </w:r>
      <w:r>
        <w:rPr>
          <w:rFonts w:hint="eastAsia"/>
          <w:color w:val="auto"/>
          <w:highlight w:val="none"/>
          <w:lang w:val="en-US" w:eastAsia="zh-CN"/>
        </w:rPr>
        <w:t>废</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lang w:val="en-US" w:eastAsia="zh-CN"/>
        </w:rPr>
        <w:t>进行回填、</w:t>
      </w:r>
      <w:r>
        <w:rPr>
          <w:rFonts w:hint="eastAsia" w:asciiTheme="minorEastAsia" w:hAnsiTheme="minorEastAsia" w:eastAsiaTheme="minorEastAsia" w:cstheme="minorEastAsia"/>
          <w:color w:val="auto"/>
          <w:highlight w:val="none"/>
        </w:rPr>
        <w:t>覆土</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恢复成</w:t>
      </w:r>
      <w:r>
        <w:rPr>
          <w:rFonts w:hint="eastAsia" w:asciiTheme="minorEastAsia" w:hAnsiTheme="minorEastAsia" w:eastAsiaTheme="minorEastAsia" w:cstheme="minorEastAsia"/>
          <w:color w:val="auto"/>
          <w:highlight w:val="none"/>
          <w:lang w:val="en-US" w:eastAsia="zh-CN"/>
        </w:rPr>
        <w:t>林</w:t>
      </w:r>
      <w:r>
        <w:rPr>
          <w:rFonts w:hint="eastAsia" w:asciiTheme="minorEastAsia" w:hAnsiTheme="minorEastAsia" w:eastAsiaTheme="minorEastAsia" w:cstheme="minorEastAsia"/>
          <w:color w:val="auto"/>
          <w:highlight w:val="none"/>
        </w:rPr>
        <w:t>地，</w:t>
      </w:r>
      <w:r>
        <w:rPr>
          <w:rFonts w:hint="eastAsia" w:ascii="宋体" w:hAnsi="宋体" w:eastAsia="宋体" w:cs="宋体"/>
          <w:color w:val="auto"/>
          <w:kern w:val="0"/>
          <w:sz w:val="24"/>
          <w:szCs w:val="24"/>
          <w:highlight w:val="none"/>
          <w:lang w:val="en-US" w:eastAsia="zh-CN" w:bidi="ar-SA"/>
        </w:rPr>
        <w:t>根据灰渣浸出液检测结果：</w:t>
      </w:r>
      <w:r>
        <w:rPr>
          <w:rFonts w:hint="eastAsia" w:ascii="宋体" w:hAnsi="宋体" w:eastAsia="宋体" w:cs="宋体"/>
          <w:color w:val="auto"/>
          <w:kern w:val="0"/>
          <w:sz w:val="24"/>
          <w:szCs w:val="22"/>
          <w:highlight w:val="none"/>
          <w:lang w:val="en-US" w:eastAsia="zh-CN" w:bidi="ar-SA"/>
        </w:rPr>
        <w:t>灰渣浸出液中任何一种污染物的浓度均未超过《污水综合排放标准》（GB 8978-1996）中最高允许排放浓度，且pH值在6-9范围之内，因此</w:t>
      </w:r>
      <w:r>
        <w:rPr>
          <w:rFonts w:hint="eastAsia" w:hAnsi="宋体" w:cs="宋体"/>
          <w:color w:val="auto"/>
          <w:spacing w:val="2"/>
          <w:kern w:val="0"/>
          <w:sz w:val="24"/>
          <w:szCs w:val="24"/>
          <w:highlight w:val="none"/>
          <w:lang w:val="en-US" w:eastAsia="zh-CN" w:bidi="ar-SA"/>
        </w:rPr>
        <w:t>本项目使用的</w:t>
      </w:r>
      <w:r>
        <w:rPr>
          <w:rFonts w:hint="eastAsia" w:ascii="宋体" w:hAnsi="宋体" w:eastAsia="宋体" w:cs="宋体"/>
          <w:color w:val="auto"/>
          <w:kern w:val="0"/>
          <w:sz w:val="24"/>
          <w:szCs w:val="24"/>
          <w:highlight w:val="none"/>
          <w:lang w:val="en-US" w:eastAsia="zh-CN" w:bidi="ar-SA"/>
        </w:rPr>
        <w:t>灰渣</w:t>
      </w:r>
      <w:r>
        <w:rPr>
          <w:rFonts w:hint="eastAsia" w:ascii="宋体" w:hAnsi="宋体" w:eastAsia="宋体" w:cs="宋体"/>
          <w:color w:val="auto"/>
          <w:kern w:val="0"/>
          <w:sz w:val="24"/>
          <w:szCs w:val="24"/>
          <w:highlight w:val="none"/>
          <w:shd w:val="clear" w:color="auto" w:fill="FFFFFF"/>
          <w:lang w:val="en-US" w:eastAsia="zh-CN" w:bidi="ar-SA"/>
        </w:rPr>
        <w:t>属于“</w:t>
      </w:r>
      <w:r>
        <w:rPr>
          <w:rFonts w:hint="eastAsia" w:ascii="宋体" w:hAnsi="宋体" w:eastAsia="宋体" w:cs="宋体"/>
          <w:color w:val="auto"/>
          <w:kern w:val="2"/>
          <w:sz w:val="24"/>
          <w:szCs w:val="22"/>
          <w:highlight w:val="none"/>
          <w:lang w:val="en-US" w:eastAsia="zh-CN" w:bidi="ar"/>
        </w:rPr>
        <w:t>第I类一般工业固体废物</w:t>
      </w:r>
      <w:r>
        <w:rPr>
          <w:rFonts w:hint="eastAsia" w:ascii="宋体" w:hAnsi="宋体" w:eastAsia="宋体" w:cs="宋体"/>
          <w:color w:val="auto"/>
          <w:kern w:val="0"/>
          <w:sz w:val="24"/>
          <w:szCs w:val="24"/>
          <w:highlight w:val="none"/>
          <w:shd w:val="clear" w:color="auto" w:fill="FFFFFF"/>
          <w:lang w:val="en-US" w:eastAsia="zh-CN" w:bidi="ar-SA"/>
        </w:rPr>
        <w:t>”</w:t>
      </w:r>
      <w:r>
        <w:rPr>
          <w:rFonts w:hint="eastAsia" w:ascii="宋体" w:hAnsi="宋体" w:eastAsia="宋体" w:cs="宋体"/>
          <w:color w:val="auto"/>
          <w:kern w:val="2"/>
          <w:sz w:val="24"/>
          <w:szCs w:val="22"/>
          <w:highlight w:val="none"/>
          <w:lang w:val="en-US" w:eastAsia="zh-CN" w:bidi="ar"/>
        </w:rPr>
        <w:t>，且有机质含量小于2%，水溶性盐总量小于2%，满足《一般工业固体废物贮存和填埋污染控制标准》中充填及回填利用、封填及土地复垦要求。</w:t>
      </w:r>
      <w:r>
        <w:rPr>
          <w:rStyle w:val="1330"/>
          <w:rFonts w:hint="eastAsia" w:asciiTheme="minorEastAsia" w:hAnsiTheme="minorEastAsia" w:eastAsiaTheme="minorEastAsia" w:cstheme="minorEastAsia"/>
          <w:color w:val="auto"/>
          <w:highlight w:val="none"/>
          <w:lang w:val="en-US" w:eastAsia="zh-CN"/>
        </w:rPr>
        <w:t>且本项目已编制</w:t>
      </w:r>
      <w:r>
        <w:rPr>
          <w:rFonts w:hint="eastAsia" w:ascii="宋体" w:hAnsi="宋体" w:eastAsia="宋体" w:cs="宋体"/>
          <w:color w:val="auto"/>
          <w:kern w:val="0"/>
          <w:sz w:val="24"/>
          <w:szCs w:val="24"/>
          <w:highlight w:val="none"/>
          <w:lang w:val="en-US" w:eastAsia="zh-CN" w:bidi="ar-SA"/>
        </w:rPr>
        <w:t>《</w:t>
      </w:r>
      <w:r>
        <w:rPr>
          <w:rFonts w:hint="eastAsia" w:ascii="Times New Roman" w:hAnsi="宋体" w:eastAsia="宋体" w:cs="Times New Roman"/>
          <w:color w:val="auto"/>
          <w:kern w:val="0"/>
          <w:sz w:val="24"/>
          <w:szCs w:val="24"/>
          <w:highlight w:val="none"/>
          <w:lang w:val="en-US" w:eastAsia="zh-CN"/>
        </w:rPr>
        <w:t>黑龙江嘉龙环保科技有限公司灰渣回填复垦利用项目</w:t>
      </w:r>
      <w:r>
        <w:rPr>
          <w:rFonts w:hint="eastAsia" w:ascii="宋体" w:hAnsi="宋体" w:eastAsia="宋体" w:cs="宋体"/>
          <w:color w:val="auto"/>
          <w:spacing w:val="-3"/>
          <w:kern w:val="0"/>
          <w:sz w:val="24"/>
          <w:szCs w:val="24"/>
          <w:highlight w:val="none"/>
          <w:lang w:val="en-US" w:eastAsia="zh-CN" w:bidi="ar-SA"/>
        </w:rPr>
        <w:t>风险评估报告》，并通过专家评审</w:t>
      </w:r>
      <w:r>
        <w:rPr>
          <w:rFonts w:hint="eastAsia" w:hAnsi="宋体" w:cs="宋体"/>
          <w:color w:val="auto"/>
          <w:spacing w:val="-3"/>
          <w:kern w:val="0"/>
          <w:sz w:val="24"/>
          <w:szCs w:val="24"/>
          <w:highlight w:val="none"/>
          <w:lang w:val="en-US" w:eastAsia="zh-CN" w:bidi="ar-SA"/>
        </w:rPr>
        <w:t>，</w:t>
      </w:r>
      <w:r>
        <w:rPr>
          <w:rFonts w:hint="eastAsia" w:ascii="宋体" w:hAnsi="宋体" w:eastAsia="宋体" w:cs="宋体"/>
          <w:color w:val="auto"/>
          <w:kern w:val="0"/>
          <w:sz w:val="24"/>
          <w:szCs w:val="24"/>
          <w:highlight w:val="none"/>
          <w:lang w:val="en-US" w:eastAsia="zh-CN" w:bidi="ar-SA"/>
        </w:rPr>
        <w:t>评估结论为环境风险可以接受</w:t>
      </w:r>
      <w:r>
        <w:rPr>
          <w:rFonts w:hint="eastAsia" w:hAnsi="宋体" w:cs="宋体"/>
          <w:color w:val="auto"/>
          <w:kern w:val="0"/>
          <w:sz w:val="24"/>
          <w:szCs w:val="24"/>
          <w:highlight w:val="none"/>
          <w:lang w:val="en-US" w:eastAsia="zh-CN" w:bidi="ar-SA"/>
        </w:rPr>
        <w:t>。本项目采取污染防治措施后均可达标排放，不改变环境质量现状。</w:t>
      </w:r>
      <w:r>
        <w:rPr>
          <w:rFonts w:hint="eastAsia" w:hAnsi="宋体" w:cs="宋体"/>
          <w:color w:val="auto"/>
          <w:kern w:val="0"/>
          <w:szCs w:val="21"/>
          <w:highlight w:val="none"/>
          <w:lang w:val="en-US" w:eastAsia="zh-CN"/>
        </w:rPr>
        <w:t>因此符合《一般工业固体废物环境管理工作指南》中相关要求。</w:t>
      </w:r>
    </w:p>
    <w:p w14:paraId="58574031">
      <w:pPr>
        <w:pStyle w:val="7"/>
        <w:numPr>
          <w:ilvl w:val="0"/>
          <w:numId w:val="0"/>
        </w:numP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1.4.3</w:t>
      </w:r>
      <w:r>
        <w:rPr>
          <w:rFonts w:hint="eastAsia" w:asciiTheme="minorEastAsia" w:hAnsiTheme="minorEastAsia" w:eastAsiaTheme="minorEastAsia" w:cstheme="minorEastAsia"/>
          <w:color w:val="auto"/>
          <w:highlight w:val="none"/>
        </w:rPr>
        <w:t>选址合理性分析</w:t>
      </w:r>
      <w:bookmarkEnd w:id="102"/>
      <w:bookmarkEnd w:id="106"/>
    </w:p>
    <w:p w14:paraId="685FA38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en-US"/>
        </w:rPr>
      </w:pPr>
      <w:r>
        <w:rPr>
          <w:rFonts w:hint="eastAsia" w:asciiTheme="minorEastAsia" w:hAnsiTheme="minorEastAsia" w:eastAsiaTheme="minorEastAsia" w:cstheme="minorEastAsia"/>
          <w:color w:val="auto"/>
          <w:highlight w:val="none"/>
        </w:rPr>
        <w:t>本项目为</w:t>
      </w:r>
      <w:r>
        <w:rPr>
          <w:rFonts w:hint="eastAsia" w:ascii="Times New Roman" w:hAnsi="宋体" w:eastAsia="宋体" w:cs="Times New Roman"/>
          <w:color w:val="auto"/>
          <w:kern w:val="0"/>
          <w:sz w:val="24"/>
          <w:szCs w:val="24"/>
          <w:highlight w:val="none"/>
          <w:lang w:val="en-US" w:eastAsia="zh-CN"/>
        </w:rPr>
        <w:t>灰渣回填复垦利用项目</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lang w:val="en-US" w:eastAsia="zh-CN"/>
        </w:rPr>
        <w:t>利用锅炉灰渣作为回填材料对</w:t>
      </w:r>
      <w:r>
        <w:rPr>
          <w:rFonts w:hint="eastAsia"/>
          <w:color w:val="auto"/>
          <w:highlight w:val="none"/>
          <w:lang w:val="en-US" w:eastAsia="zh-CN"/>
        </w:rPr>
        <w:t>废</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lang w:val="en-US" w:eastAsia="zh-CN"/>
        </w:rPr>
        <w:t>进行回填、</w:t>
      </w:r>
      <w:r>
        <w:rPr>
          <w:rFonts w:hint="eastAsia" w:asciiTheme="minorEastAsia" w:hAnsiTheme="minorEastAsia" w:eastAsiaTheme="minorEastAsia" w:cstheme="minorEastAsia"/>
          <w:color w:val="auto"/>
          <w:highlight w:val="none"/>
        </w:rPr>
        <w:t>覆土</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恢复成</w:t>
      </w:r>
      <w:r>
        <w:rPr>
          <w:rFonts w:hint="eastAsia" w:asciiTheme="minorEastAsia" w:hAnsiTheme="minorEastAsia" w:eastAsiaTheme="minorEastAsia" w:cstheme="minorEastAsia"/>
          <w:color w:val="auto"/>
          <w:highlight w:val="none"/>
          <w:lang w:val="en-US" w:eastAsia="zh-CN"/>
        </w:rPr>
        <w:t>林</w:t>
      </w:r>
      <w:r>
        <w:rPr>
          <w:rFonts w:hint="eastAsia" w:asciiTheme="minorEastAsia" w:hAnsiTheme="minorEastAsia" w:eastAsiaTheme="minorEastAsia" w:cstheme="minorEastAsia"/>
          <w:color w:val="auto"/>
          <w:highlight w:val="none"/>
        </w:rPr>
        <w:t>地，生态环境</w:t>
      </w:r>
      <w:r>
        <w:rPr>
          <w:rFonts w:hint="eastAsia" w:asciiTheme="minorEastAsia" w:hAnsiTheme="minorEastAsia" w:eastAsiaTheme="minorEastAsia" w:cstheme="minorEastAsia"/>
          <w:color w:val="auto"/>
          <w:highlight w:val="none"/>
          <w:lang w:val="en-US" w:eastAsia="zh-CN"/>
        </w:rPr>
        <w:t>趋于</w:t>
      </w:r>
      <w:r>
        <w:rPr>
          <w:rFonts w:hint="eastAsia" w:asciiTheme="minorEastAsia" w:hAnsiTheme="minorEastAsia" w:eastAsiaTheme="minorEastAsia" w:cstheme="minorEastAsia"/>
          <w:color w:val="auto"/>
          <w:highlight w:val="none"/>
        </w:rPr>
        <w:t>好转</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不涉及选址问题，拟从以下角度分析环境兼容性：</w:t>
      </w:r>
    </w:p>
    <w:p w14:paraId="5943E5AB">
      <w:pPr>
        <w:pStyle w:val="217"/>
        <w:adjustRightInd w:val="0"/>
        <w:snapToGrid w:val="0"/>
        <w:spacing w:line="360" w:lineRule="auto"/>
        <w:ind w:firstLine="480" w:firstLineChars="200"/>
        <w:jc w:val="both"/>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①环境关系：</w:t>
      </w:r>
    </w:p>
    <w:p w14:paraId="5412F1B3">
      <w:pPr>
        <w:pStyle w:val="217"/>
        <w:adjustRightInd w:val="0"/>
        <w:snapToGrid w:val="0"/>
        <w:spacing w:line="360" w:lineRule="auto"/>
        <w:ind w:firstLine="480" w:firstLineChars="20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pacing w:val="-3"/>
          <w:szCs w:val="24"/>
          <w:highlight w:val="none"/>
          <w:lang w:val="en-US" w:eastAsia="zh-CN"/>
        </w:rPr>
        <w:t>东侧、南侧、西侧和北侧均为树林</w:t>
      </w:r>
      <w:r>
        <w:rPr>
          <w:rFonts w:hint="eastAsia" w:asciiTheme="minorEastAsia" w:hAnsiTheme="minorEastAsia" w:eastAsiaTheme="minorEastAsia" w:cstheme="minorEastAsia"/>
          <w:color w:val="auto"/>
          <w:spacing w:val="-3"/>
          <w:szCs w:val="24"/>
          <w:highlight w:val="none"/>
          <w:lang w:eastAsia="zh-CN"/>
        </w:rPr>
        <w:t>，</w:t>
      </w:r>
      <w:r>
        <w:rPr>
          <w:rFonts w:hint="eastAsia" w:asciiTheme="minorEastAsia" w:hAnsiTheme="minorEastAsia" w:eastAsiaTheme="minorEastAsia" w:cstheme="minorEastAsia"/>
          <w:color w:val="auto"/>
          <w:spacing w:val="-3"/>
          <w:szCs w:val="24"/>
          <w:highlight w:val="none"/>
        </w:rPr>
        <w:t>距离本项目最近敏感点为</w:t>
      </w:r>
      <w:r>
        <w:rPr>
          <w:rFonts w:hint="eastAsia" w:asciiTheme="minorEastAsia" w:hAnsiTheme="minorEastAsia" w:eastAsiaTheme="minorEastAsia" w:cstheme="minorEastAsia"/>
          <w:color w:val="auto"/>
          <w:spacing w:val="-3"/>
          <w:szCs w:val="24"/>
          <w:highlight w:val="none"/>
          <w:lang w:val="en-US" w:eastAsia="zh-CN"/>
        </w:rPr>
        <w:t>元宝村</w:t>
      </w:r>
      <w:r>
        <w:rPr>
          <w:rFonts w:hint="eastAsia" w:asciiTheme="minorEastAsia" w:hAnsiTheme="minorEastAsia" w:eastAsiaTheme="minorEastAsia" w:cstheme="minorEastAsia"/>
          <w:color w:val="auto"/>
          <w:spacing w:val="-3"/>
          <w:szCs w:val="24"/>
          <w:highlight w:val="none"/>
        </w:rPr>
        <w:t>（</w:t>
      </w:r>
      <w:r>
        <w:rPr>
          <w:rFonts w:hint="eastAsia" w:asciiTheme="minorEastAsia" w:hAnsiTheme="minorEastAsia" w:eastAsiaTheme="minorEastAsia" w:cstheme="minorEastAsia"/>
          <w:color w:val="auto"/>
          <w:spacing w:val="-3"/>
          <w:szCs w:val="24"/>
          <w:highlight w:val="none"/>
          <w:lang w:val="en-US" w:eastAsia="zh-CN"/>
        </w:rPr>
        <w:t>距离约</w:t>
      </w:r>
      <w:r>
        <w:rPr>
          <w:rFonts w:hint="eastAsia" w:asciiTheme="minorEastAsia" w:hAnsiTheme="minorEastAsia" w:eastAsiaTheme="minorEastAsia" w:cstheme="minorEastAsia"/>
          <w:color w:val="auto"/>
          <w:szCs w:val="24"/>
          <w:highlight w:val="none"/>
          <w:lang w:val="en-US" w:eastAsia="zh-CN"/>
        </w:rPr>
        <w:t>350</w:t>
      </w:r>
      <w:r>
        <w:rPr>
          <w:rFonts w:hint="eastAsia" w:asciiTheme="minorEastAsia" w:hAnsiTheme="minorEastAsia" w:eastAsiaTheme="minorEastAsia" w:cstheme="minorEastAsia"/>
          <w:color w:val="auto"/>
          <w:szCs w:val="24"/>
          <w:highlight w:val="none"/>
        </w:rPr>
        <w:t>m）</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本项目评价范围内无自然保护区、风景名胜区、森林公园、地质公园、重要湿地等环境敏感区。</w:t>
      </w:r>
    </w:p>
    <w:p w14:paraId="269BAA95">
      <w:pPr>
        <w:pStyle w:val="217"/>
        <w:adjustRightInd w:val="0"/>
        <w:snapToGrid w:val="0"/>
        <w:spacing w:line="360" w:lineRule="auto"/>
        <w:ind w:firstLine="480" w:firstLineChars="200"/>
        <w:jc w:val="both"/>
        <w:rPr>
          <w:rStyle w:val="1330"/>
          <w:rFonts w:hint="eastAsia" w:asciiTheme="minorEastAsia" w:hAnsiTheme="minorEastAsia" w:eastAsiaTheme="minorEastAsia" w:cstheme="minorEastAsia"/>
          <w:color w:val="auto"/>
          <w:highlight w:val="none"/>
          <w:lang w:val="en-US" w:eastAsia="zh-CN"/>
        </w:rPr>
      </w:pPr>
      <w:r>
        <w:rPr>
          <w:rStyle w:val="1330"/>
          <w:rFonts w:hint="eastAsia" w:asciiTheme="minorEastAsia" w:hAnsiTheme="minorEastAsia" w:eastAsiaTheme="minorEastAsia" w:cstheme="minorEastAsia"/>
          <w:color w:val="auto"/>
          <w:highlight w:val="none"/>
          <w:lang w:val="en-US" w:eastAsia="zh-CN"/>
        </w:rPr>
        <w:t>②环境影响角度分析：</w:t>
      </w:r>
    </w:p>
    <w:p w14:paraId="0121C3AB">
      <w:pPr>
        <w:pStyle w:val="217"/>
        <w:adjustRightInd w:val="0"/>
        <w:snapToGrid w:val="0"/>
        <w:spacing w:line="360" w:lineRule="auto"/>
        <w:ind w:firstLine="480" w:firstLineChars="200"/>
        <w:jc w:val="both"/>
        <w:rPr>
          <w:rStyle w:val="1330"/>
          <w:rFonts w:hint="eastAsia" w:asciiTheme="minorEastAsia" w:hAnsiTheme="minorEastAsia" w:eastAsiaTheme="minorEastAsia" w:cstheme="minorEastAsia"/>
          <w:color w:val="auto"/>
          <w:highlight w:val="none"/>
          <w:lang w:val="en-US" w:eastAsia="zh-CN"/>
        </w:rPr>
      </w:pPr>
      <w:r>
        <w:rPr>
          <w:rStyle w:val="1330"/>
          <w:rFonts w:hint="eastAsia" w:asciiTheme="minorEastAsia" w:hAnsiTheme="minorEastAsia" w:eastAsiaTheme="minorEastAsia" w:cstheme="minorEastAsia"/>
          <w:color w:val="auto"/>
          <w:highlight w:val="none"/>
          <w:lang w:val="en-US" w:eastAsia="zh-CN"/>
        </w:rPr>
        <w:t>采取措施后各项污染物均能达标排放，对周围环境影响可接受。</w:t>
      </w:r>
    </w:p>
    <w:p w14:paraId="4DA23DC3">
      <w:pPr>
        <w:pStyle w:val="217"/>
        <w:adjustRightInd w:val="0"/>
        <w:snapToGrid w:val="0"/>
        <w:spacing w:line="360" w:lineRule="auto"/>
        <w:ind w:firstLine="480" w:firstLineChars="200"/>
        <w:jc w:val="both"/>
        <w:rPr>
          <w:rStyle w:val="1330"/>
          <w:rFonts w:hint="eastAsia" w:asciiTheme="minorEastAsia" w:hAnsiTheme="minorEastAsia" w:eastAsiaTheme="minorEastAsia" w:cstheme="minorEastAsia"/>
          <w:color w:val="auto"/>
          <w:highlight w:val="none"/>
          <w:lang w:eastAsia="zh-CN"/>
        </w:rPr>
      </w:pPr>
      <w:r>
        <w:rPr>
          <w:rFonts w:hint="eastAsia"/>
          <w:color w:val="auto"/>
          <w:highlight w:val="none"/>
          <w:lang w:val="en-US" w:eastAsia="zh-CN"/>
        </w:rPr>
        <w:t>本项目回填灰渣</w:t>
      </w:r>
      <w:r>
        <w:rPr>
          <w:rFonts w:hint="eastAsia" w:ascii="Times New Roman"/>
          <w:color w:val="auto"/>
          <w:highlight w:val="none"/>
        </w:rPr>
        <w:t>属于</w:t>
      </w:r>
      <w:r>
        <w:rPr>
          <w:rFonts w:ascii="Times New Roman"/>
          <w:color w:val="auto"/>
          <w:highlight w:val="none"/>
        </w:rPr>
        <w:t>I类一般工业固体废物</w:t>
      </w:r>
      <w:r>
        <w:rPr>
          <w:rFonts w:hint="eastAsia" w:ascii="Times New Roman"/>
          <w:color w:val="auto"/>
          <w:highlight w:val="none"/>
          <w:lang w:eastAsia="zh-CN"/>
        </w:rPr>
        <w:t>，</w:t>
      </w:r>
      <w:r>
        <w:rPr>
          <w:rFonts w:hint="eastAsia" w:ascii="Times New Roman"/>
          <w:color w:val="auto"/>
          <w:highlight w:val="none"/>
          <w:lang w:val="en-US" w:eastAsia="zh-CN"/>
        </w:rPr>
        <w:t>采砂坑</w:t>
      </w:r>
      <w:r>
        <w:rPr>
          <w:rFonts w:hint="eastAsia" w:ascii="Times New Roman"/>
          <w:color w:val="auto"/>
          <w:highlight w:val="none"/>
          <w:lang w:eastAsia="zh-CN"/>
        </w:rPr>
        <w:t>场地底部做基础防渗，其防渗性</w:t>
      </w:r>
      <w:r>
        <w:rPr>
          <w:rFonts w:hint="eastAsia" w:ascii="Times New Roman"/>
          <w:color w:val="auto"/>
          <w:highlight w:val="none"/>
          <w:lang w:val="en-US" w:eastAsia="zh-CN"/>
        </w:rPr>
        <w:t>K≤</w:t>
      </w:r>
      <w:r>
        <w:rPr>
          <w:rFonts w:hint="default" w:ascii="Times New Roman" w:hAnsi="Times New Roman" w:cs="Times New Roman"/>
          <w:color w:val="auto"/>
          <w:highlight w:val="none"/>
          <w:lang w:eastAsia="zh-CN"/>
        </w:rPr>
        <w:t>1.0×10</w:t>
      </w:r>
      <w:r>
        <w:rPr>
          <w:rFonts w:hint="default" w:ascii="Times New Roman" w:hAnsi="Times New Roman" w:cs="Times New Roman"/>
          <w:color w:val="auto"/>
          <w:highlight w:val="none"/>
          <w:vertAlign w:val="superscript"/>
          <w:lang w:eastAsia="zh-CN"/>
        </w:rPr>
        <w:t>-7</w:t>
      </w:r>
      <w:r>
        <w:rPr>
          <w:rFonts w:hint="eastAsia" w:ascii="Times New Roman"/>
          <w:color w:val="auto"/>
          <w:highlight w:val="none"/>
          <w:lang w:eastAsia="zh-CN"/>
        </w:rPr>
        <w:t>cm/s，能够满足《一般工业固体废物贮存和填埋污染控制标准》（GB18599-2020）I类一般工业固体废物填埋场设置要求，能够有效防止淋滤水渗漏</w:t>
      </w:r>
      <w:r>
        <w:rPr>
          <w:rFonts w:hint="eastAsia" w:asciiTheme="minorEastAsia" w:hAnsiTheme="minorEastAsia" w:eastAsiaTheme="minorEastAsia" w:cstheme="minorEastAsia"/>
          <w:color w:val="auto"/>
          <w:spacing w:val="-3"/>
          <w:szCs w:val="24"/>
          <w:highlight w:val="none"/>
        </w:rPr>
        <w:t>，</w:t>
      </w:r>
      <w:r>
        <w:rPr>
          <w:rFonts w:hint="eastAsia" w:asciiTheme="minorEastAsia" w:hAnsiTheme="minorEastAsia" w:eastAsiaTheme="minorEastAsia" w:cstheme="minorEastAsia"/>
          <w:color w:val="auto"/>
          <w:highlight w:val="none"/>
        </w:rPr>
        <w:t>项目对土壤及地下水影响可以接受</w:t>
      </w:r>
      <w:r>
        <w:rPr>
          <w:rFonts w:hint="eastAsia" w:asciiTheme="minorEastAsia" w:hAnsiTheme="minorEastAsia" w:eastAsiaTheme="minorEastAsia" w:cstheme="minorEastAsia"/>
          <w:color w:val="auto"/>
          <w:highlight w:val="none"/>
          <w:lang w:eastAsia="zh-CN"/>
        </w:rPr>
        <w:t>。</w:t>
      </w:r>
    </w:p>
    <w:p w14:paraId="431D259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③防护距离</w:t>
      </w:r>
    </w:p>
    <w:p w14:paraId="63BA73B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结合本项目环境空气评价等级判定为二级，本项目无需设置大气防护距离。</w:t>
      </w:r>
    </w:p>
    <w:p w14:paraId="5BF6C47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④土地利用现状、规划情况及与周边环境关系协调性</w:t>
      </w:r>
    </w:p>
    <w:p w14:paraId="1CDEC9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现状用地性质为裸土地，拟将该</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lang w:val="en-US" w:eastAsia="zh-CN"/>
        </w:rPr>
        <w:t>修复为林地；项目</w:t>
      </w:r>
      <w:r>
        <w:rPr>
          <w:rFonts w:hint="eastAsia" w:asciiTheme="minorEastAsia" w:hAnsiTheme="minorEastAsia" w:eastAsiaTheme="minorEastAsia" w:cstheme="minorEastAsia"/>
          <w:color w:val="auto"/>
          <w:spacing w:val="-3"/>
          <w:szCs w:val="24"/>
          <w:highlight w:val="none"/>
          <w:lang w:val="en-US" w:eastAsia="zh-CN"/>
        </w:rPr>
        <w:t>东侧、南侧、西侧和北侧均为树林</w:t>
      </w:r>
      <w:r>
        <w:rPr>
          <w:rFonts w:hint="eastAsia" w:asciiTheme="minorEastAsia" w:hAnsiTheme="minorEastAsia" w:eastAsiaTheme="minorEastAsia" w:cstheme="minorEastAsia"/>
          <w:color w:val="auto"/>
          <w:highlight w:val="none"/>
          <w:lang w:val="en-US" w:eastAsia="zh-CN"/>
        </w:rPr>
        <w:t>，本项目</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lang w:val="en-US" w:eastAsia="zh-CN"/>
        </w:rPr>
        <w:t>生态修复为林地，与周围环境关系相协调。</w:t>
      </w:r>
    </w:p>
    <w:p w14:paraId="5B958E1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综上所述，本项目与周边环境相协调，且采取污染防治措施后，对周围环境影响可接受。</w:t>
      </w:r>
    </w:p>
    <w:p w14:paraId="38D9A413">
      <w:pPr>
        <w:pStyle w:val="6"/>
        <w:rPr>
          <w:rFonts w:hint="eastAsia" w:asciiTheme="minorEastAsia" w:hAnsiTheme="minorEastAsia" w:eastAsiaTheme="minorEastAsia" w:cstheme="minorEastAsia"/>
          <w:color w:val="auto"/>
          <w:highlight w:val="none"/>
        </w:rPr>
      </w:pPr>
      <w:bookmarkStart w:id="108" w:name="_Toc14951"/>
      <w:bookmarkStart w:id="109" w:name="_Toc5637"/>
      <w:bookmarkStart w:id="110" w:name="_Toc23846"/>
      <w:bookmarkStart w:id="111" w:name="_Toc23977"/>
      <w:bookmarkStart w:id="112" w:name="_Toc1592"/>
      <w:bookmarkStart w:id="113" w:name="_Toc25327"/>
      <w:bookmarkStart w:id="114" w:name="_Toc18715"/>
      <w:bookmarkStart w:id="115" w:name="_Toc3884"/>
      <w:bookmarkStart w:id="116" w:name="_Toc31732"/>
      <w:bookmarkStart w:id="117" w:name="_Toc15161"/>
      <w:bookmarkStart w:id="118" w:name="_Toc13"/>
      <w:bookmarkStart w:id="119" w:name="_Toc15628"/>
      <w:bookmarkStart w:id="120" w:name="_Toc17471"/>
      <w:bookmarkStart w:id="121" w:name="_Toc12161"/>
      <w:bookmarkStart w:id="122" w:name="_Toc23812"/>
      <w:r>
        <w:rPr>
          <w:rFonts w:hint="eastAsia" w:asciiTheme="minorEastAsia" w:hAnsiTheme="minorEastAsia" w:eastAsiaTheme="minorEastAsia" w:cstheme="minorEastAsia"/>
          <w:color w:val="auto"/>
          <w:highlight w:val="none"/>
        </w:rPr>
        <w:t>1.5关注的主要环境问题及环境影响</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5345A24E">
      <w:pPr>
        <w:pStyle w:val="7"/>
        <w:numPr>
          <w:ilvl w:val="2"/>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1.5.1</w:t>
      </w:r>
      <w:r>
        <w:rPr>
          <w:rFonts w:hint="eastAsia" w:asciiTheme="minorEastAsia" w:hAnsiTheme="minorEastAsia" w:eastAsiaTheme="minorEastAsia" w:cstheme="minorEastAsia"/>
          <w:color w:val="auto"/>
          <w:highlight w:val="none"/>
        </w:rPr>
        <w:t>废气</w:t>
      </w:r>
    </w:p>
    <w:p w14:paraId="5AC6669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default"/>
          <w:color w:val="auto"/>
          <w:highlight w:val="none"/>
          <w:lang w:val="en-US" w:eastAsia="zh-CN"/>
        </w:rPr>
        <w:t>废气主要为回填堆存过程产生的扬尘</w:t>
      </w:r>
      <w:r>
        <w:rPr>
          <w:rFonts w:hint="eastAsia"/>
          <w:color w:val="auto"/>
          <w:highlight w:val="none"/>
          <w:lang w:val="en-US" w:eastAsia="zh-CN"/>
        </w:rPr>
        <w:t>、运输扬尘和施工机械废气。在项目区外围设置隔声隔尘挡板、定期</w:t>
      </w:r>
      <w:r>
        <w:rPr>
          <w:rFonts w:hint="default"/>
          <w:color w:val="auto"/>
          <w:highlight w:val="none"/>
          <w:lang w:val="en-US" w:eastAsia="zh-CN"/>
        </w:rPr>
        <w:t>洒水降尘</w:t>
      </w:r>
      <w:r>
        <w:rPr>
          <w:rFonts w:hint="eastAsia"/>
          <w:color w:val="auto"/>
          <w:highlight w:val="none"/>
          <w:lang w:val="en-US" w:eastAsia="zh-CN"/>
        </w:rPr>
        <w:t>，</w:t>
      </w:r>
      <w:r>
        <w:rPr>
          <w:rFonts w:hint="default"/>
          <w:color w:val="auto"/>
          <w:highlight w:val="none"/>
          <w:lang w:val="en-US" w:eastAsia="zh-CN"/>
        </w:rPr>
        <w:t>运输车辆加盖苫布等遮盖物</w:t>
      </w:r>
      <w:r>
        <w:rPr>
          <w:rFonts w:hint="eastAsia"/>
          <w:color w:val="auto"/>
          <w:highlight w:val="none"/>
          <w:lang w:val="en-US" w:eastAsia="zh-CN"/>
        </w:rPr>
        <w:t>，</w:t>
      </w:r>
      <w:r>
        <w:rPr>
          <w:rFonts w:hint="default"/>
          <w:color w:val="auto"/>
          <w:highlight w:val="none"/>
          <w:lang w:val="en-US" w:eastAsia="zh-CN"/>
        </w:rPr>
        <w:t>严格限制车辆运输过程中超载、超速，</w:t>
      </w:r>
      <w:r>
        <w:rPr>
          <w:rFonts w:hint="eastAsia"/>
          <w:color w:val="auto"/>
          <w:highlight w:val="none"/>
          <w:lang w:val="en-US" w:eastAsia="zh-CN"/>
        </w:rPr>
        <w:t>从而减少扬尘</w:t>
      </w:r>
      <w:r>
        <w:rPr>
          <w:rFonts w:hint="default"/>
          <w:color w:val="auto"/>
          <w:highlight w:val="none"/>
          <w:lang w:val="en-US" w:eastAsia="zh-CN"/>
        </w:rPr>
        <w:t>对周围环境</w:t>
      </w:r>
      <w:r>
        <w:rPr>
          <w:rFonts w:hint="eastAsia"/>
          <w:color w:val="auto"/>
          <w:highlight w:val="none"/>
          <w:lang w:val="en-US" w:eastAsia="zh-CN"/>
        </w:rPr>
        <w:t>的影响</w:t>
      </w:r>
      <w:r>
        <w:rPr>
          <w:rFonts w:hint="default"/>
          <w:color w:val="auto"/>
          <w:highlight w:val="none"/>
          <w:lang w:val="en-US" w:eastAsia="zh-CN"/>
        </w:rPr>
        <w:t>。选用质量好、环保型机械设备和运输车辆</w:t>
      </w:r>
      <w:r>
        <w:rPr>
          <w:rFonts w:hint="eastAsia"/>
          <w:color w:val="auto"/>
          <w:highlight w:val="none"/>
          <w:lang w:val="en-US" w:eastAsia="zh-CN"/>
        </w:rPr>
        <w:t>，</w:t>
      </w:r>
      <w:r>
        <w:rPr>
          <w:rFonts w:hint="default"/>
          <w:color w:val="auto"/>
          <w:highlight w:val="none"/>
          <w:lang w:val="en-US" w:eastAsia="zh-CN"/>
        </w:rPr>
        <w:t>定期进行维护</w:t>
      </w:r>
      <w:r>
        <w:rPr>
          <w:rFonts w:hint="eastAsia"/>
          <w:color w:val="auto"/>
          <w:highlight w:val="none"/>
          <w:lang w:val="en-US" w:eastAsia="zh-CN"/>
        </w:rPr>
        <w:t>保养，无组织排放的废气</w:t>
      </w:r>
      <w:r>
        <w:rPr>
          <w:rFonts w:hint="default"/>
          <w:color w:val="auto"/>
          <w:highlight w:val="none"/>
          <w:lang w:val="en-US" w:eastAsia="zh-CN"/>
        </w:rPr>
        <w:t>对周围环境影响较小。</w:t>
      </w:r>
      <w:r>
        <w:rPr>
          <w:rFonts w:hint="eastAsia" w:asciiTheme="minorEastAsia" w:hAnsiTheme="minorEastAsia" w:eastAsiaTheme="minorEastAsia" w:cstheme="minorEastAsia"/>
          <w:color w:val="auto"/>
          <w:highlight w:val="none"/>
          <w:lang w:val="en-US" w:eastAsia="zh-CN"/>
        </w:rPr>
        <w:t>厂界颗粒物满足</w:t>
      </w:r>
      <w:r>
        <w:rPr>
          <w:rFonts w:hint="eastAsia" w:asciiTheme="minorEastAsia" w:hAnsiTheme="minorEastAsia" w:eastAsiaTheme="minorEastAsia" w:cstheme="minorEastAsia"/>
          <w:color w:val="auto"/>
          <w:highlight w:val="none"/>
        </w:rPr>
        <w:t>《大气污染物综合排放标准》（GB16297-1996）中表2排放标准无组织排放监控浓度限值。</w:t>
      </w:r>
      <w:r>
        <w:rPr>
          <w:rFonts w:hint="eastAsia" w:asciiTheme="minorEastAsia" w:hAnsiTheme="minorEastAsia" w:eastAsiaTheme="minorEastAsia" w:cstheme="minorEastAsia"/>
          <w:bCs/>
          <w:color w:val="auto"/>
          <w:highlight w:val="none"/>
          <w:lang w:val="en-US" w:eastAsia="zh-CN"/>
        </w:rPr>
        <w:t>最大落地浓度未超过环境质量标准，无需设置大气环境防护距离，对环境空气影响较小</w:t>
      </w:r>
      <w:r>
        <w:rPr>
          <w:rFonts w:hint="eastAsia" w:asciiTheme="minorEastAsia" w:hAnsiTheme="minorEastAsia" w:eastAsiaTheme="minorEastAsia" w:cstheme="minorEastAsia"/>
          <w:color w:val="auto"/>
          <w:highlight w:val="none"/>
        </w:rPr>
        <w:t>。</w:t>
      </w:r>
    </w:p>
    <w:p w14:paraId="7FA47A7D">
      <w:pPr>
        <w:pStyle w:val="7"/>
        <w:keepNext/>
        <w:keepLines/>
        <w:pageBreakBefore w:val="0"/>
        <w:widowControl w:val="0"/>
        <w:numPr>
          <w:ilvl w:val="2"/>
          <w:numId w:val="0"/>
        </w:numPr>
        <w:kinsoku/>
        <w:wordWrap/>
        <w:overflowPunct/>
        <w:topLinePunct w:val="0"/>
        <w:autoSpaceDE/>
        <w:autoSpaceDN/>
        <w:bidi w:val="0"/>
        <w:adjustRightInd/>
        <w:snapToGrid/>
        <w:ind w:leftChars="0"/>
        <w:textAlignment w:val="auto"/>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lang w:val="en-US" w:eastAsia="zh-CN"/>
        </w:rPr>
        <w:t>1.5.2</w:t>
      </w:r>
      <w:r>
        <w:rPr>
          <w:rFonts w:hint="eastAsia" w:asciiTheme="minorEastAsia" w:hAnsiTheme="minorEastAsia" w:eastAsiaTheme="minorEastAsia" w:cstheme="minorEastAsia"/>
          <w:color w:val="auto"/>
          <w:highlight w:val="none"/>
        </w:rPr>
        <w:t>废水</w:t>
      </w:r>
    </w:p>
    <w:p w14:paraId="3B7F1A03">
      <w:pPr>
        <w:pStyle w:val="148"/>
        <w:keepNext w:val="0"/>
        <w:keepLines w:val="0"/>
        <w:pageBreakBefore w:val="0"/>
        <w:widowControl w:val="0"/>
        <w:kinsoku/>
        <w:wordWrap/>
        <w:overflowPunct/>
        <w:topLinePunct w:val="0"/>
        <w:bidi w:val="0"/>
        <w:snapToGrid/>
        <w:spacing w:line="360" w:lineRule="auto"/>
        <w:ind w:firstLine="480" w:firstLineChars="200"/>
        <w:jc w:val="left"/>
        <w:textAlignment w:val="auto"/>
        <w:rPr>
          <w:rFonts w:hint="eastAsia" w:ascii="Times New Roman" w:hAnsi="Times New Roman" w:eastAsia="宋体"/>
          <w:color w:val="auto"/>
          <w:sz w:val="24"/>
          <w:szCs w:val="24"/>
          <w:highlight w:val="none"/>
          <w:lang w:val="en-US" w:eastAsia="zh-CN"/>
        </w:rPr>
      </w:pPr>
      <w:r>
        <w:rPr>
          <w:rFonts w:hint="eastAsia" w:ascii="Times New Roman" w:hAnsi="Times New Roman" w:eastAsia="宋体"/>
          <w:color w:val="auto"/>
          <w:sz w:val="24"/>
          <w:szCs w:val="24"/>
          <w:highlight w:val="none"/>
          <w:lang w:val="en-US" w:eastAsia="zh-CN"/>
        </w:rPr>
        <w:t>本项目不设置洗车区，不</w:t>
      </w:r>
      <w:r>
        <w:rPr>
          <w:rFonts w:ascii="Times New Roman" w:hAnsi="Times New Roman" w:eastAsia="宋体"/>
          <w:color w:val="auto"/>
          <w:sz w:val="24"/>
          <w:szCs w:val="24"/>
          <w:highlight w:val="none"/>
        </w:rPr>
        <w:t>产</w:t>
      </w:r>
      <w:r>
        <w:rPr>
          <w:rFonts w:ascii="Times New Roman" w:hAnsi="Times New Roman" w:eastAsia="宋体"/>
          <w:b w:val="0"/>
          <w:bCs w:val="0"/>
          <w:color w:val="auto"/>
          <w:sz w:val="24"/>
          <w:szCs w:val="24"/>
          <w:highlight w:val="none"/>
        </w:rPr>
        <w:t>生地面冲洗水及洗车废水。项</w:t>
      </w:r>
      <w:r>
        <w:rPr>
          <w:rFonts w:hint="eastAsia" w:ascii="Times New Roman" w:hAnsi="Times New Roman" w:eastAsia="宋体"/>
          <w:b w:val="0"/>
          <w:bCs w:val="0"/>
          <w:color w:val="auto"/>
          <w:sz w:val="24"/>
          <w:szCs w:val="24"/>
          <w:highlight w:val="none"/>
          <w:lang w:val="en-US" w:eastAsia="zh-CN"/>
        </w:rPr>
        <w:t>目</w:t>
      </w:r>
      <w:r>
        <w:rPr>
          <w:rFonts w:ascii="Times New Roman" w:hAnsi="Times New Roman" w:eastAsia="宋体"/>
          <w:b w:val="0"/>
          <w:bCs w:val="0"/>
          <w:color w:val="auto"/>
          <w:sz w:val="24"/>
          <w:szCs w:val="24"/>
          <w:highlight w:val="none"/>
        </w:rPr>
        <w:t>废水</w:t>
      </w:r>
      <w:r>
        <w:rPr>
          <w:rFonts w:hint="eastAsia" w:ascii="Times New Roman" w:hAnsi="Times New Roman" w:eastAsia="宋体"/>
          <w:b w:val="0"/>
          <w:bCs w:val="0"/>
          <w:color w:val="auto"/>
          <w:sz w:val="24"/>
          <w:szCs w:val="24"/>
          <w:highlight w:val="none"/>
          <w:lang w:val="en-US" w:eastAsia="zh-CN"/>
        </w:rPr>
        <w:t>主</w:t>
      </w:r>
      <w:r>
        <w:rPr>
          <w:rFonts w:ascii="Times New Roman" w:hAnsi="Times New Roman" w:eastAsia="宋体"/>
          <w:b w:val="0"/>
          <w:bCs w:val="0"/>
          <w:color w:val="auto"/>
          <w:sz w:val="24"/>
          <w:szCs w:val="24"/>
          <w:highlight w:val="none"/>
        </w:rPr>
        <w:t>要为</w:t>
      </w:r>
      <w:r>
        <w:rPr>
          <w:rFonts w:hint="eastAsia" w:ascii="Times New Roman" w:hAnsi="Times New Roman" w:eastAsia="宋体"/>
          <w:b w:val="0"/>
          <w:bCs w:val="0"/>
          <w:color w:val="auto"/>
          <w:sz w:val="24"/>
          <w:szCs w:val="24"/>
          <w:highlight w:val="none"/>
          <w:lang w:val="en-US" w:eastAsia="zh-CN"/>
        </w:rPr>
        <w:t>生活污水和淋滤水</w:t>
      </w:r>
      <w:r>
        <w:rPr>
          <w:rFonts w:ascii="Times New Roman" w:hAnsi="Times New Roman" w:eastAsia="宋体"/>
          <w:b w:val="0"/>
          <w:bCs w:val="0"/>
          <w:color w:val="auto"/>
          <w:sz w:val="24"/>
          <w:szCs w:val="24"/>
          <w:highlight w:val="none"/>
        </w:rPr>
        <w:t>。</w:t>
      </w:r>
      <w:r>
        <w:rPr>
          <w:rFonts w:hint="eastAsia" w:ascii="Times New Roman" w:hAnsi="Times New Roman" w:eastAsia="宋体"/>
          <w:b w:val="0"/>
          <w:bCs w:val="0"/>
          <w:color w:val="auto"/>
          <w:sz w:val="24"/>
          <w:szCs w:val="24"/>
          <w:highlight w:val="none"/>
        </w:rPr>
        <w:t>淋滤水</w:t>
      </w:r>
      <w:r>
        <w:rPr>
          <w:rFonts w:ascii="Times New Roman" w:hAnsi="Times New Roman" w:eastAsia="宋体"/>
          <w:color w:val="auto"/>
          <w:sz w:val="24"/>
          <w:szCs w:val="24"/>
          <w:highlight w:val="none"/>
        </w:rPr>
        <w:t>主要来源于降雨，</w:t>
      </w:r>
      <w:r>
        <w:rPr>
          <w:rFonts w:hint="default" w:ascii="Times New Roman" w:hAnsi="Times New Roman" w:eastAsia="宋体" w:cs="Times New Roman"/>
          <w:color w:val="auto"/>
          <w:sz w:val="24"/>
          <w:szCs w:val="24"/>
          <w:highlight w:val="none"/>
        </w:rPr>
        <w:t>项</w:t>
      </w:r>
      <w:r>
        <w:rPr>
          <w:rFonts w:hint="default" w:ascii="Times New Roman" w:hAnsi="Times New Roman" w:eastAsia="宋体" w:cs="Times New Roman"/>
          <w:color w:val="auto"/>
          <w:sz w:val="24"/>
          <w:szCs w:val="24"/>
          <w:highlight w:val="none"/>
          <w:lang w:val="en-US" w:eastAsia="zh-CN"/>
        </w:rPr>
        <w:t>目</w:t>
      </w:r>
      <w:r>
        <w:rPr>
          <w:rFonts w:hint="default" w:ascii="Times New Roman" w:hAnsi="Times New Roman" w:eastAsia="宋体" w:cs="Times New Roman"/>
          <w:color w:val="auto"/>
          <w:sz w:val="24"/>
          <w:szCs w:val="24"/>
          <w:highlight w:val="none"/>
        </w:rPr>
        <w:t>配套建设1座容积为</w:t>
      </w:r>
      <w:r>
        <w:rPr>
          <w:rFonts w:hint="eastAsia" w:ascii="Times New Roman" w:hAnsi="Times New Roman" w:cs="Times New Roman"/>
          <w:color w:val="auto"/>
          <w:sz w:val="24"/>
          <w:szCs w:val="24"/>
          <w:highlight w:val="none"/>
          <w:lang w:val="en-US" w:eastAsia="zh-CN"/>
        </w:rPr>
        <w:t>120</w:t>
      </w:r>
      <w:r>
        <w:rPr>
          <w:rFonts w:hint="default" w:ascii="Times New Roman" w:hAnsi="Times New Roman" w:eastAsia="宋体" w:cs="Times New Roman"/>
          <w:color w:val="auto"/>
          <w:sz w:val="24"/>
          <w:szCs w:val="24"/>
          <w:highlight w:val="none"/>
        </w:rPr>
        <w:t>m</w:t>
      </w:r>
      <w:r>
        <w:rPr>
          <w:rFonts w:hint="default" w:ascii="Times New Roman" w:hAnsi="Times New Roman" w:eastAsia="宋体" w:cs="Times New Roman"/>
          <w:color w:val="auto"/>
          <w:sz w:val="24"/>
          <w:szCs w:val="24"/>
          <w:highlight w:val="none"/>
          <w:vertAlign w:val="superscript"/>
        </w:rPr>
        <w:t>3</w:t>
      </w:r>
      <w:r>
        <w:rPr>
          <w:rFonts w:hint="default" w:ascii="Times New Roman" w:hAnsi="Times New Roman" w:eastAsia="宋体" w:cs="Times New Roman"/>
          <w:color w:val="auto"/>
          <w:sz w:val="24"/>
          <w:szCs w:val="24"/>
          <w:highlight w:val="none"/>
        </w:rPr>
        <w:t>的沉淀池，沉淀池位于采坑地势最低洼处，</w:t>
      </w:r>
      <w:r>
        <w:rPr>
          <w:rFonts w:hint="eastAsia" w:ascii="Times New Roman" w:hAnsi="Times New Roman" w:eastAsia="宋体" w:cs="Times New Roman"/>
          <w:color w:val="auto"/>
          <w:sz w:val="24"/>
          <w:szCs w:val="24"/>
          <w:highlight w:val="none"/>
          <w:lang w:val="en-US" w:eastAsia="zh-CN"/>
        </w:rPr>
        <w:t>雨水</w:t>
      </w:r>
      <w:r>
        <w:rPr>
          <w:rFonts w:hint="eastAsia" w:ascii="Times New Roman" w:hAnsi="Times New Roman" w:cs="Times New Roman"/>
          <w:color w:val="auto"/>
          <w:sz w:val="24"/>
          <w:szCs w:val="24"/>
          <w:highlight w:val="none"/>
          <w:lang w:val="en-US" w:eastAsia="zh-CN"/>
        </w:rPr>
        <w:t>排</w:t>
      </w:r>
      <w:r>
        <w:rPr>
          <w:rFonts w:hint="default" w:ascii="Times New Roman" w:hAnsi="Times New Roman" w:eastAsia="宋体" w:cs="Times New Roman"/>
          <w:color w:val="auto"/>
          <w:sz w:val="24"/>
          <w:szCs w:val="24"/>
          <w:highlight w:val="none"/>
        </w:rPr>
        <w:t>入沉淀池中经沉淀处理</w:t>
      </w:r>
      <w:r>
        <w:rPr>
          <w:rFonts w:hint="eastAsia" w:ascii="Times New Roman" w:hAnsi="Times New Roman" w:eastAsia="宋体" w:cs="Times New Roman"/>
          <w:color w:val="auto"/>
          <w:sz w:val="24"/>
          <w:szCs w:val="24"/>
          <w:highlight w:val="none"/>
          <w:lang w:val="en-US" w:eastAsia="zh-CN"/>
        </w:rPr>
        <w:t>后</w:t>
      </w:r>
      <w:r>
        <w:rPr>
          <w:rFonts w:hint="eastAsia"/>
          <w:color w:val="auto"/>
          <w:highlight w:val="none"/>
          <w:lang w:val="en-US" w:eastAsia="zh-CN"/>
        </w:rPr>
        <w:t>用于回填区洒水降尘，不外排。</w:t>
      </w:r>
    </w:p>
    <w:p w14:paraId="6450ABDD">
      <w:pPr>
        <w:numPr>
          <w:ilvl w:val="0"/>
          <w:numId w:val="0"/>
        </w:numPr>
        <w:bidi w:val="0"/>
        <w:spacing w:line="360" w:lineRule="auto"/>
        <w:ind w:leftChars="200"/>
        <w:rPr>
          <w:rFonts w:hint="default"/>
          <w:color w:val="auto"/>
          <w:highlight w:val="none"/>
          <w:lang w:val="en-US" w:eastAsia="zh-CN"/>
        </w:rPr>
      </w:pPr>
      <w:r>
        <w:rPr>
          <w:rFonts w:hint="eastAsia" w:ascii="Times New Roman" w:hAnsi="Times New Roman" w:eastAsia="宋体"/>
          <w:color w:val="auto"/>
          <w:spacing w:val="0"/>
          <w:sz w:val="24"/>
          <w:szCs w:val="24"/>
          <w:highlight w:val="none"/>
          <w:lang w:val="en-US" w:eastAsia="zh-CN"/>
        </w:rPr>
        <w:t>生活污水依托</w:t>
      </w:r>
      <w:r>
        <w:rPr>
          <w:rFonts w:hint="eastAsia" w:ascii="Times New Roman" w:hAnsi="Times New Roman" w:eastAsia="宋体" w:cs="Times New Roman"/>
          <w:snapToGrid/>
          <w:color w:val="auto"/>
          <w:kern w:val="2"/>
          <w:sz w:val="24"/>
          <w:szCs w:val="22"/>
          <w:highlight w:val="none"/>
          <w:lang w:val="en-US" w:eastAsia="zh-CN" w:bidi="ar-SA"/>
        </w:rPr>
        <w:t>民房防渗旱厕，定期外运堆肥。</w:t>
      </w:r>
    </w:p>
    <w:p w14:paraId="1E5D71FF">
      <w:pPr>
        <w:pStyle w:val="7"/>
        <w:keepNext/>
        <w:keepLines/>
        <w:pageBreakBefore w:val="0"/>
        <w:widowControl w:val="0"/>
        <w:numPr>
          <w:ilvl w:val="2"/>
          <w:numId w:val="0"/>
        </w:numPr>
        <w:kinsoku/>
        <w:wordWrap/>
        <w:overflowPunct/>
        <w:topLinePunct w:val="0"/>
        <w:autoSpaceDE/>
        <w:autoSpaceDN/>
        <w:bidi w:val="0"/>
        <w:adjustRightInd/>
        <w:snapToGrid/>
        <w:ind w:leftChars="0"/>
        <w:textAlignment w:val="auto"/>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1.5.3噪声</w:t>
      </w:r>
    </w:p>
    <w:p w14:paraId="4ECC8CA4">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回填过程主要是推土机、压实机等装置，通过选用低噪声设备、加强车辆维护保养、</w:t>
      </w:r>
      <w:r>
        <w:rPr>
          <w:rFonts w:hint="eastAsia" w:asciiTheme="minorEastAsia" w:hAnsiTheme="minorEastAsia" w:eastAsiaTheme="minorEastAsia" w:cstheme="minorEastAsia"/>
          <w:color w:val="auto"/>
          <w:szCs w:val="24"/>
          <w:highlight w:val="none"/>
          <w:lang w:val="en-US" w:eastAsia="zh-CN"/>
        </w:rPr>
        <w:t>禁止</w:t>
      </w:r>
      <w:r>
        <w:rPr>
          <w:rFonts w:hint="eastAsia" w:asciiTheme="minorEastAsia" w:hAnsiTheme="minorEastAsia" w:eastAsiaTheme="minorEastAsia" w:cstheme="minorEastAsia"/>
          <w:color w:val="auto"/>
          <w:szCs w:val="24"/>
          <w:highlight w:val="none"/>
        </w:rPr>
        <w:t>夜间操作、回填作业单元四周加装孔隙率50%的围挡（保留车辆进出口），</w:t>
      </w:r>
      <w:r>
        <w:rPr>
          <w:rFonts w:hint="eastAsia" w:asciiTheme="minorEastAsia" w:hAnsiTheme="minorEastAsia" w:eastAsiaTheme="minorEastAsia" w:cstheme="minorEastAsia"/>
          <w:color w:val="auto"/>
          <w:szCs w:val="24"/>
          <w:highlight w:val="none"/>
          <w:lang w:val="en-US" w:eastAsia="zh-CN"/>
        </w:rPr>
        <w:t>回填区边界噪声满足</w:t>
      </w:r>
      <w:r>
        <w:rPr>
          <w:rFonts w:hint="eastAsia" w:asciiTheme="minorEastAsia" w:hAnsiTheme="minorEastAsia" w:eastAsiaTheme="minorEastAsia" w:cstheme="minorEastAsia"/>
          <w:color w:val="auto"/>
          <w:szCs w:val="24"/>
          <w:highlight w:val="none"/>
        </w:rPr>
        <w:t>《工业企业厂界环境噪声排放标准》（GB12348-2008）表1中的1类标准值。</w:t>
      </w:r>
    </w:p>
    <w:p w14:paraId="412BB445">
      <w:pPr>
        <w:pStyle w:val="7"/>
        <w:keepNext/>
        <w:keepLines/>
        <w:pageBreakBefore w:val="0"/>
        <w:widowControl w:val="0"/>
        <w:numPr>
          <w:ilvl w:val="2"/>
          <w:numId w:val="0"/>
        </w:numPr>
        <w:kinsoku/>
        <w:wordWrap/>
        <w:overflowPunct/>
        <w:topLinePunct w:val="0"/>
        <w:autoSpaceDE/>
        <w:autoSpaceDN/>
        <w:bidi w:val="0"/>
        <w:adjustRightInd/>
        <w:snapToGrid/>
        <w:ind w:leftChars="0"/>
        <w:textAlignment w:val="auto"/>
        <w:rPr>
          <w:rFonts w:hint="default" w:asciiTheme="minorEastAsia" w:hAnsiTheme="minorEastAsia" w:eastAsiaTheme="minorEastAsia" w:cstheme="minorEastAsia"/>
          <w:color w:val="auto"/>
          <w:szCs w:val="24"/>
          <w:highlight w:val="none"/>
          <w:lang w:val="en-US"/>
        </w:rPr>
      </w:pPr>
      <w:r>
        <w:rPr>
          <w:rFonts w:hint="eastAsia" w:asciiTheme="minorEastAsia" w:hAnsiTheme="minorEastAsia" w:eastAsiaTheme="minorEastAsia" w:cstheme="minorEastAsia"/>
          <w:color w:val="auto"/>
          <w:highlight w:val="none"/>
          <w:lang w:val="en-US" w:eastAsia="zh-CN"/>
        </w:rPr>
        <w:t>1.5.4固体废物</w:t>
      </w:r>
    </w:p>
    <w:p w14:paraId="54B7D3A1">
      <w:pPr>
        <w:pStyle w:val="217"/>
        <w:spacing w:line="360" w:lineRule="auto"/>
        <w:ind w:firstLine="480"/>
        <w:rPr>
          <w:rFonts w:hint="eastAsia" w:asciiTheme="minorEastAsia" w:hAnsiTheme="minorEastAsia" w:eastAsiaTheme="minorEastAsia" w:cstheme="minorEastAsia"/>
          <w:color w:val="auto"/>
          <w:kern w:val="0"/>
          <w:sz w:val="24"/>
          <w:szCs w:val="24"/>
          <w:highlight w:val="none"/>
          <w:lang w:val="en-US" w:eastAsia="zh-CN" w:bidi="ar-SA"/>
        </w:rPr>
      </w:pPr>
      <w:r>
        <w:rPr>
          <w:rFonts w:hint="eastAsia" w:asciiTheme="minorEastAsia" w:hAnsiTheme="minorEastAsia" w:eastAsiaTheme="minorEastAsia" w:cstheme="minorEastAsia"/>
          <w:color w:val="auto"/>
          <w:kern w:val="0"/>
          <w:sz w:val="24"/>
          <w:szCs w:val="24"/>
          <w:highlight w:val="none"/>
          <w:lang w:val="en-US" w:eastAsia="zh-CN" w:bidi="ar-SA"/>
        </w:rPr>
        <w:t>施工期场底平整产生的土方全部回填使用，不外排。</w:t>
      </w:r>
    </w:p>
    <w:p w14:paraId="794364EB">
      <w:pPr>
        <w:pStyle w:val="217"/>
        <w:spacing w:line="360" w:lineRule="auto"/>
        <w:ind w:firstLine="480"/>
        <w:rPr>
          <w:rFonts w:hint="eastAsia" w:asciiTheme="minorEastAsia" w:hAnsiTheme="minorEastAsia" w:eastAsiaTheme="minorEastAsia" w:cstheme="minorEastAsia"/>
          <w:color w:val="auto"/>
          <w:kern w:val="0"/>
          <w:sz w:val="24"/>
          <w:szCs w:val="24"/>
          <w:highlight w:val="none"/>
          <w:lang w:val="en-US" w:eastAsia="zh-CN" w:bidi="ar-SA"/>
        </w:rPr>
      </w:pPr>
      <w:r>
        <w:rPr>
          <w:rFonts w:hint="eastAsia" w:asciiTheme="minorEastAsia" w:hAnsiTheme="minorEastAsia" w:eastAsiaTheme="minorEastAsia" w:cstheme="minorEastAsia"/>
          <w:color w:val="auto"/>
          <w:kern w:val="0"/>
          <w:sz w:val="24"/>
          <w:szCs w:val="24"/>
          <w:highlight w:val="none"/>
          <w:lang w:val="en-US" w:eastAsia="zh-CN" w:bidi="ar-SA"/>
        </w:rPr>
        <w:t>生活垃圾集中收集后，定期由市政环卫部门处理。</w:t>
      </w:r>
    </w:p>
    <w:p w14:paraId="51BA26B3">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kern w:val="0"/>
          <w:sz w:val="24"/>
          <w:szCs w:val="24"/>
          <w:highlight w:val="none"/>
          <w:lang w:val="en-US" w:eastAsia="zh-CN" w:bidi="ar-SA"/>
        </w:rPr>
      </w:pPr>
      <w:r>
        <w:rPr>
          <w:rFonts w:hint="eastAsia" w:asciiTheme="minorEastAsia" w:hAnsiTheme="minorEastAsia" w:eastAsiaTheme="minorEastAsia" w:cstheme="minorEastAsia"/>
          <w:color w:val="auto"/>
          <w:kern w:val="0"/>
          <w:sz w:val="24"/>
          <w:szCs w:val="24"/>
          <w:highlight w:val="none"/>
          <w:lang w:val="en-US" w:eastAsia="zh-CN" w:bidi="ar-SA"/>
        </w:rPr>
        <w:t>沉淀池产生的沉渣在沉淀池内经自然沉淀后，集中收集综合利用厂区修路。</w:t>
      </w:r>
    </w:p>
    <w:p w14:paraId="3A1D9845">
      <w:pPr>
        <w:pStyle w:val="7"/>
        <w:keepNext/>
        <w:keepLines/>
        <w:pageBreakBefore w:val="0"/>
        <w:widowControl w:val="0"/>
        <w:numPr>
          <w:ilvl w:val="2"/>
          <w:numId w:val="0"/>
        </w:numPr>
        <w:kinsoku/>
        <w:wordWrap/>
        <w:overflowPunct/>
        <w:topLinePunct w:val="0"/>
        <w:autoSpaceDE/>
        <w:autoSpaceDN/>
        <w:bidi w:val="0"/>
        <w:adjustRightInd/>
        <w:snapToGrid/>
        <w:ind w:leftChars="0"/>
        <w:textAlignment w:val="auto"/>
        <w:rPr>
          <w:rFonts w:hint="eastAsia" w:asciiTheme="minorEastAsia" w:hAnsiTheme="minorEastAsia" w:eastAsiaTheme="minorEastAsia" w:cstheme="minorEastAsia"/>
          <w:color w:val="auto"/>
          <w:highlight w:val="none"/>
          <w:lang w:val="en-US" w:eastAsia="zh-CN"/>
        </w:rPr>
      </w:pPr>
      <w:bookmarkStart w:id="123" w:name="_Toc9048"/>
      <w:bookmarkStart w:id="124" w:name="_Toc19835"/>
      <w:bookmarkStart w:id="125" w:name="_Toc26649"/>
      <w:bookmarkStart w:id="126" w:name="_Toc13343"/>
      <w:bookmarkStart w:id="127" w:name="_Toc8121"/>
      <w:bookmarkStart w:id="128" w:name="_Toc18373"/>
      <w:bookmarkStart w:id="129" w:name="_Toc516226495"/>
      <w:bookmarkStart w:id="130" w:name="_Toc10954"/>
      <w:bookmarkStart w:id="131" w:name="_Toc7988"/>
      <w:bookmarkStart w:id="132" w:name="_Toc25021"/>
      <w:bookmarkStart w:id="133" w:name="_Toc21015"/>
      <w:bookmarkStart w:id="134" w:name="_Toc14227"/>
      <w:bookmarkStart w:id="135" w:name="_Toc32727"/>
      <w:bookmarkStart w:id="136" w:name="_Toc521319171"/>
      <w:bookmarkStart w:id="137" w:name="_Toc11734"/>
      <w:bookmarkStart w:id="138" w:name="_Toc6302"/>
      <w:bookmarkStart w:id="139" w:name="_Toc29537"/>
      <w:bookmarkStart w:id="140" w:name="_Toc15324"/>
      <w:bookmarkStart w:id="141" w:name="_Toc6659"/>
      <w:bookmarkStart w:id="142" w:name="_Toc2822"/>
      <w:bookmarkStart w:id="143" w:name="_Toc6071"/>
      <w:r>
        <w:rPr>
          <w:rFonts w:hint="eastAsia" w:asciiTheme="minorEastAsia" w:hAnsiTheme="minorEastAsia" w:eastAsiaTheme="minorEastAsia" w:cstheme="minorEastAsia"/>
          <w:color w:val="auto"/>
          <w:highlight w:val="none"/>
          <w:lang w:val="en-US" w:eastAsia="zh-CN"/>
        </w:rPr>
        <w:t>1.5.5</w:t>
      </w:r>
      <w:r>
        <w:rPr>
          <w:rFonts w:hint="default" w:asciiTheme="minorEastAsia" w:hAnsiTheme="minorEastAsia" w:eastAsiaTheme="minorEastAsia" w:cstheme="minorEastAsia"/>
          <w:color w:val="auto"/>
          <w:highlight w:val="none"/>
          <w:lang w:val="en-US" w:eastAsia="zh-CN"/>
        </w:rPr>
        <w:t>地下水</w:t>
      </w:r>
    </w:p>
    <w:p w14:paraId="3341861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bidi="ar"/>
        </w:rPr>
      </w:pPr>
      <w:r>
        <w:rPr>
          <w:rFonts w:hint="eastAsia" w:ascii="Times New Roman" w:hAnsi="Times New Roman" w:eastAsia="宋体" w:cs="Times New Roman"/>
          <w:color w:val="auto"/>
          <w:kern w:val="18"/>
          <w:sz w:val="24"/>
          <w:szCs w:val="24"/>
          <w:highlight w:val="none"/>
          <w:lang w:val="en-US" w:eastAsia="zh-CN"/>
        </w:rPr>
        <w:t>根据地下水预测结果，</w:t>
      </w:r>
      <w:r>
        <w:rPr>
          <w:rFonts w:hint="default" w:ascii="Times New Roman" w:hAnsi="Times New Roman" w:eastAsia="宋体" w:cs="Times New Roman"/>
          <w:color w:val="auto"/>
          <w:kern w:val="0"/>
          <w:sz w:val="24"/>
          <w:szCs w:val="24"/>
          <w:highlight w:val="none"/>
          <w:lang w:val="en-US" w:eastAsia="zh-CN" w:bidi="ar-SA"/>
        </w:rPr>
        <w:t>在</w:t>
      </w:r>
      <w:r>
        <w:rPr>
          <w:rFonts w:hint="eastAsia" w:ascii="Times New Roman" w:hAnsi="Times New Roman" w:eastAsia="宋体" w:cs="Times New Roman"/>
          <w:color w:val="auto"/>
          <w:kern w:val="0"/>
          <w:sz w:val="24"/>
          <w:szCs w:val="24"/>
          <w:highlight w:val="none"/>
          <w:lang w:val="en-US" w:eastAsia="zh-CN" w:bidi="ar-SA"/>
        </w:rPr>
        <w:t>正常</w:t>
      </w:r>
      <w:r>
        <w:rPr>
          <w:rFonts w:hint="default" w:ascii="Times New Roman" w:hAnsi="Times New Roman" w:eastAsia="宋体" w:cs="Times New Roman"/>
          <w:color w:val="auto"/>
          <w:kern w:val="0"/>
          <w:sz w:val="24"/>
          <w:szCs w:val="24"/>
          <w:highlight w:val="none"/>
          <w:lang w:val="en-US" w:eastAsia="zh-CN" w:bidi="ar-SA"/>
        </w:rPr>
        <w:t>渗漏状态下</w:t>
      </w:r>
      <w:r>
        <w:rPr>
          <w:rFonts w:hint="eastAsia" w:ascii="Times New Roman" w:hAnsi="Times New Roman" w:eastAsia="宋体" w:cs="Times New Roman"/>
          <w:color w:val="auto"/>
          <w:kern w:val="0"/>
          <w:sz w:val="24"/>
          <w:szCs w:val="24"/>
          <w:highlight w:val="none"/>
          <w:lang w:val="en-US" w:eastAsia="zh-CN" w:bidi="ar-SA"/>
        </w:rPr>
        <w:t>，污染物渗漏量较小</w:t>
      </w:r>
      <w:r>
        <w:rPr>
          <w:rFonts w:hint="default" w:ascii="Times New Roman" w:hAnsi="Times New Roman" w:eastAsia="宋体" w:cs="Times New Roman"/>
          <w:color w:val="auto"/>
          <w:kern w:val="0"/>
          <w:sz w:val="24"/>
          <w:szCs w:val="24"/>
          <w:highlight w:val="none"/>
          <w:lang w:val="en-US" w:eastAsia="zh-CN" w:bidi="ar-SA"/>
        </w:rPr>
        <w:t>，随着时间的增长，渗漏点位置污染物通过地下水径流向下游迁移，</w:t>
      </w:r>
      <w:r>
        <w:rPr>
          <w:rFonts w:hint="eastAsia" w:ascii="Times New Roman" w:hAnsi="Times New Roman" w:eastAsia="宋体" w:cs="Times New Roman"/>
          <w:color w:val="auto"/>
          <w:kern w:val="0"/>
          <w:sz w:val="24"/>
          <w:szCs w:val="24"/>
          <w:highlight w:val="none"/>
          <w:lang w:val="en-US" w:eastAsia="zh-CN" w:bidi="ar-SA"/>
        </w:rPr>
        <w:t>渗漏后污染物进入含水层后，在迁移过程中，经地下水稀释作用，污染物中心点浓度小于标准限值，污染物整体浓度较小，均未超过</w:t>
      </w:r>
      <w:r>
        <w:rPr>
          <w:rFonts w:hint="default" w:ascii="Times New Roman" w:hAnsi="Times New Roman" w:eastAsia="宋体" w:cs="Times New Roman"/>
          <w:color w:val="auto"/>
          <w:kern w:val="0"/>
          <w:sz w:val="24"/>
          <w:szCs w:val="24"/>
          <w:highlight w:val="none"/>
          <w:lang w:val="en-US" w:eastAsia="zh-CN" w:bidi="ar-SA"/>
        </w:rPr>
        <w:t>《地下水质量标准》GB/T14848-2017</w:t>
      </w:r>
      <w:r>
        <w:rPr>
          <w:rFonts w:hint="eastAsia" w:cs="Times New Roman"/>
          <w:color w:val="auto"/>
          <w:kern w:val="0"/>
          <w:sz w:val="24"/>
          <w:szCs w:val="24"/>
          <w:highlight w:val="none"/>
          <w:lang w:val="en-US" w:eastAsia="zh-CN" w:bidi="ar-SA"/>
        </w:rPr>
        <w:t>中</w:t>
      </w:r>
      <w:r>
        <w:rPr>
          <w:rFonts w:hint="eastAsia" w:ascii="Times New Roman" w:hAnsi="Times New Roman" w:eastAsia="宋体" w:cs="Times New Roman"/>
          <w:color w:val="auto"/>
          <w:kern w:val="0"/>
          <w:sz w:val="24"/>
          <w:szCs w:val="24"/>
          <w:highlight w:val="none"/>
          <w:lang w:val="en-US" w:eastAsia="zh-CN" w:bidi="ar-SA"/>
        </w:rPr>
        <w:t xml:space="preserve"> </w:t>
      </w:r>
      <w:r>
        <w:rPr>
          <w:rFonts w:hint="default" w:ascii="Times New Roman" w:hAnsi="Times New Roman" w:eastAsia="宋体" w:cs="Times New Roman"/>
          <w:color w:val="auto"/>
          <w:kern w:val="0"/>
          <w:sz w:val="24"/>
          <w:szCs w:val="24"/>
          <w:highlight w:val="none"/>
          <w:lang w:val="en-US" w:eastAsia="zh-CN" w:bidi="ar-SA"/>
        </w:rPr>
        <w:t>Ⅲ类标准</w:t>
      </w:r>
      <w:r>
        <w:rPr>
          <w:rFonts w:hint="eastAsia" w:ascii="Times New Roman" w:hAnsi="Times New Roman" w:eastAsia="宋体" w:cs="Times New Roman"/>
          <w:color w:val="auto"/>
          <w:kern w:val="0"/>
          <w:sz w:val="24"/>
          <w:szCs w:val="24"/>
          <w:highlight w:val="none"/>
          <w:lang w:val="en-US" w:eastAsia="zh-CN" w:bidi="ar-SA"/>
        </w:rPr>
        <w:t>和</w:t>
      </w:r>
      <w:r>
        <w:rPr>
          <w:rFonts w:hint="default" w:ascii="Times New Roman" w:hAnsi="Times New Roman" w:eastAsia="宋体" w:cs="Times New Roman"/>
          <w:color w:val="auto"/>
          <w:kern w:val="0"/>
          <w:sz w:val="24"/>
          <w:szCs w:val="24"/>
          <w:highlight w:val="none"/>
          <w:lang w:val="en-US" w:eastAsia="zh-CN" w:bidi="ar-SA"/>
        </w:rPr>
        <w:t>《地表水环境质量标准》GB3838-2002</w:t>
      </w:r>
      <w:r>
        <w:rPr>
          <w:rFonts w:hint="eastAsia" w:cs="Times New Roman"/>
          <w:color w:val="auto"/>
          <w:kern w:val="0"/>
          <w:sz w:val="24"/>
          <w:szCs w:val="24"/>
          <w:highlight w:val="none"/>
          <w:lang w:val="en-US" w:eastAsia="zh-CN" w:bidi="ar-SA"/>
        </w:rPr>
        <w:t>中</w:t>
      </w:r>
      <w:r>
        <w:rPr>
          <w:rFonts w:hint="eastAsia" w:ascii="Times New Roman" w:hAnsi="Times New Roman" w:eastAsia="宋体" w:cs="Times New Roman"/>
          <w:color w:val="auto"/>
          <w:kern w:val="0"/>
          <w:sz w:val="24"/>
          <w:szCs w:val="24"/>
          <w:highlight w:val="none"/>
          <w:lang w:val="en-US" w:eastAsia="zh-CN" w:bidi="ar-SA"/>
        </w:rPr>
        <w:t xml:space="preserve"> </w:t>
      </w:r>
      <w:r>
        <w:rPr>
          <w:rFonts w:hint="default" w:ascii="Times New Roman" w:hAnsi="Times New Roman" w:eastAsia="宋体" w:cs="Times New Roman"/>
          <w:color w:val="auto"/>
          <w:kern w:val="0"/>
          <w:sz w:val="24"/>
          <w:szCs w:val="24"/>
          <w:highlight w:val="none"/>
          <w:lang w:val="en-US" w:eastAsia="zh-CN" w:bidi="ar-SA"/>
        </w:rPr>
        <w:t>Ⅲ</w:t>
      </w:r>
      <w:r>
        <w:rPr>
          <w:rFonts w:hint="eastAsia" w:ascii="Times New Roman" w:hAnsi="Times New Roman" w:eastAsia="宋体" w:cs="Times New Roman"/>
          <w:color w:val="auto"/>
          <w:kern w:val="0"/>
          <w:sz w:val="24"/>
          <w:szCs w:val="24"/>
          <w:highlight w:val="none"/>
          <w:lang w:val="en-US" w:eastAsia="zh-CN" w:bidi="ar-SA"/>
        </w:rPr>
        <w:t xml:space="preserve"> </w:t>
      </w:r>
      <w:r>
        <w:rPr>
          <w:rFonts w:hint="default" w:ascii="Times New Roman" w:hAnsi="Times New Roman" w:eastAsia="宋体" w:cs="Times New Roman"/>
          <w:color w:val="auto"/>
          <w:kern w:val="0"/>
          <w:sz w:val="24"/>
          <w:szCs w:val="24"/>
          <w:highlight w:val="none"/>
          <w:lang w:val="en-US" w:eastAsia="zh-CN" w:bidi="ar-SA"/>
        </w:rPr>
        <w:t>类标准限值</w:t>
      </w:r>
      <w:r>
        <w:rPr>
          <w:rFonts w:hint="eastAsia" w:ascii="Times New Roman" w:hAnsi="Times New Roman" w:eastAsia="宋体" w:cs="Times New Roman"/>
          <w:color w:val="auto"/>
          <w:kern w:val="0"/>
          <w:sz w:val="24"/>
          <w:szCs w:val="24"/>
          <w:highlight w:val="none"/>
          <w:lang w:val="en-US" w:eastAsia="zh-CN" w:bidi="ar-SA"/>
        </w:rPr>
        <w:t>要求，</w:t>
      </w:r>
      <w:r>
        <w:rPr>
          <w:rFonts w:hint="default" w:ascii="Times New Roman" w:hAnsi="Times New Roman" w:eastAsia="宋体" w:cs="Times New Roman"/>
          <w:color w:val="auto"/>
          <w:kern w:val="0"/>
          <w:sz w:val="24"/>
          <w:szCs w:val="24"/>
          <w:highlight w:val="none"/>
          <w:lang w:val="en-US" w:eastAsia="zh-CN" w:bidi="ar-SA"/>
        </w:rPr>
        <w:t>不会对下游地下水造成影响</w:t>
      </w:r>
      <w:r>
        <w:rPr>
          <w:rFonts w:hint="eastAsia" w:ascii="Times New Roman" w:hAnsi="Times New Roman" w:eastAsia="宋体" w:cs="Times New Roman"/>
          <w:color w:val="auto"/>
          <w:kern w:val="0"/>
          <w:sz w:val="24"/>
          <w:szCs w:val="24"/>
          <w:highlight w:val="none"/>
          <w:lang w:val="en-US" w:eastAsia="zh-CN" w:bidi="ar-SA"/>
        </w:rPr>
        <w:t>，</w:t>
      </w:r>
      <w:r>
        <w:rPr>
          <w:rFonts w:hint="eastAsia" w:ascii="Times New Roman" w:hAnsi="Times New Roman" w:eastAsia="宋体" w:cs="Times New Roman"/>
          <w:color w:val="auto"/>
          <w:kern w:val="18"/>
          <w:sz w:val="24"/>
          <w:szCs w:val="24"/>
          <w:highlight w:val="none"/>
          <w:lang w:val="en-US" w:eastAsia="zh-CN"/>
        </w:rPr>
        <w:t>本项目对周围地下水影响可接受</w:t>
      </w:r>
      <w:r>
        <w:rPr>
          <w:rFonts w:hint="default" w:ascii="Times New Roman" w:hAnsi="Times New Roman" w:eastAsia="宋体" w:cs="Times New Roman"/>
          <w:color w:val="auto"/>
          <w:sz w:val="24"/>
          <w:szCs w:val="24"/>
          <w:highlight w:val="none"/>
          <w:lang w:bidi="ar"/>
        </w:rPr>
        <w:t>。</w:t>
      </w:r>
    </w:p>
    <w:p w14:paraId="19972EB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rPr>
        <w:t>本项目设置</w:t>
      </w:r>
      <w:r>
        <w:rPr>
          <w:rFonts w:hint="eastAsia" w:ascii="Times New Roman" w:hAnsi="Times New Roman" w:eastAsia="宋体"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rPr>
        <w:t>眼监测井</w:t>
      </w:r>
      <w:r>
        <w:rPr>
          <w:rFonts w:hint="eastAsia" w:ascii="Times New Roman" w:hAnsi="Times New Roman" w:eastAsia="宋体" w:cs="Times New Roman"/>
          <w:color w:val="auto"/>
          <w:sz w:val="24"/>
          <w:szCs w:val="24"/>
          <w:highlight w:val="none"/>
          <w:lang w:eastAsia="zh-CN"/>
        </w:rPr>
        <w:t>，</w:t>
      </w:r>
      <w:r>
        <w:rPr>
          <w:rFonts w:hint="eastAsia" w:ascii="Times New Roman" w:hAnsi="Times New Roman" w:eastAsia="宋体" w:cs="Times New Roman"/>
          <w:color w:val="auto"/>
          <w:sz w:val="24"/>
          <w:szCs w:val="24"/>
          <w:highlight w:val="none"/>
          <w:lang w:val="en-US" w:eastAsia="zh-CN"/>
        </w:rPr>
        <w:t>加强跟踪监测</w:t>
      </w:r>
      <w:r>
        <w:rPr>
          <w:rFonts w:hint="default" w:ascii="Times New Roman" w:hAnsi="Times New Roman" w:eastAsia="宋体" w:cs="Times New Roman"/>
          <w:snapToGrid w:val="0"/>
          <w:color w:val="auto"/>
          <w:sz w:val="24"/>
          <w:szCs w:val="24"/>
          <w:highlight w:val="none"/>
        </w:rPr>
        <w:t>，可监测反映有无超标现象，并及时采取相应处理措施，可有效避免对下游其他区域地下水环境造成影响。</w:t>
      </w:r>
    </w:p>
    <w:p w14:paraId="22184591">
      <w:pPr>
        <w:pStyle w:val="7"/>
        <w:keepNext/>
        <w:keepLines/>
        <w:pageBreakBefore w:val="0"/>
        <w:widowControl w:val="0"/>
        <w:numPr>
          <w:ilvl w:val="2"/>
          <w:numId w:val="0"/>
        </w:numPr>
        <w:kinsoku/>
        <w:wordWrap/>
        <w:overflowPunct/>
        <w:topLinePunct w:val="0"/>
        <w:autoSpaceDE/>
        <w:autoSpaceDN/>
        <w:bidi w:val="0"/>
        <w:adjustRightInd/>
        <w:snapToGrid/>
        <w:ind w:leftChars="0"/>
        <w:textAlignment w:val="auto"/>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1.5.6</w:t>
      </w:r>
      <w:r>
        <w:rPr>
          <w:rFonts w:hint="default" w:asciiTheme="minorEastAsia" w:hAnsiTheme="minorEastAsia" w:eastAsiaTheme="minorEastAsia" w:cstheme="minorEastAsia"/>
          <w:color w:val="auto"/>
          <w:highlight w:val="none"/>
          <w:lang w:val="en-US" w:eastAsia="zh-CN"/>
        </w:rPr>
        <w:t>土壤</w:t>
      </w:r>
    </w:p>
    <w:p w14:paraId="4CEB9EC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宋体" w:hAnsi="宋体" w:eastAsia="宋体" w:cs="宋体"/>
          <w:b w:val="0"/>
          <w:bCs w:val="0"/>
          <w:color w:val="auto"/>
          <w:kern w:val="0"/>
          <w:sz w:val="24"/>
          <w:szCs w:val="24"/>
          <w:highlight w:val="none"/>
          <w:lang w:val="en-US" w:eastAsia="zh-CN" w:bidi="ar"/>
        </w:rPr>
        <w:t>本项目回填所用的灰渣各项监测指标满足</w:t>
      </w:r>
      <w:r>
        <w:rPr>
          <w:rFonts w:hint="eastAsia" w:ascii="宋体" w:hAnsi="宋体" w:eastAsia="宋体" w:cs="宋体"/>
          <w:color w:val="auto"/>
          <w:kern w:val="0"/>
          <w:sz w:val="24"/>
          <w:szCs w:val="24"/>
          <w:highlight w:val="none"/>
          <w:lang w:val="en-US" w:eastAsia="zh-CN" w:bidi="ar"/>
        </w:rPr>
        <w:t>《土壤环境质量 农用地土壤污染风险管控标准（试行）》（GB 15618-2018 ）表1 农用地土壤污染风险筛选值（基本项目）要求，因此，</w:t>
      </w:r>
      <w:r>
        <w:rPr>
          <w:rFonts w:hint="default" w:ascii="Times New Roman" w:hAnsi="宋体" w:eastAsia="宋体" w:cs="Times New Roman"/>
          <w:color w:val="auto"/>
          <w:kern w:val="0"/>
          <w:sz w:val="24"/>
          <w:szCs w:val="24"/>
          <w:highlight w:val="none"/>
          <w:lang w:val="en-US" w:eastAsia="zh-CN"/>
        </w:rPr>
        <w:t>黑龙江嘉龙环保科技有限公司</w:t>
      </w:r>
      <w:r>
        <w:rPr>
          <w:rFonts w:hint="eastAsia" w:ascii="Times New Roman" w:hAnsi="宋体" w:eastAsia="宋体" w:cs="Times New Roman"/>
          <w:color w:val="auto"/>
          <w:kern w:val="0"/>
          <w:sz w:val="24"/>
          <w:szCs w:val="24"/>
          <w:highlight w:val="none"/>
          <w:lang w:val="en-US" w:eastAsia="zh-CN"/>
        </w:rPr>
        <w:t>利用尚志周边企业锅炉</w:t>
      </w:r>
      <w:r>
        <w:rPr>
          <w:rFonts w:hint="eastAsia" w:asciiTheme="minorEastAsia" w:hAnsiTheme="minorEastAsia" w:eastAsiaTheme="minorEastAsia" w:cstheme="minorEastAsia"/>
          <w:color w:val="auto"/>
          <w:highlight w:val="none"/>
          <w:lang w:val="en-US" w:eastAsia="zh-CN"/>
        </w:rPr>
        <w:t>产生的灰渣对废</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lang w:val="en-US" w:eastAsia="zh-CN"/>
        </w:rPr>
        <w:t>进行回填，并恢复为林地，符合《一般工业固体废物贮存和填埋污染控制标准》（GB 18599-2020）中“土地复垦后用作农用地的还应满足GB 15618的要求”，不会对土壤产生影响</w:t>
      </w:r>
      <w:r>
        <w:rPr>
          <w:rFonts w:hint="eastAsia" w:asciiTheme="minorEastAsia" w:hAnsiTheme="minorEastAsia" w:eastAsiaTheme="minorEastAsia" w:cstheme="minorEastAsia"/>
          <w:color w:val="auto"/>
          <w:highlight w:val="none"/>
        </w:rPr>
        <w:t>。</w:t>
      </w:r>
    </w:p>
    <w:p w14:paraId="6356ADAC">
      <w:pPr>
        <w:numPr>
          <w:ilvl w:val="0"/>
          <w:numId w:val="0"/>
        </w:numPr>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综上所述，本项目采取的污染物治理措施，可实现环境影响可接受。</w:t>
      </w:r>
    </w:p>
    <w:p w14:paraId="501643C8">
      <w:pPr>
        <w:pStyle w:val="7"/>
        <w:keepNext/>
        <w:keepLines/>
        <w:pageBreakBefore w:val="0"/>
        <w:widowControl w:val="0"/>
        <w:numPr>
          <w:ilvl w:val="2"/>
          <w:numId w:val="0"/>
        </w:numPr>
        <w:kinsoku/>
        <w:wordWrap/>
        <w:overflowPunct/>
        <w:topLinePunct w:val="0"/>
        <w:autoSpaceDE/>
        <w:autoSpaceDN/>
        <w:bidi w:val="0"/>
        <w:adjustRightInd/>
        <w:snapToGrid/>
        <w:ind w:leftChars="0"/>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1.5.7生态</w:t>
      </w:r>
    </w:p>
    <w:p w14:paraId="6A9CE0E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jc w:val="left"/>
        <w:textAlignment w:val="auto"/>
        <w:rPr>
          <w:rFonts w:hint="default" w:ascii="Times New Roman" w:hAnsi="Times New Roman" w:eastAsia="宋体"/>
          <w:color w:val="auto"/>
          <w:sz w:val="24"/>
          <w:highlight w:val="none"/>
          <w:lang w:val="en-US" w:eastAsia="zh-CN"/>
        </w:rPr>
      </w:pPr>
      <w:r>
        <w:rPr>
          <w:rFonts w:hint="default" w:ascii="Times New Roman" w:hAnsi="Times New Roman" w:eastAsia="宋体"/>
          <w:color w:val="auto"/>
          <w:sz w:val="24"/>
          <w:highlight w:val="none"/>
          <w:lang w:val="en-US" w:eastAsia="zh-CN"/>
        </w:rPr>
        <w:t>本项目的实施虽对土地利用、植被和野生动物产生一定影响，但通过科学合理的生态修复和保护措施，可有效恢复区域生态系统服务功能，优化土地利用格局，提高植被覆盖度，改善野生动物栖息环境。</w:t>
      </w:r>
    </w:p>
    <w:p w14:paraId="228DF9C2">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jc w:val="left"/>
        <w:textAlignment w:val="auto"/>
        <w:rPr>
          <w:rFonts w:hint="default" w:ascii="Times New Roman" w:hAnsi="Times New Roman" w:eastAsia="宋体" w:cs="Times New Roman"/>
          <w:color w:val="auto"/>
          <w:sz w:val="24"/>
          <w:highlight w:val="none"/>
          <w:lang w:eastAsia="zh-CN"/>
        </w:rPr>
      </w:pPr>
      <w:r>
        <w:rPr>
          <w:rFonts w:hint="eastAsia" w:ascii="Times New Roman" w:hAnsi="Times New Roman" w:eastAsia="宋体"/>
          <w:color w:val="auto"/>
          <w:sz w:val="24"/>
          <w:szCs w:val="24"/>
          <w:highlight w:val="none"/>
          <w:lang w:eastAsia="zh-CN"/>
        </w:rPr>
        <w:t>综上所述，本项目</w:t>
      </w:r>
      <w:r>
        <w:rPr>
          <w:rFonts w:hint="default" w:ascii="Times New Roman" w:hAnsi="Times New Roman" w:eastAsia="宋体"/>
          <w:color w:val="auto"/>
          <w:sz w:val="24"/>
          <w:szCs w:val="24"/>
          <w:highlight w:val="none"/>
          <w:lang w:eastAsia="zh-CN"/>
        </w:rPr>
        <w:t>采取的污染物治理措施，可实现</w:t>
      </w:r>
      <w:r>
        <w:rPr>
          <w:rFonts w:hint="eastAsia" w:ascii="Times New Roman" w:hAnsi="Times New Roman" w:eastAsia="宋体"/>
          <w:color w:val="auto"/>
          <w:sz w:val="24"/>
          <w:szCs w:val="24"/>
          <w:highlight w:val="none"/>
          <w:lang w:val="en-US" w:eastAsia="zh-CN"/>
        </w:rPr>
        <w:t>环境影响可接受</w:t>
      </w:r>
      <w:r>
        <w:rPr>
          <w:rFonts w:hint="default" w:ascii="Times New Roman" w:hAnsi="Times New Roman" w:eastAsia="宋体"/>
          <w:color w:val="auto"/>
          <w:sz w:val="24"/>
          <w:szCs w:val="24"/>
          <w:highlight w:val="none"/>
          <w:lang w:eastAsia="zh-CN"/>
        </w:rPr>
        <w:t>。</w:t>
      </w:r>
    </w:p>
    <w:p w14:paraId="3668A881">
      <w:pPr>
        <w:pStyle w:val="6"/>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1.6 评价工作主要结论</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D61305F">
      <w:pPr>
        <w:pStyle w:val="326"/>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Cs w:val="22"/>
          <w:highlight w:val="none"/>
        </w:rPr>
        <w:t>本项目建设符合国家产业政策及相关规划要求，选址合理，周边环境情况良好；项目拟采用的各项污染防治措施基本合理、有效，大气污染物、噪声均可实现达标排放，固体废物处理处置符合“减量化、资源化、无害化”原则；通过预测，项目建成投产后所排放的污染物对区域环境质量影响较小；在严格落实“三同时”制度和本次评价提出的各项环保措施的前提下，从环保角度分析本项目，项目建设可行</w:t>
      </w:r>
      <w:r>
        <w:rPr>
          <w:rFonts w:hint="eastAsia" w:asciiTheme="minorEastAsia" w:hAnsiTheme="minorEastAsia" w:eastAsiaTheme="minorEastAsia" w:cstheme="minorEastAsia"/>
          <w:color w:val="auto"/>
          <w:highlight w:val="none"/>
        </w:rPr>
        <w:t>。</w:t>
      </w:r>
    </w:p>
    <w:p w14:paraId="07BEDD96">
      <w:pPr>
        <w:pStyle w:val="5"/>
        <w:spacing w:before="0" w:after="0" w:line="420" w:lineRule="auto"/>
        <w:rPr>
          <w:rFonts w:hint="eastAsia" w:asciiTheme="minorEastAsia" w:hAnsiTheme="minorEastAsia" w:eastAsiaTheme="minorEastAsia" w:cstheme="minorEastAsia"/>
          <w:color w:val="auto"/>
          <w:highlight w:val="none"/>
        </w:rPr>
        <w:sectPr>
          <w:pgSz w:w="11907" w:h="16840"/>
          <w:pgMar w:top="1440" w:right="1440" w:bottom="1440" w:left="1701" w:header="851" w:footer="992" w:gutter="0"/>
          <w:pgBorders>
            <w:top w:val="none" w:sz="0" w:space="0"/>
            <w:left w:val="none" w:sz="0" w:space="0"/>
            <w:bottom w:val="none" w:sz="0" w:space="0"/>
            <w:right w:val="none" w:sz="0" w:space="0"/>
          </w:pgBorders>
          <w:pgNumType w:fmt="numberInDash"/>
          <w:cols w:space="720" w:num="1"/>
          <w:docGrid w:linePitch="312" w:charSpace="0"/>
        </w:sectPr>
      </w:pPr>
    </w:p>
    <w:p w14:paraId="716E2CBA">
      <w:pPr>
        <w:pStyle w:val="5"/>
        <w:bidi w:val="0"/>
        <w:rPr>
          <w:rFonts w:hint="eastAsia" w:asciiTheme="minorEastAsia" w:hAnsiTheme="minorEastAsia" w:eastAsiaTheme="minorEastAsia" w:cstheme="minorEastAsia"/>
          <w:color w:val="auto"/>
          <w:highlight w:val="none"/>
        </w:rPr>
      </w:pPr>
      <w:bookmarkStart w:id="144" w:name="_Toc25016"/>
      <w:bookmarkStart w:id="145" w:name="_Toc9860"/>
      <w:bookmarkStart w:id="146" w:name="_Toc14519"/>
      <w:bookmarkStart w:id="147" w:name="_Toc6130"/>
      <w:bookmarkStart w:id="148" w:name="_Toc203"/>
      <w:bookmarkStart w:id="149" w:name="_Toc29045"/>
      <w:bookmarkStart w:id="150" w:name="_Toc16123"/>
      <w:bookmarkStart w:id="151" w:name="_Toc24177"/>
      <w:bookmarkStart w:id="152" w:name="_Toc11550"/>
      <w:bookmarkStart w:id="153" w:name="_Toc9365"/>
      <w:bookmarkStart w:id="154" w:name="_Toc14595"/>
      <w:bookmarkStart w:id="155" w:name="_Toc23896"/>
      <w:bookmarkStart w:id="156" w:name="_Toc7323"/>
      <w:bookmarkStart w:id="157" w:name="_Toc16768"/>
      <w:bookmarkStart w:id="158" w:name="_Toc10504"/>
      <w:bookmarkStart w:id="159" w:name="_Toc28539"/>
      <w:bookmarkStart w:id="160" w:name="_Toc4352"/>
      <w:bookmarkStart w:id="161" w:name="_Toc4418"/>
      <w:r>
        <w:rPr>
          <w:rFonts w:hint="eastAsia" w:asciiTheme="minorEastAsia" w:hAnsiTheme="minorEastAsia" w:eastAsiaTheme="minorEastAsia" w:cstheme="minorEastAsia"/>
          <w:color w:val="auto"/>
          <w:highlight w:val="none"/>
        </w:rPr>
        <w:t>2</w:t>
      </w:r>
      <w:bookmarkEnd w:id="21"/>
      <w:bookmarkEnd w:id="22"/>
      <w:r>
        <w:rPr>
          <w:rFonts w:hint="eastAsia" w:asciiTheme="minorEastAsia" w:hAnsiTheme="minorEastAsia" w:eastAsiaTheme="minorEastAsia" w:cstheme="minorEastAsia"/>
          <w:color w:val="auto"/>
          <w:highlight w:val="none"/>
        </w:rPr>
        <w:t>总则</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63E9289D">
      <w:pPr>
        <w:pStyle w:val="6"/>
        <w:bidi w:val="0"/>
        <w:rPr>
          <w:rFonts w:hint="eastAsia" w:asciiTheme="minorEastAsia" w:hAnsiTheme="minorEastAsia" w:eastAsiaTheme="minorEastAsia" w:cstheme="minorEastAsia"/>
          <w:color w:val="auto"/>
          <w:highlight w:val="none"/>
        </w:rPr>
      </w:pPr>
      <w:bookmarkStart w:id="162" w:name="_Toc26140"/>
      <w:bookmarkStart w:id="163" w:name="_Toc14644"/>
      <w:bookmarkStart w:id="164" w:name="_Toc8937"/>
      <w:bookmarkStart w:id="165" w:name="_Toc21572"/>
      <w:bookmarkStart w:id="166" w:name="_Toc25484"/>
      <w:bookmarkStart w:id="167" w:name="_Toc15606"/>
      <w:bookmarkStart w:id="168" w:name="_Toc13253"/>
      <w:bookmarkStart w:id="169" w:name="_Toc11728"/>
      <w:bookmarkStart w:id="170" w:name="_Toc26304"/>
      <w:bookmarkStart w:id="171" w:name="_Toc21114"/>
      <w:bookmarkStart w:id="172" w:name="_Toc17478"/>
      <w:bookmarkStart w:id="173" w:name="_Toc14475"/>
      <w:bookmarkStart w:id="174" w:name="_Toc1555"/>
      <w:bookmarkStart w:id="175" w:name="_Toc4182"/>
      <w:bookmarkStart w:id="176" w:name="_Toc11800"/>
      <w:bookmarkStart w:id="177" w:name="_Toc26480"/>
      <w:bookmarkStart w:id="178" w:name="_Toc11189"/>
      <w:bookmarkStart w:id="179" w:name="_Toc11228"/>
      <w:bookmarkStart w:id="180" w:name="_Toc26011"/>
      <w:r>
        <w:rPr>
          <w:rFonts w:hint="eastAsia" w:asciiTheme="minorEastAsia" w:hAnsiTheme="minorEastAsia" w:eastAsiaTheme="minorEastAsia" w:cstheme="minorEastAsia"/>
          <w:color w:val="auto"/>
          <w:highlight w:val="none"/>
        </w:rPr>
        <w:t>2.1</w:t>
      </w:r>
      <w:bookmarkEnd w:id="162"/>
      <w:r>
        <w:rPr>
          <w:rFonts w:hint="eastAsia" w:asciiTheme="minorEastAsia" w:hAnsiTheme="minorEastAsia" w:eastAsiaTheme="minorEastAsia" w:cstheme="minorEastAsia"/>
          <w:color w:val="auto"/>
          <w:highlight w:val="none"/>
        </w:rPr>
        <w:t>编制依据</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22003EFB">
      <w:pPr>
        <w:pStyle w:val="7"/>
        <w:numPr>
          <w:ilvl w:val="0"/>
          <w:numId w:val="0"/>
        </w:numPr>
        <w:bidi w:val="0"/>
        <w:ind w:leftChars="0"/>
        <w:rPr>
          <w:rFonts w:hint="eastAsia" w:asciiTheme="minorEastAsia" w:hAnsiTheme="minorEastAsia" w:eastAsiaTheme="minorEastAsia" w:cstheme="minorEastAsia"/>
          <w:color w:val="auto"/>
          <w:highlight w:val="none"/>
        </w:rPr>
      </w:pPr>
      <w:bookmarkStart w:id="181" w:name="_Toc15673"/>
      <w:bookmarkStart w:id="182" w:name="_Toc165287663"/>
      <w:bookmarkStart w:id="183" w:name="_Toc371668450"/>
      <w:bookmarkStart w:id="184" w:name="_Toc382541842"/>
      <w:bookmarkStart w:id="185" w:name="_Toc343782338"/>
      <w:bookmarkStart w:id="186" w:name="_Toc342648040"/>
      <w:bookmarkStart w:id="187" w:name="_Toc460117022"/>
      <w:bookmarkStart w:id="188" w:name="_Toc158875845"/>
      <w:bookmarkStart w:id="189" w:name="_Toc383868455"/>
      <w:bookmarkStart w:id="190" w:name="_Toc441289431"/>
      <w:bookmarkStart w:id="191" w:name="_Toc342648097"/>
      <w:bookmarkStart w:id="192" w:name="_Toc389873829"/>
      <w:bookmarkStart w:id="193" w:name="_Toc364046888"/>
      <w:bookmarkStart w:id="194" w:name="_Toc460864972"/>
      <w:bookmarkStart w:id="195" w:name="_Toc382245483"/>
      <w:bookmarkStart w:id="196" w:name="_Toc158874888"/>
      <w:bookmarkStart w:id="197" w:name="_Toc362189000"/>
      <w:bookmarkStart w:id="198" w:name="_Toc362107524"/>
      <w:bookmarkStart w:id="199" w:name="_Toc371235989"/>
      <w:bookmarkStart w:id="200" w:name="_Toc158876359"/>
      <w:bookmarkStart w:id="201" w:name="_Toc440197748"/>
      <w:bookmarkStart w:id="202" w:name="_Toc369794250"/>
      <w:bookmarkStart w:id="203" w:name="_Toc369009534"/>
      <w:r>
        <w:rPr>
          <w:rFonts w:hint="eastAsia" w:asciiTheme="minorEastAsia" w:hAnsiTheme="minorEastAsia" w:eastAsiaTheme="minorEastAsia" w:cstheme="minorEastAsia"/>
          <w:color w:val="auto"/>
          <w:highlight w:val="none"/>
        </w:rPr>
        <w:t>2.1.1法律、法规</w:t>
      </w:r>
    </w:p>
    <w:p w14:paraId="784EEED0">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bookmarkStart w:id="204" w:name="_Toc11492"/>
      <w:r>
        <w:rPr>
          <w:rFonts w:hint="eastAsia" w:asciiTheme="minorEastAsia" w:hAnsiTheme="minorEastAsia" w:eastAsiaTheme="minorEastAsia" w:cstheme="minorEastAsia"/>
          <w:color w:val="auto"/>
          <w:highlight w:val="none"/>
        </w:rPr>
        <w:t>《中华人民共和国环境保护法》（2015年1月1日）；</w:t>
      </w:r>
    </w:p>
    <w:p w14:paraId="5B8D49F2">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《中华人民共和国环境影响评价法》（2018年12月29日）；</w:t>
      </w:r>
    </w:p>
    <w:p w14:paraId="33CCFDBC">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《中华人民共和国水污染防治法》（2018年1月1日）；</w:t>
      </w:r>
    </w:p>
    <w:p w14:paraId="4C9E0BAB">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《中华人民共和国大气污染防治法》（2018年10月26日）；</w:t>
      </w:r>
    </w:p>
    <w:p w14:paraId="6C5E9A01">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《中华人民共和国噪声污染防治法》（</w:t>
      </w:r>
      <w:r>
        <w:rPr>
          <w:rFonts w:hint="eastAsia" w:asciiTheme="minorEastAsia" w:hAnsiTheme="minorEastAsia" w:eastAsiaTheme="minorEastAsia" w:cstheme="minorEastAsia"/>
          <w:color w:val="auto"/>
          <w:highlight w:val="none"/>
          <w:lang w:val="en-US"/>
        </w:rPr>
        <w:t>2022</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lang w:val="en-US"/>
        </w:rPr>
        <w:t>6</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lang w:val="en-US"/>
        </w:rPr>
        <w:t>5</w:t>
      </w:r>
      <w:r>
        <w:rPr>
          <w:rFonts w:hint="eastAsia" w:asciiTheme="minorEastAsia" w:hAnsiTheme="minorEastAsia" w:eastAsiaTheme="minorEastAsia" w:cstheme="minorEastAsia"/>
          <w:color w:val="auto"/>
          <w:highlight w:val="none"/>
        </w:rPr>
        <w:t>日）；</w:t>
      </w:r>
    </w:p>
    <w:p w14:paraId="50B07E52">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《中华人民共和国固体废物污染环境防治法》（20</w:t>
      </w:r>
      <w:r>
        <w:rPr>
          <w:rFonts w:hint="eastAsia" w:asciiTheme="minorEastAsia" w:hAnsiTheme="minorEastAsia" w:eastAsiaTheme="minorEastAsia" w:cstheme="minorEastAsia"/>
          <w:color w:val="auto"/>
          <w:highlight w:val="none"/>
          <w:lang w:val="en-US"/>
        </w:rPr>
        <w:t>20</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lang w:val="en-US"/>
        </w:rPr>
        <w:t>9</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lang w:val="en-US"/>
        </w:rPr>
        <w:t>1</w:t>
      </w:r>
      <w:r>
        <w:rPr>
          <w:rFonts w:hint="eastAsia" w:asciiTheme="minorEastAsia" w:hAnsiTheme="minorEastAsia" w:eastAsiaTheme="minorEastAsia" w:cstheme="minorEastAsia"/>
          <w:color w:val="auto"/>
          <w:highlight w:val="none"/>
        </w:rPr>
        <w:t>日）；</w:t>
      </w:r>
    </w:p>
    <w:p w14:paraId="799F477E">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《中华人民共和国清洁生产促进法》（2012年7月1日）；</w:t>
      </w:r>
    </w:p>
    <w:p w14:paraId="648CEEEE">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《中华人民共和国循环经济促进法》（20</w:t>
      </w:r>
      <w:r>
        <w:rPr>
          <w:rFonts w:hint="eastAsia" w:asciiTheme="minorEastAsia" w:hAnsiTheme="minorEastAsia" w:eastAsiaTheme="minorEastAsia" w:cstheme="minorEastAsia"/>
          <w:color w:val="auto"/>
          <w:highlight w:val="none"/>
          <w:lang w:val="en-US"/>
        </w:rPr>
        <w:t>18</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lang w:val="en-US"/>
        </w:rPr>
        <w:t>10</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lang w:val="en-US"/>
        </w:rPr>
        <w:t>26</w:t>
      </w:r>
      <w:r>
        <w:rPr>
          <w:rFonts w:hint="eastAsia" w:asciiTheme="minorEastAsia" w:hAnsiTheme="minorEastAsia" w:eastAsiaTheme="minorEastAsia" w:cstheme="minorEastAsia"/>
          <w:color w:val="auto"/>
          <w:highlight w:val="none"/>
        </w:rPr>
        <w:t>日）；</w:t>
      </w:r>
    </w:p>
    <w:p w14:paraId="142AC55D">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《中华人民共和国土壤污染防治法》（2019年1月1日）；</w:t>
      </w:r>
    </w:p>
    <w:p w14:paraId="7A2C39F3">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《建设项目环境保护管理条例》（国务院令第682号）（2017年10月1日起施行）；</w:t>
      </w:r>
    </w:p>
    <w:p w14:paraId="18E24542">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《国务院关于落实科学发展观加强环境保护的决定》（国发</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2005</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39号）；</w:t>
      </w:r>
    </w:p>
    <w:p w14:paraId="7B840FDC">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《国务院办公厅关于加强环境监管执法的通知》（国办发</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2014</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56号）；</w:t>
      </w:r>
    </w:p>
    <w:p w14:paraId="4110FF75">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《环境影响评价公众参与办法》（生态环境部令第4号，自2019年1月1日起施行）；</w:t>
      </w:r>
    </w:p>
    <w:p w14:paraId="2BF3334E">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《关于切实加强风险防范严格环境影响评价管理的通知》（环发</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2012</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98号）</w:t>
      </w:r>
      <w:r>
        <w:rPr>
          <w:rFonts w:hint="eastAsia" w:asciiTheme="minorEastAsia" w:hAnsiTheme="minorEastAsia" w:eastAsiaTheme="minorEastAsia" w:cstheme="minorEastAsia"/>
          <w:color w:val="auto"/>
          <w:highlight w:val="none"/>
          <w:lang w:eastAsia="zh-CN"/>
        </w:rPr>
        <w:t>；</w:t>
      </w:r>
    </w:p>
    <w:p w14:paraId="07118D5D">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 w:val="24"/>
          <w:szCs w:val="24"/>
          <w:highlight w:val="none"/>
        </w:rPr>
        <w:t>《中华人民共和国土地管理法》（2020年1月1日）</w:t>
      </w:r>
      <w:r>
        <w:rPr>
          <w:rFonts w:hint="eastAsia" w:asciiTheme="minorEastAsia" w:hAnsiTheme="minorEastAsia" w:eastAsiaTheme="minorEastAsia" w:cstheme="minorEastAsia"/>
          <w:color w:val="auto"/>
          <w:sz w:val="24"/>
          <w:szCs w:val="24"/>
          <w:highlight w:val="none"/>
          <w:lang w:eastAsia="zh-CN"/>
        </w:rPr>
        <w:t>；</w:t>
      </w:r>
    </w:p>
    <w:p w14:paraId="213BE1F6">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sz w:val="24"/>
          <w:szCs w:val="24"/>
          <w:highlight w:val="none"/>
        </w:rPr>
        <w:t>《中华人民共和国水法》（2016年7月2日施行）</w:t>
      </w:r>
    </w:p>
    <w:p w14:paraId="2EA0183C">
      <w:pPr>
        <w:keepNext w:val="0"/>
        <w:keepLines w:val="0"/>
        <w:pageBreakBefore w:val="0"/>
        <w:widowControl w:val="0"/>
        <w:numPr>
          <w:ilvl w:val="0"/>
          <w:numId w:val="14"/>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《中华人民共和国黑土地保护法》（2022年8月1日起施行）</w:t>
      </w:r>
      <w:r>
        <w:rPr>
          <w:rFonts w:hint="eastAsia" w:asciiTheme="minorEastAsia" w:hAnsiTheme="minorEastAsia" w:eastAsiaTheme="minorEastAsia" w:cstheme="minorEastAsia"/>
          <w:color w:val="auto"/>
          <w:sz w:val="24"/>
          <w:szCs w:val="24"/>
          <w:highlight w:val="none"/>
          <w:lang w:eastAsia="zh-CN"/>
        </w:rPr>
        <w:t>。</w:t>
      </w:r>
    </w:p>
    <w:p w14:paraId="7DDB20A5">
      <w:pPr>
        <w:pStyle w:val="7"/>
        <w:numPr>
          <w:ilvl w:val="0"/>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2.1.2相关规章、政策</w:t>
      </w:r>
    </w:p>
    <w:p w14:paraId="66F4A217">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《关于加强环保审批从严控制新开工项目的通知》（环办函</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2006</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394号）；</w:t>
      </w:r>
    </w:p>
    <w:p w14:paraId="3E7EF223">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《关于进一步加强工业节水工作的意见》（工信部节</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2010</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218号）；</w:t>
      </w:r>
    </w:p>
    <w:p w14:paraId="0EF0451F">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《黑龙江省地质环境保护条例》（2013修正版）；</w:t>
      </w:r>
    </w:p>
    <w:p w14:paraId="0CB3A6B7">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kern w:val="2"/>
          <w:highlight w:val="none"/>
        </w:rPr>
        <w:t>《关于落实大气污染防治行动计划严格环境影响评价准入的通知》（环办〔2014〕30号，2014年3月25日）</w:t>
      </w:r>
      <w:r>
        <w:rPr>
          <w:rFonts w:hint="eastAsia" w:asciiTheme="minorEastAsia" w:hAnsiTheme="minorEastAsia" w:eastAsiaTheme="minorEastAsia" w:cstheme="minorEastAsia"/>
          <w:color w:val="auto"/>
          <w:highlight w:val="none"/>
          <w:lang w:eastAsia="zh-CN"/>
        </w:rPr>
        <w:t>；</w:t>
      </w:r>
    </w:p>
    <w:p w14:paraId="199FAE98">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黑龙江省人民政府关于印发《黑龙江省大气污染防治行动计划实施细则的通知》（黑政发</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2014</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1号，2014年1月26日）；</w:t>
      </w:r>
    </w:p>
    <w:p w14:paraId="38924D15">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kern w:val="2"/>
          <w:highlight w:val="none"/>
        </w:rPr>
        <w:t>《国务院关于印发水污染防治行动计划的通知》（国发〔2015〕17号，2015年4月16日）</w:t>
      </w:r>
      <w:r>
        <w:rPr>
          <w:rFonts w:hint="eastAsia" w:asciiTheme="minorEastAsia" w:hAnsiTheme="minorEastAsia" w:eastAsiaTheme="minorEastAsia" w:cstheme="minorEastAsia"/>
          <w:color w:val="auto"/>
          <w:highlight w:val="none"/>
        </w:rPr>
        <w:t>；</w:t>
      </w:r>
    </w:p>
    <w:p w14:paraId="4C15B4D9">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黑龙江省人民政府关于印发《黑龙江省水污染防治工作方案的通知》（黑政发</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2016</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3号，2016年1月10日）</w:t>
      </w:r>
      <w:r>
        <w:rPr>
          <w:rFonts w:hint="eastAsia" w:asciiTheme="minorEastAsia" w:hAnsiTheme="minorEastAsia" w:eastAsiaTheme="minorEastAsia" w:cstheme="minorEastAsia"/>
          <w:color w:val="auto"/>
          <w:highlight w:val="none"/>
          <w:lang w:eastAsia="zh-CN"/>
        </w:rPr>
        <w:t>；</w:t>
      </w:r>
    </w:p>
    <w:p w14:paraId="03A8748F">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kern w:val="2"/>
          <w:highlight w:val="none"/>
        </w:rPr>
        <w:t>《国务院关于印发土壤污染防治行动计划的通知》（国发〔2016〕31号，2016年5月28日）</w:t>
      </w:r>
      <w:r>
        <w:rPr>
          <w:rFonts w:hint="eastAsia" w:asciiTheme="minorEastAsia" w:hAnsiTheme="minorEastAsia" w:eastAsiaTheme="minorEastAsia" w:cstheme="minorEastAsia"/>
          <w:color w:val="auto"/>
          <w:highlight w:val="none"/>
          <w:lang w:eastAsia="zh-CN"/>
        </w:rPr>
        <w:t>；</w:t>
      </w:r>
    </w:p>
    <w:p w14:paraId="3655EC13">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黑龙江省人民政府关于印发《黑龙江省土壤污染防治实施方案的通知》（黑政发</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2016</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46号，2016年12月30日）；</w:t>
      </w:r>
    </w:p>
    <w:p w14:paraId="09AA40F7">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kern w:val="2"/>
          <w:highlight w:val="none"/>
        </w:rPr>
        <w:t>《关于印发&lt;黑龙江省重点生态功能区产业准入负面清单（试行版）&gt;的通知》（黑发改规〔2017〕4号，2017年7月23日）</w:t>
      </w:r>
      <w:r>
        <w:rPr>
          <w:rFonts w:hint="eastAsia" w:asciiTheme="minorEastAsia" w:hAnsiTheme="minorEastAsia" w:eastAsiaTheme="minorEastAsia" w:cstheme="minorEastAsia"/>
          <w:color w:val="auto"/>
          <w:kern w:val="2"/>
          <w:highlight w:val="none"/>
          <w:lang w:eastAsia="zh-CN"/>
        </w:rPr>
        <w:t>；</w:t>
      </w:r>
    </w:p>
    <w:p w14:paraId="18E3DD80">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kern w:val="2"/>
          <w:highlight w:val="none"/>
        </w:rPr>
        <w:t>《关于做好环境影响评价制度与排污许可制衔接相关工作的通知》（环办环评〔2017〕84号，2017年11月15日）</w:t>
      </w:r>
      <w:r>
        <w:rPr>
          <w:rFonts w:hint="eastAsia" w:asciiTheme="minorEastAsia" w:hAnsiTheme="minorEastAsia" w:eastAsiaTheme="minorEastAsia" w:cstheme="minorEastAsia"/>
          <w:color w:val="auto"/>
          <w:highlight w:val="none"/>
        </w:rPr>
        <w:t>；</w:t>
      </w:r>
    </w:p>
    <w:p w14:paraId="4CEA5CBA">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环境保护部印发《“生态保护红线、环境质量底线、资源利用上线和环境准入负面清单”编制技术指南（试行）》（环办环评</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2017</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99号）</w:t>
      </w:r>
      <w:r>
        <w:rPr>
          <w:rFonts w:hint="eastAsia" w:asciiTheme="minorEastAsia" w:hAnsiTheme="minorEastAsia" w:eastAsiaTheme="minorEastAsia" w:cstheme="minorEastAsia"/>
          <w:color w:val="auto"/>
          <w:highlight w:val="none"/>
          <w:lang w:eastAsia="zh-CN"/>
        </w:rPr>
        <w:t>；</w:t>
      </w:r>
    </w:p>
    <w:p w14:paraId="25B4A20C">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《黑龙江省大气污染防治条例》（2018修订版）</w:t>
      </w:r>
      <w:r>
        <w:rPr>
          <w:rFonts w:hint="eastAsia" w:asciiTheme="minorEastAsia" w:hAnsiTheme="minorEastAsia" w:eastAsiaTheme="minorEastAsia" w:cstheme="minorEastAsia"/>
          <w:color w:val="auto"/>
          <w:highlight w:val="none"/>
          <w:lang w:eastAsia="zh-CN"/>
        </w:rPr>
        <w:t>；</w:t>
      </w:r>
    </w:p>
    <w:p w14:paraId="7957D408">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《关于进一步做好纳污坑塘整治工作的意见》环办环监函〔2018〕98号；</w:t>
      </w:r>
    </w:p>
    <w:p w14:paraId="7BE5D058">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《建设项目环境影响评价分类管理名录》（</w:t>
      </w:r>
      <w:r>
        <w:rPr>
          <w:rFonts w:hint="eastAsia" w:asciiTheme="minorEastAsia" w:hAnsiTheme="minorEastAsia" w:eastAsiaTheme="minorEastAsia" w:cstheme="minorEastAsia"/>
          <w:color w:val="auto"/>
          <w:highlight w:val="none"/>
          <w:lang w:val="en-US"/>
        </w:rPr>
        <w:t>生态环境</w:t>
      </w:r>
      <w:r>
        <w:rPr>
          <w:rFonts w:hint="eastAsia" w:asciiTheme="minorEastAsia" w:hAnsiTheme="minorEastAsia" w:eastAsiaTheme="minorEastAsia" w:cstheme="minorEastAsia"/>
          <w:color w:val="auto"/>
          <w:highlight w:val="none"/>
        </w:rPr>
        <w:t>部令第</w:t>
      </w:r>
      <w:r>
        <w:rPr>
          <w:rFonts w:hint="eastAsia" w:asciiTheme="minorEastAsia" w:hAnsiTheme="minorEastAsia" w:eastAsiaTheme="minorEastAsia" w:cstheme="minorEastAsia"/>
          <w:color w:val="auto"/>
          <w:highlight w:val="none"/>
          <w:lang w:val="en-US"/>
        </w:rPr>
        <w:t>16</w:t>
      </w:r>
      <w:r>
        <w:rPr>
          <w:rFonts w:hint="eastAsia" w:asciiTheme="minorEastAsia" w:hAnsiTheme="minorEastAsia" w:eastAsiaTheme="minorEastAsia" w:cstheme="minorEastAsia"/>
          <w:color w:val="auto"/>
          <w:highlight w:val="none"/>
        </w:rPr>
        <w:t xml:space="preserve">号 </w:t>
      </w:r>
      <w:r>
        <w:rPr>
          <w:rFonts w:hint="eastAsia" w:asciiTheme="minorEastAsia" w:hAnsiTheme="minorEastAsia" w:eastAsiaTheme="minorEastAsia" w:cstheme="minorEastAsia"/>
          <w:color w:val="auto"/>
          <w:highlight w:val="none"/>
          <w:lang w:val="en-US"/>
        </w:rPr>
        <w:t>2021年1月1日</w:t>
      </w:r>
      <w:r>
        <w:rPr>
          <w:rFonts w:hint="eastAsia" w:asciiTheme="minorEastAsia" w:hAnsiTheme="minorEastAsia" w:eastAsiaTheme="minorEastAsia" w:cstheme="minorEastAsia"/>
          <w:color w:val="auto"/>
          <w:highlight w:val="none"/>
        </w:rPr>
        <w:t>）；</w:t>
      </w:r>
    </w:p>
    <w:p w14:paraId="082A1B10">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kern w:val="2"/>
          <w:sz w:val="24"/>
          <w:szCs w:val="22"/>
          <w:highlight w:val="none"/>
          <w:lang w:val="zh-CN" w:eastAsia="zh-CN" w:bidi="ar-SA"/>
        </w:rPr>
        <w:t>《地下水管理条例》（2021年12月1日起施行）</w:t>
      </w:r>
      <w:r>
        <w:rPr>
          <w:rFonts w:hint="eastAsia" w:asciiTheme="minorEastAsia" w:hAnsiTheme="minorEastAsia" w:eastAsiaTheme="minorEastAsia" w:cstheme="minorEastAsia"/>
          <w:color w:val="auto"/>
          <w:highlight w:val="none"/>
        </w:rPr>
        <w:t>；</w:t>
      </w:r>
    </w:p>
    <w:p w14:paraId="008B1177">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黑龙江人民政府关于印发黑龙江省“十四五”生态环境保护规划的通知</w:t>
      </w:r>
      <w:r>
        <w:rPr>
          <w:rFonts w:hint="eastAsia" w:asciiTheme="minorEastAsia" w:hAnsiTheme="minorEastAsia" w:eastAsiaTheme="minorEastAsia" w:cstheme="minorEastAsia"/>
          <w:color w:val="auto"/>
          <w:highlight w:val="none"/>
          <w:lang w:eastAsia="zh-CN"/>
        </w:rPr>
        <w:t>》（20</w:t>
      </w:r>
      <w:r>
        <w:rPr>
          <w:rFonts w:hint="eastAsia" w:asciiTheme="minorEastAsia" w:hAnsiTheme="minorEastAsia" w:eastAsiaTheme="minorEastAsia" w:cstheme="minorEastAsia"/>
          <w:color w:val="auto"/>
          <w:highlight w:val="none"/>
          <w:lang w:val="en-US" w:eastAsia="zh-CN"/>
        </w:rPr>
        <w:t>21</w:t>
      </w:r>
      <w:r>
        <w:rPr>
          <w:rFonts w:hint="eastAsia" w:asciiTheme="minorEastAsia" w:hAnsiTheme="minorEastAsia" w:eastAsiaTheme="minorEastAsia" w:cstheme="minorEastAsia"/>
          <w:color w:val="auto"/>
          <w:highlight w:val="none"/>
          <w:lang w:eastAsia="zh-CN"/>
        </w:rPr>
        <w:t>年1</w:t>
      </w:r>
      <w:r>
        <w:rPr>
          <w:rFonts w:hint="eastAsia" w:asciiTheme="minorEastAsia" w:hAnsiTheme="minorEastAsia" w:eastAsia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lang w:eastAsia="zh-CN"/>
        </w:rPr>
        <w:t>月2</w:t>
      </w:r>
      <w:r>
        <w:rPr>
          <w:rFonts w:hint="eastAsia" w:asciiTheme="minorEastAsia" w:hAnsiTheme="minorEastAsia" w:eastAsiaTheme="minorEastAsia" w:cstheme="minorEastAsia"/>
          <w:color w:val="auto"/>
          <w:highlight w:val="none"/>
          <w:lang w:val="en-US" w:eastAsia="zh-CN"/>
        </w:rPr>
        <w:t>9</w:t>
      </w:r>
      <w:r>
        <w:rPr>
          <w:rFonts w:hint="eastAsia" w:asciiTheme="minorEastAsia" w:hAnsiTheme="minorEastAsia" w:eastAsiaTheme="minorEastAsia" w:cstheme="minorEastAsia"/>
          <w:color w:val="auto"/>
          <w:highlight w:val="none"/>
          <w:lang w:eastAsia="zh-CN"/>
        </w:rPr>
        <w:t>日）；</w:t>
      </w:r>
    </w:p>
    <w:p w14:paraId="54DAF4A6">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kern w:val="2"/>
          <w:sz w:val="24"/>
          <w:szCs w:val="22"/>
          <w:highlight w:val="none"/>
          <w:lang w:val="zh-CN" w:eastAsia="zh-CN" w:bidi="ar-SA"/>
        </w:rPr>
        <w:t>《</w:t>
      </w:r>
      <w:r>
        <w:rPr>
          <w:rFonts w:hint="eastAsia" w:asciiTheme="minorEastAsia" w:hAnsiTheme="minorEastAsia" w:eastAsiaTheme="minorEastAsia" w:cstheme="minorEastAsia"/>
          <w:color w:val="auto"/>
          <w:highlight w:val="none"/>
          <w:lang w:val="zh-CN" w:eastAsia="zh-CN"/>
        </w:rPr>
        <w:t>黑龙江省“十四五”黑土地保护规划的通知</w:t>
      </w:r>
      <w:r>
        <w:rPr>
          <w:rFonts w:hint="eastAsia" w:asciiTheme="minorEastAsia" w:hAnsiTheme="minorEastAsia" w:eastAsiaTheme="minorEastAsia" w:cstheme="minorEastAsia"/>
          <w:color w:val="auto"/>
          <w:kern w:val="2"/>
          <w:sz w:val="24"/>
          <w:szCs w:val="22"/>
          <w:highlight w:val="none"/>
          <w:lang w:val="zh-CN" w:eastAsia="zh-CN" w:bidi="ar-SA"/>
        </w:rPr>
        <w:t>》</w:t>
      </w:r>
      <w:r>
        <w:rPr>
          <w:rFonts w:hint="eastAsia" w:asciiTheme="minorEastAsia" w:hAnsiTheme="minorEastAsia" w:eastAsiaTheme="minorEastAsia" w:cstheme="minorEastAsia"/>
          <w:color w:val="auto"/>
          <w:highlight w:val="none"/>
          <w:lang w:val="zh-CN" w:eastAsia="zh-CN"/>
        </w:rPr>
        <w:t>（黑政办规〔2021〕48号）</w:t>
      </w:r>
      <w:r>
        <w:rPr>
          <w:rFonts w:hint="eastAsia" w:asciiTheme="minorEastAsia" w:hAnsiTheme="minorEastAsia" w:eastAsiaTheme="minorEastAsia" w:cstheme="minorEastAsia"/>
          <w:color w:val="auto"/>
          <w:highlight w:val="none"/>
        </w:rPr>
        <w:t>；</w:t>
      </w:r>
    </w:p>
    <w:p w14:paraId="05B4552B">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黑龙江省人民政府关于印发《黑龙江省空气质量持续改善行动计划实施方案》的通知</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黑政发〔2023〕19号</w:t>
      </w:r>
      <w:r>
        <w:rPr>
          <w:rFonts w:hint="eastAsia" w:asciiTheme="minorEastAsia" w:hAnsiTheme="minorEastAsia" w:eastAsiaTheme="minorEastAsia" w:cstheme="minorEastAsia"/>
          <w:color w:val="auto"/>
          <w:highlight w:val="none"/>
          <w:lang w:eastAsia="zh-CN"/>
        </w:rPr>
        <w:t>）；</w:t>
      </w:r>
    </w:p>
    <w:p w14:paraId="5703AA9B">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《土地复垦条例》</w:t>
      </w:r>
      <w:r>
        <w:rPr>
          <w:rFonts w:hint="eastAsia" w:asciiTheme="minorEastAsia" w:hAnsiTheme="minorEastAsia" w:eastAsiaTheme="minorEastAsia" w:cstheme="minorEastAsia"/>
          <w:color w:val="auto"/>
          <w:highlight w:val="none"/>
          <w:lang w:val="en-US" w:eastAsia="zh-CN"/>
        </w:rPr>
        <w:t>2022年341号令</w:t>
      </w:r>
      <w:r>
        <w:rPr>
          <w:rFonts w:hint="eastAsia" w:asciiTheme="minorEastAsia" w:hAnsiTheme="minorEastAsia" w:eastAsiaTheme="minorEastAsia" w:cstheme="minorEastAsia"/>
          <w:color w:val="auto"/>
          <w:highlight w:val="none"/>
          <w:lang w:eastAsia="zh-CN"/>
        </w:rPr>
        <w:t>；</w:t>
      </w:r>
    </w:p>
    <w:p w14:paraId="71BBBCC1">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《黑龙江省水污染防治条例》（2023年12月1日施行）</w:t>
      </w:r>
      <w:r>
        <w:rPr>
          <w:rFonts w:hint="eastAsia" w:asciiTheme="minorEastAsia" w:hAnsiTheme="minorEastAsia" w:eastAsiaTheme="minorEastAsia" w:cstheme="minorEastAsia"/>
          <w:color w:val="auto"/>
          <w:highlight w:val="none"/>
          <w:lang w:eastAsia="zh-CN"/>
        </w:rPr>
        <w:t>；</w:t>
      </w:r>
    </w:p>
    <w:p w14:paraId="1797DCBF">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Cs/>
          <w:snapToGrid w:val="0"/>
          <w:color w:val="auto"/>
          <w:sz w:val="24"/>
          <w:szCs w:val="24"/>
          <w:highlight w:val="none"/>
          <w:lang w:val="en-US" w:eastAsia="zh-CN"/>
        </w:rPr>
        <w:t>《哈尔滨市</w:t>
      </w:r>
      <w:r>
        <w:rPr>
          <w:rFonts w:hint="eastAsia" w:asciiTheme="minorEastAsia" w:hAnsiTheme="minorEastAsia" w:eastAsiaTheme="minorEastAsia" w:cstheme="minorEastAsia"/>
          <w:bCs/>
          <w:snapToGrid w:val="0"/>
          <w:color w:val="auto"/>
          <w:sz w:val="24"/>
          <w:szCs w:val="24"/>
          <w:highlight w:val="none"/>
        </w:rPr>
        <w:t>生态环境准入清单</w:t>
      </w:r>
      <w:r>
        <w:rPr>
          <w:rFonts w:hint="eastAsia" w:asciiTheme="minorEastAsia" w:hAnsiTheme="minorEastAsia" w:eastAsiaTheme="minorEastAsia" w:cstheme="minorEastAsia"/>
          <w:bCs/>
          <w:snapToGrid w:val="0"/>
          <w:color w:val="auto"/>
          <w:sz w:val="24"/>
          <w:szCs w:val="24"/>
          <w:highlight w:val="none"/>
          <w:lang w:val="en-US" w:eastAsia="zh-CN"/>
        </w:rPr>
        <w:t>》</w:t>
      </w:r>
      <w:r>
        <w:rPr>
          <w:rFonts w:hint="eastAsia" w:asciiTheme="minorEastAsia" w:hAnsiTheme="minorEastAsia" w:eastAsiaTheme="minorEastAsia" w:cstheme="minorEastAsia"/>
          <w:bCs/>
          <w:snapToGrid w:val="0"/>
          <w:color w:val="auto"/>
          <w:sz w:val="24"/>
          <w:szCs w:val="24"/>
          <w:highlight w:val="none"/>
          <w:lang w:val="zh-CN"/>
        </w:rPr>
        <w:t>（</w:t>
      </w:r>
      <w:r>
        <w:rPr>
          <w:rFonts w:hint="eastAsia" w:asciiTheme="minorEastAsia" w:hAnsiTheme="minorEastAsia" w:eastAsiaTheme="minorEastAsia" w:cstheme="minorEastAsia"/>
          <w:bCs/>
          <w:snapToGrid w:val="0"/>
          <w:color w:val="auto"/>
          <w:sz w:val="24"/>
          <w:szCs w:val="24"/>
          <w:highlight w:val="none"/>
          <w:lang w:val="en-US" w:eastAsia="zh-CN"/>
        </w:rPr>
        <w:t>2023年版</w:t>
      </w:r>
      <w:r>
        <w:rPr>
          <w:rFonts w:hint="eastAsia" w:asciiTheme="minorEastAsia" w:hAnsiTheme="minorEastAsia" w:eastAsiaTheme="minorEastAsia" w:cstheme="minorEastAsia"/>
          <w:bCs/>
          <w:snapToGrid w:val="0"/>
          <w:color w:val="auto"/>
          <w:sz w:val="24"/>
          <w:szCs w:val="24"/>
          <w:highlight w:val="none"/>
          <w:lang w:val="zh-CN"/>
        </w:rPr>
        <w:t>）；</w:t>
      </w:r>
    </w:p>
    <w:p w14:paraId="3DD30750">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Cs/>
          <w:snapToGrid w:val="0"/>
          <w:color w:val="auto"/>
          <w:sz w:val="24"/>
          <w:szCs w:val="24"/>
          <w:highlight w:val="none"/>
          <w:lang w:val="zh-CN"/>
        </w:rPr>
        <w:t>《关于发布2023年生态环境分区管控动态更新成果的通知》黑环发〔2024〕1 号；</w:t>
      </w:r>
    </w:p>
    <w:p w14:paraId="3085FB9B">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《黑龙江省黑土地保护利用条例》（自2024年3月1日起施行）</w:t>
      </w:r>
      <w:r>
        <w:rPr>
          <w:rFonts w:hint="eastAsia" w:asciiTheme="minorEastAsia" w:hAnsiTheme="minorEastAsia" w:eastAsiaTheme="minorEastAsia" w:cstheme="minorEastAsia"/>
          <w:color w:val="auto"/>
          <w:highlight w:val="none"/>
          <w:lang w:eastAsia="zh-CN"/>
        </w:rPr>
        <w:t>；</w:t>
      </w:r>
    </w:p>
    <w:p w14:paraId="3D13CA8B">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《产业结构调整指导目录（</w:t>
      </w:r>
      <w:r>
        <w:rPr>
          <w:rFonts w:hint="eastAsia" w:asciiTheme="minorEastAsia" w:hAnsiTheme="minorEastAsia" w:eastAsiaTheme="minorEastAsia" w:cstheme="minorEastAsia"/>
          <w:color w:val="auto"/>
          <w:highlight w:val="none"/>
          <w:lang w:val="en-US" w:eastAsia="zh-CN"/>
        </w:rPr>
        <w:t>2024</w:t>
      </w:r>
      <w:r>
        <w:rPr>
          <w:rFonts w:hint="eastAsia" w:asciiTheme="minorEastAsia" w:hAnsiTheme="minorEastAsia" w:eastAsiaTheme="minorEastAsia" w:cstheme="minorEastAsia"/>
          <w:color w:val="auto"/>
          <w:highlight w:val="none"/>
        </w:rPr>
        <w:t>年本）》（中华人民共和国国家发展和改革委员会令第</w:t>
      </w:r>
      <w:r>
        <w:rPr>
          <w:rFonts w:hint="eastAsia" w:asciiTheme="minorEastAsia" w:hAnsiTheme="minorEastAsia" w:eastAsiaTheme="minorEastAsia" w:cstheme="minorEastAsia"/>
          <w:color w:val="auto"/>
          <w:highlight w:val="none"/>
          <w:lang w:val="en-US"/>
        </w:rPr>
        <w:t>7</w:t>
      </w:r>
      <w:r>
        <w:rPr>
          <w:rFonts w:hint="eastAsia" w:asciiTheme="minorEastAsia" w:hAnsiTheme="minorEastAsia" w:eastAsiaTheme="minorEastAsia" w:cstheme="minorEastAsia"/>
          <w:color w:val="auto"/>
          <w:highlight w:val="none"/>
        </w:rPr>
        <w:t>号）；</w:t>
      </w:r>
    </w:p>
    <w:p w14:paraId="42DDD6B1">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color w:val="auto"/>
          <w:spacing w:val="0"/>
          <w:highlight w:val="none"/>
          <w:lang w:eastAsia="zh-CN"/>
        </w:rPr>
        <w:t>《</w:t>
      </w:r>
      <w:r>
        <w:rPr>
          <w:rFonts w:hint="eastAsia" w:ascii="Times New Roman"/>
          <w:b w:val="0"/>
          <w:bCs w:val="0"/>
          <w:color w:val="auto"/>
          <w:highlight w:val="none"/>
        </w:rPr>
        <w:t>哈尔滨市国土空间总体规划（2021</w:t>
      </w:r>
      <w:r>
        <w:rPr>
          <w:rFonts w:hint="eastAsia" w:ascii="Times New Roman"/>
          <w:b w:val="0"/>
          <w:bCs w:val="0"/>
          <w:color w:val="auto"/>
          <w:highlight w:val="none"/>
          <w:lang w:eastAsia="zh-CN"/>
        </w:rPr>
        <w:t>—</w:t>
      </w:r>
      <w:r>
        <w:rPr>
          <w:rFonts w:hint="eastAsia" w:ascii="Times New Roman"/>
          <w:b w:val="0"/>
          <w:bCs w:val="0"/>
          <w:color w:val="auto"/>
          <w:highlight w:val="none"/>
        </w:rPr>
        <w:t>2035年）</w:t>
      </w:r>
      <w:r>
        <w:rPr>
          <w:rFonts w:hint="eastAsia"/>
          <w:color w:val="auto"/>
          <w:spacing w:val="0"/>
          <w:highlight w:val="none"/>
          <w:lang w:eastAsia="zh-CN"/>
        </w:rPr>
        <w:t>》</w:t>
      </w:r>
      <w:r>
        <w:rPr>
          <w:rFonts w:hint="eastAsia" w:asciiTheme="minorEastAsia" w:hAnsiTheme="minorEastAsia" w:eastAsiaTheme="minorEastAsia" w:cstheme="minorEastAsia"/>
          <w:color w:val="auto"/>
          <w:highlight w:val="none"/>
        </w:rPr>
        <w:t>；</w:t>
      </w:r>
    </w:p>
    <w:p w14:paraId="458A6F1F">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kern w:val="2"/>
          <w:highlight w:val="none"/>
        </w:rPr>
        <w:t>《黑龙江省生态环境厅环评审批服务重大项目十项措施》</w:t>
      </w:r>
      <w:r>
        <w:rPr>
          <w:rFonts w:hint="eastAsia" w:asciiTheme="minorEastAsia" w:hAnsiTheme="minorEastAsia" w:eastAsiaTheme="minorEastAsia" w:cstheme="minorEastAsia"/>
          <w:color w:val="auto"/>
          <w:highlight w:val="none"/>
          <w:lang w:eastAsia="zh-CN"/>
        </w:rPr>
        <w:t>；</w:t>
      </w:r>
    </w:p>
    <w:p w14:paraId="321FED8E">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《生态环境分区管控管理暂行规定》环环评〔2024〕41号；</w:t>
      </w:r>
    </w:p>
    <w:p w14:paraId="6A9B3091">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国务院关于印发《固体废物综合治理行动计划》的通知国发〔2025〕14号；</w:t>
      </w:r>
    </w:p>
    <w:p w14:paraId="3D31E4BD">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《黑龙江省城乡固体废物分类治理布局规划（2019-2035年）（2021年修订版）》；</w:t>
      </w:r>
    </w:p>
    <w:p w14:paraId="70CC0EF2">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color w:val="auto"/>
          <w:spacing w:val="0"/>
          <w:highlight w:val="none"/>
          <w:lang w:eastAsia="zh-CN"/>
        </w:rPr>
        <w:t>《</w:t>
      </w:r>
      <w:r>
        <w:rPr>
          <w:rFonts w:hint="eastAsia"/>
          <w:color w:val="auto"/>
          <w:spacing w:val="0"/>
          <w:highlight w:val="none"/>
        </w:rPr>
        <w:t>黑龙江省哈尔滨市城乡固体废物分类治理专项规划（2019</w:t>
      </w:r>
      <w:r>
        <w:rPr>
          <w:rFonts w:hint="eastAsia"/>
          <w:color w:val="auto"/>
          <w:spacing w:val="0"/>
          <w:highlight w:val="none"/>
          <w:lang w:eastAsia="zh-CN"/>
        </w:rPr>
        <w:t>—</w:t>
      </w:r>
      <w:r>
        <w:rPr>
          <w:rFonts w:hint="eastAsia"/>
          <w:color w:val="auto"/>
          <w:spacing w:val="0"/>
          <w:highlight w:val="none"/>
        </w:rPr>
        <w:t>2035年）</w:t>
      </w:r>
      <w:r>
        <w:rPr>
          <w:rFonts w:hint="eastAsia"/>
          <w:color w:val="auto"/>
          <w:spacing w:val="0"/>
          <w:highlight w:val="none"/>
          <w:lang w:eastAsia="zh-CN"/>
        </w:rPr>
        <w:t>》</w:t>
      </w:r>
      <w:r>
        <w:rPr>
          <w:rFonts w:hint="eastAsia"/>
          <w:color w:val="auto"/>
          <w:spacing w:val="0"/>
          <w:highlight w:val="none"/>
        </w:rPr>
        <w:t>修编</w:t>
      </w:r>
      <w:r>
        <w:rPr>
          <w:rFonts w:hint="eastAsia" w:asciiTheme="minorEastAsia" w:hAnsiTheme="minorEastAsia" w:eastAsiaTheme="minorEastAsia" w:cstheme="minorEastAsia"/>
          <w:color w:val="auto"/>
          <w:highlight w:val="none"/>
          <w:lang w:val="en-US" w:eastAsia="zh-CN"/>
        </w:rPr>
        <w:t>；</w:t>
      </w:r>
    </w:p>
    <w:p w14:paraId="682AA677">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《黑龙江省固体废物污染环境防治条例》（2025年1月1日起施行）</w:t>
      </w:r>
      <w:r>
        <w:rPr>
          <w:rFonts w:hint="eastAsia" w:asciiTheme="minorEastAsia" w:hAnsiTheme="minorEastAsia" w:eastAsiaTheme="minorEastAsia" w:cstheme="minorEastAsia"/>
          <w:color w:val="auto"/>
          <w:highlight w:val="none"/>
        </w:rPr>
        <w:t>；</w:t>
      </w:r>
    </w:p>
    <w:p w14:paraId="2EBF4DE3">
      <w:pPr>
        <w:keepNext w:val="0"/>
        <w:keepLines w:val="0"/>
        <w:pageBreakBefore w:val="0"/>
        <w:widowControl w:val="0"/>
        <w:numPr>
          <w:ilvl w:val="0"/>
          <w:numId w:val="15"/>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《黑龙江省矿山生态修复治理行动计划（2022-2035）年》；</w:t>
      </w:r>
    </w:p>
    <w:p w14:paraId="23F78B20">
      <w:pPr>
        <w:pStyle w:val="7"/>
        <w:numPr>
          <w:ilvl w:val="0"/>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2.1.3技术导则及规范</w:t>
      </w:r>
      <w:bookmarkEnd w:id="204"/>
    </w:p>
    <w:p w14:paraId="6634639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（1）《建设项目环境影响评价技术导则  总纲》（HJ2.1-2016）；</w:t>
      </w:r>
    </w:p>
    <w:p w14:paraId="58762F3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（2）《环境影响评价技术导则  大气环境》（HJ2.2-2018）；</w:t>
      </w:r>
    </w:p>
    <w:p w14:paraId="02443AA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（3）《环境影响评价技术导则  地</w:t>
      </w:r>
      <w:r>
        <w:rPr>
          <w:rFonts w:hint="eastAsia" w:asciiTheme="minorEastAsia" w:hAnsiTheme="minorEastAsia" w:eastAsiaTheme="minorEastAsia" w:cstheme="minorEastAsia"/>
          <w:color w:val="auto"/>
          <w:highlight w:val="none"/>
          <w:lang w:val="en-US" w:eastAsia="zh-CN"/>
        </w:rPr>
        <w:t>表</w:t>
      </w:r>
      <w:r>
        <w:rPr>
          <w:rFonts w:hint="eastAsia" w:asciiTheme="minorEastAsia" w:hAnsiTheme="minorEastAsia" w:eastAsiaTheme="minorEastAsia" w:cstheme="minorEastAsia"/>
          <w:color w:val="auto"/>
          <w:highlight w:val="none"/>
        </w:rPr>
        <w:t>水环境》（HJ2.3-2018）；</w:t>
      </w:r>
    </w:p>
    <w:p w14:paraId="05A70BB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（4）《环境影响评价技术导则  声环境》（HJ2.4-20</w:t>
      </w:r>
      <w:r>
        <w:rPr>
          <w:rFonts w:hint="eastAsia" w:asciiTheme="minorEastAsia" w:hAnsiTheme="minorEastAsia" w:eastAsiaTheme="minorEastAsia" w:cstheme="minorEastAsia"/>
          <w:color w:val="auto"/>
          <w:highlight w:val="none"/>
          <w:lang w:val="en-US"/>
        </w:rPr>
        <w:t>21</w:t>
      </w:r>
      <w:r>
        <w:rPr>
          <w:rFonts w:hint="eastAsia" w:asciiTheme="minorEastAsia" w:hAnsiTheme="minorEastAsia" w:eastAsiaTheme="minorEastAsia" w:cstheme="minorEastAsia"/>
          <w:color w:val="auto"/>
          <w:highlight w:val="none"/>
        </w:rPr>
        <w:t>）；</w:t>
      </w:r>
    </w:p>
    <w:p w14:paraId="4A92EE4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（5）《环境影响评价技术导则  地下水环境》（HJ610-2016）；</w:t>
      </w:r>
    </w:p>
    <w:p w14:paraId="655005D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（6）《环境影响评价技术导则  生态环境》（HJ19-20</w:t>
      </w:r>
      <w:r>
        <w:rPr>
          <w:rFonts w:hint="eastAsia" w:asciiTheme="minorEastAsia" w:hAnsiTheme="minorEastAsia" w:eastAsiaTheme="minorEastAsia" w:cstheme="minorEastAsia"/>
          <w:color w:val="auto"/>
          <w:highlight w:val="none"/>
          <w:lang w:val="en-US"/>
        </w:rPr>
        <w:t>22</w:t>
      </w:r>
      <w:r>
        <w:rPr>
          <w:rFonts w:hint="eastAsia" w:asciiTheme="minorEastAsia" w:hAnsiTheme="minorEastAsia" w:eastAsiaTheme="minorEastAsia" w:cstheme="minorEastAsia"/>
          <w:color w:val="auto"/>
          <w:highlight w:val="none"/>
        </w:rPr>
        <w:t>）；</w:t>
      </w:r>
    </w:p>
    <w:p w14:paraId="710A412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（7）《建设项目环境风险评价技术导则》（HJ169-2018）；</w:t>
      </w:r>
    </w:p>
    <w:p w14:paraId="421436F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（8）《环境影响评价技术导则土壤环境（试行）》（HJ964-2018）</w:t>
      </w:r>
    </w:p>
    <w:p w14:paraId="35BBBE7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（9）《排污单位自行监测技术指南 总则》（HJ 819-2017）；</w:t>
      </w:r>
    </w:p>
    <w:p w14:paraId="5F9DD0C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（10）《声环境功能区划分技术规范》（GB/T 15190-2014）；</w:t>
      </w:r>
    </w:p>
    <w:p w14:paraId="7968DD1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（11）</w:t>
      </w:r>
      <w:r>
        <w:rPr>
          <w:rFonts w:hint="eastAsia" w:asciiTheme="minorEastAsia" w:hAnsiTheme="minorEastAsia" w:eastAsiaTheme="minorEastAsia" w:cstheme="minorEastAsia"/>
          <w:snapToGrid w:val="0"/>
          <w:color w:val="auto"/>
          <w:sz w:val="24"/>
          <w:szCs w:val="24"/>
          <w:highlight w:val="none"/>
        </w:rPr>
        <w:t>《排污单位自行监测技术指南总则》（HJ819-2017）</w:t>
      </w:r>
      <w:r>
        <w:rPr>
          <w:rFonts w:hint="eastAsia" w:asciiTheme="minorEastAsia" w:hAnsiTheme="minorEastAsia" w:eastAsiaTheme="minorEastAsia" w:cstheme="minorEastAsia"/>
          <w:color w:val="auto"/>
          <w:highlight w:val="none"/>
        </w:rPr>
        <w:t>；</w:t>
      </w:r>
    </w:p>
    <w:p w14:paraId="166F14A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（12）</w:t>
      </w:r>
      <w:r>
        <w:rPr>
          <w:rFonts w:hint="eastAsia" w:asciiTheme="minorEastAsia" w:hAnsiTheme="minorEastAsia" w:eastAsiaTheme="minorEastAsia" w:cstheme="minorEastAsia"/>
          <w:snapToGrid w:val="0"/>
          <w:color w:val="auto"/>
          <w:sz w:val="24"/>
          <w:szCs w:val="24"/>
          <w:highlight w:val="none"/>
        </w:rPr>
        <w:t>《矿山生态环境保护与恢复治理技术规范（试行）》（HJ651-2013）</w:t>
      </w:r>
      <w:r>
        <w:rPr>
          <w:rFonts w:hint="eastAsia" w:asciiTheme="minorEastAsia" w:hAnsiTheme="minorEastAsia" w:eastAsiaTheme="minorEastAsia" w:cstheme="minorEastAsia"/>
          <w:color w:val="auto"/>
          <w:highlight w:val="none"/>
        </w:rPr>
        <w:t>；</w:t>
      </w:r>
    </w:p>
    <w:p w14:paraId="63535CA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snapToGrid w:val="0"/>
          <w:color w:val="auto"/>
          <w:sz w:val="24"/>
          <w:szCs w:val="24"/>
          <w:highlight w:val="none"/>
        </w:rPr>
        <w:t>《矿山生态环境保护与恢复治理方案（规划）编制规范（试行）》（HJ652-2013）</w:t>
      </w:r>
      <w:r>
        <w:rPr>
          <w:rFonts w:hint="eastAsia" w:asciiTheme="minorEastAsia" w:hAnsiTheme="minorEastAsia" w:eastAsiaTheme="minorEastAsia" w:cstheme="minorEastAsia"/>
          <w:color w:val="auto"/>
          <w:highlight w:val="none"/>
        </w:rPr>
        <w:t>；</w:t>
      </w:r>
    </w:p>
    <w:p w14:paraId="12B964E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14</w:t>
      </w:r>
      <w:r>
        <w:rPr>
          <w:rFonts w:hint="eastAsia" w:asciiTheme="minorEastAsia" w:hAnsiTheme="minorEastAsia" w:eastAsiaTheme="minorEastAsia" w:cstheme="minorEastAsia"/>
          <w:color w:val="auto"/>
          <w:highlight w:val="none"/>
          <w:lang w:eastAsia="zh-CN"/>
        </w:rPr>
        <w:t>）《矿山生态环境保护与恢复治理技术规范（试行）》（HJ 651—2013）</w:t>
      </w:r>
    </w:p>
    <w:p w14:paraId="6CDAC8F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snapToGrid w:val="0"/>
          <w:color w:val="auto"/>
          <w:sz w:val="24"/>
          <w:szCs w:val="24"/>
          <w:highlight w:val="none"/>
        </w:rPr>
        <w:t>《排污许可证申请与核发技术规范工业固体废物和危险废物治理》（HJ1033-2019）</w:t>
      </w:r>
      <w:r>
        <w:rPr>
          <w:rFonts w:hint="eastAsia" w:asciiTheme="minorEastAsia" w:hAnsiTheme="minorEastAsia" w:eastAsiaTheme="minorEastAsia" w:cstheme="minorEastAsia"/>
          <w:color w:val="auto"/>
          <w:highlight w:val="none"/>
        </w:rPr>
        <w:t>；</w:t>
      </w:r>
    </w:p>
    <w:p w14:paraId="01E6BC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16</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《排污许可证申请与核发技术规范  工业固体废物（试行）》（HJ1200-2021）</w:t>
      </w:r>
      <w:r>
        <w:rPr>
          <w:rFonts w:hint="eastAsia" w:asciiTheme="minorEastAsia" w:hAnsiTheme="minorEastAsia" w:eastAsiaTheme="minorEastAsia" w:cstheme="minorEastAsia"/>
          <w:color w:val="auto"/>
          <w:highlight w:val="none"/>
          <w:lang w:eastAsia="zh-CN"/>
        </w:rPr>
        <w:t>；</w:t>
      </w:r>
    </w:p>
    <w:p w14:paraId="046B260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17</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《排污单位自行监测技术指南  工业固体废物和危险废物治理》（HJ1250-2022）</w:t>
      </w:r>
      <w:r>
        <w:rPr>
          <w:rFonts w:hint="eastAsia" w:asciiTheme="minorEastAsia" w:hAnsiTheme="minorEastAsia" w:eastAsiaTheme="minorEastAsia" w:cstheme="minorEastAsia"/>
          <w:color w:val="auto"/>
          <w:highlight w:val="none"/>
          <w:lang w:eastAsia="zh-CN"/>
        </w:rPr>
        <w:t>；</w:t>
      </w:r>
    </w:p>
    <w:p w14:paraId="7788BC6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（1</w:t>
      </w:r>
      <w:r>
        <w:rPr>
          <w:rFonts w:hint="eastAsia" w:asciiTheme="minorEastAsia" w:hAnsiTheme="minorEastAsia" w:eastAsiaTheme="minorEastAsia" w:cstheme="minorEastAsia"/>
          <w:color w:val="auto"/>
          <w:highlight w:val="none"/>
          <w:lang w:val="en-US" w:eastAsia="zh-CN"/>
        </w:rPr>
        <w:t>8</w:t>
      </w:r>
      <w:r>
        <w:rPr>
          <w:rFonts w:hint="eastAsia" w:asciiTheme="minorEastAsia" w:hAnsiTheme="minorEastAsia" w:eastAsiaTheme="minorEastAsia" w:cstheme="minorEastAsia"/>
          <w:color w:val="auto"/>
          <w:highlight w:val="none"/>
        </w:rPr>
        <w:t>）《排污许可管理条例》2021年3月1日起施行</w:t>
      </w:r>
      <w:r>
        <w:rPr>
          <w:rFonts w:hint="eastAsia" w:asciiTheme="minorEastAsia" w:hAnsiTheme="minorEastAsia" w:eastAsiaTheme="minorEastAsia" w:cstheme="minorEastAsia"/>
          <w:color w:val="auto"/>
          <w:highlight w:val="none"/>
          <w:lang w:eastAsia="zh-CN"/>
        </w:rPr>
        <w:t>；</w:t>
      </w:r>
    </w:p>
    <w:p w14:paraId="419EFE4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（19）《开发建设项目水土保持技术规范》（GB50433-2008）；</w:t>
      </w:r>
    </w:p>
    <w:p w14:paraId="28FA041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（20）《开发建设项目水土流失防治标准》（GB50434-2008）；</w:t>
      </w:r>
    </w:p>
    <w:p w14:paraId="7D60079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val="en-US" w:eastAsia="zh-CN"/>
        </w:rPr>
        <w:t>（21）《一般工业固体废物环境管理工作指南》环办固体函[2026]18号。</w:t>
      </w:r>
    </w:p>
    <w:p w14:paraId="104651D2">
      <w:pPr>
        <w:pStyle w:val="7"/>
        <w:numPr>
          <w:ilvl w:val="0"/>
          <w:numId w:val="0"/>
        </w:numPr>
        <w:bidi w:val="0"/>
        <w:ind w:leftChars="0"/>
        <w:rPr>
          <w:rFonts w:hint="eastAsia" w:asciiTheme="minorEastAsia" w:hAnsiTheme="minorEastAsia" w:eastAsiaTheme="minorEastAsia" w:cstheme="minorEastAsia"/>
          <w:color w:val="auto"/>
          <w:highlight w:val="none"/>
        </w:rPr>
      </w:pPr>
      <w:bookmarkStart w:id="205" w:name="_Toc11087"/>
      <w:r>
        <w:rPr>
          <w:rFonts w:hint="eastAsia" w:asciiTheme="minorEastAsia" w:hAnsiTheme="minorEastAsia" w:eastAsiaTheme="minorEastAsia" w:cstheme="minorEastAsia"/>
          <w:color w:val="auto"/>
          <w:highlight w:val="none"/>
        </w:rPr>
        <w:t>2.1.4</w:t>
      </w:r>
      <w:bookmarkEnd w:id="205"/>
      <w:r>
        <w:rPr>
          <w:rFonts w:hint="eastAsia" w:asciiTheme="minorEastAsia" w:hAnsiTheme="minorEastAsia" w:eastAsiaTheme="minorEastAsia" w:cstheme="minorEastAsia"/>
          <w:color w:val="auto"/>
          <w:highlight w:val="none"/>
        </w:rPr>
        <w:t>相关文件</w:t>
      </w:r>
    </w:p>
    <w:p w14:paraId="0CDBD0DD">
      <w:pPr>
        <w:pStyle w:val="674"/>
        <w:ind w:firstLine="480"/>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（1）项目建设单位与评价单位签订的环境影响评价合同；</w:t>
      </w:r>
    </w:p>
    <w:p w14:paraId="49499D5C">
      <w:pPr>
        <w:autoSpaceDE w:val="0"/>
        <w:autoSpaceDN w:val="0"/>
        <w:adjustRightInd w:val="0"/>
        <w:spacing w:line="360" w:lineRule="auto"/>
        <w:ind w:firstLine="480" w:firstLineChars="200"/>
        <w:jc w:val="left"/>
        <w:rPr>
          <w:rFonts w:hint="eastAsia" w:asciiTheme="minorEastAsia" w:hAnsiTheme="minorEastAsia" w:eastAsiaTheme="minorEastAsia" w:cstheme="minorEastAsia"/>
          <w:color w:val="auto"/>
          <w:szCs w:val="24"/>
          <w:highlight w:val="none"/>
          <w:lang w:eastAsia="zh-CN"/>
        </w:rPr>
      </w:pPr>
      <w:r>
        <w:rPr>
          <w:rFonts w:hint="eastAsia" w:asciiTheme="minorEastAsia" w:hAnsiTheme="minorEastAsia" w:eastAsiaTheme="minorEastAsia" w:cstheme="minorEastAsia"/>
          <w:color w:val="auto"/>
          <w:szCs w:val="24"/>
          <w:highlight w:val="none"/>
        </w:rPr>
        <w:t>（</w:t>
      </w:r>
      <w:r>
        <w:rPr>
          <w:rFonts w:hint="eastAsia" w:asciiTheme="minorEastAsia" w:hAnsiTheme="minorEastAsia" w:eastAsiaTheme="minorEastAsia" w:cstheme="minorEastAsia"/>
          <w:color w:val="auto"/>
          <w:szCs w:val="24"/>
          <w:highlight w:val="none"/>
          <w:lang w:val="en-US" w:eastAsia="zh-CN"/>
        </w:rPr>
        <w:t>2</w:t>
      </w:r>
      <w:r>
        <w:rPr>
          <w:rFonts w:hint="eastAsia" w:asciiTheme="minorEastAsia" w:hAnsiTheme="minorEastAsia" w:eastAsiaTheme="minorEastAsia" w:cstheme="minorEastAsia"/>
          <w:color w:val="auto"/>
          <w:szCs w:val="24"/>
          <w:highlight w:val="none"/>
        </w:rPr>
        <w:t>）《岩土工程勘察报告》</w:t>
      </w:r>
      <w:r>
        <w:rPr>
          <w:rFonts w:hint="eastAsia" w:asciiTheme="minorEastAsia" w:hAnsiTheme="minorEastAsia" w:eastAsiaTheme="minorEastAsia" w:cstheme="minorEastAsia"/>
          <w:color w:val="auto"/>
          <w:szCs w:val="24"/>
          <w:highlight w:val="none"/>
          <w:lang w:eastAsia="zh-CN"/>
        </w:rPr>
        <w:t>。</w:t>
      </w:r>
    </w:p>
    <w:p w14:paraId="22831416">
      <w:pPr>
        <w:autoSpaceDE w:val="0"/>
        <w:autoSpaceDN w:val="0"/>
        <w:adjustRightInd w:val="0"/>
        <w:spacing w:line="360" w:lineRule="auto"/>
        <w:ind w:firstLine="48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项目建设单位提供的其他资料。</w:t>
      </w:r>
    </w:p>
    <w:bookmarkEnd w:id="181"/>
    <w:p w14:paraId="20234350">
      <w:pPr>
        <w:pStyle w:val="6"/>
        <w:widowControl w:val="0"/>
        <w:snapToGrid w:val="0"/>
        <w:spacing w:before="0" w:after="0" w:line="360" w:lineRule="auto"/>
        <w:rPr>
          <w:rFonts w:hint="eastAsia" w:asciiTheme="minorEastAsia" w:hAnsiTheme="minorEastAsia" w:eastAsiaTheme="minorEastAsia" w:cstheme="minorEastAsia"/>
          <w:snapToGrid w:val="0"/>
          <w:color w:val="auto"/>
          <w:highlight w:val="none"/>
        </w:rPr>
      </w:pPr>
      <w:bookmarkStart w:id="206" w:name="_Toc21051"/>
      <w:bookmarkStart w:id="207" w:name="_Toc12778"/>
      <w:bookmarkStart w:id="208" w:name="_Toc8656"/>
      <w:bookmarkStart w:id="209" w:name="_Toc166"/>
      <w:bookmarkStart w:id="210" w:name="_Toc28607"/>
      <w:bookmarkStart w:id="211" w:name="_Toc5238"/>
      <w:bookmarkStart w:id="212" w:name="_Toc32267"/>
      <w:bookmarkStart w:id="213" w:name="_Toc15186"/>
      <w:bookmarkStart w:id="214" w:name="_Toc18722"/>
      <w:bookmarkStart w:id="215" w:name="_Toc24343"/>
      <w:bookmarkStart w:id="216" w:name="_Toc16813"/>
      <w:bookmarkStart w:id="217" w:name="_Toc130"/>
      <w:bookmarkStart w:id="218" w:name="_Toc22698"/>
      <w:bookmarkStart w:id="219" w:name="_Toc3852"/>
      <w:bookmarkStart w:id="220" w:name="_Toc30909"/>
      <w:bookmarkStart w:id="221" w:name="_Toc23241"/>
      <w:bookmarkStart w:id="222" w:name="_Toc9682"/>
      <w:bookmarkStart w:id="223" w:name="_Toc20875"/>
      <w:bookmarkStart w:id="224" w:name="_Toc13424"/>
      <w:r>
        <w:rPr>
          <w:rFonts w:hint="eastAsia" w:asciiTheme="minorEastAsia" w:hAnsiTheme="minorEastAsia" w:eastAsiaTheme="minorEastAsia" w:cstheme="minorEastAsia"/>
          <w:color w:val="auto"/>
          <w:highlight w:val="none"/>
        </w:rPr>
        <w:t>2.2</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r>
        <w:rPr>
          <w:rFonts w:hint="eastAsia" w:asciiTheme="minorEastAsia" w:hAnsiTheme="minorEastAsia" w:eastAsiaTheme="minorEastAsia" w:cstheme="minorEastAsia"/>
          <w:snapToGrid w:val="0"/>
          <w:color w:val="auto"/>
          <w:highlight w:val="none"/>
        </w:rPr>
        <w:t>评价目的与原则</w:t>
      </w:r>
      <w:bookmarkEnd w:id="206"/>
    </w:p>
    <w:p w14:paraId="71BD43BE">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bookmarkStart w:id="225" w:name="_Toc532125205"/>
      <w:bookmarkStart w:id="226" w:name="_Toc531800086"/>
      <w:bookmarkStart w:id="227" w:name="_Toc8549"/>
      <w:bookmarkStart w:id="228" w:name="_Toc525827413"/>
      <w:r>
        <w:rPr>
          <w:rFonts w:hint="eastAsia" w:asciiTheme="minorEastAsia" w:hAnsiTheme="minorEastAsia" w:eastAsiaTheme="minorEastAsia" w:cstheme="minorEastAsia"/>
          <w:color w:val="auto"/>
          <w:highlight w:val="none"/>
        </w:rPr>
        <w:t>2.2.1评价目的</w:t>
      </w:r>
      <w:bookmarkEnd w:id="225"/>
      <w:bookmarkEnd w:id="226"/>
      <w:bookmarkEnd w:id="227"/>
      <w:bookmarkEnd w:id="228"/>
    </w:p>
    <w:p w14:paraId="73AB3401">
      <w:pPr>
        <w:widowControl w:val="0"/>
        <w:snapToGrid w:val="0"/>
        <w:spacing w:line="360" w:lineRule="auto"/>
        <w:ind w:firstLine="482"/>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本次评价结合项目所在区域的环境特点，以详尽的基础资料和数据为基础，贯彻预防为主的污染防治政策，以实事求是的科学态度开展项目环境影响评价工作，充分发挥环境影响评价的作用。因此，本次评价目的如下：</w:t>
      </w:r>
    </w:p>
    <w:p w14:paraId="141DEA03">
      <w:pPr>
        <w:widowControl w:val="0"/>
        <w:snapToGrid w:val="0"/>
        <w:spacing w:line="360" w:lineRule="auto"/>
        <w:ind w:firstLine="482"/>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（1）根据区域的资源情况，结合国家相关产业政策、环境保护政策，分析论证项目的环境可行性。</w:t>
      </w:r>
    </w:p>
    <w:p w14:paraId="3432C216">
      <w:pPr>
        <w:widowControl w:val="0"/>
        <w:snapToGrid w:val="0"/>
        <w:spacing w:line="360" w:lineRule="auto"/>
        <w:ind w:firstLine="482"/>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（2）通过对项目所在区域环境质量现状调</w:t>
      </w:r>
      <w:r>
        <w:rPr>
          <w:rFonts w:hint="eastAsia" w:asciiTheme="minorEastAsia" w:hAnsiTheme="minorEastAsia" w:eastAsiaTheme="minorEastAsia" w:cstheme="minorEastAsia"/>
          <w:snapToGrid w:val="0"/>
          <w:color w:val="auto"/>
          <w:highlight w:val="none"/>
          <w:lang w:eastAsia="zh-CN"/>
        </w:rPr>
        <w:t>查</w:t>
      </w:r>
      <w:r>
        <w:rPr>
          <w:rFonts w:hint="eastAsia" w:asciiTheme="minorEastAsia" w:hAnsiTheme="minorEastAsia" w:eastAsiaTheme="minorEastAsia" w:cstheme="minorEastAsia"/>
          <w:snapToGrid w:val="0"/>
          <w:color w:val="auto"/>
          <w:highlight w:val="none"/>
        </w:rPr>
        <w:t>、监测及污染源调</w:t>
      </w:r>
      <w:r>
        <w:rPr>
          <w:rFonts w:hint="eastAsia" w:asciiTheme="minorEastAsia" w:hAnsiTheme="minorEastAsia" w:eastAsiaTheme="minorEastAsia" w:cstheme="minorEastAsia"/>
          <w:snapToGrid w:val="0"/>
          <w:color w:val="auto"/>
          <w:highlight w:val="none"/>
          <w:lang w:eastAsia="zh-CN"/>
        </w:rPr>
        <w:t>查</w:t>
      </w:r>
      <w:r>
        <w:rPr>
          <w:rFonts w:hint="eastAsia" w:asciiTheme="minorEastAsia" w:hAnsiTheme="minorEastAsia" w:eastAsiaTheme="minorEastAsia" w:cstheme="minorEastAsia"/>
          <w:snapToGrid w:val="0"/>
          <w:color w:val="auto"/>
          <w:highlight w:val="none"/>
        </w:rPr>
        <w:t>，掌握该区域环境质量现状和污染源分布情况。</w:t>
      </w:r>
    </w:p>
    <w:p w14:paraId="3CFC252D">
      <w:pPr>
        <w:widowControl w:val="0"/>
        <w:snapToGrid w:val="0"/>
        <w:spacing w:line="360" w:lineRule="auto"/>
        <w:ind w:firstLine="482"/>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（3）通过工程分析，分析项目涉及的工艺流程、产污环节及污染物排放特征，弄清“三废”排放规律、排放去向；核算“三废”产生量、排放量及浓度。</w:t>
      </w:r>
    </w:p>
    <w:p w14:paraId="065455D7">
      <w:pPr>
        <w:widowControl w:val="0"/>
        <w:snapToGrid w:val="0"/>
        <w:spacing w:line="360" w:lineRule="auto"/>
        <w:ind w:firstLine="482"/>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（4）预测或分析项目排放的污染物对周围环境的影响程度及范围。</w:t>
      </w:r>
    </w:p>
    <w:p w14:paraId="3E5C184D">
      <w:pPr>
        <w:widowControl w:val="0"/>
        <w:snapToGrid w:val="0"/>
        <w:spacing w:line="360" w:lineRule="auto"/>
        <w:ind w:firstLine="482"/>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（5）结合当前技术经济条件，提出技术经济可行的污染防治措施。</w:t>
      </w:r>
    </w:p>
    <w:p w14:paraId="357F59C0">
      <w:pPr>
        <w:widowControl w:val="0"/>
        <w:snapToGrid w:val="0"/>
        <w:spacing w:line="360" w:lineRule="auto"/>
        <w:ind w:firstLine="482"/>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（6）确保污染物达标排放、总量控制，将不利影响降至最低程度。</w:t>
      </w:r>
    </w:p>
    <w:p w14:paraId="0296CA3C">
      <w:pPr>
        <w:widowControl w:val="0"/>
        <w:snapToGrid w:val="0"/>
        <w:spacing w:line="360" w:lineRule="auto"/>
        <w:ind w:firstLine="482"/>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snapToGrid w:val="0"/>
          <w:color w:val="auto"/>
          <w:highlight w:val="none"/>
        </w:rPr>
        <w:t>（7）提出项目的环境管理与监测计划。</w:t>
      </w:r>
    </w:p>
    <w:p w14:paraId="107622A7">
      <w:pPr>
        <w:pStyle w:val="7"/>
        <w:widowControl w:val="0"/>
        <w:numPr>
          <w:ilvl w:val="2"/>
          <w:numId w:val="0"/>
        </w:numPr>
        <w:tabs>
          <w:tab w:val="left" w:pos="6530"/>
          <w:tab w:val="clear" w:pos="2526"/>
        </w:tabs>
        <w:snapToGrid w:val="0"/>
        <w:spacing w:before="0" w:after="0" w:line="360" w:lineRule="auto"/>
        <w:ind w:leftChars="0"/>
        <w:rPr>
          <w:rFonts w:hint="eastAsia" w:asciiTheme="minorEastAsia" w:hAnsiTheme="minorEastAsia" w:eastAsiaTheme="minorEastAsia" w:cstheme="minorEastAsia"/>
          <w:color w:val="auto"/>
          <w:highlight w:val="none"/>
        </w:rPr>
      </w:pPr>
      <w:bookmarkStart w:id="229" w:name="_Toc531800089"/>
      <w:bookmarkStart w:id="230" w:name="_Toc525827414"/>
      <w:bookmarkStart w:id="231" w:name="_Toc15874"/>
      <w:bookmarkStart w:id="232" w:name="_Toc532125208"/>
      <w:r>
        <w:rPr>
          <w:rFonts w:hint="eastAsia" w:asciiTheme="minorEastAsia" w:hAnsiTheme="minorEastAsia" w:eastAsiaTheme="minorEastAsia" w:cstheme="minorEastAsia"/>
          <w:color w:val="auto"/>
          <w:highlight w:val="none"/>
        </w:rPr>
        <w:t>2.2.2评价原则</w:t>
      </w:r>
      <w:bookmarkEnd w:id="229"/>
      <w:bookmarkEnd w:id="230"/>
      <w:bookmarkEnd w:id="231"/>
      <w:bookmarkEnd w:id="232"/>
      <w:r>
        <w:rPr>
          <w:rFonts w:hint="eastAsia" w:asciiTheme="minorEastAsia" w:hAnsiTheme="minorEastAsia" w:eastAsiaTheme="minorEastAsia" w:cstheme="minorEastAsia"/>
          <w:color w:val="auto"/>
          <w:highlight w:val="none"/>
        </w:rPr>
        <w:tab/>
      </w:r>
    </w:p>
    <w:p w14:paraId="38B5BD23">
      <w:pPr>
        <w:widowControl w:val="0"/>
        <w:snapToGrid w:val="0"/>
        <w:spacing w:line="360" w:lineRule="auto"/>
        <w:ind w:firstLine="480"/>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突出环境影响评价的源头预防作用，坚持保护和改善环境质量。</w:t>
      </w:r>
    </w:p>
    <w:p w14:paraId="2C654996">
      <w:pPr>
        <w:widowControl w:val="0"/>
        <w:snapToGrid w:val="0"/>
        <w:spacing w:line="360" w:lineRule="auto"/>
        <w:ind w:firstLine="480"/>
        <w:rPr>
          <w:rFonts w:hint="eastAsia" w:asciiTheme="minorEastAsia" w:hAnsiTheme="minorEastAsia" w:eastAsiaTheme="minorEastAsia" w:cstheme="minorEastAsia"/>
          <w:snapToGrid w:val="0"/>
          <w:color w:val="auto"/>
          <w:highlight w:val="none"/>
        </w:rPr>
      </w:pPr>
      <w:bookmarkStart w:id="233" w:name="_Toc532125209"/>
      <w:bookmarkStart w:id="234" w:name="_Toc531800090"/>
      <w:r>
        <w:rPr>
          <w:rFonts w:hint="eastAsia" w:asciiTheme="minorEastAsia" w:hAnsiTheme="minorEastAsia" w:eastAsiaTheme="minorEastAsia" w:cstheme="minorEastAsia"/>
          <w:snapToGrid w:val="0"/>
          <w:color w:val="auto"/>
          <w:highlight w:val="none"/>
        </w:rPr>
        <w:t>（1）依法评价</w:t>
      </w:r>
      <w:bookmarkEnd w:id="233"/>
      <w:bookmarkEnd w:id="234"/>
    </w:p>
    <w:p w14:paraId="4814AFF6">
      <w:pPr>
        <w:widowControl w:val="0"/>
        <w:snapToGrid w:val="0"/>
        <w:spacing w:line="360" w:lineRule="auto"/>
        <w:ind w:firstLine="480"/>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贯彻执行我国环境保护相关法律法规、标准、政策和规划等，优化项目建设，服务环境管理。</w:t>
      </w:r>
    </w:p>
    <w:p w14:paraId="523EED4B">
      <w:pPr>
        <w:widowControl w:val="0"/>
        <w:snapToGrid w:val="0"/>
        <w:spacing w:line="360" w:lineRule="auto"/>
        <w:ind w:firstLine="480"/>
        <w:rPr>
          <w:rFonts w:hint="eastAsia" w:asciiTheme="minorEastAsia" w:hAnsiTheme="minorEastAsia" w:eastAsiaTheme="minorEastAsia" w:cstheme="minorEastAsia"/>
          <w:snapToGrid w:val="0"/>
          <w:color w:val="auto"/>
          <w:highlight w:val="none"/>
        </w:rPr>
      </w:pPr>
      <w:bookmarkStart w:id="235" w:name="_Toc532125210"/>
      <w:bookmarkStart w:id="236" w:name="_Toc531800091"/>
      <w:r>
        <w:rPr>
          <w:rFonts w:hint="eastAsia" w:asciiTheme="minorEastAsia" w:hAnsiTheme="minorEastAsia" w:eastAsiaTheme="minorEastAsia" w:cstheme="minorEastAsia"/>
          <w:snapToGrid w:val="0"/>
          <w:color w:val="auto"/>
          <w:highlight w:val="none"/>
        </w:rPr>
        <w:t>（2）科学评价</w:t>
      </w:r>
      <w:bookmarkEnd w:id="235"/>
      <w:bookmarkEnd w:id="236"/>
    </w:p>
    <w:p w14:paraId="148F8E81">
      <w:pPr>
        <w:widowControl w:val="0"/>
        <w:snapToGrid w:val="0"/>
        <w:spacing w:line="360" w:lineRule="auto"/>
        <w:ind w:firstLine="480"/>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规范环境影响评价方法，科学分析项目建设对环境质量的影响。</w:t>
      </w:r>
    </w:p>
    <w:p w14:paraId="1A8BB13C">
      <w:pPr>
        <w:widowControl w:val="0"/>
        <w:snapToGrid w:val="0"/>
        <w:spacing w:line="360" w:lineRule="auto"/>
        <w:ind w:firstLine="480"/>
        <w:rPr>
          <w:rFonts w:hint="eastAsia" w:asciiTheme="minorEastAsia" w:hAnsiTheme="minorEastAsia" w:eastAsiaTheme="minorEastAsia" w:cstheme="minorEastAsia"/>
          <w:snapToGrid w:val="0"/>
          <w:color w:val="auto"/>
          <w:highlight w:val="none"/>
        </w:rPr>
      </w:pPr>
      <w:bookmarkStart w:id="237" w:name="_Toc531800092"/>
      <w:bookmarkStart w:id="238" w:name="_Toc532125211"/>
      <w:r>
        <w:rPr>
          <w:rFonts w:hint="eastAsia" w:asciiTheme="minorEastAsia" w:hAnsiTheme="minorEastAsia" w:eastAsiaTheme="minorEastAsia" w:cstheme="minorEastAsia"/>
          <w:snapToGrid w:val="0"/>
          <w:color w:val="auto"/>
          <w:highlight w:val="none"/>
        </w:rPr>
        <w:t>（3）突出重点</w:t>
      </w:r>
      <w:bookmarkEnd w:id="237"/>
      <w:bookmarkEnd w:id="238"/>
    </w:p>
    <w:p w14:paraId="661CC8D6">
      <w:pPr>
        <w:widowControl w:val="0"/>
        <w:snapToGrid w:val="0"/>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snapToGrid w:val="0"/>
          <w:color w:val="auto"/>
          <w:highlight w:val="none"/>
        </w:rPr>
        <w:t>根据建设项目的工程内容及其特点，明确与环境要素间的作用效应关系，根据规划环境影响评价结论和审查意见，充分利用符合时效的数据资料及成果，对建设项目主要环境影响予以重点分析和评价</w:t>
      </w:r>
      <w:r>
        <w:rPr>
          <w:rFonts w:hint="eastAsia" w:asciiTheme="minorEastAsia" w:hAnsiTheme="minorEastAsia" w:eastAsiaTheme="minorEastAsia" w:cstheme="minorEastAsia"/>
          <w:color w:val="auto"/>
          <w:highlight w:val="none"/>
        </w:rPr>
        <w:t>。</w:t>
      </w:r>
    </w:p>
    <w:p w14:paraId="55B8889B">
      <w:pPr>
        <w:pStyle w:val="6"/>
        <w:widowControl w:val="0"/>
        <w:snapToGrid w:val="0"/>
        <w:spacing w:before="0" w:after="0" w:line="360" w:lineRule="auto"/>
        <w:rPr>
          <w:rFonts w:hint="eastAsia" w:asciiTheme="minorEastAsia" w:hAnsiTheme="minorEastAsia" w:eastAsiaTheme="minorEastAsia" w:cstheme="minorEastAsia"/>
          <w:snapToGrid w:val="0"/>
          <w:color w:val="auto"/>
          <w:highlight w:val="none"/>
        </w:rPr>
      </w:pPr>
      <w:bookmarkStart w:id="239" w:name="_Toc25757"/>
      <w:bookmarkStart w:id="240" w:name="_Toc12018"/>
      <w:bookmarkStart w:id="241" w:name="_Toc509585312"/>
      <w:bookmarkStart w:id="242" w:name="_Toc14546"/>
      <w:bookmarkStart w:id="243" w:name="_Toc485027660"/>
      <w:r>
        <w:rPr>
          <w:rFonts w:hint="eastAsia" w:asciiTheme="minorEastAsia" w:hAnsiTheme="minorEastAsia" w:eastAsiaTheme="minorEastAsia" w:cstheme="minorEastAsia"/>
          <w:snapToGrid w:val="0"/>
          <w:color w:val="auto"/>
          <w:highlight w:val="none"/>
        </w:rPr>
        <w:t>2.3评价内容及评价重点</w:t>
      </w:r>
      <w:bookmarkEnd w:id="239"/>
      <w:bookmarkEnd w:id="240"/>
      <w:bookmarkEnd w:id="241"/>
      <w:bookmarkEnd w:id="242"/>
      <w:bookmarkEnd w:id="243"/>
    </w:p>
    <w:p w14:paraId="3AED8356">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bookmarkStart w:id="244" w:name="_Toc532125213"/>
      <w:bookmarkStart w:id="245" w:name="_Toc531800094"/>
      <w:bookmarkStart w:id="246" w:name="_Toc22296"/>
      <w:r>
        <w:rPr>
          <w:rFonts w:hint="eastAsia" w:asciiTheme="minorEastAsia" w:hAnsiTheme="minorEastAsia" w:eastAsiaTheme="minorEastAsia" w:cstheme="minorEastAsia"/>
          <w:color w:val="auto"/>
          <w:highlight w:val="none"/>
        </w:rPr>
        <w:t>2.3.1评价内容</w:t>
      </w:r>
      <w:bookmarkEnd w:id="244"/>
      <w:bookmarkEnd w:id="245"/>
      <w:bookmarkEnd w:id="246"/>
    </w:p>
    <w:p w14:paraId="3787B6E3">
      <w:pPr>
        <w:widowControl w:val="0"/>
        <w:snapToGrid w:val="0"/>
        <w:spacing w:line="360" w:lineRule="auto"/>
        <w:ind w:firstLine="482"/>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根据本项目建设特点及项目所在区域环境概况，确定本次环境影响评价的主要内容为：</w:t>
      </w:r>
    </w:p>
    <w:p w14:paraId="23D8494D">
      <w:pPr>
        <w:widowControl w:val="0"/>
        <w:snapToGrid w:val="0"/>
        <w:spacing w:line="360" w:lineRule="auto"/>
        <w:ind w:firstLine="482"/>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（1）对项目拟建地址所在区域的环境质量现状进行评价，作为环境影响预测评价的依据。</w:t>
      </w:r>
    </w:p>
    <w:p w14:paraId="04DB98AF">
      <w:pPr>
        <w:widowControl w:val="0"/>
        <w:snapToGrid w:val="0"/>
        <w:spacing w:line="360" w:lineRule="auto"/>
        <w:ind w:firstLine="482"/>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（2）针对本项目的建设特点及排污特征，贯彻污染源治理“达标排放”的原则，提出经济合理、技术可行的污染防治措施。</w:t>
      </w:r>
    </w:p>
    <w:p w14:paraId="25BDEF87">
      <w:pPr>
        <w:widowControl w:val="0"/>
        <w:snapToGrid w:val="0"/>
        <w:spacing w:line="360" w:lineRule="auto"/>
        <w:ind w:firstLine="482"/>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（3）预测本项目投产后所排污染物对评价区环境质量和敏感目标产生影响的范围和程度，从环保角度论证本项目选址的可行性。</w:t>
      </w:r>
    </w:p>
    <w:p w14:paraId="418F11C8">
      <w:pPr>
        <w:widowControl w:val="0"/>
        <w:snapToGrid w:val="0"/>
        <w:spacing w:line="360" w:lineRule="auto"/>
        <w:ind w:firstLine="480"/>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（4）对本项目投产后的环境经济损益进行分析，提出相应的环境管理计划与环境监测计划。</w:t>
      </w:r>
    </w:p>
    <w:p w14:paraId="78E2B8D0">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bookmarkStart w:id="247" w:name="_Toc3603"/>
      <w:bookmarkStart w:id="248" w:name="_Toc532125214"/>
      <w:bookmarkStart w:id="249" w:name="_Toc531800095"/>
      <w:r>
        <w:rPr>
          <w:rFonts w:hint="eastAsia" w:asciiTheme="minorEastAsia" w:hAnsiTheme="minorEastAsia" w:eastAsiaTheme="minorEastAsia" w:cstheme="minorEastAsia"/>
          <w:color w:val="auto"/>
          <w:highlight w:val="none"/>
        </w:rPr>
        <w:t>2.3.2评价重点</w:t>
      </w:r>
      <w:bookmarkEnd w:id="247"/>
      <w:bookmarkEnd w:id="248"/>
      <w:bookmarkEnd w:id="249"/>
    </w:p>
    <w:p w14:paraId="12179679">
      <w:pPr>
        <w:pStyle w:val="22"/>
        <w:widowControl w:val="0"/>
        <w:snapToGrid w:val="0"/>
        <w:spacing w:line="360" w:lineRule="auto"/>
        <w:ind w:firstLine="480" w:firstLineChars="200"/>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8"/>
          <w:highlight w:val="none"/>
          <w:lang w:val="zh-CN"/>
        </w:rPr>
        <w:t>本项目的实施一方面可以恢复当地露天开采后遗留的生态问题，另一方面可以</w:t>
      </w:r>
      <w:r>
        <w:rPr>
          <w:rFonts w:hint="eastAsia" w:asciiTheme="minorEastAsia" w:hAnsiTheme="minorEastAsia" w:eastAsiaTheme="minorEastAsia" w:cstheme="minorEastAsia"/>
          <w:color w:val="auto"/>
          <w:sz w:val="24"/>
          <w:szCs w:val="24"/>
          <w:highlight w:val="none"/>
          <w:lang w:val="zh-CN"/>
        </w:rPr>
        <w:t>有效的解决企业产生的固体废弃物排放及处置的问题，实现一般固废综合利用，保障企业正常生产的目标，同时对提高土地使用价值有积极的作用。</w:t>
      </w:r>
    </w:p>
    <w:p w14:paraId="30BA0BE5">
      <w:pPr>
        <w:pStyle w:val="22"/>
        <w:widowControl w:val="0"/>
        <w:snapToGrid w:val="0"/>
        <w:spacing w:line="360" w:lineRule="auto"/>
        <w:ind w:firstLine="480" w:firstLineChars="200"/>
        <w:rPr>
          <w:rFonts w:hint="eastAsia" w:asciiTheme="minorEastAsia" w:hAnsiTheme="minorEastAsia" w:eastAsiaTheme="minorEastAsia" w:cstheme="minorEastAsia"/>
          <w:snapToGrid w:val="0"/>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本项目在</w:t>
      </w:r>
      <w:r>
        <w:rPr>
          <w:rFonts w:hint="eastAsia" w:asciiTheme="minorEastAsia" w:hAnsiTheme="minorEastAsia" w:eastAsiaTheme="minorEastAsia" w:cstheme="minorEastAsia"/>
          <w:color w:val="auto"/>
          <w:sz w:val="24"/>
          <w:szCs w:val="24"/>
          <w:highlight w:val="none"/>
        </w:rPr>
        <w:t>回填期</w:t>
      </w:r>
      <w:r>
        <w:rPr>
          <w:rFonts w:hint="eastAsia" w:asciiTheme="minorEastAsia" w:hAnsiTheme="minorEastAsia" w:eastAsiaTheme="minorEastAsia" w:cstheme="minorEastAsia"/>
          <w:color w:val="auto"/>
          <w:sz w:val="24"/>
          <w:szCs w:val="24"/>
          <w:highlight w:val="none"/>
          <w:lang w:val="zh-CN"/>
        </w:rPr>
        <w:t>过程中会产生一定的环境污染和生态扰动，在一定范围内造成负面的环境影响，这是本次评价的重点关注对象。</w:t>
      </w:r>
      <w:r>
        <w:rPr>
          <w:rFonts w:hint="eastAsia" w:asciiTheme="minorEastAsia" w:hAnsiTheme="minorEastAsia" w:eastAsiaTheme="minorEastAsia" w:cstheme="minorEastAsia"/>
          <w:snapToGrid w:val="0"/>
          <w:color w:val="auto"/>
          <w:sz w:val="24"/>
          <w:szCs w:val="24"/>
          <w:highlight w:val="none"/>
        </w:rPr>
        <w:t>根据项目的排污特点及所在区域的环境特征，</w:t>
      </w:r>
      <w:r>
        <w:rPr>
          <w:rFonts w:hint="eastAsia" w:asciiTheme="minorEastAsia" w:hAnsiTheme="minorEastAsia" w:eastAsiaTheme="minorEastAsia" w:cstheme="minorEastAsia"/>
          <w:color w:val="auto"/>
          <w:sz w:val="24"/>
          <w:szCs w:val="24"/>
          <w:highlight w:val="none"/>
        </w:rPr>
        <w:t>在工程分析基础上重点进行地下水环境影响分析、大气环境影响分析以及噪声环境影响分析，其他环境要素如生态环境影响分析、固体废物环境影响评价、污染防治措施、地表水环境影响分析及土壤水环境影响分析有针对性地提出进一步防治环境污染的对策措施</w:t>
      </w:r>
      <w:r>
        <w:rPr>
          <w:rFonts w:hint="eastAsia" w:asciiTheme="minorEastAsia" w:hAnsiTheme="minorEastAsia" w:eastAsiaTheme="minorEastAsia" w:cstheme="minorEastAsia"/>
          <w:snapToGrid w:val="0"/>
          <w:color w:val="auto"/>
          <w:sz w:val="24"/>
          <w:szCs w:val="24"/>
          <w:highlight w:val="none"/>
        </w:rPr>
        <w:t>。</w:t>
      </w:r>
    </w:p>
    <w:p w14:paraId="28DCA8B3">
      <w:pPr>
        <w:pStyle w:val="6"/>
        <w:widowControl w:val="0"/>
        <w:snapToGrid w:val="0"/>
        <w:spacing w:before="0" w:after="0" w:line="360" w:lineRule="auto"/>
        <w:rPr>
          <w:rFonts w:hint="eastAsia" w:asciiTheme="minorEastAsia" w:hAnsiTheme="minorEastAsia" w:eastAsiaTheme="minorEastAsia" w:cstheme="minorEastAsia"/>
          <w:color w:val="auto"/>
          <w:highlight w:val="none"/>
        </w:rPr>
      </w:pPr>
      <w:bookmarkStart w:id="250" w:name="_Toc14830"/>
      <w:bookmarkStart w:id="251" w:name="_Toc30586"/>
      <w:bookmarkStart w:id="252" w:name="_Toc13730"/>
      <w:r>
        <w:rPr>
          <w:rFonts w:hint="eastAsia" w:asciiTheme="minorEastAsia" w:hAnsiTheme="minorEastAsia" w:eastAsiaTheme="minorEastAsia" w:cstheme="minorEastAsia"/>
          <w:color w:val="auto"/>
          <w:highlight w:val="none"/>
        </w:rPr>
        <w:t>2.4环境影响识别与评价因子筛选</w:t>
      </w:r>
      <w:bookmarkEnd w:id="250"/>
      <w:bookmarkEnd w:id="251"/>
      <w:bookmarkEnd w:id="252"/>
    </w:p>
    <w:p w14:paraId="42377773">
      <w:pPr>
        <w:keepNext/>
        <w:keepLines/>
        <w:widowControl w:val="0"/>
        <w:snapToGrid w:val="0"/>
        <w:spacing w:line="360" w:lineRule="auto"/>
        <w:outlineLvl w:val="2"/>
        <w:rPr>
          <w:rFonts w:hint="eastAsia" w:asciiTheme="minorEastAsia" w:hAnsiTheme="minorEastAsia" w:eastAsiaTheme="minorEastAsia" w:cstheme="minorEastAsia"/>
          <w:b/>
          <w:bCs/>
          <w:color w:val="auto"/>
          <w:szCs w:val="32"/>
          <w:highlight w:val="none"/>
        </w:rPr>
      </w:pPr>
      <w:bookmarkStart w:id="253" w:name="_Toc26611"/>
      <w:r>
        <w:rPr>
          <w:rFonts w:hint="eastAsia" w:asciiTheme="minorEastAsia" w:hAnsiTheme="minorEastAsia" w:eastAsiaTheme="minorEastAsia" w:cstheme="minorEastAsia"/>
          <w:b/>
          <w:bCs/>
          <w:color w:val="auto"/>
          <w:szCs w:val="32"/>
          <w:highlight w:val="none"/>
        </w:rPr>
        <w:t>2.4.1环境影响因素识别</w:t>
      </w:r>
      <w:bookmarkEnd w:id="253"/>
    </w:p>
    <w:p w14:paraId="4482236D">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ascii="Times New Roman"/>
          <w:color w:val="auto"/>
          <w:highlight w:val="none"/>
        </w:rPr>
      </w:pPr>
      <w:r>
        <w:rPr>
          <w:rFonts w:ascii="Times New Roman"/>
          <w:color w:val="auto"/>
          <w:highlight w:val="none"/>
        </w:rPr>
        <w:t>根据工程实际情况，结合工程区域的自然环境特征，采用矩阵法对工程建设期间产生的影响进行识别，具体见表2</w:t>
      </w:r>
      <w:r>
        <w:rPr>
          <w:rFonts w:hint="eastAsia" w:ascii="Times New Roman"/>
          <w:color w:val="auto"/>
          <w:highlight w:val="none"/>
          <w:lang w:val="en-US" w:eastAsia="zh-CN"/>
        </w:rPr>
        <w:t>.4</w:t>
      </w:r>
      <w:r>
        <w:rPr>
          <w:rFonts w:ascii="Times New Roman"/>
          <w:color w:val="auto"/>
          <w:highlight w:val="none"/>
        </w:rPr>
        <w:t>-1。</w:t>
      </w:r>
    </w:p>
    <w:p w14:paraId="37DCDC3A">
      <w:pPr>
        <w:keepNext w:val="0"/>
        <w:keepLines w:val="0"/>
        <w:pageBreakBefore w:val="0"/>
        <w:widowControl w:val="0"/>
        <w:kinsoku/>
        <w:wordWrap/>
        <w:overflowPunct/>
        <w:topLinePunct w:val="0"/>
        <w:autoSpaceDE/>
        <w:autoSpaceDN/>
        <w:bidi w:val="0"/>
        <w:adjustRightInd/>
        <w:snapToGrid/>
        <w:spacing w:line="240" w:lineRule="auto"/>
        <w:ind w:firstLine="482"/>
        <w:jc w:val="center"/>
        <w:textAlignment w:val="auto"/>
        <w:rPr>
          <w:rFonts w:ascii="Times New Roman"/>
          <w:b/>
          <w:color w:val="auto"/>
          <w:highlight w:val="none"/>
        </w:rPr>
      </w:pPr>
      <w:r>
        <w:rPr>
          <w:rFonts w:ascii="Times New Roman"/>
          <w:b/>
          <w:color w:val="auto"/>
          <w:highlight w:val="none"/>
        </w:rPr>
        <w:t>表2</w:t>
      </w:r>
      <w:r>
        <w:rPr>
          <w:rFonts w:hint="eastAsia" w:ascii="Times New Roman"/>
          <w:b/>
          <w:color w:val="auto"/>
          <w:highlight w:val="none"/>
          <w:lang w:val="en-US" w:eastAsia="zh-CN"/>
        </w:rPr>
        <w:t>.4</w:t>
      </w:r>
      <w:r>
        <w:rPr>
          <w:rFonts w:ascii="Times New Roman"/>
          <w:b/>
          <w:color w:val="auto"/>
          <w:highlight w:val="none"/>
        </w:rPr>
        <w:t>-1</w:t>
      </w:r>
      <w:r>
        <w:rPr>
          <w:rFonts w:hint="eastAsia" w:ascii="Times New Roman"/>
          <w:b/>
          <w:color w:val="auto"/>
          <w:highlight w:val="none"/>
          <w:lang w:val="en-US" w:eastAsia="zh-CN"/>
        </w:rPr>
        <w:t xml:space="preserve">  </w:t>
      </w:r>
      <w:r>
        <w:rPr>
          <w:rFonts w:ascii="Times New Roman"/>
          <w:b/>
          <w:color w:val="auto"/>
          <w:highlight w:val="none"/>
        </w:rPr>
        <w:t>环境影响因素识别</w:t>
      </w:r>
    </w:p>
    <w:tbl>
      <w:tblPr>
        <w:tblStyle w:val="1344"/>
        <w:tblW w:w="5000" w:type="pct"/>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04"/>
        <w:gridCol w:w="1141"/>
        <w:gridCol w:w="1582"/>
        <w:gridCol w:w="1127"/>
        <w:gridCol w:w="1354"/>
        <w:gridCol w:w="1355"/>
        <w:gridCol w:w="1359"/>
      </w:tblGrid>
      <w:tr w14:paraId="39CD0C9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3" w:type="pct"/>
            <w:gridSpan w:val="2"/>
            <w:vMerge w:val="restart"/>
            <w:tcBorders>
              <w:tl2br w:val="single" w:color="auto" w:sz="2" w:space="0"/>
            </w:tcBorders>
            <w:noWrap w:val="0"/>
            <w:vAlign w:val="center"/>
          </w:tcPr>
          <w:p w14:paraId="46C1B0F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right"/>
              <w:textAlignment w:val="auto"/>
              <w:rPr>
                <w:snapToGrid w:val="0"/>
                <w:color w:val="auto"/>
                <w:sz w:val="21"/>
                <w:szCs w:val="21"/>
                <w:highlight w:val="none"/>
                <w:lang w:val="zh-CN"/>
              </w:rPr>
            </w:pPr>
            <w:r>
              <w:rPr>
                <w:snapToGrid w:val="0"/>
                <w:color w:val="auto"/>
                <w:sz w:val="21"/>
                <w:szCs w:val="21"/>
                <w:highlight w:val="none"/>
                <w:lang w:val="zh-CN"/>
              </w:rPr>
              <w:t>评价阶段</w:t>
            </w:r>
          </w:p>
          <w:p w14:paraId="1EFFFCC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eastAsia="Times New Roman"/>
                <w:snapToGrid w:val="0"/>
                <w:color w:val="auto"/>
                <w:sz w:val="21"/>
                <w:szCs w:val="21"/>
                <w:highlight w:val="none"/>
                <w:lang w:val="zh-CN"/>
              </w:rPr>
            </w:pPr>
          </w:p>
          <w:p w14:paraId="0A3D30A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textAlignment w:val="auto"/>
              <w:rPr>
                <w:snapToGrid w:val="0"/>
                <w:color w:val="auto"/>
                <w:sz w:val="21"/>
                <w:szCs w:val="21"/>
                <w:highlight w:val="none"/>
                <w:lang w:val="zh-CN"/>
              </w:rPr>
            </w:pPr>
          </w:p>
          <w:p w14:paraId="16388EE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left"/>
              <w:textAlignment w:val="auto"/>
              <w:rPr>
                <w:snapToGrid w:val="0"/>
                <w:color w:val="auto"/>
                <w:sz w:val="21"/>
                <w:szCs w:val="21"/>
                <w:highlight w:val="none"/>
                <w:lang w:val="zh-CN"/>
              </w:rPr>
            </w:pPr>
            <w:r>
              <w:rPr>
                <w:snapToGrid w:val="0"/>
                <w:color w:val="auto"/>
                <w:sz w:val="21"/>
                <w:szCs w:val="21"/>
                <w:highlight w:val="none"/>
                <w:lang w:val="zh-CN"/>
              </w:rPr>
              <w:t>环境影响要素</w:t>
            </w:r>
          </w:p>
        </w:tc>
        <w:tc>
          <w:tcPr>
            <w:tcW w:w="1589" w:type="pct"/>
            <w:gridSpan w:val="2"/>
            <w:tcBorders>
              <w:tl2br w:val="nil"/>
              <w:tr2bl w:val="nil"/>
            </w:tcBorders>
            <w:noWrap w:val="0"/>
            <w:vAlign w:val="center"/>
          </w:tcPr>
          <w:p w14:paraId="46C7276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施工期</w:t>
            </w:r>
          </w:p>
        </w:tc>
        <w:tc>
          <w:tcPr>
            <w:tcW w:w="2386" w:type="pct"/>
            <w:gridSpan w:val="3"/>
            <w:tcBorders>
              <w:tl2br w:val="nil"/>
              <w:tr2bl w:val="nil"/>
            </w:tcBorders>
            <w:noWrap w:val="0"/>
            <w:vAlign w:val="center"/>
          </w:tcPr>
          <w:p w14:paraId="1605CFE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回填复垦期</w:t>
            </w:r>
          </w:p>
        </w:tc>
      </w:tr>
      <w:tr w14:paraId="643B632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2"/>
            <w:vMerge w:val="continue"/>
            <w:tcBorders>
              <w:tl2br w:val="nil"/>
              <w:tr2bl w:val="nil"/>
            </w:tcBorders>
            <w:noWrap w:val="0"/>
            <w:vAlign w:val="center"/>
          </w:tcPr>
          <w:p w14:paraId="3425E7E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928" w:type="pct"/>
            <w:tcBorders>
              <w:tl2br w:val="nil"/>
              <w:tr2bl w:val="nil"/>
            </w:tcBorders>
            <w:noWrap w:val="0"/>
            <w:vAlign w:val="center"/>
          </w:tcPr>
          <w:p w14:paraId="7DD22DC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rFonts w:hint="eastAsia"/>
                <w:snapToGrid w:val="0"/>
                <w:color w:val="auto"/>
                <w:sz w:val="21"/>
                <w:szCs w:val="21"/>
                <w:highlight w:val="none"/>
                <w:lang w:val="zh-CN"/>
              </w:rPr>
              <w:t>基础层</w:t>
            </w:r>
            <w:r>
              <w:rPr>
                <w:snapToGrid w:val="0"/>
                <w:color w:val="auto"/>
                <w:sz w:val="21"/>
                <w:szCs w:val="21"/>
                <w:highlight w:val="none"/>
                <w:lang w:val="zh-CN"/>
              </w:rPr>
              <w:t>、</w:t>
            </w:r>
            <w:r>
              <w:rPr>
                <w:rFonts w:hint="eastAsia"/>
                <w:snapToGrid w:val="0"/>
                <w:color w:val="auto"/>
                <w:sz w:val="21"/>
                <w:szCs w:val="21"/>
                <w:highlight w:val="none"/>
                <w:lang w:val="en-US" w:eastAsia="zh-CN"/>
              </w:rPr>
              <w:t>雨</w:t>
            </w:r>
            <w:r>
              <w:rPr>
                <w:snapToGrid w:val="0"/>
                <w:color w:val="auto"/>
                <w:sz w:val="21"/>
                <w:szCs w:val="21"/>
                <w:highlight w:val="none"/>
                <w:lang w:val="zh-CN"/>
              </w:rPr>
              <w:t>水导排系统施工</w:t>
            </w:r>
          </w:p>
        </w:tc>
        <w:tc>
          <w:tcPr>
            <w:tcW w:w="661" w:type="pct"/>
            <w:tcBorders>
              <w:tl2br w:val="nil"/>
              <w:tr2bl w:val="nil"/>
            </w:tcBorders>
            <w:noWrap w:val="0"/>
            <w:vAlign w:val="center"/>
          </w:tcPr>
          <w:p w14:paraId="5886EC2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物料运输</w:t>
            </w:r>
          </w:p>
        </w:tc>
        <w:tc>
          <w:tcPr>
            <w:tcW w:w="794" w:type="pct"/>
            <w:tcBorders>
              <w:tl2br w:val="nil"/>
              <w:tr2bl w:val="nil"/>
            </w:tcBorders>
            <w:noWrap w:val="0"/>
            <w:vAlign w:val="center"/>
          </w:tcPr>
          <w:p w14:paraId="3057DF9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固废运输</w:t>
            </w:r>
          </w:p>
        </w:tc>
        <w:tc>
          <w:tcPr>
            <w:tcW w:w="795" w:type="pct"/>
            <w:tcBorders>
              <w:tl2br w:val="nil"/>
              <w:tr2bl w:val="nil"/>
            </w:tcBorders>
            <w:noWrap w:val="0"/>
            <w:vAlign w:val="center"/>
          </w:tcPr>
          <w:p w14:paraId="232C918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固废回填</w:t>
            </w:r>
          </w:p>
        </w:tc>
        <w:tc>
          <w:tcPr>
            <w:tcW w:w="796" w:type="pct"/>
            <w:tcBorders>
              <w:tl2br w:val="nil"/>
              <w:tr2bl w:val="nil"/>
            </w:tcBorders>
            <w:noWrap w:val="0"/>
            <w:vAlign w:val="center"/>
          </w:tcPr>
          <w:p w14:paraId="7D586AA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snapToGrid w:val="0"/>
                <w:color w:val="auto"/>
                <w:sz w:val="21"/>
                <w:szCs w:val="21"/>
                <w:highlight w:val="none"/>
                <w:lang w:val="en-US" w:eastAsia="zh-CN"/>
              </w:rPr>
            </w:pPr>
            <w:r>
              <w:rPr>
                <w:snapToGrid w:val="0"/>
                <w:color w:val="auto"/>
                <w:sz w:val="21"/>
                <w:szCs w:val="21"/>
                <w:highlight w:val="none"/>
                <w:lang w:val="zh-CN"/>
              </w:rPr>
              <w:t>土地</w:t>
            </w:r>
            <w:r>
              <w:rPr>
                <w:rFonts w:hint="eastAsia"/>
                <w:snapToGrid w:val="0"/>
                <w:color w:val="auto"/>
                <w:sz w:val="21"/>
                <w:szCs w:val="21"/>
                <w:highlight w:val="none"/>
                <w:lang w:val="en-US" w:eastAsia="zh-CN"/>
              </w:rPr>
              <w:t>恢复</w:t>
            </w:r>
          </w:p>
          <w:p w14:paraId="3FB6813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eastAsia="宋体"/>
                <w:snapToGrid w:val="0"/>
                <w:color w:val="auto"/>
                <w:sz w:val="21"/>
                <w:szCs w:val="21"/>
                <w:highlight w:val="none"/>
                <w:lang w:val="zh-CN" w:eastAsia="zh-CN"/>
              </w:rPr>
            </w:pPr>
            <w:r>
              <w:rPr>
                <w:rFonts w:hint="eastAsia"/>
                <w:snapToGrid w:val="0"/>
                <w:color w:val="auto"/>
                <w:sz w:val="21"/>
                <w:szCs w:val="21"/>
                <w:highlight w:val="none"/>
                <w:lang w:val="en-US" w:eastAsia="zh-CN"/>
              </w:rPr>
              <w:t>生态恢复</w:t>
            </w:r>
          </w:p>
        </w:tc>
      </w:tr>
      <w:tr w14:paraId="56FA6CD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54" w:type="pct"/>
            <w:vMerge w:val="restart"/>
            <w:tcBorders>
              <w:tl2br w:val="nil"/>
              <w:tr2bl w:val="nil"/>
            </w:tcBorders>
            <w:noWrap w:val="0"/>
            <w:vAlign w:val="center"/>
          </w:tcPr>
          <w:p w14:paraId="3166AAF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环境质量</w:t>
            </w:r>
          </w:p>
        </w:tc>
        <w:tc>
          <w:tcPr>
            <w:tcW w:w="669" w:type="pct"/>
            <w:tcBorders>
              <w:tl2br w:val="nil"/>
              <w:tr2bl w:val="nil"/>
            </w:tcBorders>
            <w:noWrap w:val="0"/>
            <w:vAlign w:val="center"/>
          </w:tcPr>
          <w:p w14:paraId="2E17F68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空气质量</w:t>
            </w:r>
          </w:p>
        </w:tc>
        <w:tc>
          <w:tcPr>
            <w:tcW w:w="928" w:type="pct"/>
            <w:tcBorders>
              <w:tl2br w:val="nil"/>
              <w:tr2bl w:val="nil"/>
            </w:tcBorders>
            <w:noWrap w:val="0"/>
            <w:vAlign w:val="center"/>
          </w:tcPr>
          <w:p w14:paraId="3100542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eastAsia="Times New Roman"/>
                <w:snapToGrid w:val="0"/>
                <w:color w:val="auto"/>
                <w:sz w:val="21"/>
                <w:szCs w:val="21"/>
                <w:highlight w:val="none"/>
                <w:lang w:val="zh-CN"/>
              </w:rPr>
            </w:pPr>
            <w:r>
              <w:rPr>
                <w:rFonts w:eastAsia="Times New Roman"/>
                <w:snapToGrid w:val="0"/>
                <w:color w:val="auto"/>
                <w:sz w:val="21"/>
                <w:szCs w:val="21"/>
                <w:highlight w:val="none"/>
                <w:lang w:val="zh-CN"/>
              </w:rPr>
              <w:t>▲</w:t>
            </w:r>
          </w:p>
        </w:tc>
        <w:tc>
          <w:tcPr>
            <w:tcW w:w="661" w:type="pct"/>
            <w:tcBorders>
              <w:tl2br w:val="nil"/>
              <w:tr2bl w:val="nil"/>
            </w:tcBorders>
            <w:noWrap w:val="0"/>
            <w:vAlign w:val="center"/>
          </w:tcPr>
          <w:p w14:paraId="71CBE64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eastAsia="Times New Roman"/>
                <w:snapToGrid w:val="0"/>
                <w:color w:val="auto"/>
                <w:sz w:val="21"/>
                <w:szCs w:val="21"/>
                <w:highlight w:val="none"/>
                <w:lang w:val="zh-CN"/>
              </w:rPr>
            </w:pPr>
            <w:r>
              <w:rPr>
                <w:rFonts w:eastAsia="Times New Roman"/>
                <w:snapToGrid w:val="0"/>
                <w:color w:val="auto"/>
                <w:sz w:val="21"/>
                <w:szCs w:val="21"/>
                <w:highlight w:val="none"/>
                <w:lang w:val="zh-CN"/>
              </w:rPr>
              <w:t>▲</w:t>
            </w:r>
          </w:p>
        </w:tc>
        <w:tc>
          <w:tcPr>
            <w:tcW w:w="794" w:type="pct"/>
            <w:tcBorders>
              <w:tl2br w:val="nil"/>
              <w:tr2bl w:val="nil"/>
            </w:tcBorders>
            <w:noWrap w:val="0"/>
            <w:vAlign w:val="center"/>
          </w:tcPr>
          <w:p w14:paraId="5B7B57A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rFonts w:ascii="Segoe UI Symbol" w:hAnsi="Segoe UI Symbol" w:cs="Segoe UI Symbol"/>
                <w:snapToGrid w:val="0"/>
                <w:color w:val="auto"/>
                <w:sz w:val="21"/>
                <w:szCs w:val="21"/>
                <w:highlight w:val="none"/>
                <w:lang w:val="zh-CN"/>
              </w:rPr>
              <w:t>★</w:t>
            </w:r>
          </w:p>
        </w:tc>
        <w:tc>
          <w:tcPr>
            <w:tcW w:w="795" w:type="pct"/>
            <w:tcBorders>
              <w:tl2br w:val="nil"/>
              <w:tr2bl w:val="nil"/>
            </w:tcBorders>
            <w:noWrap w:val="0"/>
            <w:vAlign w:val="center"/>
          </w:tcPr>
          <w:p w14:paraId="6D18BD6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rFonts w:ascii="Segoe UI Symbol" w:hAnsi="Segoe UI Symbol" w:cs="Segoe UI Symbol"/>
                <w:snapToGrid w:val="0"/>
                <w:color w:val="auto"/>
                <w:sz w:val="21"/>
                <w:szCs w:val="21"/>
                <w:highlight w:val="none"/>
                <w:lang w:val="zh-CN"/>
              </w:rPr>
              <w:t>★</w:t>
            </w:r>
          </w:p>
        </w:tc>
        <w:tc>
          <w:tcPr>
            <w:tcW w:w="796" w:type="pct"/>
            <w:tcBorders>
              <w:tl2br w:val="nil"/>
              <w:tr2bl w:val="nil"/>
            </w:tcBorders>
            <w:noWrap w:val="0"/>
            <w:vAlign w:val="center"/>
          </w:tcPr>
          <w:p w14:paraId="0C13393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rFonts w:ascii="Segoe UI Symbol" w:hAnsi="Segoe UI Symbol" w:cs="Segoe UI Symbol"/>
                <w:snapToGrid w:val="0"/>
                <w:color w:val="auto"/>
                <w:sz w:val="21"/>
                <w:szCs w:val="21"/>
                <w:highlight w:val="none"/>
              </w:rPr>
              <w:t>☆</w:t>
            </w:r>
          </w:p>
        </w:tc>
      </w:tr>
      <w:tr w14:paraId="0D635C6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l2br w:val="nil"/>
              <w:tr2bl w:val="nil"/>
            </w:tcBorders>
            <w:noWrap w:val="0"/>
            <w:vAlign w:val="center"/>
          </w:tcPr>
          <w:p w14:paraId="5777DD1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669" w:type="pct"/>
            <w:tcBorders>
              <w:tl2br w:val="nil"/>
              <w:tr2bl w:val="nil"/>
            </w:tcBorders>
            <w:noWrap w:val="0"/>
            <w:vAlign w:val="center"/>
          </w:tcPr>
          <w:p w14:paraId="10E6327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地表水</w:t>
            </w:r>
          </w:p>
        </w:tc>
        <w:tc>
          <w:tcPr>
            <w:tcW w:w="928" w:type="pct"/>
            <w:tcBorders>
              <w:tl2br w:val="nil"/>
              <w:tr2bl w:val="nil"/>
            </w:tcBorders>
            <w:noWrap w:val="0"/>
            <w:vAlign w:val="center"/>
          </w:tcPr>
          <w:p w14:paraId="0950234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rFonts w:eastAsia="Times New Roman"/>
                <w:snapToGrid w:val="0"/>
                <w:color w:val="auto"/>
                <w:sz w:val="21"/>
                <w:szCs w:val="21"/>
                <w:highlight w:val="none"/>
                <w:lang w:val="zh-CN"/>
              </w:rPr>
              <w:t>▲</w:t>
            </w:r>
          </w:p>
        </w:tc>
        <w:tc>
          <w:tcPr>
            <w:tcW w:w="661" w:type="pct"/>
            <w:tcBorders>
              <w:tl2br w:val="nil"/>
              <w:tr2bl w:val="nil"/>
            </w:tcBorders>
            <w:noWrap w:val="0"/>
            <w:vAlign w:val="center"/>
          </w:tcPr>
          <w:p w14:paraId="1154120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794" w:type="pct"/>
            <w:tcBorders>
              <w:tl2br w:val="nil"/>
              <w:tr2bl w:val="nil"/>
            </w:tcBorders>
            <w:noWrap w:val="0"/>
            <w:vAlign w:val="center"/>
          </w:tcPr>
          <w:p w14:paraId="123ED5D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795" w:type="pct"/>
            <w:tcBorders>
              <w:tl2br w:val="nil"/>
              <w:tr2bl w:val="nil"/>
            </w:tcBorders>
            <w:noWrap w:val="0"/>
            <w:vAlign w:val="center"/>
          </w:tcPr>
          <w:p w14:paraId="7F9D94B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796" w:type="pct"/>
            <w:tcBorders>
              <w:tl2br w:val="nil"/>
              <w:tr2bl w:val="nil"/>
            </w:tcBorders>
            <w:noWrap w:val="0"/>
            <w:vAlign w:val="center"/>
          </w:tcPr>
          <w:p w14:paraId="02743F9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r>
      <w:tr w14:paraId="3BDD428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l2br w:val="nil"/>
              <w:tr2bl w:val="nil"/>
            </w:tcBorders>
            <w:noWrap w:val="0"/>
            <w:vAlign w:val="center"/>
          </w:tcPr>
          <w:p w14:paraId="31A35BB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669" w:type="pct"/>
            <w:tcBorders>
              <w:tl2br w:val="nil"/>
              <w:tr2bl w:val="nil"/>
            </w:tcBorders>
            <w:noWrap w:val="0"/>
            <w:vAlign w:val="center"/>
          </w:tcPr>
          <w:p w14:paraId="193F300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地下水</w:t>
            </w:r>
          </w:p>
        </w:tc>
        <w:tc>
          <w:tcPr>
            <w:tcW w:w="928" w:type="pct"/>
            <w:tcBorders>
              <w:tl2br w:val="nil"/>
              <w:tr2bl w:val="nil"/>
            </w:tcBorders>
            <w:noWrap w:val="0"/>
            <w:vAlign w:val="center"/>
          </w:tcPr>
          <w:p w14:paraId="4AB06ED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rFonts w:eastAsia="Times New Roman"/>
                <w:snapToGrid w:val="0"/>
                <w:color w:val="auto"/>
                <w:sz w:val="21"/>
                <w:szCs w:val="21"/>
                <w:highlight w:val="none"/>
                <w:lang w:val="zh-CN"/>
              </w:rPr>
              <w:t>▲</w:t>
            </w:r>
          </w:p>
        </w:tc>
        <w:tc>
          <w:tcPr>
            <w:tcW w:w="661" w:type="pct"/>
            <w:tcBorders>
              <w:tl2br w:val="nil"/>
              <w:tr2bl w:val="nil"/>
            </w:tcBorders>
            <w:noWrap w:val="0"/>
            <w:vAlign w:val="center"/>
          </w:tcPr>
          <w:p w14:paraId="11E09E9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794" w:type="pct"/>
            <w:tcBorders>
              <w:tl2br w:val="nil"/>
              <w:tr2bl w:val="nil"/>
            </w:tcBorders>
            <w:noWrap w:val="0"/>
            <w:vAlign w:val="center"/>
          </w:tcPr>
          <w:p w14:paraId="6115C67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795" w:type="pct"/>
            <w:tcBorders>
              <w:tl2br w:val="nil"/>
              <w:tr2bl w:val="nil"/>
            </w:tcBorders>
            <w:noWrap w:val="0"/>
            <w:vAlign w:val="center"/>
          </w:tcPr>
          <w:p w14:paraId="0B007F0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eastAsia="Times New Roman"/>
                <w:snapToGrid w:val="0"/>
                <w:color w:val="auto"/>
                <w:sz w:val="21"/>
                <w:szCs w:val="21"/>
                <w:highlight w:val="none"/>
                <w:lang w:val="zh-CN"/>
              </w:rPr>
            </w:pPr>
            <w:r>
              <w:rPr>
                <w:rFonts w:ascii="Segoe UI Symbol" w:hAnsi="Segoe UI Symbol" w:cs="Segoe UI Symbol"/>
                <w:snapToGrid w:val="0"/>
                <w:color w:val="auto"/>
                <w:sz w:val="21"/>
                <w:szCs w:val="21"/>
                <w:highlight w:val="none"/>
                <w:lang w:val="zh-CN"/>
              </w:rPr>
              <w:t>★</w:t>
            </w:r>
          </w:p>
        </w:tc>
        <w:tc>
          <w:tcPr>
            <w:tcW w:w="796" w:type="pct"/>
            <w:tcBorders>
              <w:tl2br w:val="nil"/>
              <w:tr2bl w:val="nil"/>
            </w:tcBorders>
            <w:noWrap w:val="0"/>
            <w:vAlign w:val="center"/>
          </w:tcPr>
          <w:p w14:paraId="426E6EF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w:t>
            </w:r>
          </w:p>
        </w:tc>
      </w:tr>
      <w:tr w14:paraId="3C9655B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l2br w:val="nil"/>
              <w:tr2bl w:val="nil"/>
            </w:tcBorders>
            <w:noWrap w:val="0"/>
            <w:vAlign w:val="center"/>
          </w:tcPr>
          <w:p w14:paraId="0AFFD6A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669" w:type="pct"/>
            <w:tcBorders>
              <w:tl2br w:val="nil"/>
              <w:tr2bl w:val="nil"/>
            </w:tcBorders>
            <w:noWrap w:val="0"/>
            <w:vAlign w:val="center"/>
          </w:tcPr>
          <w:p w14:paraId="25E3E96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声环境</w:t>
            </w:r>
          </w:p>
        </w:tc>
        <w:tc>
          <w:tcPr>
            <w:tcW w:w="928" w:type="pct"/>
            <w:tcBorders>
              <w:tl2br w:val="nil"/>
              <w:tr2bl w:val="nil"/>
            </w:tcBorders>
            <w:noWrap w:val="0"/>
            <w:vAlign w:val="center"/>
          </w:tcPr>
          <w:p w14:paraId="6E0BBE4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eastAsia="Times New Roman"/>
                <w:snapToGrid w:val="0"/>
                <w:color w:val="auto"/>
                <w:sz w:val="21"/>
                <w:szCs w:val="21"/>
                <w:highlight w:val="none"/>
                <w:lang w:val="zh-CN"/>
              </w:rPr>
            </w:pPr>
            <w:r>
              <w:rPr>
                <w:rFonts w:eastAsia="Times New Roman"/>
                <w:snapToGrid w:val="0"/>
                <w:color w:val="auto"/>
                <w:sz w:val="21"/>
                <w:szCs w:val="21"/>
                <w:highlight w:val="none"/>
                <w:lang w:val="zh-CN"/>
              </w:rPr>
              <w:t>▲</w:t>
            </w:r>
          </w:p>
        </w:tc>
        <w:tc>
          <w:tcPr>
            <w:tcW w:w="661" w:type="pct"/>
            <w:tcBorders>
              <w:tl2br w:val="nil"/>
              <w:tr2bl w:val="nil"/>
            </w:tcBorders>
            <w:noWrap w:val="0"/>
            <w:vAlign w:val="center"/>
          </w:tcPr>
          <w:p w14:paraId="3104C32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eastAsia="Times New Roman"/>
                <w:snapToGrid w:val="0"/>
                <w:color w:val="auto"/>
                <w:sz w:val="21"/>
                <w:szCs w:val="21"/>
                <w:highlight w:val="none"/>
                <w:lang w:val="zh-CN"/>
              </w:rPr>
            </w:pPr>
            <w:r>
              <w:rPr>
                <w:rFonts w:eastAsia="Times New Roman"/>
                <w:snapToGrid w:val="0"/>
                <w:color w:val="auto"/>
                <w:sz w:val="21"/>
                <w:szCs w:val="21"/>
                <w:highlight w:val="none"/>
                <w:lang w:val="zh-CN"/>
              </w:rPr>
              <w:t>▲</w:t>
            </w:r>
          </w:p>
        </w:tc>
        <w:tc>
          <w:tcPr>
            <w:tcW w:w="794" w:type="pct"/>
            <w:tcBorders>
              <w:tl2br w:val="nil"/>
              <w:tr2bl w:val="nil"/>
            </w:tcBorders>
            <w:noWrap w:val="0"/>
            <w:vAlign w:val="center"/>
          </w:tcPr>
          <w:p w14:paraId="5F0E2A6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rFonts w:ascii="Segoe UI Symbol" w:hAnsi="Segoe UI Symbol" w:cs="Segoe UI Symbol"/>
                <w:snapToGrid w:val="0"/>
                <w:color w:val="auto"/>
                <w:sz w:val="21"/>
                <w:szCs w:val="21"/>
                <w:highlight w:val="none"/>
                <w:lang w:val="zh-CN"/>
              </w:rPr>
              <w:t>★</w:t>
            </w:r>
          </w:p>
        </w:tc>
        <w:tc>
          <w:tcPr>
            <w:tcW w:w="795" w:type="pct"/>
            <w:tcBorders>
              <w:tl2br w:val="nil"/>
              <w:tr2bl w:val="nil"/>
            </w:tcBorders>
            <w:noWrap w:val="0"/>
            <w:vAlign w:val="center"/>
          </w:tcPr>
          <w:p w14:paraId="2900895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rFonts w:ascii="Segoe UI Symbol" w:hAnsi="Segoe UI Symbol" w:cs="Segoe UI Symbol"/>
                <w:snapToGrid w:val="0"/>
                <w:color w:val="auto"/>
                <w:sz w:val="21"/>
                <w:szCs w:val="21"/>
                <w:highlight w:val="none"/>
                <w:lang w:val="zh-CN"/>
              </w:rPr>
              <w:t>★</w:t>
            </w:r>
          </w:p>
        </w:tc>
        <w:tc>
          <w:tcPr>
            <w:tcW w:w="796" w:type="pct"/>
            <w:tcBorders>
              <w:tl2br w:val="nil"/>
              <w:tr2bl w:val="nil"/>
            </w:tcBorders>
            <w:noWrap w:val="0"/>
            <w:vAlign w:val="center"/>
          </w:tcPr>
          <w:p w14:paraId="5A430A3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r>
      <w:tr w14:paraId="69A3CFB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l2br w:val="nil"/>
              <w:tr2bl w:val="nil"/>
            </w:tcBorders>
            <w:noWrap w:val="0"/>
            <w:vAlign w:val="center"/>
          </w:tcPr>
          <w:p w14:paraId="774CD15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669" w:type="pct"/>
            <w:tcBorders>
              <w:tl2br w:val="nil"/>
              <w:tr2bl w:val="nil"/>
            </w:tcBorders>
            <w:noWrap w:val="0"/>
            <w:vAlign w:val="center"/>
          </w:tcPr>
          <w:p w14:paraId="447C08F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土壤</w:t>
            </w:r>
          </w:p>
        </w:tc>
        <w:tc>
          <w:tcPr>
            <w:tcW w:w="928" w:type="pct"/>
            <w:tcBorders>
              <w:tl2br w:val="nil"/>
              <w:tr2bl w:val="nil"/>
            </w:tcBorders>
            <w:noWrap w:val="0"/>
            <w:vAlign w:val="center"/>
          </w:tcPr>
          <w:p w14:paraId="682613F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eastAsia="Times New Roman"/>
                <w:snapToGrid w:val="0"/>
                <w:color w:val="auto"/>
                <w:sz w:val="21"/>
                <w:szCs w:val="21"/>
                <w:highlight w:val="none"/>
                <w:lang w:val="zh-CN"/>
              </w:rPr>
            </w:pPr>
            <w:r>
              <w:rPr>
                <w:rFonts w:eastAsia="Times New Roman"/>
                <w:snapToGrid w:val="0"/>
                <w:color w:val="auto"/>
                <w:sz w:val="21"/>
                <w:szCs w:val="21"/>
                <w:highlight w:val="none"/>
                <w:lang w:val="zh-CN"/>
              </w:rPr>
              <w:t>▲</w:t>
            </w:r>
          </w:p>
        </w:tc>
        <w:tc>
          <w:tcPr>
            <w:tcW w:w="661" w:type="pct"/>
            <w:tcBorders>
              <w:tl2br w:val="nil"/>
              <w:tr2bl w:val="nil"/>
            </w:tcBorders>
            <w:noWrap w:val="0"/>
            <w:vAlign w:val="center"/>
          </w:tcPr>
          <w:p w14:paraId="0A6E359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eastAsia="Times New Roman"/>
                <w:snapToGrid w:val="0"/>
                <w:color w:val="auto"/>
                <w:sz w:val="21"/>
                <w:szCs w:val="21"/>
                <w:highlight w:val="none"/>
                <w:lang w:val="zh-CN"/>
              </w:rPr>
            </w:pPr>
          </w:p>
        </w:tc>
        <w:tc>
          <w:tcPr>
            <w:tcW w:w="794" w:type="pct"/>
            <w:tcBorders>
              <w:tl2br w:val="nil"/>
              <w:tr2bl w:val="nil"/>
            </w:tcBorders>
            <w:noWrap w:val="0"/>
            <w:vAlign w:val="center"/>
          </w:tcPr>
          <w:p w14:paraId="3FDEABE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795" w:type="pct"/>
            <w:tcBorders>
              <w:tl2br w:val="nil"/>
              <w:tr2bl w:val="nil"/>
            </w:tcBorders>
            <w:noWrap w:val="0"/>
            <w:vAlign w:val="center"/>
          </w:tcPr>
          <w:p w14:paraId="402EB96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rFonts w:ascii="Segoe UI Symbol" w:hAnsi="Segoe UI Symbol" w:cs="Segoe UI Symbol"/>
                <w:snapToGrid w:val="0"/>
                <w:color w:val="auto"/>
                <w:sz w:val="21"/>
                <w:szCs w:val="21"/>
                <w:highlight w:val="none"/>
                <w:lang w:val="zh-CN"/>
              </w:rPr>
              <w:t>★</w:t>
            </w:r>
          </w:p>
        </w:tc>
        <w:tc>
          <w:tcPr>
            <w:tcW w:w="796" w:type="pct"/>
            <w:tcBorders>
              <w:tl2br w:val="nil"/>
              <w:tr2bl w:val="nil"/>
            </w:tcBorders>
            <w:noWrap w:val="0"/>
            <w:vAlign w:val="center"/>
          </w:tcPr>
          <w:p w14:paraId="075EEBC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w:t>
            </w:r>
          </w:p>
        </w:tc>
      </w:tr>
      <w:tr w14:paraId="780CC57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23" w:type="pct"/>
            <w:gridSpan w:val="2"/>
            <w:tcBorders>
              <w:tl2br w:val="nil"/>
              <w:tr2bl w:val="nil"/>
            </w:tcBorders>
            <w:noWrap w:val="0"/>
            <w:vAlign w:val="center"/>
          </w:tcPr>
          <w:p w14:paraId="1A16B04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生态环境</w:t>
            </w:r>
          </w:p>
        </w:tc>
        <w:tc>
          <w:tcPr>
            <w:tcW w:w="928" w:type="pct"/>
            <w:tcBorders>
              <w:tl2br w:val="nil"/>
              <w:tr2bl w:val="nil"/>
            </w:tcBorders>
            <w:noWrap w:val="0"/>
            <w:vAlign w:val="center"/>
          </w:tcPr>
          <w:p w14:paraId="22D8E83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eastAsia="Times New Roman"/>
                <w:snapToGrid w:val="0"/>
                <w:color w:val="auto"/>
                <w:sz w:val="21"/>
                <w:szCs w:val="21"/>
                <w:highlight w:val="none"/>
                <w:lang w:val="zh-CN"/>
              </w:rPr>
            </w:pPr>
            <w:r>
              <w:rPr>
                <w:rFonts w:eastAsia="Times New Roman"/>
                <w:snapToGrid w:val="0"/>
                <w:color w:val="auto"/>
                <w:sz w:val="21"/>
                <w:szCs w:val="21"/>
                <w:highlight w:val="none"/>
                <w:lang w:val="zh-CN"/>
              </w:rPr>
              <w:t>▲</w:t>
            </w:r>
          </w:p>
        </w:tc>
        <w:tc>
          <w:tcPr>
            <w:tcW w:w="661" w:type="pct"/>
            <w:tcBorders>
              <w:tl2br w:val="nil"/>
              <w:tr2bl w:val="nil"/>
            </w:tcBorders>
            <w:noWrap w:val="0"/>
            <w:vAlign w:val="center"/>
          </w:tcPr>
          <w:p w14:paraId="2C7C36E7">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eastAsia="Times New Roman"/>
                <w:snapToGrid w:val="0"/>
                <w:color w:val="auto"/>
                <w:sz w:val="21"/>
                <w:szCs w:val="21"/>
                <w:highlight w:val="none"/>
                <w:lang w:val="zh-CN"/>
              </w:rPr>
            </w:pPr>
          </w:p>
        </w:tc>
        <w:tc>
          <w:tcPr>
            <w:tcW w:w="794" w:type="pct"/>
            <w:tcBorders>
              <w:tl2br w:val="nil"/>
              <w:tr2bl w:val="nil"/>
            </w:tcBorders>
            <w:noWrap w:val="0"/>
            <w:vAlign w:val="center"/>
          </w:tcPr>
          <w:p w14:paraId="3F34495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795" w:type="pct"/>
            <w:tcBorders>
              <w:tl2br w:val="nil"/>
              <w:tr2bl w:val="nil"/>
            </w:tcBorders>
            <w:noWrap w:val="0"/>
            <w:vAlign w:val="center"/>
          </w:tcPr>
          <w:p w14:paraId="7A116AB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p>
        </w:tc>
        <w:tc>
          <w:tcPr>
            <w:tcW w:w="796" w:type="pct"/>
            <w:tcBorders>
              <w:tl2br w:val="nil"/>
              <w:tr2bl w:val="nil"/>
            </w:tcBorders>
            <w:noWrap w:val="0"/>
            <w:vAlign w:val="center"/>
          </w:tcPr>
          <w:p w14:paraId="2094C7D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snapToGrid w:val="0"/>
                <w:color w:val="auto"/>
                <w:sz w:val="21"/>
                <w:szCs w:val="21"/>
                <w:highlight w:val="none"/>
                <w:lang w:val="zh-CN"/>
              </w:rPr>
            </w:pPr>
            <w:r>
              <w:rPr>
                <w:rFonts w:ascii="Segoe UI Symbol" w:hAnsi="Segoe UI Symbol" w:cs="Segoe UI Symbol"/>
                <w:snapToGrid w:val="0"/>
                <w:color w:val="auto"/>
                <w:sz w:val="21"/>
                <w:szCs w:val="21"/>
                <w:highlight w:val="none"/>
              </w:rPr>
              <w:t>☆</w:t>
            </w:r>
          </w:p>
        </w:tc>
      </w:tr>
    </w:tbl>
    <w:p w14:paraId="64A24F28">
      <w:pPr>
        <w:keepNext/>
        <w:keepLines/>
        <w:widowControl w:val="0"/>
        <w:snapToGrid w:val="0"/>
        <w:spacing w:line="240" w:lineRule="auto"/>
        <w:outlineLvl w:val="2"/>
        <w:rPr>
          <w:rFonts w:hint="eastAsia" w:asciiTheme="minorEastAsia" w:hAnsiTheme="minorEastAsia" w:eastAsiaTheme="minorEastAsia" w:cstheme="minorEastAsia"/>
          <w:b w:val="0"/>
          <w:bCs w:val="0"/>
          <w:color w:val="auto"/>
          <w:sz w:val="21"/>
          <w:szCs w:val="21"/>
          <w:highlight w:val="none"/>
        </w:rPr>
      </w:pPr>
      <w:r>
        <w:rPr>
          <w:color w:val="auto"/>
          <w:highlight w:val="none"/>
        </w:rPr>
        <w:t>注：（1）</w:t>
      </w:r>
      <w:r>
        <w:rPr>
          <w:rFonts w:ascii="Segoe UI Symbol" w:hAnsi="Segoe UI Symbol" w:cs="Segoe UI Symbol"/>
          <w:color w:val="auto"/>
          <w:highlight w:val="none"/>
        </w:rPr>
        <w:t>★</w:t>
      </w:r>
      <w:r>
        <w:rPr>
          <w:color w:val="auto"/>
          <w:highlight w:val="none"/>
        </w:rPr>
        <w:t>/</w:t>
      </w:r>
      <w:r>
        <w:rPr>
          <w:rFonts w:ascii="Segoe UI Symbol" w:hAnsi="Segoe UI Symbol" w:cs="Segoe UI Symbol"/>
          <w:color w:val="auto"/>
          <w:highlight w:val="none"/>
        </w:rPr>
        <w:t>☆</w:t>
      </w:r>
      <w:r>
        <w:rPr>
          <w:color w:val="auto"/>
          <w:highlight w:val="none"/>
        </w:rPr>
        <w:t>表示长期不利影响/有利影响；（2）▲/</w:t>
      </w:r>
      <w:r>
        <w:rPr>
          <w:rFonts w:hint="eastAsia" w:ascii="宋体" w:hAnsi="宋体" w:cs="宋体"/>
          <w:color w:val="auto"/>
          <w:highlight w:val="none"/>
        </w:rPr>
        <w:t>△</w:t>
      </w:r>
      <w:r>
        <w:rPr>
          <w:color w:val="auto"/>
          <w:highlight w:val="none"/>
        </w:rPr>
        <w:t>表示短期不利影响/有利影响；（3）空格表示影响不明显或</w:t>
      </w:r>
      <w:r>
        <w:rPr>
          <w:rFonts w:hint="eastAsia"/>
          <w:color w:val="auto"/>
          <w:highlight w:val="none"/>
          <w:lang w:eastAsia="zh-CN"/>
        </w:rPr>
        <w:t>没有</w:t>
      </w:r>
      <w:r>
        <w:rPr>
          <w:color w:val="auto"/>
          <w:highlight w:val="none"/>
        </w:rPr>
        <w:t>影响。</w:t>
      </w:r>
    </w:p>
    <w:p w14:paraId="56AF43AF">
      <w:pPr>
        <w:keepNext/>
        <w:keepLines/>
        <w:widowControl w:val="0"/>
        <w:snapToGrid w:val="0"/>
        <w:spacing w:line="360" w:lineRule="auto"/>
        <w:outlineLvl w:val="2"/>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szCs w:val="32"/>
          <w:highlight w:val="none"/>
        </w:rPr>
        <w:t>2.4.2评价因子筛选</w:t>
      </w:r>
    </w:p>
    <w:p w14:paraId="1547EA4C">
      <w:pPr>
        <w:widowControl w:val="0"/>
        <w:snapToGrid w:val="0"/>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Cs w:val="28"/>
          <w:highlight w:val="none"/>
          <w:lang w:val="zh-CN"/>
        </w:rPr>
        <w:t>根据初步工程分析及项目周边环境特征，将项目建设对环境的危害相对较大、环境影响（不利影响）较突出的环境影响因子（污染因子）作为本次评价因子，</w:t>
      </w:r>
      <w:r>
        <w:rPr>
          <w:rFonts w:hint="eastAsia" w:asciiTheme="minorEastAsia" w:hAnsiTheme="minorEastAsia" w:eastAsiaTheme="minorEastAsia" w:cstheme="minorEastAsia"/>
          <w:color w:val="auto"/>
          <w:highlight w:val="none"/>
        </w:rPr>
        <w:t>评价因子见</w:t>
      </w:r>
      <w:r>
        <w:rPr>
          <w:rFonts w:hint="eastAsia" w:asciiTheme="minorEastAsia" w:hAnsiTheme="minorEastAsia" w:eastAsiaTheme="minorEastAsia" w:cstheme="minorEastAsia"/>
          <w:color w:val="auto"/>
          <w:highlight w:val="none"/>
          <w:lang w:eastAsia="zh-CN"/>
        </w:rPr>
        <w:t>表</w:t>
      </w: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w:t>
      </w:r>
      <w:r>
        <w:rPr>
          <w:rFonts w:hint="eastAsia" w:asciiTheme="minorEastAsia" w:hAnsiTheme="minorEastAsia" w:eastAsiaTheme="minorEastAsia" w:cstheme="minorEastAsia"/>
          <w:color w:val="auto"/>
          <w:highlight w:val="none"/>
        </w:rPr>
        <w:t>4-</w:t>
      </w:r>
      <w:r>
        <w:rPr>
          <w:rFonts w:hint="eastAsia" w:asciiTheme="minorEastAsia" w:hAnsiTheme="minorEastAsia" w:eastAsia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rPr>
        <w:t>、表2</w:t>
      </w:r>
      <w:r>
        <w:rPr>
          <w:rFonts w:hint="eastAsia" w:asciiTheme="minorEastAsia" w:hAnsiTheme="minorEastAsia" w:eastAsiaTheme="minorEastAsia" w:cstheme="minorEastAsia"/>
          <w:color w:val="auto"/>
          <w:highlight w:val="none"/>
          <w:lang w:val="en-US" w:eastAsia="zh-CN"/>
        </w:rPr>
        <w:t>.</w:t>
      </w:r>
      <w:r>
        <w:rPr>
          <w:rFonts w:hint="eastAsia" w:asciiTheme="minorEastAsia" w:hAnsiTheme="minorEastAsia" w:eastAsiaTheme="minorEastAsia" w:cstheme="minorEastAsia"/>
          <w:color w:val="auto"/>
          <w:highlight w:val="none"/>
        </w:rPr>
        <w:t>4-</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rPr>
        <w:t>。</w:t>
      </w:r>
    </w:p>
    <w:p w14:paraId="7F95BE52">
      <w:pPr>
        <w:pStyle w:val="1331"/>
        <w:widowControl w:val="0"/>
        <w:snapToGrid w:val="0"/>
        <w:spacing w:line="240" w:lineRule="auto"/>
        <w:ind w:firstLine="482"/>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表2</w:t>
      </w:r>
      <w:r>
        <w:rPr>
          <w:rFonts w:hint="eastAsia" w:asciiTheme="minorEastAsia" w:hAnsiTheme="minorEastAsia" w:eastAsiaTheme="minorEastAsia" w:cstheme="minorEastAsia"/>
          <w:color w:val="auto"/>
          <w:sz w:val="24"/>
          <w:highlight w:val="none"/>
          <w:lang w:val="en-US" w:eastAsia="zh-CN"/>
        </w:rPr>
        <w:t>.</w:t>
      </w:r>
      <w:r>
        <w:rPr>
          <w:rFonts w:hint="eastAsia" w:asciiTheme="minorEastAsia" w:hAnsiTheme="minorEastAsia" w:eastAsiaTheme="minorEastAsia" w:cstheme="minorEastAsia"/>
          <w:color w:val="auto"/>
          <w:sz w:val="24"/>
          <w:highlight w:val="none"/>
        </w:rPr>
        <w:t>4-</w:t>
      </w:r>
      <w:r>
        <w:rPr>
          <w:rFonts w:hint="eastAsia" w:asciiTheme="minorEastAsia" w:hAnsiTheme="minorEastAsia" w:eastAsiaTheme="minorEastAsia" w:cstheme="minorEastAsia"/>
          <w:color w:val="auto"/>
          <w:sz w:val="24"/>
          <w:highlight w:val="none"/>
          <w:lang w:val="en-US" w:eastAsia="zh-CN"/>
        </w:rPr>
        <w:t xml:space="preserve">2  </w:t>
      </w:r>
      <w:r>
        <w:rPr>
          <w:rFonts w:hint="eastAsia" w:asciiTheme="minorEastAsia" w:hAnsiTheme="minorEastAsia" w:eastAsiaTheme="minorEastAsia" w:cstheme="minorEastAsia"/>
          <w:color w:val="auto"/>
          <w:sz w:val="24"/>
          <w:highlight w:val="none"/>
        </w:rPr>
        <w:t>环境影响评价因子</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67"/>
        <w:gridCol w:w="1284"/>
        <w:gridCol w:w="6471"/>
      </w:tblGrid>
      <w:tr w14:paraId="26DCD2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203" w:type="pct"/>
            <w:gridSpan w:val="2"/>
            <w:tcBorders>
              <w:tl2br w:val="nil"/>
              <w:tr2bl w:val="nil"/>
            </w:tcBorders>
            <w:vAlign w:val="center"/>
          </w:tcPr>
          <w:p w14:paraId="61241324">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bCs w:val="0"/>
                <w:color w:val="auto"/>
                <w:sz w:val="21"/>
                <w:szCs w:val="21"/>
                <w:highlight w:val="none"/>
              </w:rPr>
            </w:pPr>
            <w:r>
              <w:rPr>
                <w:rFonts w:hint="eastAsia" w:asciiTheme="minorEastAsia" w:hAnsiTheme="minorEastAsia" w:eastAsiaTheme="minorEastAsia" w:cstheme="minorEastAsia"/>
                <w:b/>
                <w:bCs w:val="0"/>
                <w:color w:val="auto"/>
                <w:sz w:val="21"/>
                <w:szCs w:val="21"/>
                <w:highlight w:val="none"/>
              </w:rPr>
              <w:t>项目</w:t>
            </w:r>
          </w:p>
        </w:tc>
        <w:tc>
          <w:tcPr>
            <w:tcW w:w="3796" w:type="pct"/>
            <w:tcBorders>
              <w:tl2br w:val="nil"/>
              <w:tr2bl w:val="nil"/>
            </w:tcBorders>
            <w:vAlign w:val="center"/>
          </w:tcPr>
          <w:p w14:paraId="05E1B869">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bCs w:val="0"/>
                <w:color w:val="auto"/>
                <w:sz w:val="21"/>
                <w:szCs w:val="21"/>
                <w:highlight w:val="none"/>
              </w:rPr>
            </w:pPr>
            <w:r>
              <w:rPr>
                <w:rFonts w:hint="eastAsia" w:asciiTheme="minorEastAsia" w:hAnsiTheme="minorEastAsia" w:eastAsiaTheme="minorEastAsia" w:cstheme="minorEastAsia"/>
                <w:b/>
                <w:bCs w:val="0"/>
                <w:color w:val="auto"/>
                <w:sz w:val="21"/>
                <w:szCs w:val="21"/>
                <w:highlight w:val="none"/>
              </w:rPr>
              <w:t>评价因子</w:t>
            </w:r>
          </w:p>
        </w:tc>
      </w:tr>
      <w:tr w14:paraId="2548CE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pct"/>
            <w:vMerge w:val="restart"/>
            <w:tcBorders>
              <w:tl2br w:val="nil"/>
              <w:tr2bl w:val="nil"/>
            </w:tcBorders>
            <w:vAlign w:val="center"/>
          </w:tcPr>
          <w:p w14:paraId="4D52DA69">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环境空气</w:t>
            </w:r>
          </w:p>
        </w:tc>
        <w:tc>
          <w:tcPr>
            <w:tcW w:w="753" w:type="pct"/>
            <w:tcBorders>
              <w:tl2br w:val="nil"/>
              <w:tr2bl w:val="nil"/>
            </w:tcBorders>
            <w:vAlign w:val="center"/>
          </w:tcPr>
          <w:p w14:paraId="5B14D71C">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现状评价</w:t>
            </w:r>
          </w:p>
        </w:tc>
        <w:tc>
          <w:tcPr>
            <w:tcW w:w="3796" w:type="pct"/>
            <w:tcBorders>
              <w:tl2br w:val="nil"/>
              <w:tr2bl w:val="nil"/>
            </w:tcBorders>
            <w:vAlign w:val="center"/>
          </w:tcPr>
          <w:p w14:paraId="2317EA0F">
            <w:pPr>
              <w:pStyle w:val="1332"/>
              <w:keepNext w:val="0"/>
              <w:keepLines w:val="0"/>
              <w:widowControl w:val="0"/>
              <w:suppressLineNumbers w:val="0"/>
              <w:snapToGrid w:val="0"/>
              <w:spacing w:beforeAutospacing="0" w:afterAutospacing="0" w:line="240" w:lineRule="auto"/>
              <w:ind w:left="0" w:right="0" w:firstLine="0"/>
              <w:jc w:val="both"/>
              <w:rPr>
                <w:rFonts w:hint="eastAsia" w:ascii="宋体" w:hAnsi="宋体" w:eastAsia="宋体" w:cs="宋体"/>
                <w:b w:val="0"/>
                <w:bCs/>
                <w:color w:val="auto"/>
                <w:sz w:val="21"/>
                <w:szCs w:val="21"/>
                <w:highlight w:val="none"/>
                <w:lang w:eastAsia="zh-CN"/>
              </w:rPr>
            </w:pPr>
            <w:r>
              <w:rPr>
                <w:rFonts w:hint="eastAsia" w:ascii="宋体" w:hAnsi="宋体" w:eastAsia="宋体" w:cs="宋体"/>
                <w:b w:val="0"/>
                <w:bCs/>
                <w:color w:val="auto"/>
                <w:sz w:val="21"/>
                <w:szCs w:val="21"/>
                <w:highlight w:val="none"/>
              </w:rPr>
              <w:t>SO</w:t>
            </w:r>
            <w:r>
              <w:rPr>
                <w:rFonts w:hint="eastAsia" w:ascii="宋体" w:hAnsi="宋体" w:eastAsia="宋体" w:cs="宋体"/>
                <w:b w:val="0"/>
                <w:bCs/>
                <w:color w:val="auto"/>
                <w:sz w:val="21"/>
                <w:szCs w:val="21"/>
                <w:highlight w:val="none"/>
                <w:vertAlign w:val="subscript"/>
              </w:rPr>
              <w:t>2</w:t>
            </w:r>
            <w:r>
              <w:rPr>
                <w:rFonts w:hint="eastAsia" w:ascii="宋体" w:hAnsi="宋体" w:eastAsia="宋体" w:cs="宋体"/>
                <w:b w:val="0"/>
                <w:bCs/>
                <w:color w:val="auto"/>
                <w:sz w:val="21"/>
                <w:szCs w:val="21"/>
                <w:highlight w:val="none"/>
              </w:rPr>
              <w:t>、NO</w:t>
            </w:r>
            <w:r>
              <w:rPr>
                <w:rFonts w:hint="eastAsia" w:ascii="宋体" w:hAnsi="宋体" w:eastAsia="宋体" w:cs="宋体"/>
                <w:b w:val="0"/>
                <w:bCs/>
                <w:color w:val="auto"/>
                <w:sz w:val="21"/>
                <w:szCs w:val="21"/>
                <w:highlight w:val="none"/>
                <w:vertAlign w:val="subscript"/>
              </w:rPr>
              <w:t>2</w:t>
            </w:r>
            <w:r>
              <w:rPr>
                <w:rFonts w:hint="eastAsia" w:ascii="宋体" w:hAnsi="宋体" w:eastAsia="宋体" w:cs="宋体"/>
                <w:b w:val="0"/>
                <w:bCs/>
                <w:color w:val="auto"/>
                <w:sz w:val="21"/>
                <w:szCs w:val="21"/>
                <w:highlight w:val="none"/>
              </w:rPr>
              <w:t>、PM</w:t>
            </w:r>
            <w:r>
              <w:rPr>
                <w:rFonts w:hint="eastAsia" w:ascii="宋体" w:hAnsi="宋体" w:eastAsia="宋体" w:cs="宋体"/>
                <w:b w:val="0"/>
                <w:bCs/>
                <w:color w:val="auto"/>
                <w:sz w:val="21"/>
                <w:szCs w:val="21"/>
                <w:highlight w:val="none"/>
                <w:vertAlign w:val="subscript"/>
              </w:rPr>
              <w:t>10</w:t>
            </w:r>
            <w:r>
              <w:rPr>
                <w:rFonts w:hint="eastAsia" w:ascii="宋体" w:hAnsi="宋体" w:eastAsia="宋体" w:cs="宋体"/>
                <w:b w:val="0"/>
                <w:bCs/>
                <w:color w:val="auto"/>
                <w:sz w:val="21"/>
                <w:szCs w:val="21"/>
                <w:highlight w:val="none"/>
              </w:rPr>
              <w:t>、PM</w:t>
            </w:r>
            <w:r>
              <w:rPr>
                <w:rFonts w:hint="eastAsia" w:ascii="宋体" w:hAnsi="宋体" w:eastAsia="宋体" w:cs="宋体"/>
                <w:b w:val="0"/>
                <w:bCs/>
                <w:color w:val="auto"/>
                <w:sz w:val="21"/>
                <w:szCs w:val="21"/>
                <w:highlight w:val="none"/>
                <w:vertAlign w:val="subscript"/>
              </w:rPr>
              <w:t>2.5</w:t>
            </w:r>
            <w:r>
              <w:rPr>
                <w:rFonts w:hint="eastAsia" w:ascii="宋体" w:hAnsi="宋体" w:eastAsia="宋体" w:cs="宋体"/>
                <w:b w:val="0"/>
                <w:bCs/>
                <w:color w:val="auto"/>
                <w:sz w:val="21"/>
                <w:szCs w:val="21"/>
                <w:highlight w:val="none"/>
              </w:rPr>
              <w:t>、CO、O</w:t>
            </w:r>
            <w:r>
              <w:rPr>
                <w:rFonts w:hint="eastAsia" w:ascii="宋体" w:hAnsi="宋体" w:eastAsia="宋体" w:cs="宋体"/>
                <w:b w:val="0"/>
                <w:bCs/>
                <w:color w:val="auto"/>
                <w:sz w:val="21"/>
                <w:szCs w:val="21"/>
                <w:highlight w:val="none"/>
                <w:vertAlign w:val="subscript"/>
              </w:rPr>
              <w:t>3</w:t>
            </w:r>
            <w:r>
              <w:rPr>
                <w:rFonts w:hint="eastAsia" w:ascii="宋体" w:hAnsi="宋体" w:eastAsia="宋体" w:cs="宋体"/>
                <w:b w:val="0"/>
                <w:bCs/>
                <w:color w:val="auto"/>
                <w:sz w:val="21"/>
                <w:szCs w:val="21"/>
                <w:highlight w:val="none"/>
              </w:rPr>
              <w:t>、TSP</w:t>
            </w:r>
            <w:r>
              <w:rPr>
                <w:rFonts w:hint="eastAsia" w:ascii="宋体" w:hAnsi="宋体" w:eastAsia="宋体" w:cs="宋体"/>
                <w:b w:val="0"/>
                <w:bCs/>
                <w:color w:val="auto"/>
                <w:sz w:val="21"/>
                <w:szCs w:val="21"/>
                <w:highlight w:val="none"/>
                <w:lang w:eastAsia="zh-CN"/>
              </w:rPr>
              <w:t>。</w:t>
            </w:r>
          </w:p>
        </w:tc>
      </w:tr>
      <w:tr w14:paraId="086F9F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pct"/>
            <w:vMerge w:val="continue"/>
            <w:tcBorders>
              <w:tl2br w:val="nil"/>
              <w:tr2bl w:val="nil"/>
            </w:tcBorders>
            <w:vAlign w:val="center"/>
          </w:tcPr>
          <w:p w14:paraId="66DF2CFD">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p>
        </w:tc>
        <w:tc>
          <w:tcPr>
            <w:tcW w:w="753" w:type="pct"/>
            <w:tcBorders>
              <w:tl2br w:val="nil"/>
              <w:tr2bl w:val="nil"/>
            </w:tcBorders>
            <w:vAlign w:val="center"/>
          </w:tcPr>
          <w:p w14:paraId="32B0C556">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影响评价</w:t>
            </w:r>
          </w:p>
        </w:tc>
        <w:tc>
          <w:tcPr>
            <w:tcW w:w="3796" w:type="pct"/>
            <w:tcBorders>
              <w:tl2br w:val="nil"/>
              <w:tr2bl w:val="nil"/>
            </w:tcBorders>
            <w:vAlign w:val="center"/>
          </w:tcPr>
          <w:p w14:paraId="481AEB0D">
            <w:pPr>
              <w:keepNext w:val="0"/>
              <w:keepLines w:val="0"/>
              <w:widowControl w:val="0"/>
              <w:suppressLineNumbers w:val="0"/>
              <w:snapToGrid w:val="0"/>
              <w:spacing w:before="0" w:beforeAutospacing="0" w:after="0" w:afterAutospacing="0" w:line="240" w:lineRule="auto"/>
              <w:ind w:left="0" w:right="0"/>
              <w:jc w:val="both"/>
              <w:rPr>
                <w:rFonts w:hint="eastAsia" w:ascii="宋体" w:hAnsi="宋体" w:eastAsia="宋体" w:cs="宋体"/>
                <w:b w:val="0"/>
                <w:bCs/>
                <w:color w:val="auto"/>
                <w:sz w:val="21"/>
                <w:szCs w:val="21"/>
                <w:highlight w:val="none"/>
                <w:lang w:eastAsia="zh-CN"/>
              </w:rPr>
            </w:pPr>
            <w:r>
              <w:rPr>
                <w:rFonts w:hint="eastAsia" w:ascii="宋体" w:hAnsi="宋体" w:eastAsia="宋体" w:cs="宋体"/>
                <w:b w:val="0"/>
                <w:bCs/>
                <w:color w:val="auto"/>
                <w:sz w:val="21"/>
                <w:szCs w:val="21"/>
                <w:highlight w:val="none"/>
              </w:rPr>
              <w:t>TSP</w:t>
            </w:r>
            <w:r>
              <w:rPr>
                <w:rFonts w:hint="eastAsia" w:ascii="宋体" w:hAnsi="宋体" w:eastAsia="宋体" w:cs="宋体"/>
                <w:b w:val="0"/>
                <w:bCs/>
                <w:color w:val="auto"/>
                <w:sz w:val="21"/>
                <w:szCs w:val="21"/>
                <w:highlight w:val="none"/>
                <w:lang w:eastAsia="zh-CN"/>
              </w:rPr>
              <w:t>。</w:t>
            </w:r>
          </w:p>
        </w:tc>
      </w:tr>
      <w:tr w14:paraId="6C30D8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pct"/>
            <w:vMerge w:val="restart"/>
            <w:tcBorders>
              <w:tl2br w:val="nil"/>
              <w:tr2bl w:val="nil"/>
            </w:tcBorders>
            <w:vAlign w:val="center"/>
          </w:tcPr>
          <w:p w14:paraId="50A28C8B">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地表水环境</w:t>
            </w:r>
          </w:p>
        </w:tc>
        <w:tc>
          <w:tcPr>
            <w:tcW w:w="753" w:type="pct"/>
            <w:tcBorders>
              <w:tl2br w:val="nil"/>
              <w:tr2bl w:val="nil"/>
            </w:tcBorders>
            <w:vAlign w:val="center"/>
          </w:tcPr>
          <w:p w14:paraId="7F9B0E7C">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现状评价</w:t>
            </w:r>
          </w:p>
        </w:tc>
        <w:tc>
          <w:tcPr>
            <w:tcW w:w="3796" w:type="pct"/>
            <w:tcBorders>
              <w:tl2br w:val="nil"/>
              <w:tr2bl w:val="nil"/>
            </w:tcBorders>
            <w:vAlign w:val="center"/>
          </w:tcPr>
          <w:p w14:paraId="1840AE38">
            <w:pPr>
              <w:pStyle w:val="1332"/>
              <w:keepNext w:val="0"/>
              <w:keepLines w:val="0"/>
              <w:widowControl w:val="0"/>
              <w:suppressLineNumbers w:val="0"/>
              <w:snapToGrid w:val="0"/>
              <w:spacing w:beforeAutospacing="0" w:afterAutospacing="0" w:line="240" w:lineRule="auto"/>
              <w:ind w:left="0" w:right="0" w:firstLine="0"/>
              <w:jc w:val="both"/>
              <w:rPr>
                <w:rFonts w:hint="eastAsia" w:ascii="宋体" w:hAnsi="宋体" w:eastAsia="宋体" w:cs="宋体"/>
                <w:b w:val="0"/>
                <w:bCs/>
                <w:color w:val="auto"/>
                <w:sz w:val="21"/>
                <w:szCs w:val="21"/>
                <w:highlight w:val="none"/>
                <w:lang w:val="en-US" w:eastAsia="zh-CN"/>
              </w:rPr>
            </w:pPr>
            <w:r>
              <w:rPr>
                <w:rFonts w:ascii="Times New Roman"/>
                <w:b w:val="0"/>
                <w:bCs/>
                <w:color w:val="auto"/>
                <w:sz w:val="21"/>
                <w:szCs w:val="21"/>
                <w:highlight w:val="none"/>
              </w:rPr>
              <w:t>pH、DO、高锰酸盐指数、BOD</w:t>
            </w:r>
            <w:r>
              <w:rPr>
                <w:rFonts w:ascii="Times New Roman"/>
                <w:b w:val="0"/>
                <w:bCs/>
                <w:color w:val="auto"/>
                <w:sz w:val="21"/>
                <w:szCs w:val="21"/>
                <w:highlight w:val="none"/>
                <w:vertAlign w:val="subscript"/>
              </w:rPr>
              <w:t>5</w:t>
            </w:r>
            <w:r>
              <w:rPr>
                <w:rFonts w:ascii="Times New Roman"/>
                <w:b w:val="0"/>
                <w:bCs/>
                <w:color w:val="auto"/>
                <w:sz w:val="21"/>
                <w:szCs w:val="21"/>
                <w:highlight w:val="none"/>
              </w:rPr>
              <w:t>、NH</w:t>
            </w:r>
            <w:r>
              <w:rPr>
                <w:rFonts w:ascii="Times New Roman"/>
                <w:b w:val="0"/>
                <w:bCs/>
                <w:color w:val="auto"/>
                <w:sz w:val="21"/>
                <w:szCs w:val="21"/>
                <w:highlight w:val="none"/>
                <w:vertAlign w:val="subscript"/>
              </w:rPr>
              <w:t>3</w:t>
            </w:r>
            <w:r>
              <w:rPr>
                <w:rFonts w:ascii="Times New Roman"/>
                <w:b w:val="0"/>
                <w:bCs/>
                <w:color w:val="auto"/>
                <w:sz w:val="21"/>
                <w:szCs w:val="21"/>
                <w:highlight w:val="none"/>
              </w:rPr>
              <w:t>-N、氟化物、粪大肠菌群数、SS、总磷、总氮</w:t>
            </w:r>
          </w:p>
        </w:tc>
      </w:tr>
      <w:tr w14:paraId="33E590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pct"/>
            <w:vMerge w:val="continue"/>
            <w:tcBorders>
              <w:tl2br w:val="nil"/>
              <w:tr2bl w:val="nil"/>
            </w:tcBorders>
            <w:vAlign w:val="center"/>
          </w:tcPr>
          <w:p w14:paraId="4D5E14C5">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p>
        </w:tc>
        <w:tc>
          <w:tcPr>
            <w:tcW w:w="753" w:type="pct"/>
            <w:tcBorders>
              <w:tl2br w:val="nil"/>
              <w:tr2bl w:val="nil"/>
            </w:tcBorders>
            <w:vAlign w:val="center"/>
          </w:tcPr>
          <w:p w14:paraId="3302FC7D">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影响评价</w:t>
            </w:r>
          </w:p>
        </w:tc>
        <w:tc>
          <w:tcPr>
            <w:tcW w:w="3796" w:type="pct"/>
            <w:tcBorders>
              <w:tl2br w:val="nil"/>
              <w:tr2bl w:val="nil"/>
            </w:tcBorders>
            <w:vAlign w:val="center"/>
          </w:tcPr>
          <w:p w14:paraId="021AEA10">
            <w:pPr>
              <w:pStyle w:val="1332"/>
              <w:keepNext w:val="0"/>
              <w:keepLines w:val="0"/>
              <w:widowControl w:val="0"/>
              <w:suppressLineNumbers w:val="0"/>
              <w:snapToGrid w:val="0"/>
              <w:spacing w:beforeAutospacing="0" w:afterAutospacing="0" w:line="240" w:lineRule="auto"/>
              <w:ind w:left="0" w:right="0" w:firstLine="0"/>
              <w:jc w:val="both"/>
              <w:rPr>
                <w:rFonts w:hint="eastAsia" w:ascii="宋体" w:hAnsi="宋体" w:eastAsia="宋体" w:cs="宋体"/>
                <w:b w:val="0"/>
                <w:bCs/>
                <w:color w:val="auto"/>
                <w:sz w:val="21"/>
                <w:szCs w:val="21"/>
                <w:highlight w:val="none"/>
              </w:rPr>
            </w:pPr>
            <w:r>
              <w:rPr>
                <w:rFonts w:hint="eastAsia" w:ascii="宋体" w:hAnsi="宋体" w:eastAsia="宋体" w:cs="宋体"/>
                <w:b w:val="0"/>
                <w:bCs/>
                <w:color w:val="auto"/>
                <w:sz w:val="21"/>
                <w:szCs w:val="21"/>
                <w:highlight w:val="none"/>
              </w:rPr>
              <w:t>/</w:t>
            </w:r>
          </w:p>
        </w:tc>
      </w:tr>
      <w:tr w14:paraId="1C4E63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04" w:hRule="atLeast"/>
          <w:jc w:val="center"/>
        </w:trPr>
        <w:tc>
          <w:tcPr>
            <w:tcW w:w="450" w:type="pct"/>
            <w:vMerge w:val="restart"/>
            <w:tcBorders>
              <w:tl2br w:val="nil"/>
              <w:tr2bl w:val="nil"/>
            </w:tcBorders>
            <w:vAlign w:val="center"/>
          </w:tcPr>
          <w:p w14:paraId="73D4DEFF">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地下水环境</w:t>
            </w:r>
          </w:p>
        </w:tc>
        <w:tc>
          <w:tcPr>
            <w:tcW w:w="753" w:type="pct"/>
            <w:tcBorders>
              <w:tl2br w:val="nil"/>
              <w:tr2bl w:val="nil"/>
            </w:tcBorders>
            <w:vAlign w:val="center"/>
          </w:tcPr>
          <w:p w14:paraId="27A7B802">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现状评价</w:t>
            </w:r>
          </w:p>
        </w:tc>
        <w:tc>
          <w:tcPr>
            <w:tcW w:w="3796" w:type="pct"/>
            <w:tcBorders>
              <w:tl2br w:val="nil"/>
              <w:tr2bl w:val="nil"/>
            </w:tcBorders>
            <w:vAlign w:val="center"/>
          </w:tcPr>
          <w:p w14:paraId="70029069">
            <w:pPr>
              <w:pStyle w:val="1332"/>
              <w:keepNext w:val="0"/>
              <w:keepLines w:val="0"/>
              <w:widowControl w:val="0"/>
              <w:suppressLineNumbers w:val="0"/>
              <w:snapToGrid w:val="0"/>
              <w:spacing w:beforeAutospacing="0" w:afterAutospacing="0" w:line="240" w:lineRule="auto"/>
              <w:ind w:left="0" w:right="0" w:firstLine="0"/>
              <w:jc w:val="both"/>
              <w:rPr>
                <w:rFonts w:hint="eastAsia" w:ascii="宋体" w:hAnsi="宋体" w:eastAsia="宋体" w:cs="宋体"/>
                <w:b w:val="0"/>
                <w:bCs/>
                <w:color w:val="auto"/>
                <w:sz w:val="21"/>
                <w:szCs w:val="21"/>
                <w:highlight w:val="none"/>
              </w:rPr>
            </w:pPr>
            <w:r>
              <w:rPr>
                <w:rFonts w:ascii="Times New Roman"/>
                <w:b w:val="0"/>
                <w:bCs/>
                <w:color w:val="auto"/>
                <w:sz w:val="21"/>
                <w:szCs w:val="21"/>
                <w:highlight w:val="none"/>
              </w:rPr>
              <w:t>K</w:t>
            </w:r>
            <w:r>
              <w:rPr>
                <w:rFonts w:ascii="Times New Roman"/>
                <w:b w:val="0"/>
                <w:bCs/>
                <w:color w:val="auto"/>
                <w:sz w:val="21"/>
                <w:szCs w:val="21"/>
                <w:highlight w:val="none"/>
                <w:vertAlign w:val="superscript"/>
              </w:rPr>
              <w:t>+</w:t>
            </w:r>
            <w:r>
              <w:rPr>
                <w:rFonts w:ascii="Times New Roman"/>
                <w:b w:val="0"/>
                <w:bCs/>
                <w:color w:val="auto"/>
                <w:sz w:val="21"/>
                <w:szCs w:val="21"/>
                <w:highlight w:val="none"/>
              </w:rPr>
              <w:t>、Na</w:t>
            </w:r>
            <w:r>
              <w:rPr>
                <w:rFonts w:ascii="Times New Roman"/>
                <w:b w:val="0"/>
                <w:bCs/>
                <w:color w:val="auto"/>
                <w:sz w:val="21"/>
                <w:szCs w:val="21"/>
                <w:highlight w:val="none"/>
                <w:vertAlign w:val="superscript"/>
              </w:rPr>
              <w:t>+</w:t>
            </w:r>
            <w:r>
              <w:rPr>
                <w:rFonts w:ascii="Times New Roman"/>
                <w:b w:val="0"/>
                <w:bCs/>
                <w:color w:val="auto"/>
                <w:sz w:val="21"/>
                <w:szCs w:val="21"/>
                <w:highlight w:val="none"/>
              </w:rPr>
              <w:t>、Ca</w:t>
            </w:r>
            <w:r>
              <w:rPr>
                <w:rFonts w:ascii="Times New Roman"/>
                <w:b w:val="0"/>
                <w:bCs/>
                <w:color w:val="auto"/>
                <w:sz w:val="21"/>
                <w:szCs w:val="21"/>
                <w:highlight w:val="none"/>
                <w:vertAlign w:val="superscript"/>
              </w:rPr>
              <w:t>2+</w:t>
            </w:r>
            <w:r>
              <w:rPr>
                <w:rFonts w:ascii="Times New Roman"/>
                <w:b w:val="0"/>
                <w:bCs/>
                <w:color w:val="auto"/>
                <w:sz w:val="21"/>
                <w:szCs w:val="21"/>
                <w:highlight w:val="none"/>
              </w:rPr>
              <w:t>、Mg</w:t>
            </w:r>
            <w:r>
              <w:rPr>
                <w:rFonts w:ascii="Times New Roman"/>
                <w:b w:val="0"/>
                <w:bCs/>
                <w:color w:val="auto"/>
                <w:sz w:val="21"/>
                <w:szCs w:val="21"/>
                <w:highlight w:val="none"/>
                <w:vertAlign w:val="superscript"/>
              </w:rPr>
              <w:t>2+</w:t>
            </w:r>
            <w:r>
              <w:rPr>
                <w:rFonts w:ascii="Times New Roman"/>
                <w:b w:val="0"/>
                <w:bCs/>
                <w:color w:val="auto"/>
                <w:sz w:val="21"/>
                <w:szCs w:val="21"/>
                <w:highlight w:val="none"/>
              </w:rPr>
              <w:t>、CO</w:t>
            </w:r>
            <w:r>
              <w:rPr>
                <w:rFonts w:ascii="Times New Roman"/>
                <w:b w:val="0"/>
                <w:bCs/>
                <w:color w:val="auto"/>
                <w:sz w:val="21"/>
                <w:szCs w:val="21"/>
                <w:highlight w:val="none"/>
                <w:vertAlign w:val="subscript"/>
              </w:rPr>
              <w:t>3</w:t>
            </w:r>
            <w:r>
              <w:rPr>
                <w:rFonts w:ascii="Times New Roman"/>
                <w:b w:val="0"/>
                <w:bCs/>
                <w:color w:val="auto"/>
                <w:sz w:val="21"/>
                <w:szCs w:val="21"/>
                <w:highlight w:val="none"/>
                <w:vertAlign w:val="superscript"/>
              </w:rPr>
              <w:t>2-</w:t>
            </w:r>
            <w:r>
              <w:rPr>
                <w:rFonts w:ascii="Times New Roman"/>
                <w:b w:val="0"/>
                <w:bCs/>
                <w:color w:val="auto"/>
                <w:sz w:val="21"/>
                <w:szCs w:val="21"/>
                <w:highlight w:val="none"/>
              </w:rPr>
              <w:t>、HCO</w:t>
            </w:r>
            <w:r>
              <w:rPr>
                <w:rFonts w:ascii="Times New Roman"/>
                <w:b w:val="0"/>
                <w:bCs/>
                <w:color w:val="auto"/>
                <w:sz w:val="21"/>
                <w:szCs w:val="21"/>
                <w:highlight w:val="none"/>
                <w:vertAlign w:val="superscript"/>
              </w:rPr>
              <w:t>3-</w:t>
            </w:r>
            <w:r>
              <w:rPr>
                <w:rFonts w:ascii="Times New Roman"/>
                <w:b w:val="0"/>
                <w:bCs/>
                <w:color w:val="auto"/>
                <w:sz w:val="21"/>
                <w:szCs w:val="21"/>
                <w:highlight w:val="none"/>
              </w:rPr>
              <w:t>、Cl</w:t>
            </w:r>
            <w:r>
              <w:rPr>
                <w:rFonts w:ascii="Times New Roman"/>
                <w:b w:val="0"/>
                <w:bCs/>
                <w:color w:val="auto"/>
                <w:sz w:val="21"/>
                <w:szCs w:val="21"/>
                <w:highlight w:val="none"/>
                <w:vertAlign w:val="superscript"/>
              </w:rPr>
              <w:t>-</w:t>
            </w:r>
            <w:r>
              <w:rPr>
                <w:rFonts w:ascii="Times New Roman"/>
                <w:b w:val="0"/>
                <w:bCs/>
                <w:color w:val="auto"/>
                <w:sz w:val="21"/>
                <w:szCs w:val="21"/>
                <w:highlight w:val="none"/>
              </w:rPr>
              <w:t>、SO</w:t>
            </w:r>
            <w:r>
              <w:rPr>
                <w:rFonts w:ascii="Times New Roman"/>
                <w:b w:val="0"/>
                <w:bCs/>
                <w:color w:val="auto"/>
                <w:sz w:val="21"/>
                <w:szCs w:val="21"/>
                <w:highlight w:val="none"/>
                <w:vertAlign w:val="subscript"/>
              </w:rPr>
              <w:t>4</w:t>
            </w:r>
            <w:r>
              <w:rPr>
                <w:rFonts w:ascii="Times New Roman"/>
                <w:b w:val="0"/>
                <w:bCs/>
                <w:color w:val="auto"/>
                <w:sz w:val="21"/>
                <w:szCs w:val="21"/>
                <w:highlight w:val="none"/>
                <w:vertAlign w:val="superscript"/>
              </w:rPr>
              <w:t>2-</w:t>
            </w:r>
            <w:r>
              <w:rPr>
                <w:rFonts w:ascii="Times New Roman"/>
                <w:b w:val="0"/>
                <w:bCs/>
                <w:color w:val="auto"/>
                <w:sz w:val="21"/>
                <w:szCs w:val="21"/>
                <w:highlight w:val="none"/>
              </w:rPr>
              <w:t>、pH、氨氮、硝酸盐氮、亚硝酸盐氮、挥发性酚类、砷、汞、铬（六价）、硒、镉、铜、锌、总硬度、铅、铁、锰、氰化物、氟化物、溶解性总固体、耗氧量、总大肠菌群、菌落总数</w:t>
            </w:r>
          </w:p>
        </w:tc>
      </w:tr>
      <w:tr w14:paraId="2328DD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pct"/>
            <w:vMerge w:val="continue"/>
            <w:tcBorders>
              <w:tl2br w:val="nil"/>
              <w:tr2bl w:val="nil"/>
            </w:tcBorders>
            <w:vAlign w:val="center"/>
          </w:tcPr>
          <w:p w14:paraId="2E326F03">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p>
        </w:tc>
        <w:tc>
          <w:tcPr>
            <w:tcW w:w="753" w:type="pct"/>
            <w:tcBorders>
              <w:tl2br w:val="nil"/>
              <w:tr2bl w:val="nil"/>
            </w:tcBorders>
            <w:vAlign w:val="center"/>
          </w:tcPr>
          <w:p w14:paraId="41D16D1D">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影响分析</w:t>
            </w:r>
          </w:p>
        </w:tc>
        <w:tc>
          <w:tcPr>
            <w:tcW w:w="3796" w:type="pct"/>
            <w:tcBorders>
              <w:tl2br w:val="nil"/>
              <w:tr2bl w:val="nil"/>
            </w:tcBorders>
            <w:vAlign w:val="center"/>
          </w:tcPr>
          <w:p w14:paraId="5EEC5800">
            <w:pPr>
              <w:pStyle w:val="1332"/>
              <w:keepNext w:val="0"/>
              <w:keepLines w:val="0"/>
              <w:widowControl w:val="0"/>
              <w:suppressLineNumbers w:val="0"/>
              <w:snapToGrid w:val="0"/>
              <w:spacing w:beforeAutospacing="0" w:afterAutospacing="0" w:line="240" w:lineRule="auto"/>
              <w:ind w:left="0" w:right="0" w:firstLine="0"/>
              <w:jc w:val="both"/>
              <w:rPr>
                <w:rFonts w:hint="eastAsia" w:ascii="宋体" w:hAnsi="宋体" w:eastAsia="宋体" w:cs="宋体"/>
                <w:b w:val="0"/>
                <w:bCs/>
                <w:color w:val="auto"/>
                <w:kern w:val="2"/>
                <w:sz w:val="21"/>
                <w:szCs w:val="21"/>
                <w:highlight w:val="none"/>
                <w:lang w:val="en-US" w:eastAsia="zh-CN" w:bidi="ar-SA"/>
              </w:rPr>
            </w:pPr>
            <w:r>
              <w:rPr>
                <w:rFonts w:hint="eastAsia" w:ascii="宋体" w:hAnsi="宋体" w:eastAsia="宋体" w:cs="宋体"/>
                <w:b w:val="0"/>
                <w:bCs/>
                <w:color w:val="auto"/>
                <w:kern w:val="2"/>
                <w:sz w:val="21"/>
                <w:szCs w:val="21"/>
                <w:highlight w:val="none"/>
                <w:lang w:val="en-US" w:eastAsia="zh-CN" w:bidi="ar-SA"/>
              </w:rPr>
              <w:t>结合项目回填期、覆土以及</w:t>
            </w:r>
            <w:r>
              <w:rPr>
                <w:rFonts w:hint="eastAsia" w:asciiTheme="minorEastAsia" w:hAnsiTheme="minorEastAsia" w:eastAsiaTheme="minorEastAsia" w:cstheme="minorEastAsia"/>
                <w:color w:val="auto"/>
                <w:szCs w:val="24"/>
                <w:highlight w:val="none"/>
              </w:rPr>
              <w:t>采砂坑</w:t>
            </w:r>
            <w:r>
              <w:rPr>
                <w:rFonts w:hint="eastAsia" w:ascii="宋体" w:hAnsi="宋体" w:eastAsia="宋体" w:cs="宋体"/>
                <w:b w:val="0"/>
                <w:bCs/>
                <w:color w:val="auto"/>
                <w:kern w:val="2"/>
                <w:sz w:val="21"/>
                <w:szCs w:val="21"/>
                <w:highlight w:val="none"/>
                <w:lang w:val="en-US" w:eastAsia="zh-CN" w:bidi="ar-SA"/>
              </w:rPr>
              <w:t>地勘，本项目对回填区底部及边坡进行基础防渗层，正常情况不会对地下水产生影响，考虑事故工况对地下水影响进行预测。</w:t>
            </w:r>
          </w:p>
        </w:tc>
      </w:tr>
      <w:tr w14:paraId="6438D8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pct"/>
            <w:vMerge w:val="restart"/>
            <w:tcBorders>
              <w:tl2br w:val="nil"/>
              <w:tr2bl w:val="nil"/>
            </w:tcBorders>
            <w:vAlign w:val="center"/>
          </w:tcPr>
          <w:p w14:paraId="446E7AE8">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声环境</w:t>
            </w:r>
          </w:p>
        </w:tc>
        <w:tc>
          <w:tcPr>
            <w:tcW w:w="753" w:type="pct"/>
            <w:tcBorders>
              <w:tl2br w:val="nil"/>
              <w:tr2bl w:val="nil"/>
            </w:tcBorders>
            <w:vAlign w:val="center"/>
          </w:tcPr>
          <w:p w14:paraId="60E494C9">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现状评价</w:t>
            </w:r>
          </w:p>
        </w:tc>
        <w:tc>
          <w:tcPr>
            <w:tcW w:w="3796" w:type="pct"/>
            <w:vMerge w:val="restart"/>
            <w:tcBorders>
              <w:tl2br w:val="nil"/>
              <w:tr2bl w:val="nil"/>
            </w:tcBorders>
            <w:vAlign w:val="center"/>
          </w:tcPr>
          <w:p w14:paraId="32A67EFE">
            <w:pPr>
              <w:pStyle w:val="1332"/>
              <w:keepNext w:val="0"/>
              <w:keepLines w:val="0"/>
              <w:widowControl w:val="0"/>
              <w:suppressLineNumbers w:val="0"/>
              <w:snapToGrid w:val="0"/>
              <w:spacing w:beforeAutospacing="0" w:afterAutospacing="0" w:line="240" w:lineRule="auto"/>
              <w:ind w:left="0" w:right="0" w:firstLine="0"/>
              <w:jc w:val="both"/>
              <w:rPr>
                <w:rFonts w:hint="eastAsia" w:ascii="宋体" w:hAnsi="宋体" w:eastAsia="宋体" w:cs="宋体"/>
                <w:b w:val="0"/>
                <w:bCs/>
                <w:color w:val="auto"/>
                <w:sz w:val="21"/>
                <w:szCs w:val="21"/>
                <w:highlight w:val="none"/>
                <w:lang w:eastAsia="zh-CN"/>
              </w:rPr>
            </w:pPr>
            <w:r>
              <w:rPr>
                <w:rFonts w:hint="eastAsia" w:ascii="宋体" w:hAnsi="宋体" w:eastAsia="宋体" w:cs="宋体"/>
                <w:b w:val="0"/>
                <w:bCs/>
                <w:color w:val="auto"/>
                <w:sz w:val="21"/>
                <w:szCs w:val="21"/>
                <w:highlight w:val="none"/>
              </w:rPr>
              <w:t>等效连续A声级Leq（A）</w:t>
            </w:r>
            <w:r>
              <w:rPr>
                <w:rFonts w:hint="eastAsia" w:ascii="宋体" w:hAnsi="宋体" w:eastAsia="宋体" w:cs="宋体"/>
                <w:b w:val="0"/>
                <w:bCs/>
                <w:color w:val="auto"/>
                <w:sz w:val="21"/>
                <w:szCs w:val="21"/>
                <w:highlight w:val="none"/>
                <w:lang w:eastAsia="zh-CN"/>
              </w:rPr>
              <w:t>。</w:t>
            </w:r>
          </w:p>
        </w:tc>
      </w:tr>
      <w:tr w14:paraId="7767A6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pct"/>
            <w:vMerge w:val="continue"/>
            <w:tcBorders>
              <w:tl2br w:val="nil"/>
              <w:tr2bl w:val="nil"/>
            </w:tcBorders>
            <w:vAlign w:val="center"/>
          </w:tcPr>
          <w:p w14:paraId="65753F78">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p>
        </w:tc>
        <w:tc>
          <w:tcPr>
            <w:tcW w:w="753" w:type="pct"/>
            <w:tcBorders>
              <w:tl2br w:val="nil"/>
              <w:tr2bl w:val="nil"/>
            </w:tcBorders>
            <w:vAlign w:val="center"/>
          </w:tcPr>
          <w:p w14:paraId="30242A9A">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影响评价</w:t>
            </w:r>
          </w:p>
        </w:tc>
        <w:tc>
          <w:tcPr>
            <w:tcW w:w="3796" w:type="pct"/>
            <w:vMerge w:val="continue"/>
            <w:tcBorders>
              <w:tl2br w:val="nil"/>
              <w:tr2bl w:val="nil"/>
            </w:tcBorders>
            <w:vAlign w:val="center"/>
          </w:tcPr>
          <w:p w14:paraId="65F4048D">
            <w:pPr>
              <w:pStyle w:val="1332"/>
              <w:keepNext w:val="0"/>
              <w:keepLines w:val="0"/>
              <w:widowControl w:val="0"/>
              <w:suppressLineNumbers w:val="0"/>
              <w:snapToGrid w:val="0"/>
              <w:spacing w:beforeAutospacing="0" w:afterAutospacing="0" w:line="240" w:lineRule="auto"/>
              <w:ind w:left="0" w:right="0" w:firstLine="0"/>
              <w:jc w:val="both"/>
              <w:rPr>
                <w:rFonts w:hint="eastAsia" w:ascii="宋体" w:hAnsi="宋体" w:eastAsia="宋体" w:cs="宋体"/>
                <w:b w:val="0"/>
                <w:bCs/>
                <w:color w:val="auto"/>
                <w:sz w:val="21"/>
                <w:szCs w:val="21"/>
                <w:highlight w:val="none"/>
              </w:rPr>
            </w:pPr>
          </w:p>
        </w:tc>
      </w:tr>
      <w:tr w14:paraId="6A90E9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pct"/>
            <w:tcBorders>
              <w:tl2br w:val="nil"/>
              <w:tr2bl w:val="nil"/>
            </w:tcBorders>
            <w:vAlign w:val="center"/>
          </w:tcPr>
          <w:p w14:paraId="4FB20EFF">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固体废物</w:t>
            </w:r>
          </w:p>
        </w:tc>
        <w:tc>
          <w:tcPr>
            <w:tcW w:w="753" w:type="pct"/>
            <w:tcBorders>
              <w:tl2br w:val="nil"/>
              <w:tr2bl w:val="nil"/>
            </w:tcBorders>
            <w:vAlign w:val="center"/>
          </w:tcPr>
          <w:p w14:paraId="507C7E57">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影响评价</w:t>
            </w:r>
          </w:p>
        </w:tc>
        <w:tc>
          <w:tcPr>
            <w:tcW w:w="3796" w:type="pct"/>
            <w:tcBorders>
              <w:tl2br w:val="nil"/>
              <w:tr2bl w:val="nil"/>
            </w:tcBorders>
            <w:vAlign w:val="center"/>
          </w:tcPr>
          <w:p w14:paraId="0912AC46">
            <w:pPr>
              <w:pStyle w:val="1332"/>
              <w:keepNext w:val="0"/>
              <w:keepLines w:val="0"/>
              <w:widowControl w:val="0"/>
              <w:suppressLineNumbers w:val="0"/>
              <w:snapToGrid w:val="0"/>
              <w:spacing w:beforeAutospacing="0" w:afterAutospacing="0" w:line="240" w:lineRule="auto"/>
              <w:ind w:left="0" w:right="0" w:firstLine="0"/>
              <w:jc w:val="both"/>
              <w:rPr>
                <w:rFonts w:hint="eastAsia" w:ascii="宋体" w:hAnsi="宋体" w:eastAsia="宋体" w:cs="宋体"/>
                <w:b w:val="0"/>
                <w:bCs/>
                <w:color w:val="auto"/>
                <w:sz w:val="21"/>
                <w:szCs w:val="21"/>
                <w:highlight w:val="none"/>
                <w:lang w:val="en-US" w:eastAsia="zh-CN"/>
              </w:rPr>
            </w:pPr>
            <w:r>
              <w:rPr>
                <w:rFonts w:hint="eastAsia" w:ascii="宋体" w:hAnsi="宋体" w:eastAsia="宋体" w:cs="宋体"/>
                <w:b w:val="0"/>
                <w:bCs/>
                <w:color w:val="auto"/>
                <w:sz w:val="21"/>
                <w:szCs w:val="21"/>
                <w:highlight w:val="none"/>
                <w:lang w:val="en-US" w:eastAsia="zh-CN"/>
              </w:rPr>
              <w:t>不涉及。</w:t>
            </w:r>
          </w:p>
        </w:tc>
      </w:tr>
      <w:tr w14:paraId="50A509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pct"/>
            <w:vMerge w:val="restart"/>
            <w:tcBorders>
              <w:tl2br w:val="nil"/>
              <w:tr2bl w:val="nil"/>
            </w:tcBorders>
            <w:vAlign w:val="center"/>
          </w:tcPr>
          <w:p w14:paraId="2C196269">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土壤环境</w:t>
            </w:r>
          </w:p>
        </w:tc>
        <w:tc>
          <w:tcPr>
            <w:tcW w:w="753" w:type="pct"/>
            <w:tcBorders>
              <w:tl2br w:val="nil"/>
              <w:tr2bl w:val="nil"/>
            </w:tcBorders>
            <w:vAlign w:val="center"/>
          </w:tcPr>
          <w:p w14:paraId="6398ADD9">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现状评价</w:t>
            </w:r>
          </w:p>
        </w:tc>
        <w:tc>
          <w:tcPr>
            <w:tcW w:w="3796" w:type="pct"/>
            <w:tcBorders>
              <w:tl2br w:val="nil"/>
              <w:tr2bl w:val="nil"/>
            </w:tcBorders>
            <w:vAlign w:val="center"/>
          </w:tcPr>
          <w:p w14:paraId="5C83CCA8">
            <w:pPr>
              <w:keepNext w:val="0"/>
              <w:keepLines w:val="0"/>
              <w:widowControl w:val="0"/>
              <w:suppressLineNumbers w:val="0"/>
              <w:snapToGrid w:val="0"/>
              <w:spacing w:before="0" w:beforeAutospacing="0" w:after="0" w:afterAutospacing="0" w:line="240" w:lineRule="auto"/>
              <w:ind w:left="0" w:right="0"/>
              <w:jc w:val="both"/>
              <w:rPr>
                <w:rFonts w:hint="eastAsia" w:ascii="宋体" w:hAnsi="宋体" w:eastAsia="宋体" w:cs="宋体"/>
                <w:b w:val="0"/>
                <w:bCs/>
                <w:color w:val="auto"/>
                <w:sz w:val="21"/>
                <w:szCs w:val="21"/>
                <w:highlight w:val="none"/>
                <w:lang w:eastAsia="zh-CN"/>
              </w:rPr>
            </w:pPr>
            <w:r>
              <w:rPr>
                <w:rFonts w:hint="eastAsia" w:ascii="宋体" w:hAnsi="宋体" w:eastAsia="宋体" w:cs="宋体"/>
                <w:b w:val="0"/>
                <w:bCs/>
                <w:color w:val="auto"/>
                <w:sz w:val="21"/>
                <w:szCs w:val="21"/>
                <w:highlight w:val="none"/>
              </w:rPr>
              <w:t>砷、镉、铬、铜、铅、汞、镍、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硝基苯、苯胺、2-氯酚、苯并[a]蒽、苯并[a]芘、苯并[b]荧蒽、苯并[k]荧蒽、䓛、二苯并[a，h]蒽、茚并[1,2,3-cd]芘、萘共计45项</w:t>
            </w:r>
            <w:r>
              <w:rPr>
                <w:rFonts w:hint="eastAsia" w:ascii="宋体" w:hAnsi="宋体" w:eastAsia="宋体" w:cs="宋体"/>
                <w:b w:val="0"/>
                <w:bCs/>
                <w:color w:val="auto"/>
                <w:sz w:val="21"/>
                <w:szCs w:val="21"/>
                <w:highlight w:val="none"/>
                <w:lang w:eastAsia="zh-CN"/>
              </w:rPr>
              <w:t>。</w:t>
            </w:r>
          </w:p>
        </w:tc>
      </w:tr>
      <w:tr w14:paraId="673DE5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pct"/>
            <w:vMerge w:val="continue"/>
            <w:tcBorders>
              <w:tl2br w:val="nil"/>
              <w:tr2bl w:val="nil"/>
            </w:tcBorders>
            <w:vAlign w:val="center"/>
          </w:tcPr>
          <w:p w14:paraId="72E7DD2D">
            <w:pPr>
              <w:pStyle w:val="1332"/>
              <w:keepNext w:val="0"/>
              <w:keepLines w:val="0"/>
              <w:widowControl w:val="0"/>
              <w:suppressLineNumbers w:val="0"/>
              <w:snapToGrid w:val="0"/>
              <w:spacing w:beforeAutospacing="0" w:afterAutospacing="0" w:line="240" w:lineRule="auto"/>
              <w:ind w:left="0" w:right="0" w:firstLine="0"/>
              <w:rPr>
                <w:rFonts w:hint="eastAsia" w:asciiTheme="minorEastAsia" w:hAnsiTheme="minorEastAsia" w:eastAsiaTheme="minorEastAsia" w:cstheme="minorEastAsia"/>
                <w:b w:val="0"/>
                <w:bCs/>
                <w:color w:val="auto"/>
                <w:sz w:val="21"/>
                <w:szCs w:val="21"/>
                <w:highlight w:val="none"/>
              </w:rPr>
            </w:pPr>
          </w:p>
        </w:tc>
        <w:tc>
          <w:tcPr>
            <w:tcW w:w="753" w:type="pct"/>
            <w:tcBorders>
              <w:tl2br w:val="nil"/>
              <w:tr2bl w:val="nil"/>
            </w:tcBorders>
            <w:vAlign w:val="center"/>
          </w:tcPr>
          <w:p w14:paraId="341213B9">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color w:val="auto"/>
                <w:sz w:val="21"/>
                <w:szCs w:val="21"/>
                <w:highlight w:val="none"/>
                <w:lang w:val="en-US" w:eastAsia="zh-CN"/>
              </w:rPr>
            </w:pPr>
            <w:r>
              <w:rPr>
                <w:rFonts w:hint="eastAsia" w:asciiTheme="minorEastAsia" w:hAnsiTheme="minorEastAsia" w:eastAsiaTheme="minorEastAsia" w:cstheme="minorEastAsia"/>
                <w:b w:val="0"/>
                <w:bCs/>
                <w:color w:val="auto"/>
                <w:sz w:val="21"/>
                <w:szCs w:val="21"/>
                <w:highlight w:val="none"/>
                <w:lang w:val="en-US" w:eastAsia="zh-CN"/>
              </w:rPr>
              <w:t>影响分析</w:t>
            </w:r>
          </w:p>
        </w:tc>
        <w:tc>
          <w:tcPr>
            <w:tcW w:w="3796" w:type="pct"/>
            <w:tcBorders>
              <w:tl2br w:val="nil"/>
              <w:tr2bl w:val="nil"/>
            </w:tcBorders>
            <w:vAlign w:val="center"/>
          </w:tcPr>
          <w:p w14:paraId="348899A3">
            <w:pPr>
              <w:keepNext w:val="0"/>
              <w:keepLines w:val="0"/>
              <w:widowControl w:val="0"/>
              <w:suppressLineNumbers w:val="0"/>
              <w:snapToGrid w:val="0"/>
              <w:spacing w:before="0" w:beforeAutospacing="0" w:after="0" w:afterAutospacing="0" w:line="240" w:lineRule="auto"/>
              <w:ind w:left="0" w:right="0"/>
              <w:jc w:val="both"/>
              <w:rPr>
                <w:rFonts w:hint="eastAsia" w:ascii="宋体" w:hAnsi="宋体" w:eastAsia="宋体" w:cs="宋体"/>
                <w:b w:val="0"/>
                <w:bCs/>
                <w:color w:val="auto"/>
                <w:sz w:val="21"/>
                <w:szCs w:val="21"/>
                <w:highlight w:val="none"/>
                <w:lang w:val="en-US" w:eastAsia="zh-CN"/>
              </w:rPr>
            </w:pPr>
            <w:r>
              <w:rPr>
                <w:rFonts w:hint="eastAsia" w:ascii="宋体" w:hAnsi="宋体" w:eastAsia="宋体" w:cs="宋体"/>
                <w:b w:val="0"/>
                <w:bCs/>
                <w:color w:val="auto"/>
                <w:sz w:val="21"/>
                <w:szCs w:val="21"/>
                <w:highlight w:val="none"/>
              </w:rPr>
              <w:t>根据灰渣浸出液检测结果，关注的铅、铬、镉、铜、镍、锌等重金属均未检出，各项监测指标满足《土壤环境质量 农用地土壤污染风险管控标准（试行）》（GB 15618-2018 ）表1 农用地土壤污染风险筛选值（基本项目）要求，利用该公司产生的灰渣对废弃</w:t>
            </w:r>
            <w:r>
              <w:rPr>
                <w:rFonts w:hint="eastAsia" w:asciiTheme="minorEastAsia" w:hAnsiTheme="minorEastAsia" w:eastAsiaTheme="minorEastAsia" w:cstheme="minorEastAsia"/>
                <w:color w:val="auto"/>
                <w:szCs w:val="24"/>
                <w:highlight w:val="none"/>
              </w:rPr>
              <w:t>采砂坑</w:t>
            </w:r>
            <w:r>
              <w:rPr>
                <w:rFonts w:hint="eastAsia" w:ascii="宋体" w:hAnsi="宋体" w:eastAsia="宋体" w:cs="宋体"/>
                <w:b w:val="0"/>
                <w:bCs/>
                <w:color w:val="auto"/>
                <w:sz w:val="21"/>
                <w:szCs w:val="21"/>
                <w:highlight w:val="none"/>
              </w:rPr>
              <w:t>进行回填、复垦，满足《一般工业固体废物贮存和填埋污染控制标准》（GB 18599-2020）中“土地复垦后用作农用地的还应满足GB 15618的要求”。</w:t>
            </w:r>
            <w:r>
              <w:rPr>
                <w:rFonts w:hint="eastAsia" w:ascii="宋体" w:hAnsi="宋体" w:eastAsia="宋体" w:cs="宋体"/>
                <w:b w:val="0"/>
                <w:bCs/>
                <w:color w:val="auto"/>
                <w:sz w:val="21"/>
                <w:szCs w:val="21"/>
                <w:highlight w:val="none"/>
                <w:lang w:val="en-US" w:eastAsia="zh-CN"/>
              </w:rPr>
              <w:t>因此仅对土壤影响进行定性分析。</w:t>
            </w:r>
          </w:p>
        </w:tc>
      </w:tr>
    </w:tbl>
    <w:p w14:paraId="71489CD1">
      <w:pPr>
        <w:pStyle w:val="1331"/>
        <w:widowControl w:val="0"/>
        <w:snapToGrid w:val="0"/>
        <w:spacing w:line="240" w:lineRule="auto"/>
        <w:ind w:firstLine="482"/>
        <w:rPr>
          <w:rFonts w:hint="eastAsia" w:asciiTheme="minorEastAsia" w:hAnsiTheme="minorEastAsia" w:eastAsiaTheme="minorEastAsia" w:cstheme="minorEastAsia"/>
          <w:color w:val="auto"/>
          <w:sz w:val="24"/>
          <w:highlight w:val="none"/>
        </w:rPr>
      </w:pPr>
    </w:p>
    <w:p w14:paraId="46C6C154">
      <w:pPr>
        <w:pStyle w:val="1331"/>
        <w:widowControl w:val="0"/>
        <w:snapToGrid w:val="0"/>
        <w:spacing w:line="240" w:lineRule="auto"/>
        <w:ind w:firstLine="482"/>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表2</w:t>
      </w:r>
      <w:r>
        <w:rPr>
          <w:rFonts w:hint="eastAsia" w:asciiTheme="minorEastAsia" w:hAnsiTheme="minorEastAsia" w:eastAsiaTheme="minorEastAsia" w:cstheme="minorEastAsia"/>
          <w:color w:val="auto"/>
          <w:sz w:val="24"/>
          <w:highlight w:val="none"/>
          <w:lang w:val="en-US" w:eastAsia="zh-CN"/>
        </w:rPr>
        <w:t>.</w:t>
      </w:r>
      <w:r>
        <w:rPr>
          <w:rFonts w:hint="eastAsia" w:asciiTheme="minorEastAsia" w:hAnsiTheme="minorEastAsia" w:eastAsiaTheme="minorEastAsia" w:cstheme="minorEastAsia"/>
          <w:color w:val="auto"/>
          <w:sz w:val="24"/>
          <w:highlight w:val="none"/>
        </w:rPr>
        <w:t>4-</w:t>
      </w:r>
      <w:r>
        <w:rPr>
          <w:rFonts w:hint="eastAsia" w:asciiTheme="minorEastAsia" w:hAnsiTheme="minorEastAsia" w:eastAsiaTheme="minorEastAsia" w:cstheme="minorEastAsia"/>
          <w:color w:val="auto"/>
          <w:sz w:val="24"/>
          <w:highlight w:val="none"/>
          <w:lang w:val="en-US" w:eastAsia="zh-CN"/>
        </w:rPr>
        <w:t xml:space="preserve">3  </w:t>
      </w:r>
      <w:r>
        <w:rPr>
          <w:rFonts w:hint="eastAsia" w:asciiTheme="minorEastAsia" w:hAnsiTheme="minorEastAsia" w:eastAsiaTheme="minorEastAsia" w:cstheme="minorEastAsia"/>
          <w:color w:val="auto"/>
          <w:sz w:val="24"/>
          <w:highlight w:val="none"/>
        </w:rPr>
        <w:t>生态影响评价因子</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00"/>
        <w:gridCol w:w="2515"/>
        <w:gridCol w:w="2423"/>
        <w:gridCol w:w="1433"/>
        <w:gridCol w:w="851"/>
      </w:tblGrid>
      <w:tr w14:paraId="5E57C1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62" w:type="pct"/>
            <w:tcBorders>
              <w:tl2br w:val="nil"/>
              <w:tr2bl w:val="nil"/>
            </w:tcBorders>
            <w:vAlign w:val="center"/>
          </w:tcPr>
          <w:p w14:paraId="1AD0A91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受影响对象</w:t>
            </w:r>
          </w:p>
        </w:tc>
        <w:tc>
          <w:tcPr>
            <w:tcW w:w="1475" w:type="pct"/>
            <w:tcBorders>
              <w:tl2br w:val="nil"/>
              <w:tr2bl w:val="nil"/>
            </w:tcBorders>
            <w:vAlign w:val="center"/>
          </w:tcPr>
          <w:p w14:paraId="0AB558A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评价因子</w:t>
            </w:r>
          </w:p>
        </w:tc>
        <w:tc>
          <w:tcPr>
            <w:tcW w:w="1421" w:type="pct"/>
            <w:tcBorders>
              <w:tl2br w:val="nil"/>
              <w:tr2bl w:val="nil"/>
            </w:tcBorders>
            <w:vAlign w:val="center"/>
          </w:tcPr>
          <w:p w14:paraId="61283D4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工程内容及影响方式</w:t>
            </w:r>
          </w:p>
        </w:tc>
        <w:tc>
          <w:tcPr>
            <w:tcW w:w="840" w:type="pct"/>
            <w:tcBorders>
              <w:tl2br w:val="nil"/>
              <w:tr2bl w:val="nil"/>
            </w:tcBorders>
            <w:vAlign w:val="center"/>
          </w:tcPr>
          <w:p w14:paraId="1724F0B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影响性质</w:t>
            </w:r>
          </w:p>
        </w:tc>
        <w:tc>
          <w:tcPr>
            <w:tcW w:w="499" w:type="pct"/>
            <w:tcBorders>
              <w:tl2br w:val="nil"/>
              <w:tr2bl w:val="nil"/>
            </w:tcBorders>
            <w:vAlign w:val="center"/>
          </w:tcPr>
          <w:p w14:paraId="30F594B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影响</w:t>
            </w:r>
          </w:p>
          <w:p w14:paraId="69D63DB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程度</w:t>
            </w:r>
          </w:p>
        </w:tc>
      </w:tr>
      <w:tr w14:paraId="2BE812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62" w:type="pct"/>
            <w:tcBorders>
              <w:tl2br w:val="nil"/>
              <w:tr2bl w:val="nil"/>
            </w:tcBorders>
            <w:vAlign w:val="center"/>
          </w:tcPr>
          <w:p w14:paraId="238015F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物种</w:t>
            </w:r>
          </w:p>
        </w:tc>
        <w:tc>
          <w:tcPr>
            <w:tcW w:w="1475" w:type="pct"/>
            <w:tcBorders>
              <w:tl2br w:val="nil"/>
              <w:tr2bl w:val="nil"/>
            </w:tcBorders>
            <w:vAlign w:val="center"/>
          </w:tcPr>
          <w:p w14:paraId="46E1580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分布范围、</w:t>
            </w:r>
            <w:r>
              <w:rPr>
                <w:rFonts w:hint="eastAsia" w:asciiTheme="minorEastAsia" w:hAnsiTheme="minorEastAsia" w:eastAsiaTheme="minorEastAsia" w:cstheme="minorEastAsia"/>
                <w:b w:val="0"/>
                <w:bCs w:val="0"/>
                <w:color w:val="auto"/>
                <w:sz w:val="21"/>
                <w:szCs w:val="21"/>
                <w:highlight w:val="none"/>
              </w:rPr>
              <w:t>种群数量、种群结构</w:t>
            </w:r>
            <w:r>
              <w:rPr>
                <w:rFonts w:hint="eastAsia" w:asciiTheme="minorEastAsia" w:hAnsiTheme="minorEastAsia" w:eastAsiaTheme="minorEastAsia" w:cstheme="minorEastAsia"/>
                <w:b w:val="0"/>
                <w:bCs w:val="0"/>
                <w:color w:val="auto"/>
                <w:sz w:val="21"/>
                <w:szCs w:val="21"/>
                <w:highlight w:val="none"/>
                <w:lang w:eastAsia="zh-CN"/>
              </w:rPr>
              <w:t>、</w:t>
            </w:r>
            <w:r>
              <w:rPr>
                <w:rFonts w:hint="eastAsia" w:asciiTheme="minorEastAsia" w:hAnsiTheme="minorEastAsia" w:eastAsiaTheme="minorEastAsia" w:cstheme="minorEastAsia"/>
                <w:b w:val="0"/>
                <w:bCs w:val="0"/>
                <w:color w:val="auto"/>
                <w:sz w:val="21"/>
                <w:szCs w:val="21"/>
                <w:highlight w:val="none"/>
                <w:lang w:val="en-US" w:eastAsia="zh-CN"/>
              </w:rPr>
              <w:t>行为</w:t>
            </w:r>
          </w:p>
        </w:tc>
        <w:tc>
          <w:tcPr>
            <w:tcW w:w="1421" w:type="pct"/>
            <w:tcBorders>
              <w:tl2br w:val="nil"/>
              <w:tr2bl w:val="nil"/>
            </w:tcBorders>
            <w:vAlign w:val="center"/>
          </w:tcPr>
          <w:p w14:paraId="3CAEEB5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回填期的直接生态影响</w:t>
            </w:r>
          </w:p>
        </w:tc>
        <w:tc>
          <w:tcPr>
            <w:tcW w:w="840" w:type="pct"/>
            <w:tcBorders>
              <w:tl2br w:val="nil"/>
              <w:tr2bl w:val="nil"/>
            </w:tcBorders>
            <w:vAlign w:val="center"/>
          </w:tcPr>
          <w:p w14:paraId="25C6B16A">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短期、</w:t>
            </w:r>
            <w:r>
              <w:rPr>
                <w:rFonts w:hint="eastAsia" w:asciiTheme="minorEastAsia" w:hAnsiTheme="minorEastAsia" w:eastAsiaTheme="minorEastAsia" w:cstheme="minorEastAsia"/>
                <w:b w:val="0"/>
                <w:bCs w:val="0"/>
                <w:color w:val="auto"/>
                <w:sz w:val="21"/>
                <w:szCs w:val="21"/>
                <w:highlight w:val="none"/>
                <w:lang w:val="en-US" w:eastAsia="zh-CN"/>
              </w:rPr>
              <w:t>不</w:t>
            </w:r>
            <w:r>
              <w:rPr>
                <w:rFonts w:hint="eastAsia" w:asciiTheme="minorEastAsia" w:hAnsiTheme="minorEastAsia" w:eastAsiaTheme="minorEastAsia" w:cstheme="minorEastAsia"/>
                <w:b w:val="0"/>
                <w:bCs w:val="0"/>
                <w:color w:val="auto"/>
                <w:sz w:val="21"/>
                <w:szCs w:val="21"/>
                <w:highlight w:val="none"/>
              </w:rPr>
              <w:t>可逆</w:t>
            </w:r>
          </w:p>
        </w:tc>
        <w:tc>
          <w:tcPr>
            <w:tcW w:w="499" w:type="pct"/>
            <w:tcBorders>
              <w:tl2br w:val="nil"/>
              <w:tr2bl w:val="nil"/>
            </w:tcBorders>
            <w:vAlign w:val="center"/>
          </w:tcPr>
          <w:p w14:paraId="217B99F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弱</w:t>
            </w:r>
          </w:p>
        </w:tc>
      </w:tr>
      <w:tr w14:paraId="16072C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62" w:type="pct"/>
            <w:tcBorders>
              <w:tl2br w:val="nil"/>
              <w:tr2bl w:val="nil"/>
            </w:tcBorders>
            <w:vAlign w:val="center"/>
          </w:tcPr>
          <w:p w14:paraId="55DD8FD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生境</w:t>
            </w:r>
          </w:p>
        </w:tc>
        <w:tc>
          <w:tcPr>
            <w:tcW w:w="1475" w:type="pct"/>
            <w:tcBorders>
              <w:tl2br w:val="nil"/>
              <w:tr2bl w:val="nil"/>
            </w:tcBorders>
            <w:vAlign w:val="center"/>
          </w:tcPr>
          <w:p w14:paraId="3E791C6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生境面积、质量、连通性</w:t>
            </w:r>
          </w:p>
        </w:tc>
        <w:tc>
          <w:tcPr>
            <w:tcW w:w="1421" w:type="pct"/>
            <w:tcBorders>
              <w:tl2br w:val="nil"/>
              <w:tr2bl w:val="nil"/>
            </w:tcBorders>
            <w:vAlign w:val="center"/>
          </w:tcPr>
          <w:p w14:paraId="5C50ADF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回填期的直接生态影响</w:t>
            </w:r>
          </w:p>
        </w:tc>
        <w:tc>
          <w:tcPr>
            <w:tcW w:w="840" w:type="pct"/>
            <w:tcBorders>
              <w:tl2br w:val="nil"/>
              <w:tr2bl w:val="nil"/>
            </w:tcBorders>
            <w:vAlign w:val="center"/>
          </w:tcPr>
          <w:p w14:paraId="4FDC4DFA">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短期、</w:t>
            </w:r>
            <w:r>
              <w:rPr>
                <w:rFonts w:hint="eastAsia" w:asciiTheme="minorEastAsia" w:hAnsiTheme="minorEastAsia" w:eastAsiaTheme="minorEastAsia" w:cstheme="minorEastAsia"/>
                <w:b w:val="0"/>
                <w:bCs w:val="0"/>
                <w:color w:val="auto"/>
                <w:sz w:val="21"/>
                <w:szCs w:val="21"/>
                <w:highlight w:val="none"/>
                <w:lang w:val="en-US" w:eastAsia="zh-CN"/>
              </w:rPr>
              <w:t>不</w:t>
            </w:r>
            <w:r>
              <w:rPr>
                <w:rFonts w:hint="eastAsia" w:asciiTheme="minorEastAsia" w:hAnsiTheme="minorEastAsia" w:eastAsiaTheme="minorEastAsia" w:cstheme="minorEastAsia"/>
                <w:b w:val="0"/>
                <w:bCs w:val="0"/>
                <w:color w:val="auto"/>
                <w:sz w:val="21"/>
                <w:szCs w:val="21"/>
                <w:highlight w:val="none"/>
              </w:rPr>
              <w:t>可逆</w:t>
            </w:r>
          </w:p>
        </w:tc>
        <w:tc>
          <w:tcPr>
            <w:tcW w:w="499" w:type="pct"/>
            <w:tcBorders>
              <w:tl2br w:val="nil"/>
              <w:tr2bl w:val="nil"/>
            </w:tcBorders>
            <w:vAlign w:val="center"/>
          </w:tcPr>
          <w:p w14:paraId="1C208B3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弱</w:t>
            </w:r>
          </w:p>
        </w:tc>
      </w:tr>
      <w:tr w14:paraId="5E5863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62" w:type="pct"/>
            <w:tcBorders>
              <w:tl2br w:val="nil"/>
              <w:tr2bl w:val="nil"/>
            </w:tcBorders>
            <w:vAlign w:val="center"/>
          </w:tcPr>
          <w:p w14:paraId="61BB114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生物群落</w:t>
            </w:r>
          </w:p>
        </w:tc>
        <w:tc>
          <w:tcPr>
            <w:tcW w:w="1475" w:type="pct"/>
            <w:tcBorders>
              <w:tl2br w:val="nil"/>
              <w:tr2bl w:val="nil"/>
            </w:tcBorders>
            <w:vAlign w:val="center"/>
          </w:tcPr>
          <w:p w14:paraId="5717A54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物种组成、群落结构</w:t>
            </w:r>
          </w:p>
        </w:tc>
        <w:tc>
          <w:tcPr>
            <w:tcW w:w="1421" w:type="pct"/>
            <w:tcBorders>
              <w:tl2br w:val="nil"/>
              <w:tr2bl w:val="nil"/>
            </w:tcBorders>
            <w:vAlign w:val="center"/>
          </w:tcPr>
          <w:p w14:paraId="7016A82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回填期的直接生态影响</w:t>
            </w:r>
          </w:p>
        </w:tc>
        <w:tc>
          <w:tcPr>
            <w:tcW w:w="840" w:type="pct"/>
            <w:tcBorders>
              <w:tl2br w:val="nil"/>
              <w:tr2bl w:val="nil"/>
            </w:tcBorders>
            <w:vAlign w:val="center"/>
          </w:tcPr>
          <w:p w14:paraId="7404C41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短期、</w:t>
            </w:r>
            <w:r>
              <w:rPr>
                <w:rFonts w:hint="eastAsia" w:asciiTheme="minorEastAsia" w:hAnsiTheme="minorEastAsia" w:eastAsiaTheme="minorEastAsia" w:cstheme="minorEastAsia"/>
                <w:b w:val="0"/>
                <w:bCs w:val="0"/>
                <w:color w:val="auto"/>
                <w:sz w:val="21"/>
                <w:szCs w:val="21"/>
                <w:highlight w:val="none"/>
                <w:lang w:val="en-US" w:eastAsia="zh-CN"/>
              </w:rPr>
              <w:t>不</w:t>
            </w:r>
            <w:r>
              <w:rPr>
                <w:rFonts w:hint="eastAsia" w:asciiTheme="minorEastAsia" w:hAnsiTheme="minorEastAsia" w:eastAsiaTheme="minorEastAsia" w:cstheme="minorEastAsia"/>
                <w:b w:val="0"/>
                <w:bCs w:val="0"/>
                <w:color w:val="auto"/>
                <w:sz w:val="21"/>
                <w:szCs w:val="21"/>
                <w:highlight w:val="none"/>
              </w:rPr>
              <w:t>可逆</w:t>
            </w:r>
          </w:p>
        </w:tc>
        <w:tc>
          <w:tcPr>
            <w:tcW w:w="499" w:type="pct"/>
            <w:tcBorders>
              <w:tl2br w:val="nil"/>
              <w:tr2bl w:val="nil"/>
            </w:tcBorders>
            <w:vAlign w:val="center"/>
          </w:tcPr>
          <w:p w14:paraId="68C226D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弱</w:t>
            </w:r>
          </w:p>
        </w:tc>
      </w:tr>
      <w:tr w14:paraId="3BE4CD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62" w:type="pct"/>
            <w:tcBorders>
              <w:tl2br w:val="nil"/>
              <w:tr2bl w:val="nil"/>
            </w:tcBorders>
            <w:vAlign w:val="center"/>
          </w:tcPr>
          <w:p w14:paraId="4C6B8A5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生态系统</w:t>
            </w:r>
          </w:p>
        </w:tc>
        <w:tc>
          <w:tcPr>
            <w:tcW w:w="1475" w:type="pct"/>
            <w:tcBorders>
              <w:tl2br w:val="nil"/>
              <w:tr2bl w:val="nil"/>
            </w:tcBorders>
            <w:vAlign w:val="center"/>
          </w:tcPr>
          <w:p w14:paraId="7E25867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植被覆盖度、生产力、生物量、生态系统功能</w:t>
            </w:r>
          </w:p>
        </w:tc>
        <w:tc>
          <w:tcPr>
            <w:tcW w:w="1421" w:type="pct"/>
            <w:tcBorders>
              <w:tl2br w:val="nil"/>
              <w:tr2bl w:val="nil"/>
            </w:tcBorders>
            <w:vAlign w:val="center"/>
          </w:tcPr>
          <w:p w14:paraId="2DFAA9A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回填期的直接生态影响</w:t>
            </w:r>
          </w:p>
        </w:tc>
        <w:tc>
          <w:tcPr>
            <w:tcW w:w="840" w:type="pct"/>
            <w:tcBorders>
              <w:tl2br w:val="nil"/>
              <w:tr2bl w:val="nil"/>
            </w:tcBorders>
            <w:vAlign w:val="center"/>
          </w:tcPr>
          <w:p w14:paraId="63683DE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短期、</w:t>
            </w:r>
            <w:r>
              <w:rPr>
                <w:rFonts w:hint="eastAsia" w:asciiTheme="minorEastAsia" w:hAnsiTheme="minorEastAsia" w:eastAsiaTheme="minorEastAsia" w:cstheme="minorEastAsia"/>
                <w:b w:val="0"/>
                <w:bCs w:val="0"/>
                <w:color w:val="auto"/>
                <w:sz w:val="21"/>
                <w:szCs w:val="21"/>
                <w:highlight w:val="none"/>
                <w:lang w:val="en-US" w:eastAsia="zh-CN"/>
              </w:rPr>
              <w:t>不</w:t>
            </w:r>
            <w:r>
              <w:rPr>
                <w:rFonts w:hint="eastAsia" w:asciiTheme="minorEastAsia" w:hAnsiTheme="minorEastAsia" w:eastAsiaTheme="minorEastAsia" w:cstheme="minorEastAsia"/>
                <w:b w:val="0"/>
                <w:bCs w:val="0"/>
                <w:color w:val="auto"/>
                <w:sz w:val="21"/>
                <w:szCs w:val="21"/>
                <w:highlight w:val="none"/>
              </w:rPr>
              <w:t>可逆</w:t>
            </w:r>
          </w:p>
        </w:tc>
        <w:tc>
          <w:tcPr>
            <w:tcW w:w="499" w:type="pct"/>
            <w:tcBorders>
              <w:tl2br w:val="nil"/>
              <w:tr2bl w:val="nil"/>
            </w:tcBorders>
            <w:vAlign w:val="center"/>
          </w:tcPr>
          <w:p w14:paraId="32E84C7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弱</w:t>
            </w:r>
          </w:p>
        </w:tc>
      </w:tr>
      <w:tr w14:paraId="79CA8A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62" w:type="pct"/>
            <w:tcBorders>
              <w:tl2br w:val="nil"/>
              <w:tr2bl w:val="nil"/>
            </w:tcBorders>
            <w:vAlign w:val="center"/>
          </w:tcPr>
          <w:p w14:paraId="3AF5277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生物多样性</w:t>
            </w:r>
          </w:p>
        </w:tc>
        <w:tc>
          <w:tcPr>
            <w:tcW w:w="1475" w:type="pct"/>
            <w:tcBorders>
              <w:tl2br w:val="nil"/>
              <w:tr2bl w:val="nil"/>
            </w:tcBorders>
            <w:vAlign w:val="center"/>
          </w:tcPr>
          <w:p w14:paraId="00A40FD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物种丰富度、均匀度、</w:t>
            </w:r>
          </w:p>
          <w:p w14:paraId="73B5B8F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优势度</w:t>
            </w:r>
          </w:p>
        </w:tc>
        <w:tc>
          <w:tcPr>
            <w:tcW w:w="1421" w:type="pct"/>
            <w:tcBorders>
              <w:tl2br w:val="nil"/>
              <w:tr2bl w:val="nil"/>
            </w:tcBorders>
            <w:vAlign w:val="center"/>
          </w:tcPr>
          <w:p w14:paraId="1991051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回填期的直接生态影响</w:t>
            </w:r>
          </w:p>
        </w:tc>
        <w:tc>
          <w:tcPr>
            <w:tcW w:w="840" w:type="pct"/>
            <w:tcBorders>
              <w:tl2br w:val="nil"/>
              <w:tr2bl w:val="nil"/>
            </w:tcBorders>
            <w:vAlign w:val="center"/>
          </w:tcPr>
          <w:p w14:paraId="292A326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短期、</w:t>
            </w:r>
            <w:r>
              <w:rPr>
                <w:rFonts w:hint="eastAsia" w:asciiTheme="minorEastAsia" w:hAnsiTheme="minorEastAsia" w:eastAsiaTheme="minorEastAsia" w:cstheme="minorEastAsia"/>
                <w:b w:val="0"/>
                <w:bCs w:val="0"/>
                <w:color w:val="auto"/>
                <w:sz w:val="21"/>
                <w:szCs w:val="21"/>
                <w:highlight w:val="none"/>
                <w:lang w:val="en-US" w:eastAsia="zh-CN"/>
              </w:rPr>
              <w:t>不</w:t>
            </w:r>
            <w:r>
              <w:rPr>
                <w:rFonts w:hint="eastAsia" w:asciiTheme="minorEastAsia" w:hAnsiTheme="minorEastAsia" w:eastAsiaTheme="minorEastAsia" w:cstheme="minorEastAsia"/>
                <w:b w:val="0"/>
                <w:bCs w:val="0"/>
                <w:color w:val="auto"/>
                <w:sz w:val="21"/>
                <w:szCs w:val="21"/>
                <w:highlight w:val="none"/>
              </w:rPr>
              <w:t>可逆</w:t>
            </w:r>
          </w:p>
        </w:tc>
        <w:tc>
          <w:tcPr>
            <w:tcW w:w="499" w:type="pct"/>
            <w:tcBorders>
              <w:tl2br w:val="nil"/>
              <w:tr2bl w:val="nil"/>
            </w:tcBorders>
            <w:vAlign w:val="center"/>
          </w:tcPr>
          <w:p w14:paraId="52D2A7F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弱</w:t>
            </w:r>
          </w:p>
        </w:tc>
      </w:tr>
      <w:tr w14:paraId="23DF5F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62" w:type="pct"/>
            <w:tcBorders>
              <w:tl2br w:val="nil"/>
              <w:tr2bl w:val="nil"/>
            </w:tcBorders>
            <w:vAlign w:val="center"/>
          </w:tcPr>
          <w:p w14:paraId="67B4F64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生态敏感区</w:t>
            </w:r>
          </w:p>
        </w:tc>
        <w:tc>
          <w:tcPr>
            <w:tcW w:w="1475" w:type="pct"/>
            <w:tcBorders>
              <w:tl2br w:val="nil"/>
              <w:tr2bl w:val="nil"/>
            </w:tcBorders>
            <w:vAlign w:val="center"/>
          </w:tcPr>
          <w:p w14:paraId="39C167B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主要保护对象、生态功能</w:t>
            </w:r>
          </w:p>
        </w:tc>
        <w:tc>
          <w:tcPr>
            <w:tcW w:w="1421" w:type="pct"/>
            <w:vMerge w:val="restart"/>
            <w:tcBorders>
              <w:tl2br w:val="nil"/>
              <w:tr2bl w:val="nil"/>
            </w:tcBorders>
            <w:vAlign w:val="center"/>
          </w:tcPr>
          <w:p w14:paraId="460875A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不涉及</w:t>
            </w:r>
          </w:p>
        </w:tc>
        <w:tc>
          <w:tcPr>
            <w:tcW w:w="840" w:type="pct"/>
            <w:vMerge w:val="restart"/>
            <w:tcBorders>
              <w:tl2br w:val="nil"/>
              <w:tr2bl w:val="nil"/>
            </w:tcBorders>
            <w:vAlign w:val="center"/>
          </w:tcPr>
          <w:p w14:paraId="54CA2EB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不涉及</w:t>
            </w:r>
          </w:p>
        </w:tc>
        <w:tc>
          <w:tcPr>
            <w:tcW w:w="499" w:type="pct"/>
            <w:vMerge w:val="restart"/>
            <w:tcBorders>
              <w:tl2br w:val="nil"/>
              <w:tr2bl w:val="nil"/>
            </w:tcBorders>
            <w:vAlign w:val="center"/>
          </w:tcPr>
          <w:p w14:paraId="50D5D5A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不涉及</w:t>
            </w:r>
          </w:p>
        </w:tc>
      </w:tr>
      <w:tr w14:paraId="75A977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62" w:type="pct"/>
            <w:tcBorders>
              <w:tl2br w:val="nil"/>
              <w:tr2bl w:val="nil"/>
            </w:tcBorders>
            <w:vAlign w:val="center"/>
          </w:tcPr>
          <w:p w14:paraId="6C5D56A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自然景观</w:t>
            </w:r>
          </w:p>
        </w:tc>
        <w:tc>
          <w:tcPr>
            <w:tcW w:w="1475" w:type="pct"/>
            <w:tcBorders>
              <w:tl2br w:val="nil"/>
              <w:tr2bl w:val="nil"/>
            </w:tcBorders>
            <w:vAlign w:val="center"/>
          </w:tcPr>
          <w:p w14:paraId="2F48B2B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景观多样性、完整性等</w:t>
            </w:r>
          </w:p>
        </w:tc>
        <w:tc>
          <w:tcPr>
            <w:tcW w:w="1421" w:type="pct"/>
            <w:vMerge w:val="continue"/>
            <w:tcBorders>
              <w:tl2br w:val="nil"/>
              <w:tr2bl w:val="nil"/>
            </w:tcBorders>
            <w:vAlign w:val="center"/>
          </w:tcPr>
          <w:p w14:paraId="079C13D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840" w:type="pct"/>
            <w:vMerge w:val="continue"/>
            <w:tcBorders>
              <w:tl2br w:val="nil"/>
              <w:tr2bl w:val="nil"/>
            </w:tcBorders>
            <w:vAlign w:val="center"/>
          </w:tcPr>
          <w:p w14:paraId="2AB1369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99" w:type="pct"/>
            <w:vMerge w:val="continue"/>
            <w:tcBorders>
              <w:tl2br w:val="nil"/>
              <w:tr2bl w:val="nil"/>
            </w:tcBorders>
            <w:vAlign w:val="center"/>
          </w:tcPr>
          <w:p w14:paraId="683FB15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r>
      <w:tr w14:paraId="17D4C7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62" w:type="pct"/>
            <w:tcBorders>
              <w:tl2br w:val="nil"/>
              <w:tr2bl w:val="nil"/>
            </w:tcBorders>
            <w:vAlign w:val="center"/>
          </w:tcPr>
          <w:p w14:paraId="20A116C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自然遗迹</w:t>
            </w:r>
          </w:p>
        </w:tc>
        <w:tc>
          <w:tcPr>
            <w:tcW w:w="1475" w:type="pct"/>
            <w:tcBorders>
              <w:tl2br w:val="nil"/>
              <w:tr2bl w:val="nil"/>
            </w:tcBorders>
            <w:vAlign w:val="center"/>
          </w:tcPr>
          <w:p w14:paraId="680852E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遗迹多样性、完整性等</w:t>
            </w:r>
          </w:p>
        </w:tc>
        <w:tc>
          <w:tcPr>
            <w:tcW w:w="1421" w:type="pct"/>
            <w:vMerge w:val="continue"/>
            <w:tcBorders>
              <w:tl2br w:val="nil"/>
              <w:tr2bl w:val="nil"/>
            </w:tcBorders>
            <w:vAlign w:val="center"/>
          </w:tcPr>
          <w:p w14:paraId="77D41CA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840" w:type="pct"/>
            <w:vMerge w:val="continue"/>
            <w:tcBorders>
              <w:tl2br w:val="nil"/>
              <w:tr2bl w:val="nil"/>
            </w:tcBorders>
            <w:vAlign w:val="center"/>
          </w:tcPr>
          <w:p w14:paraId="31BEDAD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99" w:type="pct"/>
            <w:vMerge w:val="continue"/>
            <w:tcBorders>
              <w:tl2br w:val="nil"/>
              <w:tr2bl w:val="nil"/>
            </w:tcBorders>
            <w:vAlign w:val="center"/>
          </w:tcPr>
          <w:p w14:paraId="35E167F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tbl>
    <w:p w14:paraId="73B0CC78">
      <w:pPr>
        <w:pStyle w:val="6"/>
        <w:widowControl w:val="0"/>
        <w:snapToGrid w:val="0"/>
        <w:spacing w:before="0" w:after="0" w:line="360" w:lineRule="auto"/>
        <w:rPr>
          <w:rFonts w:hint="eastAsia" w:asciiTheme="minorEastAsia" w:hAnsiTheme="minorEastAsia" w:eastAsiaTheme="minorEastAsia" w:cstheme="minorEastAsia"/>
          <w:color w:val="auto"/>
          <w:highlight w:val="none"/>
        </w:rPr>
      </w:pPr>
      <w:bookmarkStart w:id="254" w:name="_Toc10823"/>
      <w:bookmarkStart w:id="255" w:name="_Toc25059"/>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评价工作等级和评价范围</w:t>
      </w:r>
      <w:bookmarkEnd w:id="254"/>
      <w:bookmarkEnd w:id="255"/>
    </w:p>
    <w:p w14:paraId="06C0692F">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lang w:val="en-US" w:eastAsia="zh-CN"/>
        </w:rPr>
      </w:pPr>
      <w:bookmarkStart w:id="256" w:name="_Toc525827421"/>
      <w:bookmarkStart w:id="257" w:name="_Toc532125221"/>
      <w:bookmarkStart w:id="258" w:name="_Toc26396"/>
      <w:bookmarkStart w:id="259" w:name="_Toc531800102"/>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.1环境</w:t>
      </w:r>
      <w:bookmarkEnd w:id="256"/>
      <w:bookmarkEnd w:id="257"/>
      <w:bookmarkEnd w:id="258"/>
      <w:bookmarkEnd w:id="259"/>
      <w:r>
        <w:rPr>
          <w:rFonts w:hint="eastAsia" w:asciiTheme="minorEastAsia" w:hAnsiTheme="minorEastAsia" w:eastAsiaTheme="minorEastAsia" w:cstheme="minorEastAsia"/>
          <w:color w:val="auto"/>
          <w:highlight w:val="none"/>
          <w:lang w:val="en-US" w:eastAsia="zh-CN"/>
        </w:rPr>
        <w:t>空气评价等级和评价范围</w:t>
      </w:r>
    </w:p>
    <w:p w14:paraId="69066F39">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5</w:t>
      </w:r>
      <w:r>
        <w:rPr>
          <w:rFonts w:hint="eastAsia" w:asciiTheme="minorEastAsia" w:hAnsiTheme="minorEastAsia" w:eastAsiaTheme="minorEastAsia" w:cstheme="minorEastAsia"/>
          <w:b/>
          <w:snapToGrid w:val="0"/>
          <w:color w:val="auto"/>
          <w:highlight w:val="none"/>
        </w:rPr>
        <w:t>.1.</w:t>
      </w:r>
      <w:r>
        <w:rPr>
          <w:rFonts w:hint="eastAsia" w:asciiTheme="minorEastAsia" w:hAnsiTheme="minorEastAsia" w:eastAsiaTheme="minorEastAsia" w:cstheme="minorEastAsia"/>
          <w:b/>
          <w:snapToGrid w:val="0"/>
          <w:color w:val="auto"/>
          <w:highlight w:val="none"/>
          <w:lang w:val="en-US" w:eastAsia="zh-CN"/>
        </w:rPr>
        <w:t>1评价因子及标准</w:t>
      </w:r>
    </w:p>
    <w:p w14:paraId="03653167">
      <w:pPr>
        <w:pStyle w:val="1156"/>
        <w:ind w:firstLine="480"/>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根据工程分析，本项目产生的废气为作业机械尾气和作业扬尘。机械尾气中主要污染物为CO、HC、NOx等，可通过自然通风稀释扩散，且污染物排放量较小，故本评价不进行机械尾气污染物的最大地面浓度占标率计算。因此，本次选取灰渣回填作业时产生的TSP作为主要污染物进行评价工作等级的确定</w:t>
      </w:r>
      <w:r>
        <w:rPr>
          <w:rFonts w:hint="eastAsia" w:asciiTheme="minorEastAsia" w:hAnsiTheme="minorEastAsia" w:eastAsiaTheme="minorEastAsia" w:cstheme="minorEastAsia"/>
          <w:color w:val="auto"/>
          <w:highlight w:val="none"/>
          <w:lang w:eastAsia="zh-CN"/>
        </w:rPr>
        <w:t>。</w:t>
      </w:r>
    </w:p>
    <w:p w14:paraId="5D4A489A">
      <w:pPr>
        <w:pStyle w:val="318"/>
        <w:widowControl w:val="0"/>
        <w:snapToGrid w:val="0"/>
        <w:spacing w:line="240" w:lineRule="auto"/>
        <w:ind w:firstLine="0"/>
        <w:rPr>
          <w:rFonts w:hint="eastAsia" w:asciiTheme="minorEastAsia" w:hAnsiTheme="minorEastAsia" w:eastAsiaTheme="minorEastAsia" w:cstheme="minorEastAsia"/>
          <w:b/>
          <w:color w:val="auto"/>
          <w:spacing w:val="0"/>
          <w:kern w:val="2"/>
          <w:sz w:val="24"/>
          <w:szCs w:val="24"/>
          <w:highlight w:val="none"/>
          <w:lang w:val="en-US" w:eastAsia="zh-CN" w:bidi="ar-SA"/>
        </w:rPr>
      </w:pPr>
      <w:r>
        <w:rPr>
          <w:rFonts w:hint="eastAsia" w:asciiTheme="minorEastAsia" w:hAnsiTheme="minorEastAsia" w:eastAsiaTheme="minorEastAsia" w:cstheme="minorEastAsia"/>
          <w:b/>
          <w:color w:val="auto"/>
          <w:spacing w:val="0"/>
          <w:kern w:val="2"/>
          <w:sz w:val="24"/>
          <w:szCs w:val="24"/>
          <w:highlight w:val="none"/>
          <w:lang w:val="en-US" w:eastAsia="zh-CN" w:bidi="ar-SA"/>
        </w:rPr>
        <w:t>表2.5-1  污染物评价因子和评价标准表</w:t>
      </w:r>
    </w:p>
    <w:tbl>
      <w:tblPr>
        <w:tblStyle w:val="84"/>
        <w:tblW w:w="4856"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937"/>
        <w:gridCol w:w="956"/>
        <w:gridCol w:w="1184"/>
        <w:gridCol w:w="2087"/>
        <w:gridCol w:w="1538"/>
        <w:gridCol w:w="1575"/>
      </w:tblGrid>
      <w:tr w14:paraId="614F4CF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566" w:type="pct"/>
            <w:tcBorders>
              <w:tl2br w:val="nil"/>
              <w:tr2bl w:val="nil"/>
            </w:tcBorders>
            <w:vAlign w:val="center"/>
          </w:tcPr>
          <w:p w14:paraId="492BD22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评价</w:t>
            </w:r>
          </w:p>
          <w:p w14:paraId="197991A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因子</w:t>
            </w:r>
          </w:p>
        </w:tc>
        <w:tc>
          <w:tcPr>
            <w:tcW w:w="577" w:type="pct"/>
            <w:tcBorders>
              <w:tl2br w:val="nil"/>
              <w:tr2bl w:val="nil"/>
            </w:tcBorders>
            <w:shd w:val="clear" w:color="auto" w:fill="auto"/>
            <w:vAlign w:val="center"/>
          </w:tcPr>
          <w:p w14:paraId="34DA8A45">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时段</w:t>
            </w:r>
          </w:p>
        </w:tc>
        <w:tc>
          <w:tcPr>
            <w:tcW w:w="715" w:type="pct"/>
            <w:tcBorders>
              <w:tl2br w:val="nil"/>
              <w:tr2bl w:val="nil"/>
            </w:tcBorders>
            <w:shd w:val="clear" w:color="auto" w:fill="auto"/>
            <w:vAlign w:val="center"/>
          </w:tcPr>
          <w:p w14:paraId="6D0149A2">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标准值（μg/m</w:t>
            </w:r>
            <w:r>
              <w:rPr>
                <w:rFonts w:hint="eastAsia" w:asciiTheme="minorEastAsia" w:hAnsiTheme="minorEastAsia" w:eastAsiaTheme="minorEastAsia" w:cstheme="minorEastAsia"/>
                <w:b w:val="0"/>
                <w:bCs w:val="0"/>
                <w:color w:val="auto"/>
                <w:sz w:val="21"/>
                <w:szCs w:val="21"/>
                <w:highlight w:val="none"/>
                <w:vertAlign w:val="superscript"/>
              </w:rPr>
              <w:t>3</w:t>
            </w:r>
            <w:r>
              <w:rPr>
                <w:rFonts w:hint="eastAsia" w:asciiTheme="minorEastAsia" w:hAnsiTheme="minorEastAsia" w:eastAsiaTheme="minorEastAsia" w:cstheme="minorEastAsia"/>
                <w:b w:val="0"/>
                <w:bCs w:val="0"/>
                <w:color w:val="auto"/>
                <w:sz w:val="21"/>
                <w:szCs w:val="21"/>
                <w:highlight w:val="none"/>
              </w:rPr>
              <w:t>）</w:t>
            </w:r>
          </w:p>
        </w:tc>
        <w:tc>
          <w:tcPr>
            <w:tcW w:w="1260" w:type="pct"/>
            <w:tcBorders>
              <w:tl2br w:val="nil"/>
              <w:tr2bl w:val="nil"/>
            </w:tcBorders>
            <w:vAlign w:val="center"/>
          </w:tcPr>
          <w:p w14:paraId="446FE3B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标准来源</w:t>
            </w:r>
          </w:p>
        </w:tc>
        <w:tc>
          <w:tcPr>
            <w:tcW w:w="929" w:type="pct"/>
            <w:tcBorders>
              <w:tl2br w:val="nil"/>
              <w:tr2bl w:val="nil"/>
            </w:tcBorders>
            <w:shd w:val="clear" w:color="auto" w:fill="auto"/>
            <w:vAlign w:val="center"/>
          </w:tcPr>
          <w:p w14:paraId="127EE470">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本次评价取值</w:t>
            </w:r>
          </w:p>
        </w:tc>
        <w:tc>
          <w:tcPr>
            <w:tcW w:w="951" w:type="pct"/>
            <w:tcBorders>
              <w:tl2br w:val="nil"/>
              <w:tr2bl w:val="nil"/>
            </w:tcBorders>
            <w:shd w:val="clear" w:color="auto" w:fill="auto"/>
            <w:vAlign w:val="center"/>
          </w:tcPr>
          <w:p w14:paraId="11EC4E98">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本次评价取值</w:t>
            </w:r>
            <w:r>
              <w:rPr>
                <w:rFonts w:hint="eastAsia" w:asciiTheme="minorEastAsia" w:hAnsiTheme="minorEastAsia" w:eastAsiaTheme="minorEastAsia" w:cstheme="minorEastAsia"/>
                <w:b w:val="0"/>
                <w:bCs w:val="0"/>
                <w:color w:val="auto"/>
                <w:sz w:val="21"/>
                <w:szCs w:val="21"/>
                <w:highlight w:val="none"/>
              </w:rPr>
              <w:t>（μg/m</w:t>
            </w:r>
            <w:r>
              <w:rPr>
                <w:rFonts w:hint="eastAsia" w:asciiTheme="minorEastAsia" w:hAnsiTheme="minorEastAsia" w:eastAsiaTheme="minorEastAsia" w:cstheme="minorEastAsia"/>
                <w:b w:val="0"/>
                <w:bCs w:val="0"/>
                <w:color w:val="auto"/>
                <w:sz w:val="21"/>
                <w:szCs w:val="21"/>
                <w:highlight w:val="none"/>
                <w:vertAlign w:val="superscript"/>
              </w:rPr>
              <w:t>3</w:t>
            </w:r>
            <w:r>
              <w:rPr>
                <w:rFonts w:hint="eastAsia" w:asciiTheme="minorEastAsia" w:hAnsiTheme="minorEastAsia" w:eastAsiaTheme="minorEastAsia" w:cstheme="minorEastAsia"/>
                <w:b w:val="0"/>
                <w:bCs w:val="0"/>
                <w:color w:val="auto"/>
                <w:sz w:val="21"/>
                <w:szCs w:val="21"/>
                <w:highlight w:val="none"/>
              </w:rPr>
              <w:t>）</w:t>
            </w:r>
          </w:p>
          <w:p w14:paraId="207BF4DF">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eastAsia="zh-CN"/>
              </w:rPr>
              <w:t>（</w:t>
            </w:r>
            <w:r>
              <w:rPr>
                <w:rFonts w:hint="eastAsia" w:asciiTheme="minorEastAsia" w:hAnsiTheme="minorEastAsia" w:eastAsiaTheme="minorEastAsia" w:cstheme="minorEastAsia"/>
                <w:b w:val="0"/>
                <w:bCs w:val="0"/>
                <w:color w:val="auto"/>
                <w:sz w:val="21"/>
                <w:szCs w:val="21"/>
                <w:highlight w:val="none"/>
                <w:lang w:val="en-US" w:eastAsia="zh-CN"/>
              </w:rPr>
              <w:t>标准值3倍</w:t>
            </w:r>
            <w:r>
              <w:rPr>
                <w:rFonts w:hint="eastAsia" w:asciiTheme="minorEastAsia" w:hAnsiTheme="minorEastAsia" w:eastAsiaTheme="minorEastAsia" w:cstheme="minorEastAsia"/>
                <w:b w:val="0"/>
                <w:bCs w:val="0"/>
                <w:color w:val="auto"/>
                <w:sz w:val="21"/>
                <w:szCs w:val="21"/>
                <w:highlight w:val="none"/>
                <w:lang w:eastAsia="zh-CN"/>
              </w:rPr>
              <w:t>）</w:t>
            </w:r>
          </w:p>
        </w:tc>
      </w:tr>
      <w:tr w14:paraId="5B723E5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566" w:type="pct"/>
            <w:tcBorders>
              <w:tl2br w:val="nil"/>
              <w:tr2bl w:val="nil"/>
            </w:tcBorders>
            <w:vAlign w:val="center"/>
          </w:tcPr>
          <w:p w14:paraId="6334C4B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TSP</w:t>
            </w:r>
          </w:p>
        </w:tc>
        <w:tc>
          <w:tcPr>
            <w:tcW w:w="577" w:type="pct"/>
            <w:tcBorders>
              <w:tl2br w:val="nil"/>
              <w:tr2bl w:val="nil"/>
            </w:tcBorders>
            <w:shd w:val="clear" w:color="auto" w:fill="auto"/>
            <w:vAlign w:val="center"/>
          </w:tcPr>
          <w:p w14:paraId="35540CD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b w:val="0"/>
                <w:color w:val="auto"/>
                <w:sz w:val="23"/>
                <w:szCs w:val="23"/>
                <w:highlight w:val="none"/>
              </w:rPr>
              <w:t>日均</w:t>
            </w:r>
          </w:p>
        </w:tc>
        <w:tc>
          <w:tcPr>
            <w:tcW w:w="715" w:type="pct"/>
            <w:tcBorders>
              <w:tl2br w:val="nil"/>
              <w:tr2bl w:val="nil"/>
            </w:tcBorders>
            <w:shd w:val="clear" w:color="auto" w:fill="auto"/>
            <w:vAlign w:val="center"/>
          </w:tcPr>
          <w:p w14:paraId="4400BDF1">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b w:val="0"/>
                <w:color w:val="auto"/>
                <w:sz w:val="23"/>
                <w:szCs w:val="23"/>
                <w:highlight w:val="none"/>
                <w:lang w:val="en-US" w:eastAsia="zh-CN"/>
              </w:rPr>
              <w:t>300</w:t>
            </w:r>
          </w:p>
        </w:tc>
        <w:tc>
          <w:tcPr>
            <w:tcW w:w="1260" w:type="pct"/>
            <w:tcBorders>
              <w:tl2br w:val="nil"/>
              <w:tr2bl w:val="nil"/>
            </w:tcBorders>
            <w:vAlign w:val="center"/>
          </w:tcPr>
          <w:p w14:paraId="5203889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《环境空气质量标准》（GB3095-20</w:t>
            </w:r>
            <w:r>
              <w:rPr>
                <w:rFonts w:hint="eastAsia" w:asciiTheme="minorEastAsia" w:hAnsiTheme="minorEastAsia" w:eastAsiaTheme="minorEastAsia" w:cstheme="minorEastAsia"/>
                <w:b w:val="0"/>
                <w:bCs w:val="0"/>
                <w:color w:val="auto"/>
                <w:sz w:val="21"/>
                <w:szCs w:val="21"/>
                <w:highlight w:val="none"/>
                <w:lang w:val="en-US" w:eastAsia="zh-CN"/>
              </w:rPr>
              <w:t>26</w:t>
            </w:r>
            <w:r>
              <w:rPr>
                <w:rFonts w:hint="eastAsia" w:asciiTheme="minorEastAsia" w:hAnsiTheme="minorEastAsia" w:eastAsiaTheme="minorEastAsia" w:cstheme="minorEastAsia"/>
                <w:b w:val="0"/>
                <w:bCs w:val="0"/>
                <w:color w:val="auto"/>
                <w:sz w:val="21"/>
                <w:szCs w:val="21"/>
                <w:highlight w:val="none"/>
              </w:rPr>
              <w:t>）二级标准</w:t>
            </w:r>
          </w:p>
        </w:tc>
        <w:tc>
          <w:tcPr>
            <w:tcW w:w="929" w:type="pct"/>
            <w:tcBorders>
              <w:tl2br w:val="nil"/>
              <w:tr2bl w:val="nil"/>
            </w:tcBorders>
            <w:shd w:val="clear" w:color="auto" w:fill="auto"/>
            <w:vAlign w:val="center"/>
          </w:tcPr>
          <w:p w14:paraId="14F2BEFF">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1小时平均</w:t>
            </w:r>
          </w:p>
        </w:tc>
        <w:tc>
          <w:tcPr>
            <w:tcW w:w="951" w:type="pct"/>
            <w:tcBorders>
              <w:tl2br w:val="nil"/>
              <w:tr2bl w:val="nil"/>
            </w:tcBorders>
            <w:shd w:val="clear" w:color="auto" w:fill="auto"/>
            <w:vAlign w:val="center"/>
          </w:tcPr>
          <w:p w14:paraId="18C84A7B">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900</w:t>
            </w:r>
          </w:p>
        </w:tc>
      </w:tr>
    </w:tbl>
    <w:p w14:paraId="7701807D">
      <w:pPr>
        <w:pStyle w:val="1156"/>
        <w:ind w:firstLine="480"/>
        <w:rPr>
          <w:rFonts w:hint="eastAsia" w:asciiTheme="minorEastAsia" w:hAnsiTheme="minorEastAsia" w:eastAsiaTheme="minorEastAsia" w:cstheme="minorEastAsia"/>
          <w:color w:val="auto"/>
          <w:highlight w:val="none"/>
        </w:rPr>
      </w:pPr>
    </w:p>
    <w:p w14:paraId="24500CE2">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5</w:t>
      </w:r>
      <w:r>
        <w:rPr>
          <w:rFonts w:hint="eastAsia" w:asciiTheme="minorEastAsia" w:hAnsiTheme="minorEastAsia" w:eastAsiaTheme="minorEastAsia" w:cstheme="minorEastAsia"/>
          <w:b/>
          <w:snapToGrid w:val="0"/>
          <w:color w:val="auto"/>
          <w:highlight w:val="none"/>
        </w:rPr>
        <w:t>.1.2估算模型参数</w:t>
      </w:r>
    </w:p>
    <w:p w14:paraId="200CCAEF">
      <w:pPr>
        <w:widowControl w:val="0"/>
        <w:snapToGrid w:val="0"/>
        <w:spacing w:line="360" w:lineRule="auto"/>
        <w:ind w:firstLine="480"/>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估算模型参数表见表2</w:t>
      </w:r>
      <w:r>
        <w:rPr>
          <w:rFonts w:hint="eastAsia" w:asciiTheme="minorEastAsia" w:hAnsiTheme="minorEastAsia" w:eastAsiaTheme="minorEastAsia" w:cstheme="minorEastAsia"/>
          <w:snapToGrid w:val="0"/>
          <w:color w:val="auto"/>
          <w:highlight w:val="none"/>
          <w:lang w:val="en-US" w:eastAsia="zh-CN"/>
        </w:rPr>
        <w:t>.5</w:t>
      </w:r>
      <w:r>
        <w:rPr>
          <w:rFonts w:hint="eastAsia" w:asciiTheme="minorEastAsia" w:hAnsiTheme="minorEastAsia" w:eastAsiaTheme="minorEastAsia" w:cstheme="minorEastAsia"/>
          <w:snapToGrid w:val="0"/>
          <w:color w:val="auto"/>
          <w:highlight w:val="none"/>
        </w:rPr>
        <w:t>-</w:t>
      </w:r>
      <w:r>
        <w:rPr>
          <w:rFonts w:hint="eastAsia" w:asciiTheme="minorEastAsia" w:hAnsiTheme="minorEastAsia" w:eastAsiaTheme="minorEastAsia" w:cstheme="minorEastAsia"/>
          <w:snapToGrid w:val="0"/>
          <w:color w:val="auto"/>
          <w:highlight w:val="none"/>
          <w:lang w:val="en-US" w:eastAsia="zh-CN"/>
        </w:rPr>
        <w:t>2</w:t>
      </w:r>
      <w:r>
        <w:rPr>
          <w:rFonts w:hint="eastAsia" w:asciiTheme="minorEastAsia" w:hAnsiTheme="minorEastAsia" w:eastAsiaTheme="minorEastAsia" w:cstheme="minorEastAsia"/>
          <w:snapToGrid w:val="0"/>
          <w:color w:val="auto"/>
          <w:highlight w:val="none"/>
        </w:rPr>
        <w:t>。</w:t>
      </w:r>
    </w:p>
    <w:p w14:paraId="24D38A0C">
      <w:pPr>
        <w:widowControl w:val="0"/>
        <w:snapToGrid w:val="0"/>
        <w:spacing w:line="240" w:lineRule="auto"/>
        <w:ind w:firstLine="482"/>
        <w:jc w:val="center"/>
        <w:rPr>
          <w:rFonts w:hint="eastAsia" w:asciiTheme="minorEastAsia" w:hAnsiTheme="minorEastAsia" w:eastAsiaTheme="minorEastAsia" w:cstheme="minorEastAsia"/>
          <w:b/>
          <w:color w:val="auto"/>
          <w:spacing w:val="0"/>
          <w:kern w:val="2"/>
          <w:sz w:val="24"/>
          <w:szCs w:val="24"/>
          <w:highlight w:val="none"/>
          <w:lang w:val="en-US" w:eastAsia="zh-CN" w:bidi="ar-SA"/>
        </w:rPr>
      </w:pPr>
      <w:r>
        <w:rPr>
          <w:rFonts w:hint="eastAsia" w:asciiTheme="minorEastAsia" w:hAnsiTheme="minorEastAsia" w:eastAsiaTheme="minorEastAsia" w:cstheme="minorEastAsia"/>
          <w:b/>
          <w:color w:val="auto"/>
          <w:spacing w:val="0"/>
          <w:kern w:val="2"/>
          <w:sz w:val="24"/>
          <w:szCs w:val="24"/>
          <w:highlight w:val="none"/>
          <w:lang w:val="en-US" w:eastAsia="zh-CN" w:bidi="ar-SA"/>
        </w:rPr>
        <w:t>表2.5-2  估算模型参数表</w:t>
      </w:r>
    </w:p>
    <w:tbl>
      <w:tblPr>
        <w:tblStyle w:val="84"/>
        <w:tblW w:w="852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95"/>
        <w:gridCol w:w="1764"/>
        <w:gridCol w:w="1189"/>
        <w:gridCol w:w="4173"/>
      </w:tblGrid>
      <w:tr w14:paraId="1B52E0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395" w:type="dxa"/>
            <w:gridSpan w:val="2"/>
            <w:tcBorders>
              <w:tl2br w:val="nil"/>
              <w:tr2bl w:val="nil"/>
            </w:tcBorders>
            <w:vAlign w:val="center"/>
          </w:tcPr>
          <w:p w14:paraId="7A0CAD46">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参数</w:t>
            </w:r>
          </w:p>
        </w:tc>
        <w:tc>
          <w:tcPr>
            <w:tcW w:w="1189" w:type="dxa"/>
            <w:tcBorders>
              <w:tl2br w:val="nil"/>
              <w:tr2bl w:val="nil"/>
            </w:tcBorders>
            <w:vAlign w:val="center"/>
          </w:tcPr>
          <w:p w14:paraId="65507C21">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取值</w:t>
            </w:r>
          </w:p>
        </w:tc>
        <w:tc>
          <w:tcPr>
            <w:tcW w:w="4173" w:type="dxa"/>
            <w:tcBorders>
              <w:tl2br w:val="nil"/>
              <w:tr2bl w:val="nil"/>
            </w:tcBorders>
            <w:vAlign w:val="center"/>
          </w:tcPr>
          <w:p w14:paraId="21A834EA">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取值说明</w:t>
            </w:r>
          </w:p>
        </w:tc>
      </w:tr>
      <w:tr w14:paraId="2BF123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395" w:type="dxa"/>
            <w:vMerge w:val="restart"/>
            <w:tcBorders>
              <w:tl2br w:val="nil"/>
              <w:tr2bl w:val="nil"/>
            </w:tcBorders>
            <w:vAlign w:val="center"/>
          </w:tcPr>
          <w:p w14:paraId="0E42ACA0">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城市/农村选项</w:t>
            </w:r>
          </w:p>
        </w:tc>
        <w:tc>
          <w:tcPr>
            <w:tcW w:w="1764" w:type="dxa"/>
            <w:tcBorders>
              <w:tl2br w:val="nil"/>
              <w:tr2bl w:val="nil"/>
            </w:tcBorders>
            <w:vAlign w:val="center"/>
          </w:tcPr>
          <w:p w14:paraId="4CD38676">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城市/农村</w:t>
            </w:r>
          </w:p>
        </w:tc>
        <w:tc>
          <w:tcPr>
            <w:tcW w:w="1189" w:type="dxa"/>
            <w:tcBorders>
              <w:tl2br w:val="nil"/>
              <w:tr2bl w:val="nil"/>
            </w:tcBorders>
            <w:vAlign w:val="center"/>
          </w:tcPr>
          <w:p w14:paraId="035C33AD">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农村</w:t>
            </w:r>
          </w:p>
        </w:tc>
        <w:tc>
          <w:tcPr>
            <w:tcW w:w="4173" w:type="dxa"/>
            <w:tcBorders>
              <w:tl2br w:val="nil"/>
              <w:tr2bl w:val="nil"/>
            </w:tcBorders>
            <w:vAlign w:val="center"/>
          </w:tcPr>
          <w:p w14:paraId="1E6959AB">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本项目周边3km半径范围内农</w:t>
            </w:r>
            <w:r>
              <w:rPr>
                <w:rFonts w:hint="eastAsia" w:asciiTheme="minorEastAsia" w:hAnsiTheme="minorEastAsia" w:eastAsiaTheme="minorEastAsia" w:cstheme="minorEastAsia"/>
                <w:b w:val="0"/>
                <w:bCs w:val="0"/>
                <w:color w:val="auto"/>
                <w:sz w:val="21"/>
                <w:szCs w:val="21"/>
                <w:highlight w:val="none"/>
                <w:lang w:eastAsia="zh-CN"/>
              </w:rPr>
              <w:t>村地</w:t>
            </w:r>
            <w:r>
              <w:rPr>
                <w:rFonts w:hint="eastAsia" w:asciiTheme="minorEastAsia" w:hAnsiTheme="minorEastAsia" w:eastAsiaTheme="minorEastAsia" w:cstheme="minorEastAsia"/>
                <w:b w:val="0"/>
                <w:bCs w:val="0"/>
                <w:color w:val="auto"/>
                <w:sz w:val="21"/>
                <w:szCs w:val="21"/>
                <w:highlight w:val="none"/>
              </w:rPr>
              <w:t>区达到了总面积的一半以上。</w:t>
            </w:r>
          </w:p>
        </w:tc>
      </w:tr>
      <w:tr w14:paraId="0E5307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395" w:type="dxa"/>
            <w:vMerge w:val="continue"/>
            <w:tcBorders>
              <w:tl2br w:val="nil"/>
              <w:tr2bl w:val="nil"/>
            </w:tcBorders>
            <w:vAlign w:val="center"/>
          </w:tcPr>
          <w:p w14:paraId="37259003">
            <w:pPr>
              <w:pStyle w:val="1332"/>
              <w:keepNext w:val="0"/>
              <w:keepLines w:val="0"/>
              <w:widowControl w:val="0"/>
              <w:suppressLineNumbers w:val="0"/>
              <w:snapToGrid w:val="0"/>
              <w:spacing w:beforeAutospacing="0" w:afterAutospacing="0" w:line="240" w:lineRule="auto"/>
              <w:ind w:left="0" w:leftChars="0" w:right="0" w:rightChars="0" w:firstLine="0" w:firstLineChars="0"/>
              <w:rPr>
                <w:rFonts w:hint="eastAsia" w:asciiTheme="minorEastAsia" w:hAnsiTheme="minorEastAsia" w:eastAsiaTheme="minorEastAsia" w:cstheme="minorEastAsia"/>
                <w:b w:val="0"/>
                <w:bCs w:val="0"/>
                <w:color w:val="auto"/>
                <w:sz w:val="21"/>
                <w:szCs w:val="21"/>
                <w:highlight w:val="none"/>
              </w:rPr>
            </w:pPr>
          </w:p>
        </w:tc>
        <w:tc>
          <w:tcPr>
            <w:tcW w:w="1764" w:type="dxa"/>
            <w:tcBorders>
              <w:tl2br w:val="nil"/>
              <w:tr2bl w:val="nil"/>
            </w:tcBorders>
            <w:vAlign w:val="center"/>
          </w:tcPr>
          <w:p w14:paraId="0CE91D21">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人口数</w:t>
            </w:r>
          </w:p>
          <w:p w14:paraId="3FA8F305">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（城市选项时）</w:t>
            </w:r>
          </w:p>
        </w:tc>
        <w:tc>
          <w:tcPr>
            <w:tcW w:w="1189" w:type="dxa"/>
            <w:tcBorders>
              <w:tl2br w:val="nil"/>
              <w:tr2bl w:val="nil"/>
            </w:tcBorders>
            <w:vAlign w:val="center"/>
          </w:tcPr>
          <w:p w14:paraId="3CE9C7CF">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w:t>
            </w:r>
          </w:p>
        </w:tc>
        <w:tc>
          <w:tcPr>
            <w:tcW w:w="4173" w:type="dxa"/>
            <w:tcBorders>
              <w:tl2br w:val="nil"/>
              <w:tr2bl w:val="nil"/>
            </w:tcBorders>
            <w:vAlign w:val="center"/>
          </w:tcPr>
          <w:p w14:paraId="226E54C4">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w:t>
            </w:r>
          </w:p>
        </w:tc>
      </w:tr>
      <w:tr w14:paraId="186202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95" w:type="dxa"/>
            <w:gridSpan w:val="2"/>
            <w:tcBorders>
              <w:tl2br w:val="nil"/>
              <w:tr2bl w:val="nil"/>
            </w:tcBorders>
            <w:vAlign w:val="center"/>
          </w:tcPr>
          <w:p w14:paraId="5097B745">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最高环境温度/℃</w:t>
            </w:r>
          </w:p>
        </w:tc>
        <w:tc>
          <w:tcPr>
            <w:tcW w:w="1189" w:type="dxa"/>
            <w:tcBorders>
              <w:tl2br w:val="nil"/>
              <w:tr2bl w:val="nil"/>
            </w:tcBorders>
            <w:vAlign w:val="center"/>
          </w:tcPr>
          <w:p w14:paraId="0DC69769">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38.3</w:t>
            </w:r>
            <w:r>
              <w:rPr>
                <w:rFonts w:hint="eastAsia" w:asciiTheme="minorEastAsia" w:hAnsiTheme="minorEastAsia" w:eastAsiaTheme="minorEastAsia" w:cstheme="minorEastAsia"/>
                <w:b w:val="0"/>
                <w:bCs w:val="0"/>
                <w:color w:val="auto"/>
                <w:sz w:val="21"/>
                <w:szCs w:val="21"/>
                <w:highlight w:val="none"/>
              </w:rPr>
              <w:t>°C</w:t>
            </w:r>
          </w:p>
        </w:tc>
        <w:tc>
          <w:tcPr>
            <w:tcW w:w="4173" w:type="dxa"/>
            <w:vMerge w:val="restart"/>
            <w:tcBorders>
              <w:tl2br w:val="nil"/>
              <w:tr2bl w:val="nil"/>
            </w:tcBorders>
            <w:vAlign w:val="center"/>
          </w:tcPr>
          <w:p w14:paraId="7DE9E246">
            <w:pPr>
              <w:keepNext w:val="0"/>
              <w:keepLines w:val="0"/>
              <w:widowControl w:val="0"/>
              <w:suppressLineNumbers w:val="0"/>
              <w:snapToGrid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取自</w:t>
            </w:r>
            <w:r>
              <w:rPr>
                <w:rFonts w:hint="eastAsia" w:asciiTheme="minorEastAsia" w:hAnsiTheme="minorEastAsia" w:eastAsiaTheme="minorEastAsia" w:cstheme="minorEastAsia"/>
                <w:b w:val="0"/>
                <w:bCs w:val="0"/>
                <w:color w:val="auto"/>
                <w:sz w:val="21"/>
                <w:szCs w:val="21"/>
                <w:highlight w:val="none"/>
                <w:lang w:val="en-US" w:eastAsia="zh-CN"/>
              </w:rPr>
              <w:t>尚志市</w:t>
            </w:r>
            <w:r>
              <w:rPr>
                <w:rFonts w:hint="eastAsia" w:asciiTheme="minorEastAsia" w:hAnsiTheme="minorEastAsia" w:eastAsiaTheme="minorEastAsia" w:cstheme="minorEastAsia"/>
                <w:b w:val="0"/>
                <w:bCs w:val="0"/>
                <w:color w:val="auto"/>
                <w:sz w:val="21"/>
                <w:szCs w:val="21"/>
                <w:highlight w:val="none"/>
              </w:rPr>
              <w:t>近20年的统计数据。</w:t>
            </w:r>
          </w:p>
        </w:tc>
      </w:tr>
      <w:tr w14:paraId="4E0C8A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95" w:type="dxa"/>
            <w:gridSpan w:val="2"/>
            <w:tcBorders>
              <w:tl2br w:val="nil"/>
              <w:tr2bl w:val="nil"/>
            </w:tcBorders>
            <w:vAlign w:val="center"/>
          </w:tcPr>
          <w:p w14:paraId="7CFDFAB5">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最低环境温度/℃</w:t>
            </w:r>
          </w:p>
        </w:tc>
        <w:tc>
          <w:tcPr>
            <w:tcW w:w="1189" w:type="dxa"/>
            <w:tcBorders>
              <w:tl2br w:val="nil"/>
              <w:tr2bl w:val="nil"/>
            </w:tcBorders>
            <w:vAlign w:val="center"/>
          </w:tcPr>
          <w:p w14:paraId="525EA7AB">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-44.1°C</w:t>
            </w:r>
          </w:p>
        </w:tc>
        <w:tc>
          <w:tcPr>
            <w:tcW w:w="4173" w:type="dxa"/>
            <w:vMerge w:val="continue"/>
            <w:tcBorders>
              <w:tl2br w:val="nil"/>
              <w:tr2bl w:val="nil"/>
            </w:tcBorders>
            <w:vAlign w:val="center"/>
          </w:tcPr>
          <w:p w14:paraId="0EC30AA5">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left"/>
              <w:rPr>
                <w:rFonts w:hint="eastAsia" w:asciiTheme="minorEastAsia" w:hAnsiTheme="minorEastAsia" w:eastAsiaTheme="minorEastAsia" w:cstheme="minorEastAsia"/>
                <w:b w:val="0"/>
                <w:bCs w:val="0"/>
                <w:color w:val="auto"/>
                <w:sz w:val="21"/>
                <w:szCs w:val="21"/>
                <w:highlight w:val="none"/>
              </w:rPr>
            </w:pPr>
          </w:p>
        </w:tc>
      </w:tr>
      <w:tr w14:paraId="748F4D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95" w:type="dxa"/>
            <w:gridSpan w:val="2"/>
            <w:tcBorders>
              <w:tl2br w:val="nil"/>
              <w:tr2bl w:val="nil"/>
            </w:tcBorders>
            <w:vAlign w:val="center"/>
          </w:tcPr>
          <w:p w14:paraId="00D3BA27">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土地利用类型</w:t>
            </w:r>
          </w:p>
        </w:tc>
        <w:tc>
          <w:tcPr>
            <w:tcW w:w="1189" w:type="dxa"/>
            <w:tcBorders>
              <w:tl2br w:val="nil"/>
              <w:tr2bl w:val="nil"/>
            </w:tcBorders>
            <w:vAlign w:val="center"/>
          </w:tcPr>
          <w:p w14:paraId="2657F800">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lang w:eastAsia="zh-CN"/>
              </w:rPr>
            </w:pPr>
            <w:r>
              <w:rPr>
                <w:rFonts w:hint="eastAsia" w:asciiTheme="minorEastAsia" w:hAnsiTheme="minorEastAsia" w:eastAsiaTheme="minorEastAsia" w:cstheme="minorEastAsia"/>
                <w:b w:val="0"/>
                <w:bCs w:val="0"/>
                <w:color w:val="auto"/>
                <w:sz w:val="21"/>
                <w:szCs w:val="21"/>
                <w:highlight w:val="none"/>
                <w:lang w:val="en-US" w:eastAsia="zh-CN"/>
              </w:rPr>
              <w:t>农田</w:t>
            </w:r>
          </w:p>
        </w:tc>
        <w:tc>
          <w:tcPr>
            <w:tcW w:w="4173" w:type="dxa"/>
            <w:tcBorders>
              <w:tl2br w:val="nil"/>
              <w:tr2bl w:val="nil"/>
            </w:tcBorders>
            <w:vAlign w:val="center"/>
          </w:tcPr>
          <w:p w14:paraId="7E7BCDCA">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left"/>
              <w:rPr>
                <w:rFonts w:hint="eastAsia" w:asciiTheme="minorEastAsia" w:hAnsiTheme="minorEastAsia" w:eastAsiaTheme="minorEastAsia" w:cstheme="minorEastAsia"/>
                <w:b w:val="0"/>
                <w:bCs w:val="0"/>
                <w:color w:val="auto"/>
                <w:sz w:val="21"/>
                <w:szCs w:val="21"/>
                <w:highlight w:val="none"/>
                <w:lang w:eastAsia="zh-CN"/>
              </w:rPr>
            </w:pPr>
            <w:r>
              <w:rPr>
                <w:rFonts w:hint="eastAsia" w:asciiTheme="minorEastAsia" w:hAnsiTheme="minorEastAsia" w:eastAsiaTheme="minorEastAsia" w:cstheme="minorEastAsia"/>
                <w:b w:val="0"/>
                <w:bCs w:val="0"/>
                <w:color w:val="auto"/>
                <w:sz w:val="21"/>
                <w:szCs w:val="21"/>
                <w:highlight w:val="none"/>
              </w:rPr>
              <w:t>本项目3km半径范围内最大土地利用类型为</w:t>
            </w:r>
            <w:r>
              <w:rPr>
                <w:rFonts w:hint="eastAsia" w:asciiTheme="minorEastAsia" w:hAnsiTheme="minorEastAsia" w:eastAsiaTheme="minorEastAsia" w:cstheme="minorEastAsia"/>
                <w:b w:val="0"/>
                <w:bCs w:val="0"/>
                <w:color w:val="auto"/>
                <w:sz w:val="21"/>
                <w:szCs w:val="21"/>
                <w:highlight w:val="none"/>
                <w:lang w:val="en-US" w:eastAsia="zh-CN"/>
              </w:rPr>
              <w:t>农田</w:t>
            </w:r>
          </w:p>
        </w:tc>
      </w:tr>
      <w:tr w14:paraId="6891D3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95" w:type="dxa"/>
            <w:gridSpan w:val="2"/>
            <w:tcBorders>
              <w:tl2br w:val="nil"/>
              <w:tr2bl w:val="nil"/>
            </w:tcBorders>
            <w:vAlign w:val="center"/>
          </w:tcPr>
          <w:p w14:paraId="4025C5F7">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区域湿度条件</w:t>
            </w:r>
          </w:p>
        </w:tc>
        <w:tc>
          <w:tcPr>
            <w:tcW w:w="1189" w:type="dxa"/>
            <w:tcBorders>
              <w:tl2br w:val="nil"/>
              <w:tr2bl w:val="nil"/>
            </w:tcBorders>
            <w:vAlign w:val="center"/>
          </w:tcPr>
          <w:p w14:paraId="77103975">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lang w:eastAsia="zh-CN"/>
              </w:rPr>
            </w:pPr>
            <w:r>
              <w:rPr>
                <w:rFonts w:hint="eastAsia" w:asciiTheme="minorEastAsia" w:hAnsiTheme="minorEastAsia" w:eastAsiaTheme="minorEastAsia" w:cstheme="minorEastAsia"/>
                <w:b w:val="0"/>
                <w:bCs w:val="0"/>
                <w:color w:val="auto"/>
                <w:sz w:val="21"/>
                <w:szCs w:val="21"/>
                <w:highlight w:val="none"/>
                <w:lang w:val="en-US" w:eastAsia="zh-CN"/>
              </w:rPr>
              <w:t>潮湿</w:t>
            </w:r>
          </w:p>
        </w:tc>
        <w:tc>
          <w:tcPr>
            <w:tcW w:w="4173" w:type="dxa"/>
            <w:tcBorders>
              <w:tl2br w:val="nil"/>
              <w:tr2bl w:val="nil"/>
            </w:tcBorders>
            <w:vAlign w:val="center"/>
          </w:tcPr>
          <w:p w14:paraId="4AC5C81B">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根据中国干湿地区划分，本项目属于</w:t>
            </w:r>
            <w:r>
              <w:rPr>
                <w:rFonts w:hint="eastAsia" w:asciiTheme="minorEastAsia" w:hAnsiTheme="minorEastAsia" w:eastAsiaTheme="minorEastAsia" w:cstheme="minorEastAsia"/>
                <w:b w:val="0"/>
                <w:bCs w:val="0"/>
                <w:color w:val="auto"/>
                <w:sz w:val="21"/>
                <w:szCs w:val="21"/>
                <w:highlight w:val="none"/>
                <w:lang w:val="en-US" w:eastAsia="zh-CN"/>
              </w:rPr>
              <w:t>潮湿</w:t>
            </w:r>
            <w:r>
              <w:rPr>
                <w:rFonts w:hint="eastAsia" w:asciiTheme="minorEastAsia" w:hAnsiTheme="minorEastAsia" w:eastAsiaTheme="minorEastAsia" w:cstheme="minorEastAsia"/>
                <w:b w:val="0"/>
                <w:bCs w:val="0"/>
                <w:color w:val="auto"/>
                <w:sz w:val="21"/>
                <w:szCs w:val="21"/>
                <w:highlight w:val="none"/>
              </w:rPr>
              <w:t>地区</w:t>
            </w:r>
          </w:p>
        </w:tc>
      </w:tr>
      <w:tr w14:paraId="54FAF4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95" w:type="dxa"/>
            <w:vMerge w:val="restart"/>
            <w:tcBorders>
              <w:tl2br w:val="nil"/>
              <w:tr2bl w:val="nil"/>
            </w:tcBorders>
            <w:vAlign w:val="center"/>
          </w:tcPr>
          <w:p w14:paraId="293295F0">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是否考虑地形</w:t>
            </w:r>
          </w:p>
        </w:tc>
        <w:tc>
          <w:tcPr>
            <w:tcW w:w="1764" w:type="dxa"/>
            <w:tcBorders>
              <w:tl2br w:val="nil"/>
              <w:tr2bl w:val="nil"/>
            </w:tcBorders>
            <w:vAlign w:val="center"/>
          </w:tcPr>
          <w:p w14:paraId="2B693331">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考虑地形</w:t>
            </w:r>
          </w:p>
        </w:tc>
        <w:tc>
          <w:tcPr>
            <w:tcW w:w="1189" w:type="dxa"/>
            <w:tcBorders>
              <w:tl2br w:val="nil"/>
              <w:tr2bl w:val="nil"/>
            </w:tcBorders>
            <w:vAlign w:val="center"/>
          </w:tcPr>
          <w:p w14:paraId="51CD0028">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left"/>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■是□否</w:t>
            </w:r>
          </w:p>
        </w:tc>
        <w:tc>
          <w:tcPr>
            <w:tcW w:w="4173" w:type="dxa"/>
            <w:tcBorders>
              <w:tl2br w:val="nil"/>
              <w:tr2bl w:val="nil"/>
            </w:tcBorders>
            <w:vAlign w:val="center"/>
          </w:tcPr>
          <w:p w14:paraId="67CA2118">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left"/>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本项目编制报告书，应输入地形参数</w:t>
            </w:r>
          </w:p>
        </w:tc>
      </w:tr>
      <w:tr w14:paraId="79E522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95" w:type="dxa"/>
            <w:vMerge w:val="continue"/>
            <w:tcBorders>
              <w:tl2br w:val="nil"/>
              <w:tr2bl w:val="nil"/>
            </w:tcBorders>
            <w:vAlign w:val="center"/>
          </w:tcPr>
          <w:p w14:paraId="6101E20F">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p>
        </w:tc>
        <w:tc>
          <w:tcPr>
            <w:tcW w:w="1764" w:type="dxa"/>
            <w:tcBorders>
              <w:tl2br w:val="nil"/>
              <w:tr2bl w:val="nil"/>
            </w:tcBorders>
            <w:vAlign w:val="center"/>
          </w:tcPr>
          <w:p w14:paraId="06BBC43C">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地形数据分辨率/m</w:t>
            </w:r>
          </w:p>
        </w:tc>
        <w:tc>
          <w:tcPr>
            <w:tcW w:w="1189" w:type="dxa"/>
            <w:tcBorders>
              <w:tl2br w:val="nil"/>
              <w:tr2bl w:val="nil"/>
            </w:tcBorders>
            <w:vAlign w:val="center"/>
          </w:tcPr>
          <w:p w14:paraId="2C4C61B3">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left"/>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90</w:t>
            </w:r>
          </w:p>
        </w:tc>
        <w:tc>
          <w:tcPr>
            <w:tcW w:w="4173" w:type="dxa"/>
            <w:tcBorders>
              <w:tl2br w:val="nil"/>
              <w:tr2bl w:val="nil"/>
            </w:tcBorders>
            <w:vAlign w:val="center"/>
          </w:tcPr>
          <w:p w14:paraId="3229B040">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left"/>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数据来自自然资源部地理国情监测云平台</w:t>
            </w:r>
          </w:p>
        </w:tc>
      </w:tr>
      <w:tr w14:paraId="61C521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95" w:type="dxa"/>
            <w:vMerge w:val="restart"/>
            <w:tcBorders>
              <w:tl2br w:val="nil"/>
              <w:tr2bl w:val="nil"/>
            </w:tcBorders>
            <w:vAlign w:val="center"/>
          </w:tcPr>
          <w:p w14:paraId="7AB3A5B6">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是否考虑岸线熏烟</w:t>
            </w:r>
          </w:p>
        </w:tc>
        <w:tc>
          <w:tcPr>
            <w:tcW w:w="1764" w:type="dxa"/>
            <w:tcBorders>
              <w:tl2br w:val="nil"/>
              <w:tr2bl w:val="nil"/>
            </w:tcBorders>
            <w:vAlign w:val="center"/>
          </w:tcPr>
          <w:p w14:paraId="471A752E">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考虑岸线熏烟</w:t>
            </w:r>
          </w:p>
        </w:tc>
        <w:tc>
          <w:tcPr>
            <w:tcW w:w="1189" w:type="dxa"/>
            <w:tcBorders>
              <w:tl2br w:val="nil"/>
              <w:tr2bl w:val="nil"/>
            </w:tcBorders>
            <w:vAlign w:val="center"/>
          </w:tcPr>
          <w:p w14:paraId="2D641EB8">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left"/>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□是■否</w:t>
            </w:r>
          </w:p>
        </w:tc>
        <w:tc>
          <w:tcPr>
            <w:tcW w:w="4173" w:type="dxa"/>
            <w:tcBorders>
              <w:tl2br w:val="nil"/>
              <w:tr2bl w:val="nil"/>
            </w:tcBorders>
            <w:vAlign w:val="center"/>
          </w:tcPr>
          <w:p w14:paraId="5BA9596E">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left"/>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本项目污染源附近3km范围内无大型水体。</w:t>
            </w:r>
          </w:p>
        </w:tc>
      </w:tr>
      <w:tr w14:paraId="0CB96E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95" w:type="dxa"/>
            <w:vMerge w:val="continue"/>
            <w:tcBorders>
              <w:tl2br w:val="nil"/>
              <w:tr2bl w:val="nil"/>
            </w:tcBorders>
            <w:vAlign w:val="center"/>
          </w:tcPr>
          <w:p w14:paraId="4424D4B0">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p>
        </w:tc>
        <w:tc>
          <w:tcPr>
            <w:tcW w:w="1764" w:type="dxa"/>
            <w:tcBorders>
              <w:tl2br w:val="nil"/>
              <w:tr2bl w:val="nil"/>
            </w:tcBorders>
            <w:vAlign w:val="center"/>
          </w:tcPr>
          <w:p w14:paraId="330AB5A8">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岸线距离/km</w:t>
            </w:r>
          </w:p>
        </w:tc>
        <w:tc>
          <w:tcPr>
            <w:tcW w:w="1189" w:type="dxa"/>
            <w:tcBorders>
              <w:tl2br w:val="nil"/>
              <w:tr2bl w:val="nil"/>
            </w:tcBorders>
            <w:vAlign w:val="center"/>
          </w:tcPr>
          <w:p w14:paraId="60695BDA">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left"/>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w:t>
            </w:r>
          </w:p>
        </w:tc>
        <w:tc>
          <w:tcPr>
            <w:tcW w:w="4173" w:type="dxa"/>
            <w:tcBorders>
              <w:tl2br w:val="nil"/>
              <w:tr2bl w:val="nil"/>
            </w:tcBorders>
            <w:vAlign w:val="center"/>
          </w:tcPr>
          <w:p w14:paraId="6C1537B4">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left"/>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w:t>
            </w:r>
          </w:p>
        </w:tc>
      </w:tr>
      <w:tr w14:paraId="085262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95" w:type="dxa"/>
            <w:vMerge w:val="continue"/>
            <w:tcBorders>
              <w:tl2br w:val="nil"/>
              <w:tr2bl w:val="nil"/>
            </w:tcBorders>
            <w:vAlign w:val="center"/>
          </w:tcPr>
          <w:p w14:paraId="4D624B4B">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p>
        </w:tc>
        <w:tc>
          <w:tcPr>
            <w:tcW w:w="1764" w:type="dxa"/>
            <w:tcBorders>
              <w:tl2br w:val="nil"/>
              <w:tr2bl w:val="nil"/>
            </w:tcBorders>
            <w:vAlign w:val="center"/>
          </w:tcPr>
          <w:p w14:paraId="4B40C624">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岸线方向/º</w:t>
            </w:r>
          </w:p>
        </w:tc>
        <w:tc>
          <w:tcPr>
            <w:tcW w:w="1189" w:type="dxa"/>
            <w:tcBorders>
              <w:tl2br w:val="nil"/>
              <w:tr2bl w:val="nil"/>
            </w:tcBorders>
            <w:vAlign w:val="center"/>
          </w:tcPr>
          <w:p w14:paraId="4CBB9FB8">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left"/>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w:t>
            </w:r>
          </w:p>
        </w:tc>
        <w:tc>
          <w:tcPr>
            <w:tcW w:w="4173" w:type="dxa"/>
            <w:tcBorders>
              <w:tl2br w:val="nil"/>
              <w:tr2bl w:val="nil"/>
            </w:tcBorders>
            <w:vAlign w:val="center"/>
          </w:tcPr>
          <w:p w14:paraId="1346C823">
            <w:pPr>
              <w:keepNext w:val="0"/>
              <w:keepLines w:val="0"/>
              <w:widowControl w:val="0"/>
              <w:suppressLineNumbers w:val="0"/>
              <w:snapToGrid w:val="0"/>
              <w:spacing w:before="0" w:beforeAutospacing="0" w:after="0" w:afterAutospacing="0" w:line="240" w:lineRule="auto"/>
              <w:ind w:left="0" w:leftChars="0" w:right="0" w:rightChars="0" w:firstLine="0" w:firstLineChars="0"/>
              <w:contextualSpacing/>
              <w:jc w:val="left"/>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w:t>
            </w:r>
          </w:p>
        </w:tc>
      </w:tr>
    </w:tbl>
    <w:p w14:paraId="1627D9DD">
      <w:pPr>
        <w:pStyle w:val="1156"/>
        <w:ind w:firstLine="480"/>
        <w:rPr>
          <w:rFonts w:hint="eastAsia" w:asciiTheme="minorEastAsia" w:hAnsiTheme="minorEastAsia" w:eastAsiaTheme="minorEastAsia" w:cstheme="minorEastAsia"/>
          <w:color w:val="auto"/>
          <w:highlight w:val="none"/>
        </w:rPr>
      </w:pPr>
    </w:p>
    <w:p w14:paraId="2F899290">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5</w:t>
      </w:r>
      <w:r>
        <w:rPr>
          <w:rFonts w:hint="eastAsia" w:asciiTheme="minorEastAsia" w:hAnsiTheme="minorEastAsia" w:eastAsiaTheme="minorEastAsia" w:cstheme="minorEastAsia"/>
          <w:b/>
          <w:snapToGrid w:val="0"/>
          <w:color w:val="auto"/>
          <w:highlight w:val="none"/>
        </w:rPr>
        <w:t>.1.3污染源参数统计</w:t>
      </w:r>
    </w:p>
    <w:p w14:paraId="180FCE9E">
      <w:pPr>
        <w:widowControl w:val="0"/>
        <w:snapToGrid w:val="0"/>
        <w:spacing w:line="240" w:lineRule="auto"/>
        <w:ind w:firstLine="482"/>
        <w:jc w:val="center"/>
        <w:rPr>
          <w:rFonts w:hint="eastAsia" w:asciiTheme="minorEastAsia" w:hAnsiTheme="minorEastAsia" w:eastAsiaTheme="minorEastAsia" w:cstheme="minorEastAsia"/>
          <w:b/>
          <w:color w:val="auto"/>
          <w:spacing w:val="0"/>
          <w:kern w:val="2"/>
          <w:sz w:val="24"/>
          <w:szCs w:val="24"/>
          <w:highlight w:val="none"/>
          <w:lang w:val="en-US" w:eastAsia="zh-CN" w:bidi="ar-SA"/>
        </w:rPr>
      </w:pPr>
      <w:r>
        <w:rPr>
          <w:rFonts w:hint="eastAsia" w:asciiTheme="minorEastAsia" w:hAnsiTheme="minorEastAsia" w:eastAsiaTheme="minorEastAsia" w:cstheme="minorEastAsia"/>
          <w:b/>
          <w:color w:val="auto"/>
          <w:spacing w:val="0"/>
          <w:kern w:val="2"/>
          <w:sz w:val="24"/>
          <w:szCs w:val="24"/>
          <w:highlight w:val="none"/>
          <w:lang w:val="en-US" w:eastAsia="zh-CN" w:bidi="ar-SA"/>
        </w:rPr>
        <w:t>表2.5-3  面源参数表</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37"/>
        <w:gridCol w:w="426"/>
        <w:gridCol w:w="1266"/>
        <w:gridCol w:w="1163"/>
        <w:gridCol w:w="531"/>
        <w:gridCol w:w="636"/>
        <w:gridCol w:w="636"/>
        <w:gridCol w:w="636"/>
        <w:gridCol w:w="636"/>
        <w:gridCol w:w="426"/>
        <w:gridCol w:w="880"/>
        <w:gridCol w:w="849"/>
      </w:tblGrid>
      <w:tr w14:paraId="6FF085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6" w:type="pct"/>
            <w:vMerge w:val="restart"/>
            <w:tcBorders>
              <w:tl2br w:val="nil"/>
              <w:tr2bl w:val="nil"/>
            </w:tcBorders>
            <w:vAlign w:val="center"/>
          </w:tcPr>
          <w:p w14:paraId="5FEF52D7">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snapToGrid w:val="0"/>
                <w:color w:val="auto"/>
                <w:sz w:val="21"/>
                <w:szCs w:val="21"/>
                <w:highlight w:val="none"/>
              </w:rPr>
              <w:t>编号</w:t>
            </w:r>
          </w:p>
        </w:tc>
        <w:tc>
          <w:tcPr>
            <w:tcW w:w="250" w:type="pct"/>
            <w:vMerge w:val="restart"/>
            <w:tcBorders>
              <w:tl2br w:val="nil"/>
              <w:tr2bl w:val="nil"/>
            </w:tcBorders>
            <w:vAlign w:val="center"/>
          </w:tcPr>
          <w:p w14:paraId="5AF6C9C6">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snapToGrid w:val="0"/>
                <w:color w:val="auto"/>
                <w:sz w:val="21"/>
                <w:szCs w:val="21"/>
                <w:highlight w:val="none"/>
              </w:rPr>
              <w:t>名称</w:t>
            </w:r>
          </w:p>
        </w:tc>
        <w:tc>
          <w:tcPr>
            <w:tcW w:w="1424" w:type="pct"/>
            <w:gridSpan w:val="2"/>
            <w:tcBorders>
              <w:tl2br w:val="nil"/>
              <w:tr2bl w:val="nil"/>
            </w:tcBorders>
            <w:vAlign w:val="center"/>
          </w:tcPr>
          <w:p w14:paraId="598E7886">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US" w:eastAsia="zh-CN"/>
              </w:rPr>
            </w:pPr>
            <w:r>
              <w:rPr>
                <w:rFonts w:hint="eastAsia" w:asciiTheme="minorEastAsia" w:hAnsiTheme="minorEastAsia" w:eastAsiaTheme="minorEastAsia" w:cstheme="minorEastAsia"/>
                <w:b w:val="0"/>
                <w:bCs w:val="0"/>
                <w:snapToGrid w:val="0"/>
                <w:color w:val="auto"/>
                <w:sz w:val="21"/>
                <w:szCs w:val="21"/>
                <w:highlight w:val="none"/>
              </w:rPr>
              <w:t>面源中心坐标/</w:t>
            </w:r>
            <w:r>
              <w:rPr>
                <w:rFonts w:hint="eastAsia" w:asciiTheme="minorEastAsia" w:hAnsiTheme="minorEastAsia" w:eastAsiaTheme="minorEastAsia" w:cstheme="minorEastAsia"/>
                <w:b w:val="0"/>
                <w:bCs w:val="0"/>
                <w:snapToGrid w:val="0"/>
                <w:color w:val="auto"/>
                <w:sz w:val="21"/>
                <w:szCs w:val="21"/>
                <w:highlight w:val="none"/>
                <w:lang w:val="en-US" w:eastAsia="zh-CN"/>
              </w:rPr>
              <w:t>°</w:t>
            </w:r>
          </w:p>
        </w:tc>
        <w:tc>
          <w:tcPr>
            <w:tcW w:w="311" w:type="pct"/>
            <w:vMerge w:val="restart"/>
            <w:tcBorders>
              <w:tl2br w:val="nil"/>
              <w:tr2bl w:val="nil"/>
            </w:tcBorders>
            <w:vAlign w:val="center"/>
          </w:tcPr>
          <w:p w14:paraId="5F525849">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snapToGrid w:val="0"/>
                <w:color w:val="auto"/>
                <w:sz w:val="21"/>
                <w:szCs w:val="21"/>
                <w:highlight w:val="none"/>
              </w:rPr>
              <w:t>面源海拔高度/m</w:t>
            </w:r>
          </w:p>
        </w:tc>
        <w:tc>
          <w:tcPr>
            <w:tcW w:w="373" w:type="pct"/>
            <w:vMerge w:val="restart"/>
            <w:tcBorders>
              <w:tl2br w:val="nil"/>
              <w:tr2bl w:val="nil"/>
            </w:tcBorders>
            <w:vAlign w:val="center"/>
          </w:tcPr>
          <w:p w14:paraId="7417458A">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snapToGrid w:val="0"/>
                <w:color w:val="auto"/>
                <w:sz w:val="21"/>
                <w:szCs w:val="21"/>
                <w:highlight w:val="none"/>
              </w:rPr>
              <w:t>面源长度/m</w:t>
            </w:r>
          </w:p>
        </w:tc>
        <w:tc>
          <w:tcPr>
            <w:tcW w:w="373" w:type="pct"/>
            <w:vMerge w:val="restart"/>
            <w:tcBorders>
              <w:tl2br w:val="nil"/>
              <w:tr2bl w:val="nil"/>
            </w:tcBorders>
            <w:vAlign w:val="center"/>
          </w:tcPr>
          <w:p w14:paraId="58DA9C59">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snapToGrid w:val="0"/>
                <w:color w:val="auto"/>
                <w:sz w:val="21"/>
                <w:szCs w:val="21"/>
                <w:highlight w:val="none"/>
              </w:rPr>
              <w:t>面源宽度/m</w:t>
            </w:r>
          </w:p>
        </w:tc>
        <w:tc>
          <w:tcPr>
            <w:tcW w:w="373" w:type="pct"/>
            <w:vMerge w:val="restart"/>
            <w:tcBorders>
              <w:tl2br w:val="nil"/>
              <w:tr2bl w:val="nil"/>
            </w:tcBorders>
            <w:vAlign w:val="center"/>
          </w:tcPr>
          <w:p w14:paraId="41B399FB">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snapToGrid w:val="0"/>
                <w:color w:val="auto"/>
                <w:sz w:val="21"/>
                <w:szCs w:val="21"/>
                <w:highlight w:val="none"/>
              </w:rPr>
              <w:t>面源有效排放高度/m</w:t>
            </w:r>
          </w:p>
        </w:tc>
        <w:tc>
          <w:tcPr>
            <w:tcW w:w="373" w:type="pct"/>
            <w:vMerge w:val="restart"/>
            <w:tcBorders>
              <w:tl2br w:val="nil"/>
              <w:tr2bl w:val="nil"/>
            </w:tcBorders>
            <w:vAlign w:val="center"/>
          </w:tcPr>
          <w:p w14:paraId="61E75F25">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snapToGrid w:val="0"/>
                <w:color w:val="auto"/>
                <w:sz w:val="21"/>
                <w:szCs w:val="21"/>
                <w:highlight w:val="none"/>
              </w:rPr>
              <w:t>年排放小时数/h</w:t>
            </w:r>
          </w:p>
        </w:tc>
        <w:tc>
          <w:tcPr>
            <w:tcW w:w="250" w:type="pct"/>
            <w:vMerge w:val="restart"/>
            <w:tcBorders>
              <w:tl2br w:val="nil"/>
              <w:tr2bl w:val="nil"/>
            </w:tcBorders>
            <w:vAlign w:val="center"/>
          </w:tcPr>
          <w:p w14:paraId="4F6E5369">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snapToGrid w:val="0"/>
                <w:color w:val="auto"/>
                <w:sz w:val="21"/>
                <w:szCs w:val="21"/>
                <w:highlight w:val="none"/>
              </w:rPr>
              <w:t>排放</w:t>
            </w:r>
          </w:p>
          <w:p w14:paraId="4AA10273">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snapToGrid w:val="0"/>
                <w:color w:val="auto"/>
                <w:sz w:val="21"/>
                <w:szCs w:val="21"/>
                <w:highlight w:val="none"/>
              </w:rPr>
              <w:t>工况</w:t>
            </w:r>
          </w:p>
        </w:tc>
        <w:tc>
          <w:tcPr>
            <w:tcW w:w="1013" w:type="pct"/>
            <w:gridSpan w:val="2"/>
            <w:vMerge w:val="restart"/>
            <w:tcBorders>
              <w:tl2br w:val="nil"/>
              <w:tr2bl w:val="nil"/>
            </w:tcBorders>
            <w:vAlign w:val="center"/>
          </w:tcPr>
          <w:p w14:paraId="3E1E58DD">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snapToGrid w:val="0"/>
                <w:color w:val="auto"/>
                <w:sz w:val="21"/>
                <w:szCs w:val="21"/>
                <w:highlight w:val="none"/>
              </w:rPr>
              <w:t>污染物排放速率/（kg/h）</w:t>
            </w:r>
          </w:p>
        </w:tc>
      </w:tr>
      <w:tr w14:paraId="075CE2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6" w:type="pct"/>
            <w:vMerge w:val="continue"/>
            <w:tcBorders>
              <w:tl2br w:val="nil"/>
              <w:tr2bl w:val="nil"/>
            </w:tcBorders>
            <w:vAlign w:val="center"/>
          </w:tcPr>
          <w:p w14:paraId="2AC35C9A">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p>
        </w:tc>
        <w:tc>
          <w:tcPr>
            <w:tcW w:w="250" w:type="pct"/>
            <w:vMerge w:val="continue"/>
            <w:tcBorders>
              <w:tl2br w:val="nil"/>
              <w:tr2bl w:val="nil"/>
            </w:tcBorders>
            <w:vAlign w:val="center"/>
          </w:tcPr>
          <w:p w14:paraId="2D6AD2C8">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p>
        </w:tc>
        <w:tc>
          <w:tcPr>
            <w:tcW w:w="742" w:type="pct"/>
            <w:tcBorders>
              <w:tl2br w:val="nil"/>
              <w:tr2bl w:val="nil"/>
            </w:tcBorders>
            <w:shd w:val="clear" w:color="auto" w:fill="auto"/>
            <w:vAlign w:val="center"/>
          </w:tcPr>
          <w:p w14:paraId="001A5A48">
            <w:pPr>
              <w:keepNext w:val="0"/>
              <w:keepLines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经度</w:t>
            </w:r>
          </w:p>
        </w:tc>
        <w:tc>
          <w:tcPr>
            <w:tcW w:w="681" w:type="pct"/>
            <w:tcBorders>
              <w:tl2br w:val="nil"/>
              <w:tr2bl w:val="nil"/>
            </w:tcBorders>
            <w:shd w:val="clear" w:color="auto" w:fill="auto"/>
            <w:vAlign w:val="center"/>
          </w:tcPr>
          <w:p w14:paraId="79E1B8A3">
            <w:pPr>
              <w:keepNext w:val="0"/>
              <w:keepLines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纬度</w:t>
            </w:r>
          </w:p>
        </w:tc>
        <w:tc>
          <w:tcPr>
            <w:tcW w:w="311" w:type="pct"/>
            <w:vMerge w:val="continue"/>
            <w:tcBorders>
              <w:tl2br w:val="nil"/>
              <w:tr2bl w:val="nil"/>
            </w:tcBorders>
            <w:vAlign w:val="center"/>
          </w:tcPr>
          <w:p w14:paraId="45F7254F">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p>
        </w:tc>
        <w:tc>
          <w:tcPr>
            <w:tcW w:w="373" w:type="pct"/>
            <w:vMerge w:val="continue"/>
            <w:tcBorders>
              <w:tl2br w:val="nil"/>
              <w:tr2bl w:val="nil"/>
            </w:tcBorders>
            <w:vAlign w:val="center"/>
          </w:tcPr>
          <w:p w14:paraId="3AE0F565">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p>
        </w:tc>
        <w:tc>
          <w:tcPr>
            <w:tcW w:w="373" w:type="pct"/>
            <w:vMerge w:val="continue"/>
            <w:tcBorders>
              <w:tl2br w:val="nil"/>
              <w:tr2bl w:val="nil"/>
            </w:tcBorders>
            <w:vAlign w:val="center"/>
          </w:tcPr>
          <w:p w14:paraId="40D639BC">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p>
        </w:tc>
        <w:tc>
          <w:tcPr>
            <w:tcW w:w="373" w:type="pct"/>
            <w:vMerge w:val="continue"/>
            <w:tcBorders>
              <w:tl2br w:val="nil"/>
              <w:tr2bl w:val="nil"/>
            </w:tcBorders>
            <w:vAlign w:val="center"/>
          </w:tcPr>
          <w:p w14:paraId="5561C3C8">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p>
        </w:tc>
        <w:tc>
          <w:tcPr>
            <w:tcW w:w="373" w:type="pct"/>
            <w:vMerge w:val="continue"/>
            <w:tcBorders>
              <w:tl2br w:val="nil"/>
              <w:tr2bl w:val="nil"/>
            </w:tcBorders>
            <w:vAlign w:val="center"/>
          </w:tcPr>
          <w:p w14:paraId="499F0797">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p>
        </w:tc>
        <w:tc>
          <w:tcPr>
            <w:tcW w:w="250" w:type="pct"/>
            <w:vMerge w:val="continue"/>
            <w:tcBorders>
              <w:tl2br w:val="nil"/>
              <w:tr2bl w:val="nil"/>
            </w:tcBorders>
            <w:vAlign w:val="center"/>
          </w:tcPr>
          <w:p w14:paraId="60E4C90B">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p>
        </w:tc>
        <w:tc>
          <w:tcPr>
            <w:tcW w:w="1013" w:type="pct"/>
            <w:gridSpan w:val="2"/>
            <w:vMerge w:val="continue"/>
            <w:tcBorders>
              <w:tl2br w:val="nil"/>
              <w:tr2bl w:val="nil"/>
            </w:tcBorders>
            <w:vAlign w:val="center"/>
          </w:tcPr>
          <w:p w14:paraId="753EFBBC">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p>
        </w:tc>
      </w:tr>
      <w:tr w14:paraId="36B305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6" w:type="pct"/>
            <w:tcBorders>
              <w:tl2br w:val="nil"/>
              <w:tr2bl w:val="nil"/>
            </w:tcBorders>
            <w:vAlign w:val="center"/>
          </w:tcPr>
          <w:p w14:paraId="540DE528">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snapToGrid w:val="0"/>
                <w:color w:val="auto"/>
                <w:sz w:val="21"/>
                <w:szCs w:val="21"/>
                <w:highlight w:val="none"/>
              </w:rPr>
              <w:t>G1</w:t>
            </w:r>
          </w:p>
        </w:tc>
        <w:tc>
          <w:tcPr>
            <w:tcW w:w="250" w:type="pct"/>
            <w:tcBorders>
              <w:tl2br w:val="nil"/>
              <w:tr2bl w:val="nil"/>
            </w:tcBorders>
            <w:vAlign w:val="center"/>
          </w:tcPr>
          <w:p w14:paraId="793CF1C6">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eastAsia="zh-CN"/>
              </w:rPr>
            </w:pPr>
            <w:r>
              <w:rPr>
                <w:rFonts w:hint="eastAsia" w:asciiTheme="minorEastAsia" w:hAnsiTheme="minorEastAsia" w:eastAsiaTheme="minorEastAsia" w:cstheme="minorEastAsia"/>
                <w:b w:val="0"/>
                <w:bCs w:val="0"/>
                <w:color w:val="auto"/>
                <w:sz w:val="21"/>
                <w:szCs w:val="21"/>
                <w:highlight w:val="none"/>
              </w:rPr>
              <w:t>回填复垦</w:t>
            </w:r>
            <w:r>
              <w:rPr>
                <w:rFonts w:hint="eastAsia" w:asciiTheme="minorEastAsia" w:hAnsiTheme="minorEastAsia" w:eastAsiaTheme="minorEastAsia" w:cstheme="minorEastAsia"/>
                <w:b w:val="0"/>
                <w:bCs w:val="0"/>
                <w:color w:val="auto"/>
                <w:sz w:val="21"/>
                <w:szCs w:val="21"/>
                <w:highlight w:val="none"/>
                <w:lang w:val="en-US" w:eastAsia="zh-CN"/>
              </w:rPr>
              <w:t>单元</w:t>
            </w:r>
          </w:p>
        </w:tc>
        <w:tc>
          <w:tcPr>
            <w:tcW w:w="742" w:type="pct"/>
            <w:tcBorders>
              <w:tl2br w:val="nil"/>
              <w:tr2bl w:val="nil"/>
            </w:tcBorders>
            <w:shd w:val="clear" w:color="auto" w:fill="auto"/>
            <w:vAlign w:val="center"/>
          </w:tcPr>
          <w:p w14:paraId="2FF7F346">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US" w:eastAsia="zh-CN"/>
              </w:rPr>
            </w:pPr>
            <w:r>
              <w:rPr>
                <w:rFonts w:hint="eastAsia" w:asciiTheme="minorEastAsia" w:hAnsiTheme="minorEastAsia" w:eastAsiaTheme="minorEastAsia" w:cstheme="minorEastAsia"/>
                <w:b w:val="0"/>
                <w:bCs w:val="0"/>
                <w:snapToGrid w:val="0"/>
                <w:color w:val="auto"/>
                <w:sz w:val="21"/>
                <w:szCs w:val="21"/>
                <w:highlight w:val="none"/>
                <w:lang w:val="en-US" w:eastAsia="zh-CN"/>
              </w:rPr>
              <w:t>128.270659</w:t>
            </w:r>
          </w:p>
        </w:tc>
        <w:tc>
          <w:tcPr>
            <w:tcW w:w="681" w:type="pct"/>
            <w:tcBorders>
              <w:tl2br w:val="nil"/>
              <w:tr2bl w:val="nil"/>
            </w:tcBorders>
            <w:shd w:val="clear" w:color="auto" w:fill="auto"/>
            <w:vAlign w:val="center"/>
          </w:tcPr>
          <w:p w14:paraId="0ED16A1A">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US" w:eastAsia="zh-CN"/>
              </w:rPr>
            </w:pPr>
            <w:r>
              <w:rPr>
                <w:rFonts w:hint="eastAsia" w:asciiTheme="minorEastAsia" w:hAnsiTheme="minorEastAsia" w:eastAsiaTheme="minorEastAsia" w:cstheme="minorEastAsia"/>
                <w:b w:val="0"/>
                <w:bCs w:val="0"/>
                <w:snapToGrid w:val="0"/>
                <w:color w:val="auto"/>
                <w:sz w:val="21"/>
                <w:szCs w:val="21"/>
                <w:highlight w:val="none"/>
                <w:lang w:val="en-US" w:eastAsia="zh-CN"/>
              </w:rPr>
              <w:t>45.270037</w:t>
            </w:r>
          </w:p>
        </w:tc>
        <w:tc>
          <w:tcPr>
            <w:tcW w:w="311" w:type="pct"/>
            <w:tcBorders>
              <w:tl2br w:val="nil"/>
              <w:tr2bl w:val="nil"/>
            </w:tcBorders>
            <w:vAlign w:val="center"/>
          </w:tcPr>
          <w:p w14:paraId="72D44032">
            <w:pPr>
              <w:pStyle w:val="1080"/>
              <w:keepNext w:val="0"/>
              <w:keepLines w:val="0"/>
              <w:widowControl w:val="0"/>
              <w:suppressLineNumbers w:val="0"/>
              <w:adjustRightInd w:val="0"/>
              <w:snapToGrid w:val="0"/>
              <w:spacing w:before="0" w:beforeAutospacing="0" w:after="0" w:afterAutospacing="0" w:line="240" w:lineRule="auto"/>
              <w:ind w:left="0" w:right="0"/>
              <w:rPr>
                <w:rFonts w:hint="default" w:asciiTheme="minorEastAsia" w:hAnsiTheme="minorEastAsia" w:eastAsiaTheme="minorEastAsia" w:cstheme="minorEastAsia"/>
                <w:b w:val="0"/>
                <w:bCs w:val="0"/>
                <w:snapToGrid w:val="0"/>
                <w:color w:val="auto"/>
                <w:sz w:val="21"/>
                <w:szCs w:val="21"/>
                <w:highlight w:val="none"/>
                <w:lang w:val="en-US" w:eastAsia="zh-CN"/>
              </w:rPr>
            </w:pPr>
            <w:r>
              <w:rPr>
                <w:rFonts w:hint="eastAsia" w:asciiTheme="minorEastAsia" w:hAnsiTheme="minorEastAsia" w:eastAsiaTheme="minorEastAsia" w:cstheme="minorEastAsia"/>
                <w:b w:val="0"/>
                <w:bCs w:val="0"/>
                <w:snapToGrid w:val="0"/>
                <w:color w:val="auto"/>
                <w:sz w:val="21"/>
                <w:szCs w:val="21"/>
                <w:highlight w:val="none"/>
                <w:lang w:val="en-US" w:eastAsia="zh-CN"/>
              </w:rPr>
              <w:t>189</w:t>
            </w:r>
          </w:p>
        </w:tc>
        <w:tc>
          <w:tcPr>
            <w:tcW w:w="373" w:type="pct"/>
            <w:tcBorders>
              <w:tl2br w:val="nil"/>
              <w:tr2bl w:val="nil"/>
            </w:tcBorders>
            <w:vAlign w:val="center"/>
          </w:tcPr>
          <w:p w14:paraId="43C2E81C">
            <w:pPr>
              <w:pStyle w:val="1080"/>
              <w:keepNext w:val="0"/>
              <w:keepLines w:val="0"/>
              <w:widowControl w:val="0"/>
              <w:suppressLineNumbers w:val="0"/>
              <w:adjustRightInd w:val="0"/>
              <w:snapToGrid w:val="0"/>
              <w:spacing w:before="0" w:beforeAutospacing="0" w:after="0" w:afterAutospacing="0" w:line="240" w:lineRule="auto"/>
              <w:ind w:left="0" w:right="0"/>
              <w:rPr>
                <w:rFonts w:hint="default" w:asciiTheme="minorEastAsia" w:hAnsiTheme="minorEastAsia" w:eastAsiaTheme="minorEastAsia" w:cstheme="minorEastAsia"/>
                <w:b w:val="0"/>
                <w:bCs w:val="0"/>
                <w:snapToGrid w:val="0"/>
                <w:color w:val="auto"/>
                <w:sz w:val="21"/>
                <w:szCs w:val="21"/>
                <w:highlight w:val="none"/>
                <w:lang w:val="en-US" w:eastAsia="zh-CN"/>
              </w:rPr>
            </w:pPr>
            <w:r>
              <w:rPr>
                <w:rFonts w:hint="eastAsia" w:asciiTheme="minorEastAsia" w:hAnsiTheme="minorEastAsia" w:eastAsiaTheme="minorEastAsia" w:cstheme="minorEastAsia"/>
                <w:b w:val="0"/>
                <w:bCs w:val="0"/>
                <w:snapToGrid w:val="0"/>
                <w:color w:val="auto"/>
                <w:sz w:val="21"/>
                <w:szCs w:val="21"/>
                <w:highlight w:val="none"/>
                <w:lang w:val="en-US" w:eastAsia="zh-CN"/>
              </w:rPr>
              <w:t>40</w:t>
            </w:r>
          </w:p>
        </w:tc>
        <w:tc>
          <w:tcPr>
            <w:tcW w:w="373" w:type="pct"/>
            <w:tcBorders>
              <w:tl2br w:val="nil"/>
              <w:tr2bl w:val="nil"/>
            </w:tcBorders>
            <w:vAlign w:val="center"/>
          </w:tcPr>
          <w:p w14:paraId="0076BB85">
            <w:pPr>
              <w:pStyle w:val="1080"/>
              <w:keepNext w:val="0"/>
              <w:keepLines w:val="0"/>
              <w:widowControl w:val="0"/>
              <w:suppressLineNumbers w:val="0"/>
              <w:adjustRightInd w:val="0"/>
              <w:snapToGrid w:val="0"/>
              <w:spacing w:before="0" w:beforeAutospacing="0" w:after="0" w:afterAutospacing="0" w:line="240" w:lineRule="auto"/>
              <w:ind w:left="0" w:right="0"/>
              <w:rPr>
                <w:rFonts w:hint="default" w:asciiTheme="minorEastAsia" w:hAnsiTheme="minorEastAsia" w:eastAsiaTheme="minorEastAsia" w:cstheme="minorEastAsia"/>
                <w:b w:val="0"/>
                <w:bCs w:val="0"/>
                <w:snapToGrid w:val="0"/>
                <w:color w:val="auto"/>
                <w:sz w:val="21"/>
                <w:szCs w:val="21"/>
                <w:highlight w:val="none"/>
                <w:lang w:val="en-US" w:eastAsia="zh-CN"/>
              </w:rPr>
            </w:pPr>
            <w:r>
              <w:rPr>
                <w:rFonts w:hint="eastAsia" w:asciiTheme="minorEastAsia" w:hAnsiTheme="minorEastAsia" w:eastAsiaTheme="minorEastAsia" w:cstheme="minorEastAsia"/>
                <w:b w:val="0"/>
                <w:bCs w:val="0"/>
                <w:snapToGrid w:val="0"/>
                <w:color w:val="auto"/>
                <w:sz w:val="21"/>
                <w:szCs w:val="21"/>
                <w:highlight w:val="none"/>
                <w:lang w:val="en-US" w:eastAsia="zh-CN"/>
              </w:rPr>
              <w:t>30</w:t>
            </w:r>
          </w:p>
        </w:tc>
        <w:tc>
          <w:tcPr>
            <w:tcW w:w="373" w:type="pct"/>
            <w:tcBorders>
              <w:tl2br w:val="nil"/>
              <w:tr2bl w:val="nil"/>
            </w:tcBorders>
            <w:vAlign w:val="center"/>
          </w:tcPr>
          <w:p w14:paraId="1017ACB8">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snapToGrid w:val="0"/>
                <w:color w:val="auto"/>
                <w:sz w:val="21"/>
                <w:szCs w:val="21"/>
                <w:highlight w:val="none"/>
              </w:rPr>
              <w:t>3（以施工围挡高度计）</w:t>
            </w:r>
          </w:p>
        </w:tc>
        <w:tc>
          <w:tcPr>
            <w:tcW w:w="373" w:type="pct"/>
            <w:tcBorders>
              <w:tl2br w:val="nil"/>
              <w:tr2bl w:val="nil"/>
            </w:tcBorders>
            <w:vAlign w:val="center"/>
          </w:tcPr>
          <w:p w14:paraId="298A2450">
            <w:pPr>
              <w:pStyle w:val="1080"/>
              <w:keepNext w:val="0"/>
              <w:keepLines w:val="0"/>
              <w:widowControl w:val="0"/>
              <w:suppressLineNumbers w:val="0"/>
              <w:adjustRightInd w:val="0"/>
              <w:snapToGrid w:val="0"/>
              <w:spacing w:before="0" w:beforeAutospacing="0" w:after="0" w:afterAutospacing="0" w:line="240" w:lineRule="auto"/>
              <w:ind w:left="0" w:right="0"/>
              <w:rPr>
                <w:rFonts w:hint="default" w:asciiTheme="minorEastAsia" w:hAnsiTheme="minorEastAsia" w:eastAsiaTheme="minorEastAsia" w:cstheme="minorEastAsia"/>
                <w:b w:val="0"/>
                <w:bCs w:val="0"/>
                <w:snapToGrid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2400</w:t>
            </w:r>
          </w:p>
        </w:tc>
        <w:tc>
          <w:tcPr>
            <w:tcW w:w="250" w:type="pct"/>
            <w:tcBorders>
              <w:tl2br w:val="nil"/>
              <w:tr2bl w:val="nil"/>
            </w:tcBorders>
            <w:vAlign w:val="center"/>
          </w:tcPr>
          <w:p w14:paraId="7BEDF0FD">
            <w:pPr>
              <w:pStyle w:val="1080"/>
              <w:keepNext w:val="0"/>
              <w:keepLines w:val="0"/>
              <w:widowControl w:val="0"/>
              <w:suppressLineNumbers w:val="0"/>
              <w:adjustRightInd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正常排放</w:t>
            </w:r>
          </w:p>
        </w:tc>
        <w:tc>
          <w:tcPr>
            <w:tcW w:w="516" w:type="pct"/>
            <w:tcBorders>
              <w:tl2br w:val="nil"/>
              <w:tr2bl w:val="nil"/>
            </w:tcBorders>
            <w:vAlign w:val="center"/>
          </w:tcPr>
          <w:p w14:paraId="39735668">
            <w:pPr>
              <w:keepNext w:val="0"/>
              <w:keepLines w:val="0"/>
              <w:suppressLineNumbers w:val="0"/>
              <w:bidi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TSP</w:t>
            </w:r>
          </w:p>
        </w:tc>
        <w:tc>
          <w:tcPr>
            <w:tcW w:w="497" w:type="pct"/>
            <w:tcBorders>
              <w:tl2br w:val="nil"/>
              <w:tr2bl w:val="nil"/>
            </w:tcBorders>
            <w:vAlign w:val="center"/>
          </w:tcPr>
          <w:p w14:paraId="660CCEC9">
            <w:pPr>
              <w:keepNext w:val="0"/>
              <w:keepLines w:val="0"/>
              <w:suppressLineNumbers w:val="0"/>
              <w:bidi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eastAsia="zh-CN"/>
              </w:rPr>
            </w:pPr>
            <w:r>
              <w:rPr>
                <w:rFonts w:hint="default" w:ascii="Times New Roman" w:hAnsi="Times New Roman" w:eastAsia="宋体" w:cs="Times New Roman"/>
                <w:color w:val="auto"/>
                <w:kern w:val="2"/>
                <w:sz w:val="21"/>
                <w:szCs w:val="21"/>
                <w:highlight w:val="none"/>
                <w:lang w:val="en-US" w:eastAsia="zh-CN" w:bidi="ar-SA"/>
              </w:rPr>
              <w:t>0.245</w:t>
            </w:r>
          </w:p>
        </w:tc>
      </w:tr>
    </w:tbl>
    <w:p w14:paraId="700B0CE2">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rPr>
      </w:pPr>
    </w:p>
    <w:p w14:paraId="1DDE3110">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5</w:t>
      </w:r>
      <w:r>
        <w:rPr>
          <w:rFonts w:hint="eastAsia" w:asciiTheme="minorEastAsia" w:hAnsiTheme="minorEastAsia" w:eastAsiaTheme="minorEastAsia" w:cstheme="minorEastAsia"/>
          <w:b/>
          <w:snapToGrid w:val="0"/>
          <w:color w:val="auto"/>
          <w:highlight w:val="none"/>
        </w:rPr>
        <w:t>.1.4主要污染源估算模型计算结果</w:t>
      </w:r>
    </w:p>
    <w:p w14:paraId="76449659">
      <w:pPr>
        <w:widowControl w:val="0"/>
        <w:snapToGrid w:val="0"/>
        <w:spacing w:line="360" w:lineRule="auto"/>
        <w:ind w:firstLine="480"/>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主要污染源估算模型计算结果见表2</w:t>
      </w:r>
      <w:r>
        <w:rPr>
          <w:rFonts w:hint="eastAsia" w:asciiTheme="minorEastAsia" w:hAnsiTheme="minorEastAsia" w:eastAsiaTheme="minorEastAsia" w:cstheme="minorEastAsia"/>
          <w:snapToGrid w:val="0"/>
          <w:color w:val="auto"/>
          <w:highlight w:val="none"/>
          <w:lang w:val="en-US" w:eastAsia="zh-CN"/>
        </w:rPr>
        <w:t>.5-4</w:t>
      </w:r>
      <w:r>
        <w:rPr>
          <w:rFonts w:hint="eastAsia" w:asciiTheme="minorEastAsia" w:hAnsiTheme="minorEastAsia" w:eastAsiaTheme="minorEastAsia" w:cstheme="minorEastAsia"/>
          <w:snapToGrid w:val="0"/>
          <w:color w:val="auto"/>
          <w:highlight w:val="none"/>
        </w:rPr>
        <w:t>。</w:t>
      </w:r>
    </w:p>
    <w:p w14:paraId="1D6C2E26">
      <w:pPr>
        <w:widowControl w:val="0"/>
        <w:snapToGrid w:val="0"/>
        <w:spacing w:line="240" w:lineRule="auto"/>
        <w:ind w:firstLine="482"/>
        <w:jc w:val="center"/>
        <w:rPr>
          <w:rFonts w:hint="eastAsia" w:asciiTheme="minorEastAsia" w:hAnsiTheme="minorEastAsia" w:eastAsiaTheme="minorEastAsia" w:cstheme="minorEastAsia"/>
          <w:b/>
          <w:bCs/>
          <w:color w:val="auto"/>
          <w:szCs w:val="24"/>
          <w:highlight w:val="none"/>
        </w:rPr>
      </w:pPr>
      <w:r>
        <w:rPr>
          <w:rFonts w:hint="eastAsia" w:asciiTheme="minorEastAsia" w:hAnsiTheme="minorEastAsia" w:eastAsiaTheme="minorEastAsia" w:cstheme="minorEastAsia"/>
          <w:b/>
          <w:bCs/>
          <w:color w:val="auto"/>
          <w:szCs w:val="24"/>
          <w:highlight w:val="none"/>
        </w:rPr>
        <w:t>表2</w:t>
      </w:r>
      <w:r>
        <w:rPr>
          <w:rFonts w:hint="eastAsia" w:asciiTheme="minorEastAsia" w:hAnsiTheme="minorEastAsia" w:eastAsiaTheme="minorEastAsia" w:cstheme="minorEastAsia"/>
          <w:b/>
          <w:bCs/>
          <w:color w:val="auto"/>
          <w:szCs w:val="24"/>
          <w:highlight w:val="none"/>
          <w:lang w:val="en-US" w:eastAsia="zh-CN"/>
        </w:rPr>
        <w:t xml:space="preserve">.5-4  </w:t>
      </w:r>
      <w:r>
        <w:rPr>
          <w:rFonts w:hint="eastAsia" w:asciiTheme="minorEastAsia" w:hAnsiTheme="minorEastAsia" w:eastAsiaTheme="minorEastAsia" w:cstheme="minorEastAsia"/>
          <w:b/>
          <w:bCs/>
          <w:color w:val="auto"/>
          <w:szCs w:val="24"/>
          <w:highlight w:val="none"/>
        </w:rPr>
        <w:t>主要污染源估算模型计算结果表</w:t>
      </w:r>
    </w:p>
    <w:tbl>
      <w:tblPr>
        <w:tblStyle w:val="84"/>
        <w:tblW w:w="5000"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1149"/>
        <w:gridCol w:w="1073"/>
        <w:gridCol w:w="1903"/>
        <w:gridCol w:w="1415"/>
        <w:gridCol w:w="1752"/>
        <w:gridCol w:w="1044"/>
      </w:tblGrid>
      <w:tr w14:paraId="64D607D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689" w:type="pct"/>
            <w:tcBorders>
              <w:tl2br w:val="nil"/>
              <w:tr2bl w:val="nil"/>
            </w:tcBorders>
            <w:noWrap/>
            <w:tcMar>
              <w:top w:w="15" w:type="dxa"/>
              <w:left w:w="15" w:type="dxa"/>
              <w:right w:w="15" w:type="dxa"/>
            </w:tcMar>
            <w:vAlign w:val="center"/>
          </w:tcPr>
          <w:p w14:paraId="66F3221D">
            <w:pPr>
              <w:keepNext w:val="0"/>
              <w:keepLines w:val="0"/>
              <w:pageBreakBefore w:val="0"/>
              <w:widowControl w:val="0"/>
              <w:suppressLineNumbers w:val="0"/>
              <w:kinsoku/>
              <w:wordWrap/>
              <w:overflowPunct/>
              <w:topLinePunct w:val="0"/>
              <w:autoSpaceDE/>
              <w:autoSpaceDN/>
              <w:bidi w:val="0"/>
              <w:snapToGrid w:val="0"/>
              <w:spacing w:before="0" w:beforeAutospacing="0" w:after="0" w:afterAutospacing="0" w:line="240" w:lineRule="auto"/>
              <w:ind w:left="0" w:leftChars="0" w:right="0" w:firstLineChars="0"/>
              <w:jc w:val="center"/>
              <w:textAlignment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bidi="ar"/>
              </w:rPr>
              <w:t>污染源</w:t>
            </w:r>
          </w:p>
        </w:tc>
        <w:tc>
          <w:tcPr>
            <w:tcW w:w="643" w:type="pct"/>
            <w:tcBorders>
              <w:tl2br w:val="nil"/>
              <w:tr2bl w:val="nil"/>
            </w:tcBorders>
            <w:noWrap/>
            <w:tcMar>
              <w:top w:w="15" w:type="dxa"/>
              <w:left w:w="15" w:type="dxa"/>
              <w:right w:w="15" w:type="dxa"/>
            </w:tcMar>
            <w:vAlign w:val="center"/>
          </w:tcPr>
          <w:p w14:paraId="1E5DB3F9">
            <w:pPr>
              <w:keepNext w:val="0"/>
              <w:keepLines w:val="0"/>
              <w:pageBreakBefore w:val="0"/>
              <w:widowControl w:val="0"/>
              <w:suppressLineNumbers w:val="0"/>
              <w:kinsoku/>
              <w:wordWrap/>
              <w:overflowPunct/>
              <w:topLinePunct w:val="0"/>
              <w:autoSpaceDE/>
              <w:autoSpaceDN/>
              <w:bidi w:val="0"/>
              <w:snapToGrid w:val="0"/>
              <w:spacing w:before="0" w:beforeAutospacing="0" w:after="0" w:afterAutospacing="0" w:line="240" w:lineRule="auto"/>
              <w:ind w:left="0" w:leftChars="0" w:right="0" w:firstLineChars="0"/>
              <w:jc w:val="center"/>
              <w:textAlignment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bidi="ar"/>
              </w:rPr>
              <w:t>污染物</w:t>
            </w:r>
          </w:p>
        </w:tc>
        <w:tc>
          <w:tcPr>
            <w:tcW w:w="1141" w:type="pct"/>
            <w:tcBorders>
              <w:tl2br w:val="nil"/>
              <w:tr2bl w:val="nil"/>
            </w:tcBorders>
            <w:tcMar>
              <w:top w:w="15" w:type="dxa"/>
              <w:left w:w="15" w:type="dxa"/>
              <w:right w:w="15" w:type="dxa"/>
            </w:tcMar>
            <w:vAlign w:val="center"/>
          </w:tcPr>
          <w:p w14:paraId="38BB665D">
            <w:pPr>
              <w:keepNext w:val="0"/>
              <w:keepLines w:val="0"/>
              <w:pageBreakBefore w:val="0"/>
              <w:widowControl w:val="0"/>
              <w:suppressLineNumbers w:val="0"/>
              <w:kinsoku/>
              <w:wordWrap/>
              <w:overflowPunct/>
              <w:topLinePunct w:val="0"/>
              <w:autoSpaceDE/>
              <w:autoSpaceDN/>
              <w:bidi w:val="0"/>
              <w:snapToGrid w:val="0"/>
              <w:spacing w:before="0" w:beforeAutospacing="0" w:after="0" w:afterAutospacing="0" w:line="240" w:lineRule="auto"/>
              <w:ind w:left="0" w:leftChars="0" w:right="0" w:firstLineChars="0"/>
              <w:jc w:val="center"/>
              <w:textAlignment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bidi="ar"/>
              </w:rPr>
              <w:t>最大浓度出现距离（m）</w:t>
            </w:r>
          </w:p>
        </w:tc>
        <w:tc>
          <w:tcPr>
            <w:tcW w:w="848" w:type="pct"/>
            <w:tcBorders>
              <w:tl2br w:val="nil"/>
              <w:tr2bl w:val="nil"/>
            </w:tcBorders>
            <w:tcMar>
              <w:top w:w="15" w:type="dxa"/>
              <w:left w:w="15" w:type="dxa"/>
              <w:right w:w="15" w:type="dxa"/>
            </w:tcMar>
            <w:vAlign w:val="center"/>
          </w:tcPr>
          <w:p w14:paraId="64F96E42">
            <w:pPr>
              <w:keepNext w:val="0"/>
              <w:keepLines w:val="0"/>
              <w:pageBreakBefore w:val="0"/>
              <w:widowControl w:val="0"/>
              <w:suppressLineNumbers w:val="0"/>
              <w:kinsoku/>
              <w:wordWrap/>
              <w:overflowPunct/>
              <w:topLinePunct w:val="0"/>
              <w:autoSpaceDE/>
              <w:autoSpaceDN/>
              <w:bidi w:val="0"/>
              <w:snapToGrid w:val="0"/>
              <w:spacing w:before="0" w:beforeAutospacing="0" w:after="0" w:afterAutospacing="0" w:line="240" w:lineRule="auto"/>
              <w:ind w:left="0" w:leftChars="0" w:right="0" w:firstLineChars="0"/>
              <w:jc w:val="center"/>
              <w:textAlignment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bidi="ar"/>
              </w:rPr>
              <w:t>D10%最远距离(m)</w:t>
            </w:r>
          </w:p>
        </w:tc>
        <w:tc>
          <w:tcPr>
            <w:tcW w:w="1050" w:type="pct"/>
            <w:tcBorders>
              <w:tl2br w:val="nil"/>
              <w:tr2bl w:val="nil"/>
            </w:tcBorders>
            <w:tcMar>
              <w:top w:w="15" w:type="dxa"/>
              <w:left w:w="15" w:type="dxa"/>
              <w:right w:w="15" w:type="dxa"/>
            </w:tcMar>
            <w:vAlign w:val="center"/>
          </w:tcPr>
          <w:p w14:paraId="3FFF88B9">
            <w:pPr>
              <w:keepNext w:val="0"/>
              <w:keepLines w:val="0"/>
              <w:pageBreakBefore w:val="0"/>
              <w:widowControl w:val="0"/>
              <w:suppressLineNumbers w:val="0"/>
              <w:kinsoku/>
              <w:wordWrap/>
              <w:overflowPunct/>
              <w:topLinePunct w:val="0"/>
              <w:autoSpaceDE/>
              <w:autoSpaceDN/>
              <w:bidi w:val="0"/>
              <w:snapToGrid w:val="0"/>
              <w:spacing w:before="0" w:beforeAutospacing="0" w:after="0" w:afterAutospacing="0" w:line="240" w:lineRule="auto"/>
              <w:ind w:left="0" w:leftChars="0" w:right="0" w:firstLineChars="0"/>
              <w:jc w:val="center"/>
              <w:textAlignment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bidi="ar"/>
              </w:rPr>
              <w:t>预测下风向最大质量浓度（mg/m</w:t>
            </w:r>
            <w:r>
              <w:rPr>
                <w:rStyle w:val="489"/>
                <w:rFonts w:hint="eastAsia" w:asciiTheme="minorEastAsia" w:hAnsiTheme="minorEastAsia" w:eastAsiaTheme="minorEastAsia" w:cstheme="minorEastAsia"/>
                <w:b w:val="0"/>
                <w:bCs w:val="0"/>
                <w:color w:val="auto"/>
                <w:sz w:val="21"/>
                <w:szCs w:val="21"/>
                <w:highlight w:val="none"/>
                <w:vertAlign w:val="superscript"/>
                <w:lang w:bidi="ar"/>
              </w:rPr>
              <w:t>3</w:t>
            </w:r>
            <w:r>
              <w:rPr>
                <w:rFonts w:hint="eastAsia" w:asciiTheme="minorEastAsia" w:hAnsiTheme="minorEastAsia" w:eastAsiaTheme="minorEastAsia" w:cstheme="minorEastAsia"/>
                <w:b w:val="0"/>
                <w:bCs w:val="0"/>
                <w:color w:val="auto"/>
                <w:sz w:val="21"/>
                <w:szCs w:val="21"/>
                <w:highlight w:val="none"/>
                <w:lang w:bidi="ar"/>
              </w:rPr>
              <w:t>）</w:t>
            </w:r>
          </w:p>
        </w:tc>
        <w:tc>
          <w:tcPr>
            <w:tcW w:w="626" w:type="pct"/>
            <w:tcBorders>
              <w:tl2br w:val="nil"/>
              <w:tr2bl w:val="nil"/>
            </w:tcBorders>
            <w:tcMar>
              <w:top w:w="15" w:type="dxa"/>
              <w:left w:w="15" w:type="dxa"/>
              <w:right w:w="15" w:type="dxa"/>
            </w:tcMar>
            <w:vAlign w:val="center"/>
          </w:tcPr>
          <w:p w14:paraId="6309B617">
            <w:pPr>
              <w:keepNext w:val="0"/>
              <w:keepLines w:val="0"/>
              <w:pageBreakBefore w:val="0"/>
              <w:widowControl w:val="0"/>
              <w:suppressLineNumbers w:val="0"/>
              <w:kinsoku/>
              <w:wordWrap/>
              <w:overflowPunct/>
              <w:topLinePunct w:val="0"/>
              <w:autoSpaceDE/>
              <w:autoSpaceDN/>
              <w:bidi w:val="0"/>
              <w:snapToGrid w:val="0"/>
              <w:spacing w:before="0" w:beforeAutospacing="0" w:after="0" w:afterAutospacing="0" w:line="240" w:lineRule="auto"/>
              <w:ind w:left="0" w:leftChars="0" w:right="0" w:firstLineChars="0"/>
              <w:jc w:val="center"/>
              <w:textAlignment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bidi="ar"/>
              </w:rPr>
              <w:t>占标率（%）</w:t>
            </w:r>
          </w:p>
        </w:tc>
      </w:tr>
      <w:tr w14:paraId="7C075D5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689" w:type="pct"/>
            <w:tcBorders>
              <w:tl2br w:val="nil"/>
              <w:tr2bl w:val="nil"/>
            </w:tcBorders>
            <w:tcMar>
              <w:top w:w="15" w:type="dxa"/>
              <w:left w:w="15" w:type="dxa"/>
              <w:right w:w="15" w:type="dxa"/>
            </w:tcMar>
            <w:vAlign w:val="center"/>
          </w:tcPr>
          <w:p w14:paraId="0054AF43">
            <w:pPr>
              <w:keepNext w:val="0"/>
              <w:keepLines w:val="0"/>
              <w:pageBreakBefore w:val="0"/>
              <w:widowControl w:val="0"/>
              <w:suppressLineNumbers w:val="0"/>
              <w:kinsoku/>
              <w:wordWrap/>
              <w:overflowPunct/>
              <w:topLinePunct w:val="0"/>
              <w:autoSpaceDE/>
              <w:autoSpaceDN/>
              <w:bidi w:val="0"/>
              <w:snapToGrid w:val="0"/>
              <w:spacing w:before="0" w:beforeAutospacing="0" w:after="0" w:afterAutospacing="0" w:line="240" w:lineRule="auto"/>
              <w:ind w:left="0" w:leftChars="0" w:right="0" w:firstLine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kern w:val="2"/>
                <w:sz w:val="21"/>
                <w:szCs w:val="21"/>
                <w:highlight w:val="none"/>
                <w:lang w:bidi="ar"/>
              </w:rPr>
              <w:t>回填</w:t>
            </w:r>
            <w:r>
              <w:rPr>
                <w:rFonts w:hint="eastAsia" w:asciiTheme="minorEastAsia" w:hAnsiTheme="minorEastAsia" w:eastAsiaTheme="minorEastAsia" w:cstheme="minorEastAsia"/>
                <w:b w:val="0"/>
                <w:bCs w:val="0"/>
                <w:color w:val="auto"/>
                <w:sz w:val="21"/>
                <w:szCs w:val="21"/>
                <w:highlight w:val="none"/>
              </w:rPr>
              <w:t>复垦区</w:t>
            </w:r>
          </w:p>
        </w:tc>
        <w:tc>
          <w:tcPr>
            <w:tcW w:w="643" w:type="pct"/>
            <w:tcBorders>
              <w:tl2br w:val="nil"/>
              <w:tr2bl w:val="nil"/>
            </w:tcBorders>
            <w:tcMar>
              <w:top w:w="15" w:type="dxa"/>
              <w:left w:w="15" w:type="dxa"/>
              <w:right w:w="15" w:type="dxa"/>
            </w:tcMar>
            <w:vAlign w:val="center"/>
          </w:tcPr>
          <w:p w14:paraId="4814A70A">
            <w:pPr>
              <w:pStyle w:val="16"/>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TSP</w:t>
            </w:r>
          </w:p>
        </w:tc>
        <w:tc>
          <w:tcPr>
            <w:tcW w:w="1141" w:type="pct"/>
            <w:tcBorders>
              <w:tl2br w:val="nil"/>
              <w:tr2bl w:val="nil"/>
            </w:tcBorders>
            <w:noWrap/>
            <w:tcMar>
              <w:top w:w="15" w:type="dxa"/>
              <w:left w:w="15" w:type="dxa"/>
              <w:right w:w="15" w:type="dxa"/>
            </w:tcMar>
            <w:vAlign w:val="center"/>
          </w:tcPr>
          <w:p w14:paraId="7E6616A2">
            <w:pPr>
              <w:keepNext w:val="0"/>
              <w:keepLines w:val="0"/>
              <w:pageBreakBefore w:val="0"/>
              <w:widowControl w:val="0"/>
              <w:suppressLineNumbers w:val="0"/>
              <w:kinsoku/>
              <w:wordWrap/>
              <w:overflowPunct/>
              <w:topLinePunct w:val="0"/>
              <w:autoSpaceDE/>
              <w:autoSpaceDN/>
              <w:bidi w:val="0"/>
              <w:snapToGrid w:val="0"/>
              <w:spacing w:before="0" w:beforeAutospacing="0" w:after="0" w:afterAutospacing="0" w:line="240" w:lineRule="auto"/>
              <w:ind w:left="0" w:leftChars="0" w:right="0" w:firstLineChars="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27</w:t>
            </w:r>
          </w:p>
        </w:tc>
        <w:tc>
          <w:tcPr>
            <w:tcW w:w="848" w:type="pct"/>
            <w:tcBorders>
              <w:tl2br w:val="nil"/>
              <w:tr2bl w:val="nil"/>
            </w:tcBorders>
            <w:noWrap/>
            <w:tcMar>
              <w:top w:w="15" w:type="dxa"/>
              <w:left w:w="15" w:type="dxa"/>
              <w:right w:w="15" w:type="dxa"/>
            </w:tcMar>
            <w:vAlign w:val="center"/>
          </w:tcPr>
          <w:p w14:paraId="7F1BA032">
            <w:pPr>
              <w:keepNext w:val="0"/>
              <w:keepLines w:val="0"/>
              <w:pageBreakBefore w:val="0"/>
              <w:widowControl w:val="0"/>
              <w:suppressLineNumbers w:val="0"/>
              <w:kinsoku/>
              <w:wordWrap/>
              <w:overflowPunct/>
              <w:topLinePunct w:val="0"/>
              <w:autoSpaceDE/>
              <w:autoSpaceDN/>
              <w:bidi w:val="0"/>
              <w:snapToGrid w:val="0"/>
              <w:spacing w:before="0" w:beforeAutospacing="0" w:after="0" w:afterAutospacing="0" w:line="240" w:lineRule="auto"/>
              <w:ind w:left="0" w:leftChars="0" w:right="0" w:firstLine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w:t>
            </w:r>
          </w:p>
        </w:tc>
        <w:tc>
          <w:tcPr>
            <w:tcW w:w="1050" w:type="pct"/>
            <w:tcBorders>
              <w:tl2br w:val="nil"/>
              <w:tr2bl w:val="nil"/>
            </w:tcBorders>
            <w:shd w:val="clear" w:color="auto" w:fill="auto"/>
            <w:tcMar>
              <w:top w:w="15" w:type="dxa"/>
              <w:left w:w="15" w:type="dxa"/>
              <w:right w:w="15" w:type="dxa"/>
            </w:tcMar>
            <w:vAlign w:val="center"/>
          </w:tcPr>
          <w:p w14:paraId="461B6648">
            <w:pPr>
              <w:keepNext w:val="0"/>
              <w:keepLines w:val="0"/>
              <w:pageBreakBefore w:val="0"/>
              <w:widowControl w:val="0"/>
              <w:suppressLineNumbers w:val="0"/>
              <w:kinsoku/>
              <w:wordWrap/>
              <w:overflowPunct/>
              <w:topLinePunct w:val="0"/>
              <w:autoSpaceDE/>
              <w:autoSpaceDN/>
              <w:bidi w:val="0"/>
              <w:snapToGrid w:val="0"/>
              <w:spacing w:before="0" w:beforeAutospacing="0" w:after="0" w:afterAutospacing="0" w:line="240" w:lineRule="auto"/>
              <w:ind w:left="0" w:leftChars="0" w:right="0" w:firstLineChars="0"/>
              <w:jc w:val="center"/>
              <w:textAlignment w:val="center"/>
              <w:rPr>
                <w:rFonts w:hint="eastAsia" w:asciiTheme="minorEastAsia" w:hAnsiTheme="minorEastAsia" w:eastAsiaTheme="minorEastAsia" w:cstheme="minorEastAsia"/>
                <w:b w:val="0"/>
                <w:bCs w:val="0"/>
                <w:color w:val="auto"/>
                <w:sz w:val="21"/>
                <w:szCs w:val="21"/>
                <w:highlight w:val="none"/>
                <w:lang w:val="en-US" w:eastAsia="zh-CN" w:bidi="ar"/>
              </w:rPr>
            </w:pPr>
            <w:r>
              <w:rPr>
                <w:rFonts w:hint="eastAsia" w:asciiTheme="minorEastAsia" w:hAnsiTheme="minorEastAsia" w:eastAsiaTheme="minorEastAsia" w:cstheme="minorEastAsia"/>
                <w:b w:val="0"/>
                <w:bCs w:val="0"/>
                <w:color w:val="auto"/>
                <w:sz w:val="21"/>
                <w:szCs w:val="21"/>
                <w:highlight w:val="none"/>
                <w:lang w:bidi="ar"/>
              </w:rPr>
              <w:t>74.71</w:t>
            </w:r>
          </w:p>
        </w:tc>
        <w:tc>
          <w:tcPr>
            <w:tcW w:w="626" w:type="pct"/>
            <w:tcBorders>
              <w:tl2br w:val="nil"/>
              <w:tr2bl w:val="nil"/>
            </w:tcBorders>
            <w:shd w:val="clear" w:color="auto" w:fill="auto"/>
            <w:tcMar>
              <w:top w:w="15" w:type="dxa"/>
              <w:left w:w="15" w:type="dxa"/>
              <w:right w:w="15" w:type="dxa"/>
            </w:tcMar>
            <w:vAlign w:val="center"/>
          </w:tcPr>
          <w:p w14:paraId="1FF0C9B4">
            <w:pPr>
              <w:keepNext w:val="0"/>
              <w:keepLines w:val="0"/>
              <w:pageBreakBefore w:val="0"/>
              <w:widowControl w:val="0"/>
              <w:suppressLineNumbers w:val="0"/>
              <w:kinsoku/>
              <w:wordWrap/>
              <w:overflowPunct/>
              <w:topLinePunct w:val="0"/>
              <w:autoSpaceDE/>
              <w:autoSpaceDN/>
              <w:bidi w:val="0"/>
              <w:snapToGrid w:val="0"/>
              <w:spacing w:before="0" w:beforeAutospacing="0" w:after="0" w:afterAutospacing="0" w:line="240" w:lineRule="auto"/>
              <w:ind w:left="0" w:leftChars="0" w:right="0" w:firstLineChars="0"/>
              <w:jc w:val="center"/>
              <w:textAlignment w:val="center"/>
              <w:rPr>
                <w:rFonts w:hint="eastAsia" w:asciiTheme="minorEastAsia" w:hAnsiTheme="minorEastAsia" w:eastAsiaTheme="minorEastAsia" w:cstheme="minorEastAsia"/>
                <w:b w:val="0"/>
                <w:bCs w:val="0"/>
                <w:color w:val="auto"/>
                <w:sz w:val="21"/>
                <w:szCs w:val="21"/>
                <w:highlight w:val="none"/>
                <w:lang w:val="en-US" w:eastAsia="zh-CN" w:bidi="ar"/>
              </w:rPr>
            </w:pPr>
            <w:r>
              <w:rPr>
                <w:rFonts w:hint="eastAsia" w:asciiTheme="minorEastAsia" w:hAnsiTheme="minorEastAsia" w:eastAsiaTheme="minorEastAsia" w:cstheme="minorEastAsia"/>
                <w:b w:val="0"/>
                <w:bCs w:val="0"/>
                <w:color w:val="auto"/>
                <w:sz w:val="21"/>
                <w:szCs w:val="21"/>
                <w:highlight w:val="none"/>
                <w:lang w:bidi="ar"/>
              </w:rPr>
              <w:t>8.3011</w:t>
            </w:r>
          </w:p>
        </w:tc>
      </w:tr>
    </w:tbl>
    <w:p w14:paraId="50DE5F6F">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5</w:t>
      </w:r>
      <w:r>
        <w:rPr>
          <w:rFonts w:hint="eastAsia" w:asciiTheme="minorEastAsia" w:hAnsiTheme="minorEastAsia" w:eastAsiaTheme="minorEastAsia" w:cstheme="minorEastAsia"/>
          <w:b/>
          <w:snapToGrid w:val="0"/>
          <w:color w:val="auto"/>
          <w:highlight w:val="none"/>
        </w:rPr>
        <w:t>.1.</w:t>
      </w:r>
      <w:r>
        <w:rPr>
          <w:rFonts w:hint="eastAsia" w:asciiTheme="minorEastAsia" w:hAnsiTheme="minorEastAsia" w:eastAsiaTheme="minorEastAsia" w:cstheme="minorEastAsia"/>
          <w:b/>
          <w:snapToGrid w:val="0"/>
          <w:color w:val="auto"/>
          <w:highlight w:val="none"/>
          <w:lang w:val="en-US" w:eastAsia="zh-CN"/>
        </w:rPr>
        <w:t>5 评价工作等级及评价范围</w:t>
      </w:r>
    </w:p>
    <w:p w14:paraId="3B6B04B7">
      <w:pPr>
        <w:pStyle w:val="1156"/>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依据《环境影响评价技术导则-大气环境》(HJ2.2-2018)中5.3节工作等级的确定方法，结合项目工程分析结果，选择正常排放的主要污染物及排放参数，采用附录A推荐模型中的AERSCREEN模式计算项目污染源的最大环境影响，然后按评价工作分级判据进行分级。</w:t>
      </w:r>
    </w:p>
    <w:p w14:paraId="5FB1B257">
      <w:pPr>
        <w:pStyle w:val="1156"/>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根据项目污染源初步调查结果，分别计算项目排放主要污染物的最大地面空气质量浓度占标率Pi（第i个污染物，简称“最大浓度占标率”），及第i个污染物的地面空气质量浓度达标准限值的10%时所对应的最远距离D</w:t>
      </w:r>
      <w:r>
        <w:rPr>
          <w:rFonts w:hint="eastAsia" w:asciiTheme="minorEastAsia" w:hAnsiTheme="minorEastAsia" w:eastAsiaTheme="minorEastAsia" w:cstheme="minorEastAsia"/>
          <w:color w:val="auto"/>
          <w:highlight w:val="none"/>
          <w:vertAlign w:val="subscript"/>
        </w:rPr>
        <w:t>10%</w:t>
      </w:r>
      <w:r>
        <w:rPr>
          <w:rFonts w:hint="eastAsia" w:asciiTheme="minorEastAsia" w:hAnsiTheme="minorEastAsia" w:eastAsiaTheme="minorEastAsia" w:cstheme="minorEastAsia"/>
          <w:color w:val="auto"/>
          <w:highlight w:val="none"/>
        </w:rPr>
        <w:t>。其中Pi定义见公</w:t>
      </w:r>
      <w:r>
        <w:rPr>
          <w:rFonts w:hint="eastAsia" w:asciiTheme="minorEastAsia" w:hAnsiTheme="minorEastAsia" w:eastAsiaTheme="minorEastAsia" w:cstheme="minorEastAsia"/>
          <w:color w:val="auto"/>
          <w:highlight w:val="none"/>
          <w:lang w:val="en-US" w:eastAsia="zh-CN"/>
        </w:rPr>
        <w:t>式</w:t>
      </w:r>
      <w:r>
        <w:rPr>
          <w:rFonts w:hint="eastAsia" w:asciiTheme="minorEastAsia" w:hAnsiTheme="minorEastAsia" w:eastAsiaTheme="minorEastAsia" w:cstheme="minorEastAsia"/>
          <w:color w:val="auto"/>
          <w:highlight w:val="none"/>
        </w:rPr>
        <w:t>（1）：</w:t>
      </w:r>
    </w:p>
    <w:p w14:paraId="4BBA44C2">
      <w:pPr>
        <w:pStyle w:val="1156"/>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P</w:t>
      </w:r>
      <w:r>
        <w:rPr>
          <w:rFonts w:hint="eastAsia" w:asciiTheme="minorEastAsia" w:hAnsiTheme="minorEastAsia" w:eastAsiaTheme="minorEastAsia" w:cstheme="minorEastAsia"/>
          <w:color w:val="auto"/>
          <w:highlight w:val="none"/>
          <w:vertAlign w:val="subscript"/>
        </w:rPr>
        <w:t>i</w:t>
      </w:r>
      <w:r>
        <w:rPr>
          <w:rFonts w:hint="eastAsia" w:asciiTheme="minorEastAsia" w:hAnsiTheme="minorEastAsia" w:eastAsiaTheme="minorEastAsia" w:cstheme="minorEastAsia"/>
          <w:color w:val="auto"/>
          <w:highlight w:val="none"/>
        </w:rPr>
        <w:t>=C</w:t>
      </w:r>
      <w:r>
        <w:rPr>
          <w:rFonts w:hint="eastAsia" w:asciiTheme="minorEastAsia" w:hAnsiTheme="minorEastAsia" w:eastAsiaTheme="minorEastAsia" w:cstheme="minorEastAsia"/>
          <w:color w:val="auto"/>
          <w:highlight w:val="none"/>
          <w:vertAlign w:val="subscript"/>
        </w:rPr>
        <w:t>i</w:t>
      </w:r>
      <w:r>
        <w:rPr>
          <w:rFonts w:hint="eastAsia" w:asciiTheme="minorEastAsia" w:hAnsiTheme="minorEastAsia" w:eastAsiaTheme="minorEastAsia" w:cstheme="minorEastAsia"/>
          <w:color w:val="auto"/>
          <w:highlight w:val="none"/>
        </w:rPr>
        <w:t>/C</w:t>
      </w:r>
      <w:r>
        <w:rPr>
          <w:rFonts w:hint="eastAsia" w:asciiTheme="minorEastAsia" w:hAnsiTheme="minorEastAsia" w:eastAsiaTheme="minorEastAsia" w:cstheme="minorEastAsia"/>
          <w:color w:val="auto"/>
          <w:highlight w:val="none"/>
          <w:vertAlign w:val="subscript"/>
        </w:rPr>
        <w:t>0i</w:t>
      </w:r>
      <w:r>
        <w:rPr>
          <w:rFonts w:hint="eastAsia" w:asciiTheme="minorEastAsia" w:hAnsiTheme="minorEastAsia" w:eastAsiaTheme="minorEastAsia" w:cstheme="minorEastAsia"/>
          <w:color w:val="auto"/>
          <w:highlight w:val="none"/>
        </w:rPr>
        <w:t>×100%                    （1）</w:t>
      </w:r>
    </w:p>
    <w:p w14:paraId="452EA99C">
      <w:pPr>
        <w:pStyle w:val="1156"/>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式中：P</w:t>
      </w:r>
      <w:r>
        <w:rPr>
          <w:rFonts w:hint="eastAsia" w:asciiTheme="minorEastAsia" w:hAnsiTheme="minorEastAsia" w:eastAsiaTheme="minorEastAsia" w:cstheme="minorEastAsia"/>
          <w:color w:val="auto"/>
          <w:highlight w:val="none"/>
          <w:vertAlign w:val="subscript"/>
        </w:rPr>
        <w:t>i</w:t>
      </w:r>
      <w:r>
        <w:rPr>
          <w:rFonts w:hint="eastAsia" w:asciiTheme="minorEastAsia" w:hAnsiTheme="minorEastAsia" w:eastAsiaTheme="minorEastAsia" w:cstheme="minorEastAsia"/>
          <w:color w:val="auto"/>
          <w:highlight w:val="none"/>
        </w:rPr>
        <w:t>—第i个污染物的最大地面空气质量浓度占标率，%；</w:t>
      </w:r>
    </w:p>
    <w:p w14:paraId="4971B9B5">
      <w:pPr>
        <w:pStyle w:val="1156"/>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C</w:t>
      </w:r>
      <w:r>
        <w:rPr>
          <w:rFonts w:hint="eastAsia" w:asciiTheme="minorEastAsia" w:hAnsiTheme="minorEastAsia" w:eastAsiaTheme="minorEastAsia" w:cstheme="minorEastAsia"/>
          <w:color w:val="auto"/>
          <w:highlight w:val="none"/>
          <w:vertAlign w:val="subscript"/>
        </w:rPr>
        <w:t>i</w:t>
      </w:r>
      <w:r>
        <w:rPr>
          <w:rFonts w:hint="eastAsia" w:asciiTheme="minorEastAsia" w:hAnsiTheme="minorEastAsia" w:eastAsiaTheme="minorEastAsia" w:cstheme="minorEastAsia"/>
          <w:color w:val="auto"/>
          <w:highlight w:val="none"/>
        </w:rPr>
        <w:t>—采用估算模式计算出的第i个污染物的最大1h地面空气质量浓度，μg/m</w:t>
      </w:r>
      <w:r>
        <w:rPr>
          <w:rFonts w:hint="eastAsia" w:asciiTheme="minorEastAsia" w:hAnsiTheme="minorEastAsia" w:eastAsiaTheme="minorEastAsia" w:cstheme="minorEastAsia"/>
          <w:color w:val="auto"/>
          <w:highlight w:val="none"/>
          <w:vertAlign w:val="superscript"/>
        </w:rPr>
        <w:t>3</w:t>
      </w:r>
      <w:r>
        <w:rPr>
          <w:rFonts w:hint="eastAsia" w:asciiTheme="minorEastAsia" w:hAnsiTheme="minorEastAsia" w:eastAsiaTheme="minorEastAsia" w:cstheme="minorEastAsia"/>
          <w:color w:val="auto"/>
          <w:highlight w:val="none"/>
        </w:rPr>
        <w:t>；</w:t>
      </w:r>
    </w:p>
    <w:p w14:paraId="1571CB4E">
      <w:pPr>
        <w:pStyle w:val="1156"/>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C</w:t>
      </w:r>
      <w:r>
        <w:rPr>
          <w:rFonts w:hint="eastAsia" w:asciiTheme="minorEastAsia" w:hAnsiTheme="minorEastAsia" w:eastAsiaTheme="minorEastAsia" w:cstheme="minorEastAsia"/>
          <w:color w:val="auto"/>
          <w:highlight w:val="none"/>
          <w:vertAlign w:val="subscript"/>
        </w:rPr>
        <w:t>0i</w:t>
      </w:r>
      <w:r>
        <w:rPr>
          <w:rFonts w:hint="eastAsia" w:asciiTheme="minorEastAsia" w:hAnsiTheme="minorEastAsia" w:eastAsiaTheme="minorEastAsia" w:cstheme="minorEastAsia"/>
          <w:color w:val="auto"/>
          <w:highlight w:val="none"/>
        </w:rPr>
        <w:t>—第i个污染物的环境空气质量浓度标准，μg/m</w:t>
      </w:r>
      <w:r>
        <w:rPr>
          <w:rFonts w:hint="eastAsia" w:asciiTheme="minorEastAsia" w:hAnsiTheme="minorEastAsia" w:eastAsiaTheme="minorEastAsia" w:cstheme="minorEastAsia"/>
          <w:color w:val="auto"/>
          <w:highlight w:val="none"/>
          <w:vertAlign w:val="superscript"/>
        </w:rPr>
        <w:t>3</w:t>
      </w:r>
      <w:r>
        <w:rPr>
          <w:rFonts w:hint="eastAsia" w:asciiTheme="minorEastAsia" w:hAnsiTheme="minorEastAsia" w:eastAsiaTheme="minorEastAsia" w:cstheme="minorEastAsia"/>
          <w:color w:val="auto"/>
          <w:highlight w:val="none"/>
        </w:rPr>
        <w:t>。</w:t>
      </w:r>
    </w:p>
    <w:p w14:paraId="31CF88C5">
      <w:pPr>
        <w:pStyle w:val="217"/>
        <w:widowControl w:val="0"/>
        <w:adjustRightInd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一般选用GB3095中1h平均质量浓度的二级浓度限值；对该标准中未包含的污染物，使用5.2确定的各评价因子1h平均质量浓度限值。对仅有8h平均质量浓度限值、日平均质量浓度限值或年平均质量浓度限值的，可分别按2倍、3倍、6倍折算为1h平均质量浓度限值。</w:t>
      </w:r>
    </w:p>
    <w:p w14:paraId="608E9B7C">
      <w:pPr>
        <w:pStyle w:val="586"/>
        <w:spacing w:line="240" w:lineRule="auto"/>
        <w:ind w:firstLine="602" w:firstLineChars="250"/>
        <w:jc w:val="center"/>
        <w:rPr>
          <w:rFonts w:hint="eastAsia" w:asciiTheme="minorEastAsia" w:hAnsiTheme="minorEastAsia" w:eastAsiaTheme="minorEastAsia" w:cstheme="minorEastAsia"/>
          <w:b/>
          <w:color w:val="auto"/>
          <w:kern w:val="2"/>
          <w:sz w:val="24"/>
          <w:szCs w:val="24"/>
          <w:highlight w:val="none"/>
        </w:rPr>
      </w:pPr>
      <w:r>
        <w:rPr>
          <w:rFonts w:hint="eastAsia" w:asciiTheme="minorEastAsia" w:hAnsiTheme="minorEastAsia" w:eastAsiaTheme="minorEastAsia" w:cstheme="minorEastAsia"/>
          <w:b/>
          <w:color w:val="auto"/>
          <w:sz w:val="24"/>
          <w:highlight w:val="none"/>
        </w:rPr>
        <w:t>表2.</w:t>
      </w:r>
      <w:r>
        <w:rPr>
          <w:rFonts w:hint="eastAsia" w:asciiTheme="minorEastAsia" w:hAnsiTheme="minorEastAsia" w:eastAsiaTheme="minorEastAsia" w:cstheme="minorEastAsia"/>
          <w:b/>
          <w:color w:val="auto"/>
          <w:sz w:val="24"/>
          <w:highlight w:val="none"/>
          <w:lang w:val="en-US" w:eastAsia="zh-CN"/>
        </w:rPr>
        <w:t>5</w:t>
      </w:r>
      <w:r>
        <w:rPr>
          <w:rFonts w:hint="eastAsia" w:asciiTheme="minorEastAsia" w:hAnsiTheme="minorEastAsia" w:eastAsiaTheme="minorEastAsia" w:cstheme="minorEastAsia"/>
          <w:b/>
          <w:color w:val="auto"/>
          <w:sz w:val="24"/>
          <w:highlight w:val="none"/>
        </w:rPr>
        <w:t>-</w:t>
      </w:r>
      <w:r>
        <w:rPr>
          <w:rFonts w:hint="eastAsia" w:asciiTheme="minorEastAsia" w:hAnsiTheme="minorEastAsia" w:eastAsiaTheme="minorEastAsia" w:cstheme="minorEastAsia"/>
          <w:b/>
          <w:color w:val="auto"/>
          <w:sz w:val="24"/>
          <w:highlight w:val="none"/>
          <w:lang w:val="en-US" w:eastAsia="zh-CN"/>
        </w:rPr>
        <w:t>5</w:t>
      </w:r>
      <w:r>
        <w:rPr>
          <w:rFonts w:hint="eastAsia" w:asciiTheme="minorEastAsia" w:hAnsiTheme="minorEastAsia" w:eastAsiaTheme="minorEastAsia" w:cstheme="minorEastAsia"/>
          <w:b/>
          <w:color w:val="auto"/>
          <w:sz w:val="24"/>
          <w:highlight w:val="none"/>
        </w:rPr>
        <w:t xml:space="preserve">  </w:t>
      </w:r>
      <w:r>
        <w:rPr>
          <w:rFonts w:hint="eastAsia" w:asciiTheme="minorEastAsia" w:hAnsiTheme="minorEastAsia" w:eastAsiaTheme="minorEastAsia" w:cstheme="minorEastAsia"/>
          <w:b/>
          <w:color w:val="auto"/>
          <w:kern w:val="2"/>
          <w:sz w:val="24"/>
          <w:szCs w:val="24"/>
          <w:highlight w:val="none"/>
        </w:rPr>
        <w:t>环境空气影响评价工作等级</w:t>
      </w:r>
    </w:p>
    <w:tbl>
      <w:tblPr>
        <w:tblStyle w:val="84"/>
        <w:tblW w:w="852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2630"/>
        <w:gridCol w:w="5891"/>
      </w:tblGrid>
      <w:tr w14:paraId="14907C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jc w:val="center"/>
        </w:trPr>
        <w:tc>
          <w:tcPr>
            <w:tcW w:w="2630" w:type="dxa"/>
            <w:noWrap w:val="0"/>
            <w:vAlign w:val="center"/>
          </w:tcPr>
          <w:p w14:paraId="28098C7B">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评价工作等级</w:t>
            </w:r>
          </w:p>
        </w:tc>
        <w:tc>
          <w:tcPr>
            <w:tcW w:w="5891" w:type="dxa"/>
            <w:noWrap w:val="0"/>
            <w:vAlign w:val="center"/>
          </w:tcPr>
          <w:p w14:paraId="23DE251A">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评价工作分级判据</w:t>
            </w:r>
          </w:p>
        </w:tc>
      </w:tr>
      <w:tr w14:paraId="177C0B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jc w:val="center"/>
        </w:trPr>
        <w:tc>
          <w:tcPr>
            <w:tcW w:w="2630" w:type="dxa"/>
            <w:noWrap w:val="0"/>
            <w:vAlign w:val="center"/>
          </w:tcPr>
          <w:p w14:paraId="3C31CC2A">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一级评价</w:t>
            </w:r>
          </w:p>
        </w:tc>
        <w:tc>
          <w:tcPr>
            <w:tcW w:w="5891" w:type="dxa"/>
            <w:noWrap w:val="0"/>
            <w:vAlign w:val="center"/>
          </w:tcPr>
          <w:p w14:paraId="69E1A2AE">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Pmax≥10%</w:t>
            </w:r>
          </w:p>
        </w:tc>
      </w:tr>
      <w:tr w14:paraId="35DFF8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jc w:val="center"/>
        </w:trPr>
        <w:tc>
          <w:tcPr>
            <w:tcW w:w="2630" w:type="dxa"/>
            <w:noWrap w:val="0"/>
            <w:vAlign w:val="center"/>
          </w:tcPr>
          <w:p w14:paraId="2F32DBF1">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二级评价</w:t>
            </w:r>
          </w:p>
        </w:tc>
        <w:tc>
          <w:tcPr>
            <w:tcW w:w="5891" w:type="dxa"/>
            <w:noWrap w:val="0"/>
            <w:vAlign w:val="center"/>
          </w:tcPr>
          <w:p w14:paraId="16988ABC">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1%≤Pmax＜10%</w:t>
            </w:r>
          </w:p>
        </w:tc>
      </w:tr>
      <w:tr w14:paraId="1B0EF8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jc w:val="center"/>
        </w:trPr>
        <w:tc>
          <w:tcPr>
            <w:tcW w:w="2630" w:type="dxa"/>
            <w:noWrap w:val="0"/>
            <w:vAlign w:val="center"/>
          </w:tcPr>
          <w:p w14:paraId="017F8C48">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三级评价</w:t>
            </w:r>
          </w:p>
        </w:tc>
        <w:tc>
          <w:tcPr>
            <w:tcW w:w="5891" w:type="dxa"/>
            <w:noWrap w:val="0"/>
            <w:vAlign w:val="center"/>
          </w:tcPr>
          <w:p w14:paraId="4649FC71">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Pmax＜1%</w:t>
            </w:r>
          </w:p>
        </w:tc>
      </w:tr>
    </w:tbl>
    <w:p w14:paraId="06F6BCDE">
      <w:pPr>
        <w:pStyle w:val="481"/>
        <w:autoSpaceDE w:val="0"/>
        <w:autoSpaceDN w:val="0"/>
        <w:snapToGrid w:val="0"/>
        <w:spacing w:line="360" w:lineRule="auto"/>
        <w:ind w:firstLine="480" w:firstLineChars="200"/>
        <w:jc w:val="both"/>
        <w:textAlignment w:val="bottom"/>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由估算模型计算结果可知，本项目P</w:t>
      </w:r>
      <w:r>
        <w:rPr>
          <w:rFonts w:hint="eastAsia" w:asciiTheme="minorEastAsia" w:hAnsiTheme="minorEastAsia" w:eastAsiaTheme="minorEastAsia" w:cstheme="minorEastAsia"/>
          <w:color w:val="auto"/>
          <w:sz w:val="18"/>
          <w:szCs w:val="18"/>
          <w:highlight w:val="none"/>
          <w:vertAlign w:val="subscript"/>
        </w:rPr>
        <w:t>PM</w:t>
      </w:r>
      <w:r>
        <w:rPr>
          <w:rFonts w:hint="eastAsia" w:asciiTheme="minorEastAsia" w:hAnsiTheme="minorEastAsia" w:eastAsiaTheme="minorEastAsia" w:cstheme="minorEastAsia"/>
          <w:color w:val="auto"/>
          <w:sz w:val="18"/>
          <w:szCs w:val="18"/>
          <w:highlight w:val="none"/>
          <w:vertAlign w:val="subscript"/>
          <w:lang w:val="en-US" w:eastAsia="zh-CN"/>
        </w:rPr>
        <w:t>2.5</w:t>
      </w:r>
      <w:r>
        <w:rPr>
          <w:rFonts w:hint="eastAsia" w:asciiTheme="minorEastAsia" w:hAnsiTheme="minorEastAsia" w:eastAsiaTheme="minorEastAsia" w:cstheme="minorEastAsia"/>
          <w:color w:val="auto"/>
          <w:highlight w:val="none"/>
          <w:lang w:val="en-US" w:eastAsia="zh-CN"/>
        </w:rPr>
        <w:t>为</w:t>
      </w:r>
      <w:r>
        <w:rPr>
          <w:rFonts w:hint="eastAsia" w:asciiTheme="minorEastAsia" w:hAnsiTheme="minorEastAsia" w:eastAsiaTheme="minorEastAsia" w:cstheme="minorEastAsia"/>
          <w:color w:val="auto"/>
          <w:highlight w:val="none"/>
        </w:rPr>
        <w:t>8.3011</w:t>
      </w:r>
      <w:r>
        <w:rPr>
          <w:rFonts w:hint="eastAsia" w:asciiTheme="minorEastAsia" w:hAnsiTheme="minorEastAsia" w:eastAsiaTheme="minorEastAsia" w:cstheme="minorEastAsia"/>
          <w:color w:val="auto"/>
          <w:highlight w:val="none"/>
          <w:lang w:val="en-US" w:eastAsia="zh-CN"/>
        </w:rPr>
        <w:t>%&lt;</w:t>
      </w:r>
      <w:r>
        <w:rPr>
          <w:rFonts w:hint="eastAsia" w:asciiTheme="minorEastAsia" w:hAnsiTheme="minorEastAsia" w:eastAsiaTheme="minorEastAsia" w:cstheme="minorEastAsia"/>
          <w:color w:val="auto"/>
          <w:highlight w:val="none"/>
        </w:rPr>
        <w:t>10%，因此确定本项目环境空气评价工作级别为二级。评价范围为以厂址为中心，边长5km的矩形区域。</w:t>
      </w:r>
    </w:p>
    <w:p w14:paraId="40E3BE72">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bookmarkStart w:id="260" w:name="_Toc525827422"/>
      <w:bookmarkStart w:id="261" w:name="_Toc531800103"/>
      <w:bookmarkStart w:id="262" w:name="_Toc20863"/>
      <w:bookmarkStart w:id="263" w:name="_Toc532125222"/>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.2地表水环境</w:t>
      </w:r>
      <w:bookmarkEnd w:id="260"/>
      <w:bookmarkEnd w:id="261"/>
      <w:bookmarkEnd w:id="262"/>
      <w:bookmarkEnd w:id="263"/>
    </w:p>
    <w:p w14:paraId="09A60326">
      <w:pPr>
        <w:pStyle w:val="319"/>
        <w:widowControl w:val="0"/>
        <w:snapToGrid w:val="0"/>
        <w:ind w:firstLine="480" w:firstLineChars="20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根据《环境影响评价技术导则地表水环境》（HJ2.3-2018）规定，根据建设项目的污水排放方式和排放量划分地表水环境影响评价等级，见表2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lang w:val="en-US" w:eastAsia="zh-CN"/>
        </w:rPr>
        <w:t>6</w:t>
      </w:r>
      <w:r>
        <w:rPr>
          <w:rFonts w:hint="eastAsia" w:asciiTheme="minorEastAsia" w:hAnsiTheme="minorEastAsia" w:eastAsiaTheme="minorEastAsia" w:cstheme="minorEastAsia"/>
          <w:color w:val="auto"/>
          <w:highlight w:val="none"/>
        </w:rPr>
        <w:t>。</w:t>
      </w:r>
    </w:p>
    <w:p w14:paraId="04AAA392">
      <w:pPr>
        <w:widowControl w:val="0"/>
        <w:snapToGrid w:val="0"/>
        <w:spacing w:line="240" w:lineRule="auto"/>
        <w:ind w:firstLine="482"/>
        <w:jc w:val="center"/>
        <w:rPr>
          <w:rFonts w:hint="eastAsia" w:asciiTheme="minorEastAsia" w:hAnsiTheme="minorEastAsia" w:eastAsiaTheme="minorEastAsia" w:cstheme="minorEastAsia"/>
          <w:b/>
          <w:color w:val="auto"/>
          <w:kern w:val="2"/>
          <w:sz w:val="24"/>
          <w:szCs w:val="24"/>
          <w:highlight w:val="none"/>
          <w:lang w:val="en-US" w:eastAsia="zh-CN" w:bidi="ar-SA"/>
        </w:rPr>
      </w:pPr>
      <w:r>
        <w:rPr>
          <w:rFonts w:hint="eastAsia" w:asciiTheme="minorEastAsia" w:hAnsiTheme="minorEastAsia" w:eastAsiaTheme="minorEastAsia" w:cstheme="minorEastAsia"/>
          <w:b/>
          <w:color w:val="auto"/>
          <w:kern w:val="2"/>
          <w:sz w:val="24"/>
          <w:szCs w:val="24"/>
          <w:highlight w:val="none"/>
          <w:lang w:val="en-US" w:eastAsia="zh-CN" w:bidi="ar-SA"/>
        </w:rPr>
        <w:t>表2.5-6  地表水环境影响评价分级判据</w:t>
      </w:r>
    </w:p>
    <w:tbl>
      <w:tblPr>
        <w:tblStyle w:val="84"/>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99"/>
        <w:gridCol w:w="1841"/>
        <w:gridCol w:w="5582"/>
      </w:tblGrid>
      <w:tr w14:paraId="296F38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45" w:type="pct"/>
            <w:vMerge w:val="restart"/>
            <w:tcBorders>
              <w:tl2br w:val="nil"/>
              <w:tr2bl w:val="nil"/>
            </w:tcBorders>
            <w:vAlign w:val="center"/>
          </w:tcPr>
          <w:p w14:paraId="4CB10B0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评价等级</w:t>
            </w:r>
          </w:p>
        </w:tc>
        <w:tc>
          <w:tcPr>
            <w:tcW w:w="4354" w:type="pct"/>
            <w:gridSpan w:val="2"/>
            <w:tcBorders>
              <w:tl2br w:val="nil"/>
              <w:tr2bl w:val="nil"/>
            </w:tcBorders>
            <w:vAlign w:val="center"/>
          </w:tcPr>
          <w:p w14:paraId="223E412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排定依据</w:t>
            </w:r>
          </w:p>
        </w:tc>
      </w:tr>
      <w:tr w14:paraId="7AD1C8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45" w:type="pct"/>
            <w:vMerge w:val="continue"/>
            <w:tcBorders>
              <w:tl2br w:val="nil"/>
              <w:tr2bl w:val="nil"/>
            </w:tcBorders>
            <w:vAlign w:val="center"/>
          </w:tcPr>
          <w:p w14:paraId="7674B18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80" w:type="pct"/>
            <w:tcBorders>
              <w:tl2br w:val="nil"/>
              <w:tr2bl w:val="nil"/>
            </w:tcBorders>
            <w:vAlign w:val="center"/>
          </w:tcPr>
          <w:p w14:paraId="05F5AFE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排放方式</w:t>
            </w:r>
          </w:p>
        </w:tc>
        <w:tc>
          <w:tcPr>
            <w:tcW w:w="3273" w:type="pct"/>
            <w:tcBorders>
              <w:tl2br w:val="nil"/>
              <w:tr2bl w:val="nil"/>
            </w:tcBorders>
            <w:vAlign w:val="center"/>
          </w:tcPr>
          <w:p w14:paraId="4E2C8BA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废水排放量Q/（m</w:t>
            </w:r>
            <w:r>
              <w:rPr>
                <w:rFonts w:hint="eastAsia" w:asciiTheme="minorEastAsia" w:hAnsiTheme="minorEastAsia" w:eastAsiaTheme="minorEastAsia" w:cstheme="minorEastAsia"/>
                <w:b w:val="0"/>
                <w:bCs w:val="0"/>
                <w:color w:val="auto"/>
                <w:sz w:val="21"/>
                <w:szCs w:val="21"/>
                <w:highlight w:val="none"/>
                <w:vertAlign w:val="superscript"/>
              </w:rPr>
              <w:t>3</w:t>
            </w:r>
            <w:r>
              <w:rPr>
                <w:rFonts w:hint="eastAsia" w:asciiTheme="minorEastAsia" w:hAnsiTheme="minorEastAsia" w:eastAsiaTheme="minorEastAsia" w:cstheme="minorEastAsia"/>
                <w:b w:val="0"/>
                <w:bCs w:val="0"/>
                <w:color w:val="auto"/>
                <w:sz w:val="21"/>
                <w:szCs w:val="21"/>
                <w:highlight w:val="none"/>
              </w:rPr>
              <w:t>/d），污染物排放当量W/（无量纲）</w:t>
            </w:r>
          </w:p>
        </w:tc>
      </w:tr>
      <w:tr w14:paraId="04A68A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45" w:type="pct"/>
            <w:tcBorders>
              <w:tl2br w:val="nil"/>
              <w:tr2bl w:val="nil"/>
            </w:tcBorders>
            <w:vAlign w:val="center"/>
          </w:tcPr>
          <w:p w14:paraId="50326CD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一级</w:t>
            </w:r>
          </w:p>
        </w:tc>
        <w:tc>
          <w:tcPr>
            <w:tcW w:w="1080" w:type="pct"/>
            <w:tcBorders>
              <w:tl2br w:val="nil"/>
              <w:tr2bl w:val="nil"/>
            </w:tcBorders>
            <w:vAlign w:val="center"/>
          </w:tcPr>
          <w:p w14:paraId="1012295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直接排放</w:t>
            </w:r>
          </w:p>
        </w:tc>
        <w:tc>
          <w:tcPr>
            <w:tcW w:w="3273" w:type="pct"/>
            <w:tcBorders>
              <w:tl2br w:val="nil"/>
              <w:tr2bl w:val="nil"/>
            </w:tcBorders>
            <w:vAlign w:val="center"/>
          </w:tcPr>
          <w:p w14:paraId="7CFC648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Q≥20000或W≥600000</w:t>
            </w:r>
          </w:p>
        </w:tc>
      </w:tr>
      <w:tr w14:paraId="4F7DBA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45" w:type="pct"/>
            <w:tcBorders>
              <w:tl2br w:val="nil"/>
              <w:tr2bl w:val="nil"/>
            </w:tcBorders>
            <w:vAlign w:val="center"/>
          </w:tcPr>
          <w:p w14:paraId="14B7EC0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二级</w:t>
            </w:r>
          </w:p>
        </w:tc>
        <w:tc>
          <w:tcPr>
            <w:tcW w:w="1080" w:type="pct"/>
            <w:tcBorders>
              <w:tl2br w:val="nil"/>
              <w:tr2bl w:val="nil"/>
            </w:tcBorders>
            <w:vAlign w:val="center"/>
          </w:tcPr>
          <w:p w14:paraId="604CB84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直接排放</w:t>
            </w:r>
          </w:p>
        </w:tc>
        <w:tc>
          <w:tcPr>
            <w:tcW w:w="3273" w:type="pct"/>
            <w:tcBorders>
              <w:tl2br w:val="nil"/>
              <w:tr2bl w:val="nil"/>
            </w:tcBorders>
            <w:vAlign w:val="center"/>
          </w:tcPr>
          <w:p w14:paraId="3ECC47D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其它</w:t>
            </w:r>
          </w:p>
        </w:tc>
      </w:tr>
      <w:tr w14:paraId="20912E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45" w:type="pct"/>
            <w:tcBorders>
              <w:tl2br w:val="nil"/>
              <w:tr2bl w:val="nil"/>
            </w:tcBorders>
            <w:vAlign w:val="center"/>
          </w:tcPr>
          <w:p w14:paraId="450D1D7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三级A</w:t>
            </w:r>
          </w:p>
        </w:tc>
        <w:tc>
          <w:tcPr>
            <w:tcW w:w="1080" w:type="pct"/>
            <w:tcBorders>
              <w:tl2br w:val="nil"/>
              <w:tr2bl w:val="nil"/>
            </w:tcBorders>
            <w:vAlign w:val="center"/>
          </w:tcPr>
          <w:p w14:paraId="35CAE47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直接排放</w:t>
            </w:r>
          </w:p>
        </w:tc>
        <w:tc>
          <w:tcPr>
            <w:tcW w:w="3273" w:type="pct"/>
            <w:tcBorders>
              <w:tl2br w:val="nil"/>
              <w:tr2bl w:val="nil"/>
            </w:tcBorders>
            <w:vAlign w:val="center"/>
          </w:tcPr>
          <w:p w14:paraId="7F15860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Q≤200且W≤6000</w:t>
            </w:r>
          </w:p>
        </w:tc>
      </w:tr>
      <w:tr w14:paraId="15DC44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45" w:type="pct"/>
            <w:tcBorders>
              <w:tl2br w:val="nil"/>
              <w:tr2bl w:val="nil"/>
            </w:tcBorders>
            <w:vAlign w:val="center"/>
          </w:tcPr>
          <w:p w14:paraId="0797F55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三级B</w:t>
            </w:r>
          </w:p>
        </w:tc>
        <w:tc>
          <w:tcPr>
            <w:tcW w:w="1080" w:type="pct"/>
            <w:tcBorders>
              <w:tl2br w:val="nil"/>
              <w:tr2bl w:val="nil"/>
            </w:tcBorders>
            <w:vAlign w:val="center"/>
          </w:tcPr>
          <w:p w14:paraId="378D6D9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间接排放</w:t>
            </w:r>
          </w:p>
        </w:tc>
        <w:tc>
          <w:tcPr>
            <w:tcW w:w="3273" w:type="pct"/>
            <w:tcBorders>
              <w:tl2br w:val="nil"/>
              <w:tr2bl w:val="nil"/>
            </w:tcBorders>
            <w:vAlign w:val="center"/>
          </w:tcPr>
          <w:p w14:paraId="69063D1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w:t>
            </w:r>
          </w:p>
        </w:tc>
      </w:tr>
      <w:tr w14:paraId="4BA5AE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3"/>
            <w:tcBorders>
              <w:tl2br w:val="nil"/>
              <w:tr2bl w:val="nil"/>
            </w:tcBorders>
            <w:vAlign w:val="center"/>
          </w:tcPr>
          <w:p w14:paraId="58B3078E">
            <w:pPr>
              <w:keepNext w:val="0"/>
              <w:keepLines w:val="0"/>
              <w:suppressLineNumbers w:val="0"/>
              <w:spacing w:before="0" w:beforeAutospacing="0" w:after="0" w:afterAutospacing="0"/>
              <w:ind w:left="0" w:right="0" w:firstLine="353"/>
              <w:rPr>
                <w:rFonts w:hint="eastAsia" w:asciiTheme="minorEastAsia" w:hAnsiTheme="minorEastAsia" w:eastAsiaTheme="minorEastAsia" w:cstheme="minorEastAsia"/>
                <w:color w:val="auto"/>
                <w:sz w:val="16"/>
                <w:szCs w:val="21"/>
                <w:highlight w:val="none"/>
                <w:lang w:val="zh-CN"/>
              </w:rPr>
            </w:pPr>
            <w:r>
              <w:rPr>
                <w:rFonts w:hint="eastAsia" w:asciiTheme="minorEastAsia" w:hAnsiTheme="minorEastAsia" w:eastAsiaTheme="minorEastAsia" w:cstheme="minorEastAsia"/>
                <w:color w:val="auto"/>
                <w:sz w:val="16"/>
                <w:szCs w:val="21"/>
                <w:highlight w:val="none"/>
                <w:lang w:val="zh-CN"/>
              </w:rPr>
              <w:t>注</w:t>
            </w:r>
            <w:r>
              <w:rPr>
                <w:rFonts w:hint="eastAsia" w:asciiTheme="minorEastAsia" w:hAnsiTheme="minorEastAsia" w:eastAsiaTheme="minorEastAsia" w:cstheme="minorEastAsia"/>
                <w:color w:val="auto"/>
                <w:spacing w:val="-46"/>
                <w:sz w:val="16"/>
                <w:szCs w:val="21"/>
                <w:highlight w:val="none"/>
                <w:lang w:val="zh-CN"/>
              </w:rPr>
              <w:t xml:space="preserve"> </w:t>
            </w:r>
            <w:r>
              <w:rPr>
                <w:rFonts w:hint="eastAsia" w:asciiTheme="minorEastAsia" w:hAnsiTheme="minorEastAsia" w:eastAsiaTheme="minorEastAsia" w:cstheme="minorEastAsia"/>
                <w:color w:val="auto"/>
                <w:sz w:val="16"/>
                <w:szCs w:val="21"/>
                <w:highlight w:val="none"/>
                <w:lang w:val="zh-CN"/>
              </w:rPr>
              <w:t>1：水污染物当量数等于该污染物的年排放量除以该污染物的污染当量值（见附录A），计算排放污染物的污染物当量数，应区分第一类水污染物和其他类水污染物，统计第一类污染物当量数总和，然后与其他类污染物按照污染物当量数从大到小排序，取最大当量数作为建设项目评价等级确定的依据。</w:t>
            </w:r>
          </w:p>
          <w:p w14:paraId="54B570AC">
            <w:pPr>
              <w:keepNext w:val="0"/>
              <w:keepLines w:val="0"/>
              <w:suppressLineNumbers w:val="0"/>
              <w:spacing w:before="0" w:beforeAutospacing="0" w:after="0" w:afterAutospacing="0"/>
              <w:ind w:left="0" w:right="0" w:firstLine="353"/>
              <w:rPr>
                <w:rFonts w:hint="eastAsia" w:asciiTheme="minorEastAsia" w:hAnsiTheme="minorEastAsia" w:eastAsiaTheme="minorEastAsia" w:cstheme="minorEastAsia"/>
                <w:color w:val="auto"/>
                <w:sz w:val="16"/>
                <w:szCs w:val="21"/>
                <w:highlight w:val="none"/>
                <w:lang w:val="zh-CN"/>
              </w:rPr>
            </w:pPr>
            <w:r>
              <w:rPr>
                <w:rFonts w:hint="eastAsia" w:asciiTheme="minorEastAsia" w:hAnsiTheme="minorEastAsia" w:eastAsiaTheme="minorEastAsia" w:cstheme="minorEastAsia"/>
                <w:color w:val="auto"/>
                <w:sz w:val="16"/>
                <w:szCs w:val="21"/>
                <w:highlight w:val="none"/>
                <w:lang w:val="zh-CN"/>
              </w:rPr>
              <w:t>注</w:t>
            </w:r>
            <w:r>
              <w:rPr>
                <w:rFonts w:hint="eastAsia" w:asciiTheme="minorEastAsia" w:hAnsiTheme="minorEastAsia" w:eastAsiaTheme="minorEastAsia" w:cstheme="minorEastAsia"/>
                <w:color w:val="auto"/>
                <w:spacing w:val="-47"/>
                <w:sz w:val="16"/>
                <w:szCs w:val="21"/>
                <w:highlight w:val="none"/>
                <w:lang w:val="zh-CN"/>
              </w:rPr>
              <w:t xml:space="preserve"> </w:t>
            </w:r>
            <w:r>
              <w:rPr>
                <w:rFonts w:hint="eastAsia" w:asciiTheme="minorEastAsia" w:hAnsiTheme="minorEastAsia" w:eastAsiaTheme="minorEastAsia" w:cstheme="minorEastAsia"/>
                <w:color w:val="auto"/>
                <w:sz w:val="16"/>
                <w:szCs w:val="21"/>
                <w:highlight w:val="none"/>
                <w:lang w:val="zh-CN"/>
              </w:rPr>
              <w:t>2：废水排放量按行业排放标准中规定的废水种类统计，没有相关行业排放标准要求的通过工程分析合理确定，应统计含热量大的冷却水的排放量，可不统计间接冷却水、循环水以及其他含污染物极少的清净下水的排放量。</w:t>
            </w:r>
          </w:p>
          <w:p w14:paraId="46E702CC">
            <w:pPr>
              <w:keepNext w:val="0"/>
              <w:keepLines w:val="0"/>
              <w:suppressLineNumbers w:val="0"/>
              <w:spacing w:before="0" w:beforeAutospacing="0" w:after="0" w:afterAutospacing="0"/>
              <w:ind w:left="0" w:right="0" w:firstLine="353"/>
              <w:rPr>
                <w:rFonts w:hint="eastAsia" w:asciiTheme="minorEastAsia" w:hAnsiTheme="minorEastAsia" w:eastAsiaTheme="minorEastAsia" w:cstheme="minorEastAsia"/>
                <w:color w:val="auto"/>
                <w:sz w:val="16"/>
                <w:szCs w:val="21"/>
                <w:highlight w:val="none"/>
                <w:lang w:val="zh-CN"/>
              </w:rPr>
            </w:pPr>
            <w:r>
              <w:rPr>
                <w:rFonts w:hint="eastAsia" w:asciiTheme="minorEastAsia" w:hAnsiTheme="minorEastAsia" w:eastAsiaTheme="minorEastAsia" w:cstheme="minorEastAsia"/>
                <w:color w:val="auto"/>
                <w:sz w:val="16"/>
                <w:szCs w:val="21"/>
                <w:highlight w:val="none"/>
                <w:lang w:val="zh-CN"/>
              </w:rPr>
              <w:t>注3：厂区存在堆积物（露天堆放的原料、燃料、废渣等以及垃圾堆放场）、降尘污染的，应将初期雨污水纳入废水排放量，相应的主要污染物纳入水污染当量计算。</w:t>
            </w:r>
          </w:p>
          <w:p w14:paraId="6E566640">
            <w:pPr>
              <w:keepNext w:val="0"/>
              <w:keepLines w:val="0"/>
              <w:suppressLineNumbers w:val="0"/>
              <w:spacing w:before="0" w:beforeAutospacing="0" w:after="0" w:afterAutospacing="0"/>
              <w:ind w:left="0" w:right="0" w:firstLine="353"/>
              <w:rPr>
                <w:rFonts w:hint="eastAsia" w:asciiTheme="minorEastAsia" w:hAnsiTheme="minorEastAsia" w:eastAsiaTheme="minorEastAsia" w:cstheme="minorEastAsia"/>
                <w:color w:val="auto"/>
                <w:sz w:val="16"/>
                <w:szCs w:val="21"/>
                <w:highlight w:val="none"/>
                <w:lang w:val="zh-CN"/>
              </w:rPr>
            </w:pPr>
            <w:r>
              <w:rPr>
                <w:rFonts w:hint="eastAsia" w:asciiTheme="minorEastAsia" w:hAnsiTheme="minorEastAsia" w:eastAsiaTheme="minorEastAsia" w:cstheme="minorEastAsia"/>
                <w:color w:val="auto"/>
                <w:sz w:val="16"/>
                <w:szCs w:val="21"/>
                <w:highlight w:val="none"/>
                <w:lang w:val="zh-CN"/>
              </w:rPr>
              <w:t>注4：建设项目直接排放第一类污染物的，其评价等级为一级；建设项目直接排放的污染物为受纳水体超标因子的，评价等级不低于二级。</w:t>
            </w:r>
          </w:p>
          <w:p w14:paraId="5081ACA9">
            <w:pPr>
              <w:keepNext w:val="0"/>
              <w:keepLines w:val="0"/>
              <w:suppressLineNumbers w:val="0"/>
              <w:spacing w:before="0" w:beforeAutospacing="0" w:after="0" w:afterAutospacing="0"/>
              <w:ind w:left="0" w:right="0" w:firstLine="353"/>
              <w:rPr>
                <w:rFonts w:hint="eastAsia" w:asciiTheme="minorEastAsia" w:hAnsiTheme="minorEastAsia" w:eastAsiaTheme="minorEastAsia" w:cstheme="minorEastAsia"/>
                <w:color w:val="auto"/>
                <w:sz w:val="16"/>
                <w:szCs w:val="21"/>
                <w:highlight w:val="none"/>
                <w:lang w:val="zh-CN"/>
              </w:rPr>
            </w:pPr>
            <w:r>
              <w:rPr>
                <w:rFonts w:hint="eastAsia" w:asciiTheme="minorEastAsia" w:hAnsiTheme="minorEastAsia" w:eastAsiaTheme="minorEastAsia" w:cstheme="minorEastAsia"/>
                <w:color w:val="auto"/>
                <w:sz w:val="16"/>
                <w:szCs w:val="21"/>
                <w:highlight w:val="none"/>
                <w:lang w:val="zh-CN"/>
              </w:rPr>
              <w:t>注5：直接排放受纳水体影响范围涉及饮用水水源保护区、饮用水取水口、重点保护与珍稀水生生物的栖息地、重要水生生物的自然产卵场等保护目标时，评价等级不低于二级。</w:t>
            </w:r>
          </w:p>
          <w:p w14:paraId="5D09D670">
            <w:pPr>
              <w:keepNext w:val="0"/>
              <w:keepLines w:val="0"/>
              <w:suppressLineNumbers w:val="0"/>
              <w:spacing w:before="0" w:beforeAutospacing="0" w:after="0" w:afterAutospacing="0"/>
              <w:ind w:left="0" w:right="0" w:firstLine="353"/>
              <w:rPr>
                <w:rFonts w:hint="eastAsia" w:asciiTheme="minorEastAsia" w:hAnsiTheme="minorEastAsia" w:eastAsiaTheme="minorEastAsia" w:cstheme="minorEastAsia"/>
                <w:color w:val="auto"/>
                <w:sz w:val="16"/>
                <w:szCs w:val="21"/>
                <w:highlight w:val="none"/>
                <w:lang w:val="zh-CN"/>
              </w:rPr>
            </w:pPr>
            <w:r>
              <w:rPr>
                <w:rFonts w:hint="eastAsia" w:asciiTheme="minorEastAsia" w:hAnsiTheme="minorEastAsia" w:eastAsiaTheme="minorEastAsia" w:cstheme="minorEastAsia"/>
                <w:color w:val="auto"/>
                <w:sz w:val="16"/>
                <w:szCs w:val="21"/>
                <w:highlight w:val="none"/>
                <w:lang w:val="zh-CN"/>
              </w:rPr>
              <w:t>注6：建设项目向河流、湖库排放温排水引起受纳水体水温变化超过水环境质量标准要求，且评价范围有水温敏感目标 时，评价等级为一级。</w:t>
            </w:r>
          </w:p>
          <w:p w14:paraId="606506A2">
            <w:pPr>
              <w:keepNext w:val="0"/>
              <w:keepLines w:val="0"/>
              <w:suppressLineNumbers w:val="0"/>
              <w:spacing w:before="0" w:beforeAutospacing="0" w:after="0" w:afterAutospacing="0"/>
              <w:ind w:left="0" w:right="0" w:firstLine="353"/>
              <w:rPr>
                <w:rFonts w:hint="eastAsia" w:asciiTheme="minorEastAsia" w:hAnsiTheme="minorEastAsia" w:eastAsiaTheme="minorEastAsia" w:cstheme="minorEastAsia"/>
                <w:color w:val="auto"/>
                <w:sz w:val="16"/>
                <w:szCs w:val="21"/>
                <w:highlight w:val="none"/>
                <w:lang w:val="zh-CN"/>
              </w:rPr>
            </w:pPr>
            <w:r>
              <w:rPr>
                <w:rFonts w:hint="eastAsia" w:asciiTheme="minorEastAsia" w:hAnsiTheme="minorEastAsia" w:eastAsiaTheme="minorEastAsia" w:cstheme="minorEastAsia"/>
                <w:color w:val="auto"/>
                <w:sz w:val="16"/>
                <w:szCs w:val="21"/>
                <w:highlight w:val="none"/>
                <w:lang w:val="zh-CN"/>
              </w:rPr>
              <w:t>注7：建设项目利用海水作为调节温度介质，排水量≥500万m</w:t>
            </w:r>
            <w:r>
              <w:rPr>
                <w:rFonts w:hint="eastAsia" w:asciiTheme="minorEastAsia" w:hAnsiTheme="minorEastAsia" w:eastAsiaTheme="minorEastAsia" w:cstheme="minorEastAsia"/>
                <w:color w:val="auto"/>
                <w:sz w:val="16"/>
                <w:szCs w:val="21"/>
                <w:highlight w:val="none"/>
                <w:vertAlign w:val="superscript"/>
                <w:lang w:val="zh-CN"/>
              </w:rPr>
              <w:t>3</w:t>
            </w:r>
            <w:r>
              <w:rPr>
                <w:rFonts w:hint="eastAsia" w:asciiTheme="minorEastAsia" w:hAnsiTheme="minorEastAsia" w:eastAsiaTheme="minorEastAsia" w:cstheme="minorEastAsia"/>
                <w:color w:val="auto"/>
                <w:sz w:val="16"/>
                <w:szCs w:val="21"/>
                <w:highlight w:val="none"/>
                <w:lang w:val="zh-CN"/>
              </w:rPr>
              <w:t>/d，评价等级为一级；排水量＜500万m</w:t>
            </w:r>
            <w:r>
              <w:rPr>
                <w:rFonts w:hint="eastAsia" w:asciiTheme="minorEastAsia" w:hAnsiTheme="minorEastAsia" w:eastAsiaTheme="minorEastAsia" w:cstheme="minorEastAsia"/>
                <w:color w:val="auto"/>
                <w:sz w:val="16"/>
                <w:szCs w:val="21"/>
                <w:highlight w:val="none"/>
                <w:vertAlign w:val="superscript"/>
                <w:lang w:val="zh-CN"/>
              </w:rPr>
              <w:t>3</w:t>
            </w:r>
            <w:r>
              <w:rPr>
                <w:rFonts w:hint="eastAsia" w:asciiTheme="minorEastAsia" w:hAnsiTheme="minorEastAsia" w:eastAsiaTheme="minorEastAsia" w:cstheme="minorEastAsia"/>
                <w:color w:val="auto"/>
                <w:sz w:val="16"/>
                <w:szCs w:val="21"/>
                <w:highlight w:val="none"/>
                <w:lang w:val="zh-CN"/>
              </w:rPr>
              <w:t>/d，评价等级为二级。</w:t>
            </w:r>
          </w:p>
          <w:p w14:paraId="75CBEF9A">
            <w:pPr>
              <w:keepNext w:val="0"/>
              <w:keepLines w:val="0"/>
              <w:suppressLineNumbers w:val="0"/>
              <w:spacing w:before="0" w:beforeAutospacing="0" w:after="0" w:afterAutospacing="0"/>
              <w:ind w:left="0" w:right="0" w:firstLine="353"/>
              <w:rPr>
                <w:rFonts w:hint="eastAsia" w:asciiTheme="minorEastAsia" w:hAnsiTheme="minorEastAsia" w:eastAsiaTheme="minorEastAsia" w:cstheme="minorEastAsia"/>
                <w:color w:val="auto"/>
                <w:sz w:val="16"/>
                <w:szCs w:val="21"/>
                <w:highlight w:val="none"/>
                <w:lang w:val="zh-CN"/>
              </w:rPr>
            </w:pPr>
            <w:r>
              <w:rPr>
                <w:rFonts w:hint="eastAsia" w:asciiTheme="minorEastAsia" w:hAnsiTheme="minorEastAsia" w:eastAsiaTheme="minorEastAsia" w:cstheme="minorEastAsia"/>
                <w:color w:val="auto"/>
                <w:sz w:val="16"/>
                <w:szCs w:val="21"/>
                <w:highlight w:val="none"/>
                <w:lang w:val="zh-CN"/>
              </w:rPr>
              <w:t>注8：仅涉及清净下水排放的，如其排放水质满足受纳水体水环境质量标准要求的，评价等级为三级 A。</w:t>
            </w:r>
          </w:p>
          <w:p w14:paraId="5DEA051F">
            <w:pPr>
              <w:keepNext w:val="0"/>
              <w:keepLines w:val="0"/>
              <w:suppressLineNumbers w:val="0"/>
              <w:spacing w:before="0" w:beforeAutospacing="0" w:after="0" w:afterAutospacing="0"/>
              <w:ind w:left="0" w:right="0" w:firstLine="353"/>
              <w:rPr>
                <w:rFonts w:hint="eastAsia" w:asciiTheme="minorEastAsia" w:hAnsiTheme="minorEastAsia" w:eastAsiaTheme="minorEastAsia" w:cstheme="minorEastAsia"/>
                <w:color w:val="auto"/>
                <w:sz w:val="16"/>
                <w:szCs w:val="21"/>
                <w:highlight w:val="none"/>
                <w:lang w:val="zh-CN"/>
              </w:rPr>
            </w:pPr>
            <w:r>
              <w:rPr>
                <w:rFonts w:hint="eastAsia" w:asciiTheme="minorEastAsia" w:hAnsiTheme="minorEastAsia" w:eastAsiaTheme="minorEastAsia" w:cstheme="minorEastAsia"/>
                <w:color w:val="auto"/>
                <w:sz w:val="16"/>
                <w:szCs w:val="21"/>
                <w:highlight w:val="none"/>
                <w:lang w:val="zh-CN"/>
              </w:rPr>
              <w:t>注9：依托现有排放口，且对外环境未新增排放污染物的直接排放建设项目，评价等级参照间接排放，定为三级B。</w:t>
            </w:r>
          </w:p>
          <w:p w14:paraId="3BEE5FB4">
            <w:pPr>
              <w:keepNext w:val="0"/>
              <w:keepLines w:val="0"/>
              <w:suppressLineNumbers w:val="0"/>
              <w:bidi w:val="0"/>
              <w:spacing w:before="0" w:beforeAutospacing="0" w:after="0" w:afterAutospacing="0"/>
              <w:ind w:left="0" w:right="0" w:firstLine="321" w:firstLineChars="200"/>
              <w:jc w:val="both"/>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bCs/>
                <w:color w:val="auto"/>
                <w:sz w:val="16"/>
                <w:szCs w:val="21"/>
                <w:highlight w:val="none"/>
                <w:u w:val="single"/>
                <w:lang w:val="zh-CN"/>
              </w:rPr>
              <w:t>注10：建设项目生产工艺中有废水产生，但作为回水利用，不排放到外环境的，按三级B评价</w:t>
            </w:r>
            <w:r>
              <w:rPr>
                <w:rFonts w:hint="eastAsia" w:asciiTheme="minorEastAsia" w:hAnsiTheme="minorEastAsia" w:eastAsiaTheme="minorEastAsia" w:cstheme="minorEastAsia"/>
                <w:color w:val="auto"/>
                <w:sz w:val="16"/>
                <w:szCs w:val="21"/>
                <w:highlight w:val="none"/>
                <w:u w:val="single"/>
                <w:lang w:val="zh-CN"/>
              </w:rPr>
              <w:t>。</w:t>
            </w:r>
          </w:p>
        </w:tc>
      </w:tr>
    </w:tbl>
    <w:p w14:paraId="49E45E35">
      <w:pPr>
        <w:spacing w:line="360" w:lineRule="auto"/>
        <w:ind w:firstLine="480"/>
        <w:rPr>
          <w:rFonts w:ascii="Times New Roman"/>
          <w:color w:val="auto"/>
          <w:sz w:val="24"/>
          <w:szCs w:val="24"/>
          <w:highlight w:val="none"/>
        </w:rPr>
      </w:pPr>
      <w:r>
        <w:rPr>
          <w:rFonts w:ascii="Times New Roman"/>
          <w:color w:val="auto"/>
          <w:sz w:val="24"/>
          <w:szCs w:val="24"/>
          <w:highlight w:val="none"/>
        </w:rPr>
        <w:t>本项目</w:t>
      </w:r>
      <w:r>
        <w:rPr>
          <w:rFonts w:hint="eastAsia" w:ascii="Times New Roman"/>
          <w:color w:val="auto"/>
          <w:sz w:val="24"/>
          <w:szCs w:val="24"/>
          <w:highlight w:val="none"/>
          <w:lang w:val="en-US" w:eastAsia="zh-CN"/>
        </w:rPr>
        <w:t>为生态修复项目，土地修复完</w:t>
      </w:r>
      <w:r>
        <w:rPr>
          <w:rFonts w:hint="eastAsia"/>
          <w:color w:val="auto"/>
          <w:sz w:val="24"/>
          <w:szCs w:val="24"/>
          <w:highlight w:val="none"/>
          <w:lang w:val="en-US" w:eastAsia="zh-CN"/>
        </w:rPr>
        <w:t>成后进行绿化</w:t>
      </w:r>
      <w:r>
        <w:rPr>
          <w:rFonts w:ascii="Times New Roman"/>
          <w:color w:val="auto"/>
          <w:sz w:val="24"/>
          <w:szCs w:val="24"/>
          <w:highlight w:val="none"/>
        </w:rPr>
        <w:t>，</w:t>
      </w:r>
      <w:r>
        <w:rPr>
          <w:rFonts w:hint="eastAsia" w:ascii="Times New Roman"/>
          <w:color w:val="auto"/>
          <w:sz w:val="24"/>
          <w:szCs w:val="24"/>
          <w:highlight w:val="none"/>
          <w:lang w:val="en-US" w:eastAsia="zh-CN"/>
        </w:rPr>
        <w:t>无污染物排放。</w:t>
      </w:r>
      <w:r>
        <w:rPr>
          <w:rFonts w:hint="eastAsia" w:ascii="Times New Roman"/>
          <w:color w:val="auto"/>
          <w:sz w:val="24"/>
          <w:szCs w:val="24"/>
          <w:highlight w:val="none"/>
        </w:rPr>
        <w:t>施工人员</w:t>
      </w:r>
      <w:r>
        <w:rPr>
          <w:rFonts w:hint="eastAsia"/>
          <w:color w:val="auto"/>
          <w:sz w:val="24"/>
          <w:szCs w:val="24"/>
          <w:highlight w:val="none"/>
          <w:lang w:val="en-US" w:eastAsia="zh-CN"/>
        </w:rPr>
        <w:t>生活污水依托</w:t>
      </w:r>
      <w:r>
        <w:rPr>
          <w:rFonts w:hint="eastAsia" w:ascii="Times New Roman" w:hAnsi="Times New Roman" w:eastAsia="宋体" w:cs="Times New Roman"/>
          <w:snapToGrid/>
          <w:color w:val="auto"/>
          <w:kern w:val="2"/>
          <w:sz w:val="24"/>
          <w:szCs w:val="22"/>
          <w:highlight w:val="none"/>
          <w:lang w:val="en-US" w:eastAsia="zh-CN" w:bidi="ar-SA"/>
        </w:rPr>
        <w:t>民房防渗旱厕，定期外运堆肥。</w:t>
      </w:r>
      <w:r>
        <w:rPr>
          <w:rFonts w:hint="eastAsia"/>
          <w:color w:val="auto"/>
          <w:highlight w:val="none"/>
          <w:lang w:val="en-US" w:eastAsia="zh-CN"/>
        </w:rPr>
        <w:t>淋滤水</w:t>
      </w:r>
      <w:r>
        <w:rPr>
          <w:rFonts w:hint="default"/>
          <w:color w:val="auto"/>
          <w:highlight w:val="none"/>
          <w:lang w:val="en-US" w:eastAsia="zh-CN"/>
        </w:rPr>
        <w:t>经沉淀池沉淀处理后</w:t>
      </w:r>
      <w:r>
        <w:rPr>
          <w:rFonts w:hint="eastAsia"/>
          <w:color w:val="auto"/>
          <w:highlight w:val="none"/>
          <w:lang w:val="en-US" w:eastAsia="zh-CN"/>
        </w:rPr>
        <w:t>，用于回填区洒水降尘，不外排</w:t>
      </w:r>
      <w:r>
        <w:rPr>
          <w:rFonts w:hint="eastAsia"/>
          <w:color w:val="auto"/>
          <w:sz w:val="24"/>
          <w:szCs w:val="24"/>
          <w:highlight w:val="none"/>
          <w:lang w:val="en-US" w:eastAsia="zh-CN"/>
        </w:rPr>
        <w:t>。</w:t>
      </w:r>
    </w:p>
    <w:p w14:paraId="1FE728A2">
      <w:pPr>
        <w:pStyle w:val="319"/>
        <w:widowControl w:val="0"/>
        <w:snapToGrid w:val="0"/>
        <w:spacing w:line="360" w:lineRule="auto"/>
        <w:ind w:firstLine="480" w:firstLineChars="200"/>
        <w:rPr>
          <w:rFonts w:hint="eastAsia" w:asciiTheme="minorEastAsia" w:hAnsiTheme="minorEastAsia" w:eastAsiaTheme="minorEastAsia" w:cstheme="minorEastAsia"/>
          <w:color w:val="auto"/>
          <w:szCs w:val="24"/>
          <w:highlight w:val="none"/>
        </w:rPr>
      </w:pPr>
      <w:r>
        <w:rPr>
          <w:rFonts w:ascii="Times New Roman"/>
          <w:color w:val="auto"/>
          <w:sz w:val="24"/>
          <w:szCs w:val="24"/>
          <w:highlight w:val="none"/>
        </w:rPr>
        <w:t>综上所述，</w:t>
      </w:r>
      <w:r>
        <w:rPr>
          <w:rFonts w:hint="eastAsia" w:ascii="Times New Roman"/>
          <w:color w:val="auto"/>
          <w:sz w:val="24"/>
          <w:szCs w:val="24"/>
          <w:highlight w:val="none"/>
        </w:rPr>
        <w:t>根据《环境影响评价技术导则地表水环境》（HJ/T2.3-2018）中评价工作分级原则，本项目评价等级为三级B，只进行简要影响分析。</w:t>
      </w:r>
    </w:p>
    <w:p w14:paraId="2ABCE013">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bookmarkStart w:id="264" w:name="_Toc531800104"/>
      <w:bookmarkStart w:id="265" w:name="_Toc32705"/>
      <w:bookmarkStart w:id="266" w:name="_Toc532125223"/>
      <w:bookmarkStart w:id="267" w:name="_Toc525827423"/>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.3地下水环境</w:t>
      </w:r>
      <w:bookmarkEnd w:id="264"/>
      <w:bookmarkEnd w:id="265"/>
      <w:bookmarkEnd w:id="266"/>
      <w:bookmarkEnd w:id="267"/>
    </w:p>
    <w:p w14:paraId="7957C7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bookmarkStart w:id="268" w:name="_Toc307292226"/>
      <w:r>
        <w:rPr>
          <w:rFonts w:hint="eastAsia" w:asciiTheme="minorEastAsia" w:hAnsiTheme="minorEastAsia" w:eastAsiaTheme="minorEastAsia" w:cstheme="minorEastAsia"/>
          <w:color w:val="auto"/>
          <w:highlight w:val="none"/>
        </w:rPr>
        <w:t>根据《环境影响评价技术导则地下水环境》（HJ610-2016）评价工作等级的划分应依据建设项目行业分类和地下水环境敏感程度分级进行判定。</w:t>
      </w:r>
    </w:p>
    <w:p w14:paraId="749BA06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（1）根据《环境影响评价技术导则地下水环境》（HJ610-2016）中规定的环境影响识别方法，根据附录A。</w:t>
      </w:r>
      <w:r>
        <w:rPr>
          <w:rFonts w:hint="eastAsia" w:asciiTheme="minorEastAsia" w:hAnsiTheme="minorEastAsia" w:eastAsiaTheme="minorEastAsia" w:cstheme="minorEastAsia"/>
          <w:color w:val="auto"/>
          <w:highlight w:val="none"/>
          <w:lang w:val="en-US" w:eastAsia="zh-CN"/>
        </w:rPr>
        <w:t>参考其</w:t>
      </w:r>
      <w:r>
        <w:rPr>
          <w:rFonts w:hint="eastAsia" w:asciiTheme="minorEastAsia" w:hAnsiTheme="minorEastAsia" w:eastAsiaTheme="minorEastAsia" w:cstheme="minorEastAsia"/>
          <w:color w:val="auto"/>
          <w:highlight w:val="none"/>
        </w:rPr>
        <w:t>第</w:t>
      </w:r>
      <w:r>
        <w:rPr>
          <w:rFonts w:hint="eastAsia" w:asciiTheme="minorEastAsia" w:hAnsiTheme="minorEastAsia" w:eastAsiaTheme="minorEastAsia" w:cstheme="minorEastAsia"/>
          <w:color w:val="auto"/>
          <w:highlight w:val="none"/>
          <w:lang w:val="en-US"/>
        </w:rPr>
        <w:t>152</w:t>
      </w:r>
      <w:r>
        <w:rPr>
          <w:rFonts w:hint="eastAsia" w:asciiTheme="minorEastAsia" w:hAnsiTheme="minorEastAsia" w:eastAsiaTheme="minorEastAsia" w:cstheme="minorEastAsia"/>
          <w:color w:val="auto"/>
          <w:highlight w:val="none"/>
        </w:rPr>
        <w:t>条“工业固体废物（含污泥）集中处置”报告书类项目，确定本项目地下水环境影响评价项目类别为III类（第I类一般工业固体废物）。</w:t>
      </w:r>
    </w:p>
    <w:p w14:paraId="57547E9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（2）建设项目场地的地下水环境敏感程度可分为敏感、较敏感、不敏感三级，分级原则见表2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lang w:val="en-US" w:eastAsia="zh-CN"/>
        </w:rPr>
        <w:t>7</w:t>
      </w:r>
      <w:r>
        <w:rPr>
          <w:rFonts w:hint="eastAsia" w:asciiTheme="minorEastAsia" w:hAnsiTheme="minorEastAsia" w:eastAsiaTheme="minorEastAsia" w:cstheme="minorEastAsia"/>
          <w:color w:val="auto"/>
          <w:highlight w:val="none"/>
        </w:rPr>
        <w:t>。</w:t>
      </w:r>
    </w:p>
    <w:p w14:paraId="7DF99846">
      <w:pPr>
        <w:pStyle w:val="318"/>
        <w:widowControl w:val="0"/>
        <w:snapToGrid w:val="0"/>
        <w:spacing w:line="240" w:lineRule="auto"/>
        <w:ind w:firstLine="482"/>
        <w:rPr>
          <w:rFonts w:hint="eastAsia" w:asciiTheme="minorEastAsia" w:hAnsiTheme="minorEastAsia" w:eastAsiaTheme="minorEastAsia" w:cstheme="minorEastAsia"/>
          <w:b/>
          <w:color w:val="auto"/>
          <w:spacing w:val="0"/>
          <w:kern w:val="2"/>
          <w:sz w:val="24"/>
          <w:szCs w:val="24"/>
          <w:highlight w:val="none"/>
          <w:lang w:val="en-US" w:eastAsia="zh-CN" w:bidi="ar-SA"/>
        </w:rPr>
      </w:pPr>
      <w:r>
        <w:rPr>
          <w:rFonts w:hint="eastAsia" w:asciiTheme="minorEastAsia" w:hAnsiTheme="minorEastAsia" w:eastAsiaTheme="minorEastAsia" w:cstheme="minorEastAsia"/>
          <w:b/>
          <w:color w:val="auto"/>
          <w:spacing w:val="0"/>
          <w:kern w:val="2"/>
          <w:sz w:val="24"/>
          <w:szCs w:val="24"/>
          <w:highlight w:val="none"/>
          <w:lang w:val="en-US" w:eastAsia="zh-CN" w:bidi="ar-SA"/>
        </w:rPr>
        <w:t>表2.5-7  地下水环境敏感程度分级</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99"/>
        <w:gridCol w:w="7423"/>
      </w:tblGrid>
      <w:tr w14:paraId="64183F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45" w:type="pct"/>
            <w:tcBorders>
              <w:tl2br w:val="nil"/>
              <w:tr2bl w:val="nil"/>
            </w:tcBorders>
            <w:vAlign w:val="center"/>
          </w:tcPr>
          <w:p w14:paraId="38175B4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分级</w:t>
            </w:r>
          </w:p>
        </w:tc>
        <w:tc>
          <w:tcPr>
            <w:tcW w:w="4354" w:type="pct"/>
            <w:tcBorders>
              <w:tl2br w:val="nil"/>
              <w:tr2bl w:val="nil"/>
            </w:tcBorders>
            <w:vAlign w:val="center"/>
          </w:tcPr>
          <w:p w14:paraId="5413D3C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项目场地的地下水环境敏感程度</w:t>
            </w:r>
          </w:p>
        </w:tc>
      </w:tr>
      <w:tr w14:paraId="7C1BF4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45" w:type="pct"/>
            <w:tcBorders>
              <w:tl2br w:val="nil"/>
              <w:tr2bl w:val="nil"/>
            </w:tcBorders>
            <w:vAlign w:val="center"/>
          </w:tcPr>
          <w:p w14:paraId="60FE647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敏感</w:t>
            </w:r>
          </w:p>
        </w:tc>
        <w:tc>
          <w:tcPr>
            <w:tcW w:w="4354" w:type="pct"/>
            <w:tcBorders>
              <w:tl2br w:val="nil"/>
              <w:tr2bl w:val="nil"/>
            </w:tcBorders>
            <w:vAlign w:val="center"/>
          </w:tcPr>
          <w:p w14:paraId="0032A28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集中式饮用水水源（包括已建成的在用、备用、应急水源，在建和规划的饮用水水源）准保护区；除集中式饮用水水源以外的国家或地方政府设立的与地下水环境相关的其它保护区，如热水、矿泉水、温泉等特殊地下水资源保护区。</w:t>
            </w:r>
          </w:p>
        </w:tc>
      </w:tr>
      <w:tr w14:paraId="6B7F74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45" w:type="pct"/>
            <w:tcBorders>
              <w:tl2br w:val="nil"/>
              <w:tr2bl w:val="nil"/>
            </w:tcBorders>
            <w:vAlign w:val="center"/>
          </w:tcPr>
          <w:p w14:paraId="7DD32B0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较敏感</w:t>
            </w:r>
          </w:p>
        </w:tc>
        <w:tc>
          <w:tcPr>
            <w:tcW w:w="4354" w:type="pct"/>
            <w:tcBorders>
              <w:tl2br w:val="nil"/>
              <w:tr2bl w:val="nil"/>
            </w:tcBorders>
            <w:vAlign w:val="center"/>
          </w:tcPr>
          <w:p w14:paraId="3ABA9F5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集中式饮用水水源（包括已建成的在用、备用、应急水源，在建和规划的饮用水水源）准保护区以外的补给径流区；未划定准保护区的</w:t>
            </w:r>
            <w:r>
              <w:rPr>
                <w:rFonts w:hint="eastAsia" w:asciiTheme="minorEastAsia" w:hAnsiTheme="minorEastAsia" w:eastAsiaTheme="minorEastAsia" w:cstheme="minorEastAsia"/>
                <w:b w:val="0"/>
                <w:bCs w:val="0"/>
                <w:color w:val="auto"/>
                <w:sz w:val="21"/>
                <w:szCs w:val="21"/>
                <w:highlight w:val="none"/>
                <w:lang w:eastAsia="zh-CN"/>
              </w:rPr>
              <w:t>集中</w:t>
            </w:r>
            <w:r>
              <w:rPr>
                <w:rFonts w:hint="eastAsia" w:asciiTheme="minorEastAsia" w:hAnsiTheme="minorEastAsia" w:eastAsiaTheme="minorEastAsia" w:cstheme="minorEastAsia"/>
                <w:b w:val="0"/>
                <w:bCs w:val="0"/>
                <w:color w:val="auto"/>
                <w:sz w:val="21"/>
                <w:szCs w:val="21"/>
                <w:highlight w:val="none"/>
              </w:rPr>
              <w:t>式饮用水水源，其保护区以外的补给径流区，分散式饮用水源地；特殊地下水资源（如矿泉水、温泉等）保护区以外的分布区等其他未列入上述敏感分级的环境敏感区。</w:t>
            </w:r>
          </w:p>
        </w:tc>
      </w:tr>
      <w:tr w14:paraId="0905F9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45" w:type="pct"/>
            <w:tcBorders>
              <w:tl2br w:val="nil"/>
              <w:tr2bl w:val="nil"/>
            </w:tcBorders>
            <w:vAlign w:val="center"/>
          </w:tcPr>
          <w:p w14:paraId="21060A0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不敏感</w:t>
            </w:r>
          </w:p>
        </w:tc>
        <w:tc>
          <w:tcPr>
            <w:tcW w:w="4354" w:type="pct"/>
            <w:tcBorders>
              <w:tl2br w:val="nil"/>
              <w:tr2bl w:val="nil"/>
            </w:tcBorders>
            <w:vAlign w:val="center"/>
          </w:tcPr>
          <w:p w14:paraId="1FFA774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上述地区之外的其他地区。</w:t>
            </w:r>
          </w:p>
        </w:tc>
      </w:tr>
      <w:tr w14:paraId="26025F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000" w:type="pct"/>
            <w:gridSpan w:val="2"/>
            <w:tcBorders>
              <w:tl2br w:val="nil"/>
              <w:tr2bl w:val="nil"/>
            </w:tcBorders>
            <w:vAlign w:val="center"/>
          </w:tcPr>
          <w:p w14:paraId="7C2F4074">
            <w:pPr>
              <w:keepNext w:val="0"/>
              <w:keepLines w:val="0"/>
              <w:suppressLineNumbers w:val="0"/>
              <w:bidi w:val="0"/>
              <w:spacing w:before="0" w:beforeAutospacing="0" w:after="0" w:afterAutospacing="0"/>
              <w:ind w:left="0" w:right="0"/>
              <w:jc w:val="left"/>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注：a“环境敏感区”是指《建设项目环境影响评价分类管理名录》中所界定的涉及地下水的环境敏感区。</w:t>
            </w:r>
          </w:p>
        </w:tc>
      </w:tr>
    </w:tbl>
    <w:p w14:paraId="767D2EF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en-US" w:eastAsia="zh-CN"/>
        </w:rPr>
      </w:pPr>
    </w:p>
    <w:p w14:paraId="0B80152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en-US" w:eastAsia="zh-CN"/>
        </w:rPr>
      </w:pPr>
      <w:r>
        <w:rPr>
          <w:rFonts w:ascii="Times New Roman"/>
          <w:color w:val="auto"/>
          <w:highlight w:val="none"/>
        </w:rPr>
        <w:t>根据现场调查及资料收集，评价区范围内没有地下水集中供水水源地，项目所在区域不属于生活供水水源地准保护区、不属于热水、矿泉水、温泉等特殊地下水源保护区</w:t>
      </w:r>
      <w:r>
        <w:rPr>
          <w:rFonts w:hint="eastAsia"/>
          <w:color w:val="auto"/>
          <w:highlight w:val="none"/>
          <w:lang w:eastAsia="zh-CN"/>
        </w:rPr>
        <w:t>，</w:t>
      </w:r>
      <w:r>
        <w:rPr>
          <w:rFonts w:ascii="Times New Roman"/>
          <w:color w:val="auto"/>
          <w:highlight w:val="none"/>
        </w:rPr>
        <w:t>也不属于补给径流区</w:t>
      </w:r>
      <w:r>
        <w:rPr>
          <w:rFonts w:hint="eastAsia"/>
          <w:color w:val="auto"/>
          <w:highlight w:val="none"/>
          <w:lang w:eastAsia="zh-CN"/>
        </w:rPr>
        <w:t>。</w:t>
      </w:r>
      <w:r>
        <w:rPr>
          <w:rFonts w:ascii="Times New Roman"/>
          <w:color w:val="auto"/>
          <w:highlight w:val="none"/>
        </w:rPr>
        <w:t>根据现场调查，</w:t>
      </w:r>
      <w:r>
        <w:rPr>
          <w:rFonts w:hint="eastAsia" w:asciiTheme="minorEastAsia" w:hAnsiTheme="minorEastAsia" w:eastAsiaTheme="minorEastAsia" w:cstheme="minorEastAsia"/>
          <w:color w:val="auto"/>
          <w:highlight w:val="none"/>
          <w:lang w:val="en-US" w:eastAsia="zh-CN"/>
        </w:rPr>
        <w:t>本项目周边村屯均由元宝镇集中式饮用水水源地提供</w:t>
      </w:r>
      <w:r>
        <w:rPr>
          <w:rFonts w:hint="eastAsia" w:ascii="Times New Roman"/>
          <w:color w:val="auto"/>
          <w:highlight w:val="none"/>
          <w:lang w:val="en-US" w:eastAsia="zh-CN"/>
        </w:rPr>
        <w:t>，水源井位于二龙山村（东经：128.287466°，北纬：128.287466°）</w:t>
      </w:r>
      <w:r>
        <w:rPr>
          <w:rFonts w:hint="eastAsia"/>
          <w:color w:val="auto"/>
          <w:highlight w:val="none"/>
          <w:lang w:val="en-US" w:eastAsia="zh-CN"/>
        </w:rPr>
        <w:t>，</w:t>
      </w:r>
      <w:r>
        <w:rPr>
          <w:rFonts w:hint="eastAsia" w:ascii="Times New Roman"/>
          <w:color w:val="auto"/>
          <w:highlight w:val="none"/>
          <w:lang w:val="en-US" w:eastAsia="zh-CN"/>
        </w:rPr>
        <w:t>位于</w:t>
      </w:r>
      <w:r>
        <w:rPr>
          <w:rFonts w:ascii="Times New Roman"/>
          <w:color w:val="auto"/>
          <w:highlight w:val="none"/>
        </w:rPr>
        <w:t>本项目</w:t>
      </w:r>
      <w:r>
        <w:rPr>
          <w:rFonts w:hint="eastAsia" w:ascii="Times New Roman"/>
          <w:color w:val="auto"/>
          <w:highlight w:val="none"/>
          <w:lang w:val="en-US" w:eastAsia="zh-CN"/>
        </w:rPr>
        <w:t>南</w:t>
      </w:r>
      <w:r>
        <w:rPr>
          <w:rFonts w:ascii="Times New Roman"/>
          <w:color w:val="auto"/>
          <w:highlight w:val="none"/>
        </w:rPr>
        <w:t>侧</w:t>
      </w:r>
      <w:r>
        <w:rPr>
          <w:rFonts w:hint="eastAsia" w:ascii="Times New Roman"/>
          <w:color w:val="auto"/>
          <w:highlight w:val="none"/>
          <w:lang w:val="en-US" w:eastAsia="zh-CN"/>
        </w:rPr>
        <w:t>4.1</w:t>
      </w:r>
      <w:r>
        <w:rPr>
          <w:rFonts w:ascii="Times New Roman"/>
          <w:color w:val="auto"/>
          <w:highlight w:val="none"/>
        </w:rPr>
        <w:t>km处</w:t>
      </w:r>
      <w:r>
        <w:rPr>
          <w:rFonts w:hint="eastAsia" w:ascii="Times New Roman"/>
          <w:color w:val="auto"/>
          <w:highlight w:val="none"/>
          <w:lang w:eastAsia="zh-CN"/>
        </w:rPr>
        <w:t>。</w:t>
      </w:r>
      <w:r>
        <w:rPr>
          <w:rFonts w:hint="eastAsia"/>
          <w:color w:val="auto"/>
          <w:highlight w:val="none"/>
          <w:lang w:val="en-US" w:eastAsia="zh-CN"/>
        </w:rPr>
        <w:t>水源井保护区已超出本项目地下水评价范围及影响范围，所以本项目</w:t>
      </w:r>
      <w:r>
        <w:rPr>
          <w:rFonts w:hint="eastAsia" w:ascii="Times New Roman"/>
          <w:color w:val="auto"/>
          <w:highlight w:val="none"/>
          <w:lang w:val="en-US" w:eastAsia="zh-CN"/>
        </w:rPr>
        <w:t>周围敏感程度为不敏感。</w:t>
      </w:r>
    </w:p>
    <w:p w14:paraId="306D6CEC">
      <w:pPr>
        <w:pStyle w:val="318"/>
        <w:widowControl w:val="0"/>
        <w:snapToGrid w:val="0"/>
        <w:spacing w:line="240" w:lineRule="auto"/>
        <w:ind w:firstLine="482"/>
        <w:rPr>
          <w:rFonts w:hint="eastAsia" w:asciiTheme="minorEastAsia" w:hAnsiTheme="minorEastAsia" w:eastAsiaTheme="minorEastAsia" w:cstheme="minorEastAsia"/>
          <w:b/>
          <w:color w:val="auto"/>
          <w:spacing w:val="0"/>
          <w:kern w:val="2"/>
          <w:sz w:val="24"/>
          <w:szCs w:val="24"/>
          <w:highlight w:val="none"/>
          <w:lang w:val="en-US" w:eastAsia="zh-CN" w:bidi="ar-SA"/>
        </w:rPr>
      </w:pPr>
      <w:r>
        <w:rPr>
          <w:rFonts w:hint="eastAsia" w:asciiTheme="minorEastAsia" w:hAnsiTheme="minorEastAsia" w:eastAsiaTheme="minorEastAsia" w:cstheme="minorEastAsia"/>
          <w:b/>
          <w:color w:val="auto"/>
          <w:spacing w:val="0"/>
          <w:kern w:val="2"/>
          <w:sz w:val="24"/>
          <w:szCs w:val="24"/>
          <w:highlight w:val="none"/>
          <w:lang w:val="en-US" w:eastAsia="zh-CN" w:bidi="ar-SA"/>
        </w:rPr>
        <w:t>表2.5-8  地下水评价工作等级分级表</w:t>
      </w:r>
    </w:p>
    <w:tbl>
      <w:tblPr>
        <w:tblStyle w:val="84"/>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478"/>
        <w:gridCol w:w="1812"/>
        <w:gridCol w:w="2117"/>
        <w:gridCol w:w="2115"/>
      </w:tblGrid>
      <w:tr w14:paraId="55FBFE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454" w:type="pct"/>
            <w:tcBorders>
              <w:tl2br w:val="nil"/>
              <w:tr2bl w:val="nil"/>
            </w:tcBorders>
            <w:vAlign w:val="center"/>
          </w:tcPr>
          <w:p w14:paraId="062C4B10">
            <w:pPr>
              <w:pStyle w:val="1175"/>
              <w:keepNext w:val="0"/>
              <w:keepLines w:val="0"/>
              <w:widowControl w:val="0"/>
              <w:suppressLineNumbers w:val="0"/>
              <w:spacing w:before="0" w:beforeAutospacing="0" w:after="0" w:afterAutospacing="0" w:line="240" w:lineRule="auto"/>
              <w:ind w:left="0" w:right="0" w:firstLine="630" w:firstLineChars="30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项目类别</w:t>
            </w:r>
          </w:p>
          <w:p w14:paraId="107075D3">
            <w:pPr>
              <w:pStyle w:val="1175"/>
              <w:keepNext w:val="0"/>
              <w:keepLines w:val="0"/>
              <w:widowControl w:val="0"/>
              <w:suppressLineNumbers w:val="0"/>
              <w:spacing w:before="0" w:beforeAutospacing="0" w:after="0" w:afterAutospacing="0" w:line="240" w:lineRule="auto"/>
              <w:ind w:left="0" w:right="0"/>
              <w:jc w:val="both"/>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环境敏感程度</w:t>
            </w:r>
          </w:p>
        </w:tc>
        <w:tc>
          <w:tcPr>
            <w:tcW w:w="1063" w:type="pct"/>
            <w:tcBorders>
              <w:tl2br w:val="nil"/>
              <w:tr2bl w:val="nil"/>
            </w:tcBorders>
            <w:vAlign w:val="center"/>
          </w:tcPr>
          <w:p w14:paraId="5F85FDA5">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Ⅰ类项目</w:t>
            </w:r>
          </w:p>
        </w:tc>
        <w:tc>
          <w:tcPr>
            <w:tcW w:w="1242" w:type="pct"/>
            <w:tcBorders>
              <w:tl2br w:val="nil"/>
              <w:tr2bl w:val="nil"/>
            </w:tcBorders>
            <w:vAlign w:val="center"/>
          </w:tcPr>
          <w:p w14:paraId="14695A0A">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Ⅱ类项目</w:t>
            </w:r>
          </w:p>
        </w:tc>
        <w:tc>
          <w:tcPr>
            <w:tcW w:w="1241" w:type="pct"/>
            <w:tcBorders>
              <w:tl2br w:val="nil"/>
              <w:tr2bl w:val="nil"/>
            </w:tcBorders>
            <w:vAlign w:val="center"/>
          </w:tcPr>
          <w:p w14:paraId="7735632B">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bCs/>
                <w:snapToGrid w:val="0"/>
                <w:color w:val="auto"/>
                <w:sz w:val="21"/>
                <w:szCs w:val="21"/>
                <w:highlight w:val="none"/>
                <w:shd w:val="pct10" w:color="auto" w:fill="FFFFFF"/>
                <w:lang w:val="en-GB"/>
              </w:rPr>
              <w:t>Ⅲ类项目</w:t>
            </w:r>
          </w:p>
        </w:tc>
      </w:tr>
      <w:tr w14:paraId="1883CC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454" w:type="pct"/>
            <w:tcBorders>
              <w:tl2br w:val="nil"/>
              <w:tr2bl w:val="nil"/>
            </w:tcBorders>
            <w:vAlign w:val="center"/>
          </w:tcPr>
          <w:p w14:paraId="189E8A3A">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敏感</w:t>
            </w:r>
          </w:p>
        </w:tc>
        <w:tc>
          <w:tcPr>
            <w:tcW w:w="1063" w:type="pct"/>
            <w:tcBorders>
              <w:tl2br w:val="nil"/>
              <w:tr2bl w:val="nil"/>
            </w:tcBorders>
            <w:vAlign w:val="center"/>
          </w:tcPr>
          <w:p w14:paraId="1A498837">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一</w:t>
            </w:r>
          </w:p>
        </w:tc>
        <w:tc>
          <w:tcPr>
            <w:tcW w:w="1242" w:type="pct"/>
            <w:tcBorders>
              <w:tl2br w:val="nil"/>
              <w:tr2bl w:val="nil"/>
            </w:tcBorders>
            <w:vAlign w:val="center"/>
          </w:tcPr>
          <w:p w14:paraId="0320E0F3">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一</w:t>
            </w:r>
          </w:p>
        </w:tc>
        <w:tc>
          <w:tcPr>
            <w:tcW w:w="1241" w:type="pct"/>
            <w:tcBorders>
              <w:tl2br w:val="nil"/>
              <w:tr2bl w:val="nil"/>
            </w:tcBorders>
            <w:vAlign w:val="center"/>
          </w:tcPr>
          <w:p w14:paraId="6E5E8E93">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二</w:t>
            </w:r>
          </w:p>
        </w:tc>
      </w:tr>
      <w:tr w14:paraId="066D07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454" w:type="pct"/>
            <w:tcBorders>
              <w:tl2br w:val="nil"/>
              <w:tr2bl w:val="nil"/>
            </w:tcBorders>
            <w:vAlign w:val="center"/>
          </w:tcPr>
          <w:p w14:paraId="216370F5">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较敏感</w:t>
            </w:r>
          </w:p>
        </w:tc>
        <w:tc>
          <w:tcPr>
            <w:tcW w:w="1063" w:type="pct"/>
            <w:tcBorders>
              <w:tl2br w:val="nil"/>
              <w:tr2bl w:val="nil"/>
            </w:tcBorders>
            <w:vAlign w:val="center"/>
          </w:tcPr>
          <w:p w14:paraId="26853A08">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一</w:t>
            </w:r>
          </w:p>
        </w:tc>
        <w:tc>
          <w:tcPr>
            <w:tcW w:w="1242" w:type="pct"/>
            <w:tcBorders>
              <w:tl2br w:val="nil"/>
              <w:tr2bl w:val="nil"/>
            </w:tcBorders>
            <w:vAlign w:val="center"/>
          </w:tcPr>
          <w:p w14:paraId="237777A1">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二</w:t>
            </w:r>
          </w:p>
        </w:tc>
        <w:tc>
          <w:tcPr>
            <w:tcW w:w="1241" w:type="pct"/>
            <w:tcBorders>
              <w:tl2br w:val="nil"/>
              <w:tr2bl w:val="nil"/>
            </w:tcBorders>
            <w:vAlign w:val="center"/>
          </w:tcPr>
          <w:p w14:paraId="5E9F4316">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三</w:t>
            </w:r>
          </w:p>
        </w:tc>
      </w:tr>
      <w:tr w14:paraId="46CB37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454" w:type="pct"/>
            <w:tcBorders>
              <w:tl2br w:val="nil"/>
              <w:tr2bl w:val="nil"/>
            </w:tcBorders>
            <w:vAlign w:val="center"/>
          </w:tcPr>
          <w:p w14:paraId="760648CD">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bCs/>
                <w:snapToGrid w:val="0"/>
                <w:color w:val="auto"/>
                <w:sz w:val="21"/>
                <w:szCs w:val="21"/>
                <w:highlight w:val="none"/>
                <w:shd w:val="pct15" w:color="auto" w:fill="FFFFFF"/>
                <w:lang w:val="en-GB"/>
              </w:rPr>
              <w:t>不敏感</w:t>
            </w:r>
          </w:p>
        </w:tc>
        <w:tc>
          <w:tcPr>
            <w:tcW w:w="1063" w:type="pct"/>
            <w:tcBorders>
              <w:tl2br w:val="nil"/>
              <w:tr2bl w:val="nil"/>
            </w:tcBorders>
            <w:vAlign w:val="center"/>
          </w:tcPr>
          <w:p w14:paraId="691615A3">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二</w:t>
            </w:r>
          </w:p>
        </w:tc>
        <w:tc>
          <w:tcPr>
            <w:tcW w:w="1242" w:type="pct"/>
            <w:tcBorders>
              <w:tl2br w:val="nil"/>
              <w:tr2bl w:val="nil"/>
            </w:tcBorders>
            <w:vAlign w:val="center"/>
          </w:tcPr>
          <w:p w14:paraId="4982DD0D">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val="0"/>
                <w:bCs w:val="0"/>
                <w:snapToGrid w:val="0"/>
                <w:color w:val="auto"/>
                <w:sz w:val="21"/>
                <w:szCs w:val="21"/>
                <w:highlight w:val="none"/>
                <w:lang w:val="en-GB"/>
              </w:rPr>
              <w:t>三</w:t>
            </w:r>
          </w:p>
        </w:tc>
        <w:tc>
          <w:tcPr>
            <w:tcW w:w="1241" w:type="pct"/>
            <w:tcBorders>
              <w:tl2br w:val="nil"/>
              <w:tr2bl w:val="nil"/>
            </w:tcBorders>
            <w:vAlign w:val="center"/>
          </w:tcPr>
          <w:p w14:paraId="7B496424">
            <w:pPr>
              <w:pStyle w:val="1175"/>
              <w:keepNext w:val="0"/>
              <w:keepLines w:val="0"/>
              <w:widowControl w:val="0"/>
              <w:suppressLineNumbers w:val="0"/>
              <w:spacing w:before="0" w:beforeAutospacing="0" w:after="0" w:afterAutospacing="0" w:line="240" w:lineRule="auto"/>
              <w:ind w:left="0" w:right="0"/>
              <w:rPr>
                <w:rFonts w:hint="eastAsia" w:asciiTheme="minorEastAsia" w:hAnsiTheme="minorEastAsia" w:eastAsiaTheme="minorEastAsia" w:cstheme="minorEastAsia"/>
                <w:b w:val="0"/>
                <w:bCs w:val="0"/>
                <w:snapToGrid w:val="0"/>
                <w:color w:val="auto"/>
                <w:sz w:val="21"/>
                <w:szCs w:val="21"/>
                <w:highlight w:val="none"/>
                <w:lang w:val="en-GB"/>
              </w:rPr>
            </w:pPr>
            <w:r>
              <w:rPr>
                <w:rFonts w:hint="eastAsia" w:asciiTheme="minorEastAsia" w:hAnsiTheme="minorEastAsia" w:eastAsiaTheme="minorEastAsia" w:cstheme="minorEastAsia"/>
                <w:b/>
                <w:bCs/>
                <w:snapToGrid w:val="0"/>
                <w:color w:val="auto"/>
                <w:sz w:val="21"/>
                <w:szCs w:val="21"/>
                <w:highlight w:val="none"/>
                <w:shd w:val="pct15" w:color="auto" w:fill="FFFFFF"/>
                <w:lang w:val="en-GB"/>
              </w:rPr>
              <w:t>三</w:t>
            </w:r>
          </w:p>
        </w:tc>
      </w:tr>
    </w:tbl>
    <w:p w14:paraId="6CEF3977">
      <w:pPr>
        <w:pStyle w:val="318"/>
        <w:widowControl w:val="0"/>
        <w:snapToGrid w:val="0"/>
        <w:spacing w:line="240" w:lineRule="auto"/>
        <w:ind w:firstLine="482"/>
        <w:rPr>
          <w:rFonts w:hint="eastAsia" w:asciiTheme="minorEastAsia" w:hAnsiTheme="minorEastAsia" w:eastAsiaTheme="minorEastAsia" w:cstheme="minorEastAsia"/>
          <w:b/>
          <w:color w:val="auto"/>
          <w:spacing w:val="0"/>
          <w:kern w:val="2"/>
          <w:sz w:val="24"/>
          <w:szCs w:val="24"/>
          <w:highlight w:val="none"/>
          <w:lang w:val="en-US" w:eastAsia="zh-CN" w:bidi="ar-SA"/>
        </w:rPr>
      </w:pPr>
      <w:r>
        <w:rPr>
          <w:rFonts w:hint="eastAsia" w:asciiTheme="minorEastAsia" w:hAnsiTheme="minorEastAsia" w:eastAsiaTheme="minorEastAsia" w:cstheme="minorEastAsia"/>
          <w:b/>
          <w:color w:val="auto"/>
          <w:spacing w:val="0"/>
          <w:kern w:val="2"/>
          <w:sz w:val="24"/>
          <w:szCs w:val="24"/>
          <w:highlight w:val="none"/>
          <w:lang w:val="en-US" w:eastAsia="zh-CN" w:bidi="ar-SA"/>
        </w:rPr>
        <w:t>表2.5-9  地下水分级判定指标</w:t>
      </w:r>
    </w:p>
    <w:tbl>
      <w:tblPr>
        <w:tblStyle w:val="84"/>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67"/>
        <w:gridCol w:w="5752"/>
        <w:gridCol w:w="1103"/>
      </w:tblGrid>
      <w:tr w14:paraId="39384D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8" w:type="dxa"/>
            <w:tcBorders>
              <w:tl2br w:val="nil"/>
              <w:tr2bl w:val="nil"/>
            </w:tcBorders>
            <w:vAlign w:val="center"/>
          </w:tcPr>
          <w:p w14:paraId="76DDBCD2">
            <w:pPr>
              <w:pStyle w:val="319"/>
              <w:keepNext w:val="0"/>
              <w:keepLines w:val="0"/>
              <w:widowControl w:val="0"/>
              <w:suppressLineNumbers w:val="0"/>
              <w:snapToGrid w:val="0"/>
              <w:spacing w:before="0" w:beforeAutospacing="0" w:after="0" w:afterAutospacing="0" w:line="240" w:lineRule="auto"/>
              <w:ind w:left="0" w:right="0" w:firstLine="0"/>
              <w:jc w:val="center"/>
              <w:rPr>
                <w:rFonts w:hint="eastAsia" w:asciiTheme="minorEastAsia" w:hAnsiTheme="minorEastAsia" w:eastAsiaTheme="minorEastAsia" w:cstheme="minorEastAsia"/>
                <w:b/>
                <w:bCs/>
                <w:snapToGrid w:val="0"/>
                <w:color w:val="auto"/>
                <w:sz w:val="21"/>
                <w:szCs w:val="21"/>
                <w:highlight w:val="none"/>
              </w:rPr>
            </w:pPr>
            <w:r>
              <w:rPr>
                <w:rFonts w:hint="eastAsia" w:asciiTheme="minorEastAsia" w:hAnsiTheme="minorEastAsia" w:eastAsiaTheme="minorEastAsia" w:cstheme="minorEastAsia"/>
                <w:b/>
                <w:bCs/>
                <w:snapToGrid w:val="0"/>
                <w:color w:val="auto"/>
                <w:sz w:val="21"/>
                <w:szCs w:val="21"/>
                <w:highlight w:val="none"/>
              </w:rPr>
              <w:t>划分依据</w:t>
            </w:r>
          </w:p>
        </w:tc>
        <w:tc>
          <w:tcPr>
            <w:tcW w:w="5756" w:type="dxa"/>
            <w:tcBorders>
              <w:tl2br w:val="nil"/>
              <w:tr2bl w:val="nil"/>
            </w:tcBorders>
            <w:vAlign w:val="center"/>
          </w:tcPr>
          <w:p w14:paraId="7429F23C">
            <w:pPr>
              <w:pStyle w:val="319"/>
              <w:keepNext w:val="0"/>
              <w:keepLines w:val="0"/>
              <w:widowControl w:val="0"/>
              <w:suppressLineNumbers w:val="0"/>
              <w:snapToGrid w:val="0"/>
              <w:spacing w:before="0" w:beforeAutospacing="0" w:after="0" w:afterAutospacing="0" w:line="240" w:lineRule="auto"/>
              <w:ind w:left="0" w:right="0" w:firstLine="0"/>
              <w:jc w:val="center"/>
              <w:rPr>
                <w:rFonts w:hint="eastAsia" w:asciiTheme="minorEastAsia" w:hAnsiTheme="minorEastAsia" w:eastAsiaTheme="minorEastAsia" w:cstheme="minorEastAsia"/>
                <w:b/>
                <w:bCs/>
                <w:snapToGrid w:val="0"/>
                <w:color w:val="auto"/>
                <w:sz w:val="21"/>
                <w:szCs w:val="21"/>
                <w:highlight w:val="none"/>
              </w:rPr>
            </w:pPr>
            <w:r>
              <w:rPr>
                <w:rFonts w:hint="eastAsia" w:asciiTheme="minorEastAsia" w:hAnsiTheme="minorEastAsia" w:eastAsiaTheme="minorEastAsia" w:cstheme="minorEastAsia"/>
                <w:b/>
                <w:bCs/>
                <w:snapToGrid w:val="0"/>
                <w:color w:val="auto"/>
                <w:sz w:val="21"/>
                <w:szCs w:val="21"/>
                <w:highlight w:val="none"/>
              </w:rPr>
              <w:t>项目情况</w:t>
            </w:r>
          </w:p>
        </w:tc>
        <w:tc>
          <w:tcPr>
            <w:tcW w:w="1104" w:type="dxa"/>
            <w:tcBorders>
              <w:tl2br w:val="nil"/>
              <w:tr2bl w:val="nil"/>
            </w:tcBorders>
            <w:vAlign w:val="center"/>
          </w:tcPr>
          <w:p w14:paraId="1B3D1F14">
            <w:pPr>
              <w:pStyle w:val="319"/>
              <w:keepNext w:val="0"/>
              <w:keepLines w:val="0"/>
              <w:widowControl w:val="0"/>
              <w:suppressLineNumbers w:val="0"/>
              <w:snapToGrid w:val="0"/>
              <w:spacing w:before="0" w:beforeAutospacing="0" w:after="0" w:afterAutospacing="0" w:line="240" w:lineRule="auto"/>
              <w:ind w:left="0" w:right="0" w:firstLine="0"/>
              <w:jc w:val="center"/>
              <w:rPr>
                <w:rFonts w:hint="eastAsia" w:asciiTheme="minorEastAsia" w:hAnsiTheme="minorEastAsia" w:eastAsiaTheme="minorEastAsia" w:cstheme="minorEastAsia"/>
                <w:b/>
                <w:bCs/>
                <w:snapToGrid w:val="0"/>
                <w:color w:val="auto"/>
                <w:sz w:val="21"/>
                <w:szCs w:val="21"/>
                <w:highlight w:val="none"/>
              </w:rPr>
            </w:pPr>
            <w:r>
              <w:rPr>
                <w:rFonts w:hint="eastAsia" w:asciiTheme="minorEastAsia" w:hAnsiTheme="minorEastAsia" w:eastAsiaTheme="minorEastAsia" w:cstheme="minorEastAsia"/>
                <w:b/>
                <w:bCs/>
                <w:snapToGrid w:val="0"/>
                <w:color w:val="auto"/>
                <w:sz w:val="21"/>
                <w:szCs w:val="21"/>
                <w:highlight w:val="none"/>
              </w:rPr>
              <w:t>分级情况</w:t>
            </w:r>
          </w:p>
        </w:tc>
      </w:tr>
      <w:tr w14:paraId="3FE29F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8" w:type="dxa"/>
            <w:tcBorders>
              <w:tl2br w:val="nil"/>
              <w:tr2bl w:val="nil"/>
            </w:tcBorders>
            <w:vAlign w:val="center"/>
          </w:tcPr>
          <w:p w14:paraId="665A17F1">
            <w:pPr>
              <w:pStyle w:val="319"/>
              <w:keepNext w:val="0"/>
              <w:keepLines w:val="0"/>
              <w:widowControl w:val="0"/>
              <w:suppressLineNumbers w:val="0"/>
              <w:snapToGrid w:val="0"/>
              <w:spacing w:before="0" w:beforeAutospacing="0" w:after="0" w:afterAutospacing="0" w:line="240" w:lineRule="auto"/>
              <w:ind w:left="0" w:right="0" w:firstLine="0"/>
              <w:jc w:val="center"/>
              <w:rPr>
                <w:rFonts w:hint="eastAsia" w:asciiTheme="minorEastAsia" w:hAnsiTheme="minorEastAsia" w:eastAsiaTheme="minorEastAsia" w:cstheme="minorEastAsia"/>
                <w:snapToGrid w:val="0"/>
                <w:color w:val="auto"/>
                <w:sz w:val="21"/>
                <w:szCs w:val="21"/>
                <w:highlight w:val="none"/>
              </w:rPr>
            </w:pPr>
            <w:r>
              <w:rPr>
                <w:rFonts w:hint="eastAsia" w:asciiTheme="minorEastAsia" w:hAnsiTheme="minorEastAsia" w:eastAsiaTheme="minorEastAsia" w:cstheme="minorEastAsia"/>
                <w:snapToGrid w:val="0"/>
                <w:color w:val="auto"/>
                <w:sz w:val="21"/>
                <w:szCs w:val="21"/>
                <w:highlight w:val="none"/>
              </w:rPr>
              <w:t>项目类别</w:t>
            </w:r>
          </w:p>
        </w:tc>
        <w:tc>
          <w:tcPr>
            <w:tcW w:w="5756" w:type="dxa"/>
            <w:tcBorders>
              <w:tl2br w:val="nil"/>
              <w:tr2bl w:val="nil"/>
            </w:tcBorders>
            <w:vAlign w:val="center"/>
          </w:tcPr>
          <w:p w14:paraId="7CB67CA9">
            <w:pPr>
              <w:pStyle w:val="319"/>
              <w:keepNext w:val="0"/>
              <w:keepLines w:val="0"/>
              <w:widowControl w:val="0"/>
              <w:suppressLineNumbers w:val="0"/>
              <w:snapToGrid w:val="0"/>
              <w:spacing w:before="0" w:beforeAutospacing="0" w:after="0" w:afterAutospacing="0" w:line="240" w:lineRule="auto"/>
              <w:ind w:left="0" w:right="0" w:firstLine="0"/>
              <w:jc w:val="center"/>
              <w:rPr>
                <w:rFonts w:hint="eastAsia" w:asciiTheme="minorEastAsia" w:hAnsiTheme="minorEastAsia" w:eastAsiaTheme="minorEastAsia" w:cstheme="minorEastAsia"/>
                <w:snapToGrid w:val="0"/>
                <w:color w:val="auto"/>
                <w:sz w:val="21"/>
                <w:szCs w:val="21"/>
                <w:highlight w:val="none"/>
              </w:rPr>
            </w:pPr>
            <w:r>
              <w:rPr>
                <w:rFonts w:hint="eastAsia" w:asciiTheme="minorEastAsia" w:hAnsiTheme="minorEastAsia" w:eastAsiaTheme="minorEastAsia" w:cstheme="minorEastAsia"/>
                <w:color w:val="auto"/>
                <w:sz w:val="21"/>
                <w:szCs w:val="21"/>
                <w:highlight w:val="none"/>
              </w:rPr>
              <w:t>本项目属于“U城市基础设施及房地产”中的“152</w:t>
            </w:r>
            <w:r>
              <w:rPr>
                <w:rFonts w:hint="eastAsia" w:asciiTheme="minorEastAsia" w:hAnsiTheme="minorEastAsia" w:eastAsiaTheme="minorEastAsia" w:cstheme="minorEastAsia"/>
                <w:snapToGrid w:val="0"/>
                <w:color w:val="auto"/>
                <w:sz w:val="21"/>
                <w:szCs w:val="21"/>
                <w:highlight w:val="none"/>
                <w:lang w:bidi="ar"/>
              </w:rPr>
              <w:t>工业固体废物（含污泥）集中处置</w:t>
            </w:r>
            <w:r>
              <w:rPr>
                <w:rFonts w:hint="eastAsia" w:asciiTheme="minorEastAsia" w:hAnsiTheme="minorEastAsia" w:eastAsiaTheme="minorEastAsia" w:cstheme="minorEastAsia"/>
                <w:color w:val="auto"/>
                <w:sz w:val="21"/>
                <w:szCs w:val="21"/>
                <w:highlight w:val="none"/>
              </w:rPr>
              <w:t>”类，环境影响评价级别为编制环境影响报告书</w:t>
            </w:r>
          </w:p>
        </w:tc>
        <w:tc>
          <w:tcPr>
            <w:tcW w:w="1104" w:type="dxa"/>
            <w:tcBorders>
              <w:tl2br w:val="nil"/>
              <w:tr2bl w:val="nil"/>
            </w:tcBorders>
            <w:vAlign w:val="center"/>
          </w:tcPr>
          <w:p w14:paraId="2CDF6B2C">
            <w:pPr>
              <w:pStyle w:val="319"/>
              <w:keepNext w:val="0"/>
              <w:keepLines w:val="0"/>
              <w:widowControl w:val="0"/>
              <w:suppressLineNumbers w:val="0"/>
              <w:snapToGrid w:val="0"/>
              <w:spacing w:before="0" w:beforeAutospacing="0" w:after="0" w:afterAutospacing="0" w:line="240" w:lineRule="auto"/>
              <w:ind w:left="0" w:right="0" w:firstLine="0"/>
              <w:jc w:val="center"/>
              <w:rPr>
                <w:rFonts w:hint="eastAsia" w:asciiTheme="minorEastAsia" w:hAnsiTheme="minorEastAsia" w:eastAsiaTheme="minorEastAsia" w:cstheme="minorEastAsia"/>
                <w:snapToGrid w:val="0"/>
                <w:color w:val="auto"/>
                <w:sz w:val="21"/>
                <w:szCs w:val="21"/>
                <w:highlight w:val="none"/>
              </w:rPr>
            </w:pPr>
            <w:r>
              <w:rPr>
                <w:rFonts w:hint="eastAsia" w:asciiTheme="minorEastAsia" w:hAnsiTheme="minorEastAsia" w:eastAsiaTheme="minorEastAsia" w:cstheme="minorEastAsia"/>
                <w:snapToGrid w:val="0"/>
                <w:color w:val="auto"/>
                <w:sz w:val="21"/>
                <w:szCs w:val="21"/>
                <w:highlight w:val="none"/>
                <w:lang w:val="en-GB"/>
              </w:rPr>
              <w:t>Ⅲ类项目</w:t>
            </w:r>
          </w:p>
        </w:tc>
      </w:tr>
      <w:tr w14:paraId="363344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8" w:type="dxa"/>
            <w:tcBorders>
              <w:tl2br w:val="nil"/>
              <w:tr2bl w:val="nil"/>
            </w:tcBorders>
            <w:vAlign w:val="center"/>
          </w:tcPr>
          <w:p w14:paraId="19FAE75A">
            <w:pPr>
              <w:pStyle w:val="319"/>
              <w:keepNext w:val="0"/>
              <w:keepLines w:val="0"/>
              <w:widowControl w:val="0"/>
              <w:suppressLineNumbers w:val="0"/>
              <w:snapToGrid w:val="0"/>
              <w:spacing w:before="0" w:beforeAutospacing="0" w:after="0" w:afterAutospacing="0" w:line="240" w:lineRule="auto"/>
              <w:ind w:left="0" w:right="0" w:firstLine="0"/>
              <w:jc w:val="center"/>
              <w:rPr>
                <w:rFonts w:hint="eastAsia" w:asciiTheme="minorEastAsia" w:hAnsiTheme="minorEastAsia" w:eastAsiaTheme="minorEastAsia" w:cstheme="minorEastAsia"/>
                <w:snapToGrid w:val="0"/>
                <w:color w:val="auto"/>
                <w:sz w:val="21"/>
                <w:szCs w:val="21"/>
                <w:highlight w:val="none"/>
              </w:rPr>
            </w:pPr>
            <w:r>
              <w:rPr>
                <w:rFonts w:hint="eastAsia" w:asciiTheme="minorEastAsia" w:hAnsiTheme="minorEastAsia" w:eastAsiaTheme="minorEastAsia" w:cstheme="minorEastAsia"/>
                <w:snapToGrid w:val="0"/>
                <w:color w:val="auto"/>
                <w:sz w:val="21"/>
                <w:szCs w:val="21"/>
                <w:highlight w:val="none"/>
              </w:rPr>
              <w:t>地下水环境敏感程度</w:t>
            </w:r>
          </w:p>
        </w:tc>
        <w:tc>
          <w:tcPr>
            <w:tcW w:w="5756" w:type="dxa"/>
            <w:tcBorders>
              <w:tl2br w:val="nil"/>
              <w:tr2bl w:val="nil"/>
            </w:tcBorders>
            <w:vAlign w:val="center"/>
          </w:tcPr>
          <w:p w14:paraId="6F517113">
            <w:pPr>
              <w:pStyle w:val="319"/>
              <w:keepNext w:val="0"/>
              <w:keepLines w:val="0"/>
              <w:widowControl w:val="0"/>
              <w:suppressLineNumbers w:val="0"/>
              <w:snapToGrid w:val="0"/>
              <w:spacing w:before="0" w:beforeAutospacing="0" w:after="0" w:afterAutospacing="0" w:line="240" w:lineRule="auto"/>
              <w:ind w:left="0" w:right="0" w:firstLine="0"/>
              <w:jc w:val="center"/>
              <w:rPr>
                <w:rFonts w:hint="eastAsia" w:asciiTheme="minorEastAsia" w:hAnsiTheme="minorEastAsia" w:eastAsiaTheme="minorEastAsia" w:cstheme="minorEastAsia"/>
                <w:snapToGrid w:val="0"/>
                <w:color w:val="auto"/>
                <w:sz w:val="21"/>
                <w:szCs w:val="21"/>
                <w:highlight w:val="none"/>
              </w:rPr>
            </w:pPr>
            <w:r>
              <w:rPr>
                <w:rFonts w:hint="eastAsia" w:asciiTheme="minorEastAsia" w:hAnsiTheme="minorEastAsia" w:eastAsiaTheme="minorEastAsia" w:cstheme="minorEastAsia"/>
                <w:snapToGrid w:val="0"/>
                <w:color w:val="auto"/>
                <w:sz w:val="21"/>
                <w:szCs w:val="21"/>
                <w:highlight w:val="none"/>
              </w:rPr>
              <w:t>本项目不位于未划定准保护区的</w:t>
            </w:r>
            <w:r>
              <w:rPr>
                <w:rFonts w:hint="eastAsia" w:asciiTheme="minorEastAsia" w:hAnsiTheme="minorEastAsia" w:eastAsiaTheme="minorEastAsia" w:cstheme="minorEastAsia"/>
                <w:snapToGrid w:val="0"/>
                <w:color w:val="auto"/>
                <w:sz w:val="21"/>
                <w:szCs w:val="21"/>
                <w:highlight w:val="none"/>
                <w:lang w:eastAsia="zh-CN"/>
              </w:rPr>
              <w:t>集中</w:t>
            </w:r>
            <w:r>
              <w:rPr>
                <w:rFonts w:hint="eastAsia" w:asciiTheme="minorEastAsia" w:hAnsiTheme="minorEastAsia" w:eastAsiaTheme="minorEastAsia" w:cstheme="minorEastAsia"/>
                <w:snapToGrid w:val="0"/>
                <w:color w:val="auto"/>
                <w:sz w:val="21"/>
                <w:szCs w:val="21"/>
                <w:highlight w:val="none"/>
              </w:rPr>
              <w:t>式饮用水水源的敏感区域及较敏感区域，位于分散式饮用水水源地的较敏感区；本项目不位于地下水水源的补给径流区，地下水环境敏感程度为“</w:t>
            </w:r>
            <w:r>
              <w:rPr>
                <w:rFonts w:hint="eastAsia" w:asciiTheme="minorEastAsia" w:hAnsiTheme="minorEastAsia" w:eastAsiaTheme="minorEastAsia" w:cstheme="minorEastAsia"/>
                <w:snapToGrid w:val="0"/>
                <w:color w:val="auto"/>
                <w:sz w:val="21"/>
                <w:szCs w:val="21"/>
                <w:highlight w:val="none"/>
                <w:lang w:val="en-US" w:eastAsia="zh-CN"/>
              </w:rPr>
              <w:t>不</w:t>
            </w:r>
            <w:r>
              <w:rPr>
                <w:rFonts w:hint="eastAsia" w:asciiTheme="minorEastAsia" w:hAnsiTheme="minorEastAsia" w:eastAsiaTheme="minorEastAsia" w:cstheme="minorEastAsia"/>
                <w:snapToGrid w:val="0"/>
                <w:color w:val="auto"/>
                <w:sz w:val="21"/>
                <w:szCs w:val="21"/>
                <w:highlight w:val="none"/>
              </w:rPr>
              <w:t>敏感”</w:t>
            </w:r>
          </w:p>
        </w:tc>
        <w:tc>
          <w:tcPr>
            <w:tcW w:w="1104" w:type="dxa"/>
            <w:tcBorders>
              <w:tl2br w:val="nil"/>
              <w:tr2bl w:val="nil"/>
            </w:tcBorders>
            <w:vAlign w:val="center"/>
          </w:tcPr>
          <w:p w14:paraId="69BDFBE0">
            <w:pPr>
              <w:pStyle w:val="319"/>
              <w:keepNext w:val="0"/>
              <w:keepLines w:val="0"/>
              <w:widowControl w:val="0"/>
              <w:suppressLineNumbers w:val="0"/>
              <w:snapToGrid w:val="0"/>
              <w:spacing w:before="0" w:beforeAutospacing="0" w:after="0" w:afterAutospacing="0" w:line="240" w:lineRule="auto"/>
              <w:ind w:left="0" w:right="0" w:firstLine="0"/>
              <w:jc w:val="center"/>
              <w:rPr>
                <w:rFonts w:hint="eastAsia" w:asciiTheme="minorEastAsia" w:hAnsiTheme="minorEastAsia" w:eastAsiaTheme="minorEastAsia" w:cstheme="minorEastAsia"/>
                <w:snapToGrid w:val="0"/>
                <w:color w:val="auto"/>
                <w:sz w:val="21"/>
                <w:szCs w:val="21"/>
                <w:highlight w:val="none"/>
              </w:rPr>
            </w:pPr>
            <w:r>
              <w:rPr>
                <w:rFonts w:hint="eastAsia" w:asciiTheme="minorEastAsia" w:hAnsiTheme="minorEastAsia" w:eastAsiaTheme="minorEastAsia" w:cstheme="minorEastAsia"/>
                <w:snapToGrid w:val="0"/>
                <w:color w:val="auto"/>
                <w:sz w:val="21"/>
                <w:szCs w:val="21"/>
                <w:highlight w:val="none"/>
                <w:lang w:val="en-US" w:eastAsia="zh-CN"/>
              </w:rPr>
              <w:t>不</w:t>
            </w:r>
            <w:r>
              <w:rPr>
                <w:rFonts w:hint="eastAsia" w:asciiTheme="minorEastAsia" w:hAnsiTheme="minorEastAsia" w:eastAsiaTheme="minorEastAsia" w:cstheme="minorEastAsia"/>
                <w:snapToGrid w:val="0"/>
                <w:color w:val="auto"/>
                <w:sz w:val="21"/>
                <w:szCs w:val="21"/>
                <w:highlight w:val="none"/>
              </w:rPr>
              <w:t>敏感</w:t>
            </w:r>
          </w:p>
        </w:tc>
      </w:tr>
      <w:tr w14:paraId="7B79B1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68" w:type="dxa"/>
            <w:tcBorders>
              <w:tl2br w:val="nil"/>
              <w:tr2bl w:val="nil"/>
            </w:tcBorders>
            <w:vAlign w:val="center"/>
          </w:tcPr>
          <w:p w14:paraId="62A8C2EF">
            <w:pPr>
              <w:pStyle w:val="319"/>
              <w:keepNext w:val="0"/>
              <w:keepLines w:val="0"/>
              <w:widowControl w:val="0"/>
              <w:suppressLineNumbers w:val="0"/>
              <w:snapToGrid w:val="0"/>
              <w:spacing w:before="0" w:beforeAutospacing="0" w:after="0" w:afterAutospacing="0" w:line="240" w:lineRule="auto"/>
              <w:ind w:left="0" w:right="0" w:firstLine="0"/>
              <w:jc w:val="center"/>
              <w:rPr>
                <w:rFonts w:hint="eastAsia" w:asciiTheme="minorEastAsia" w:hAnsiTheme="minorEastAsia" w:eastAsiaTheme="minorEastAsia" w:cstheme="minorEastAsia"/>
                <w:snapToGrid w:val="0"/>
                <w:color w:val="auto"/>
                <w:sz w:val="21"/>
                <w:szCs w:val="21"/>
                <w:highlight w:val="none"/>
              </w:rPr>
            </w:pPr>
            <w:r>
              <w:rPr>
                <w:rFonts w:hint="eastAsia" w:asciiTheme="minorEastAsia" w:hAnsiTheme="minorEastAsia" w:eastAsiaTheme="minorEastAsia" w:cstheme="minorEastAsia"/>
                <w:snapToGrid w:val="0"/>
                <w:color w:val="auto"/>
                <w:sz w:val="21"/>
                <w:szCs w:val="21"/>
                <w:highlight w:val="none"/>
              </w:rPr>
              <w:t>地下水环境评价工作等级</w:t>
            </w:r>
          </w:p>
        </w:tc>
        <w:tc>
          <w:tcPr>
            <w:tcW w:w="6860" w:type="dxa"/>
            <w:gridSpan w:val="2"/>
            <w:tcBorders>
              <w:tl2br w:val="nil"/>
              <w:tr2bl w:val="nil"/>
            </w:tcBorders>
            <w:vAlign w:val="center"/>
          </w:tcPr>
          <w:p w14:paraId="42364411">
            <w:pPr>
              <w:pStyle w:val="319"/>
              <w:keepNext w:val="0"/>
              <w:keepLines w:val="0"/>
              <w:widowControl w:val="0"/>
              <w:suppressLineNumbers w:val="0"/>
              <w:snapToGrid w:val="0"/>
              <w:spacing w:before="0" w:beforeAutospacing="0" w:after="0" w:afterAutospacing="0" w:line="240" w:lineRule="auto"/>
              <w:ind w:left="0" w:right="0" w:firstLine="0"/>
              <w:jc w:val="center"/>
              <w:rPr>
                <w:rFonts w:hint="eastAsia" w:asciiTheme="minorEastAsia" w:hAnsiTheme="minorEastAsia" w:eastAsiaTheme="minorEastAsia" w:cstheme="minorEastAsia"/>
                <w:snapToGrid w:val="0"/>
                <w:color w:val="auto"/>
                <w:sz w:val="21"/>
                <w:szCs w:val="21"/>
                <w:highlight w:val="none"/>
              </w:rPr>
            </w:pPr>
            <w:r>
              <w:rPr>
                <w:rFonts w:hint="eastAsia" w:asciiTheme="minorEastAsia" w:hAnsiTheme="minorEastAsia" w:eastAsiaTheme="minorEastAsia" w:cstheme="minorEastAsia"/>
                <w:snapToGrid w:val="0"/>
                <w:color w:val="auto"/>
                <w:sz w:val="21"/>
                <w:szCs w:val="21"/>
                <w:highlight w:val="none"/>
              </w:rPr>
              <w:t>三级</w:t>
            </w:r>
          </w:p>
        </w:tc>
      </w:tr>
    </w:tbl>
    <w:p w14:paraId="13DEF6E2">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综上分析，因此评价工作等级确定为三级。</w:t>
      </w:r>
    </w:p>
    <w:p w14:paraId="46A25C1F">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hint="eastAsia" w:asciiTheme="minorEastAsia" w:hAnsiTheme="minorEastAsia" w:eastAsiaTheme="minorEastAsia" w:cstheme="minorEastAsia"/>
          <w:color w:val="auto"/>
          <w:highlight w:val="none"/>
        </w:rPr>
      </w:pPr>
      <w:bookmarkStart w:id="269" w:name="_Toc5708209"/>
      <w:r>
        <w:rPr>
          <w:rFonts w:hint="eastAsia" w:asciiTheme="minorEastAsia" w:hAnsiTheme="minorEastAsia" w:eastAsiaTheme="minorEastAsia" w:cstheme="minorEastAsia"/>
          <w:color w:val="auto"/>
          <w:highlight w:val="none"/>
        </w:rPr>
        <w:t>（3）评价范围</w:t>
      </w:r>
      <w:bookmarkEnd w:id="269"/>
    </w:p>
    <w:p w14:paraId="0EE6B7D5">
      <w:pPr>
        <w:widowControl w:val="0"/>
        <w:adjustRightInd w:val="0"/>
        <w:snapToGrid w:val="0"/>
        <w:spacing w:line="360" w:lineRule="auto"/>
        <w:ind w:firstLine="480" w:firstLineChars="200"/>
        <w:jc w:val="both"/>
        <w:rPr>
          <w:rFonts w:hint="eastAsia" w:asciiTheme="minorEastAsia" w:hAnsiTheme="minorEastAsia" w:eastAsiaTheme="minorEastAsia" w:cstheme="minorEastAsia"/>
          <w:snapToGrid w:val="0"/>
          <w:color w:val="auto"/>
          <w:szCs w:val="24"/>
          <w:highlight w:val="none"/>
        </w:rPr>
      </w:pPr>
      <w:r>
        <w:rPr>
          <w:rFonts w:hint="eastAsia" w:asciiTheme="minorEastAsia" w:hAnsiTheme="minorEastAsia" w:eastAsiaTheme="minorEastAsia" w:cstheme="minorEastAsia"/>
          <w:snapToGrid w:val="0"/>
          <w:color w:val="auto"/>
          <w:szCs w:val="24"/>
          <w:highlight w:val="none"/>
        </w:rPr>
        <w:t>据</w:t>
      </w:r>
      <w:r>
        <w:rPr>
          <w:rFonts w:hint="eastAsia" w:asciiTheme="minorEastAsia" w:hAnsiTheme="minorEastAsia" w:eastAsiaTheme="minorEastAsia" w:cstheme="minorEastAsia"/>
          <w:snapToGrid w:val="0"/>
          <w:color w:val="auto"/>
          <w:szCs w:val="24"/>
          <w:highlight w:val="none"/>
          <w:lang w:val="en-US" w:eastAsia="zh-CN"/>
        </w:rPr>
        <w:t>所在区域水文地质图，本项目地下水流向为西南流向东北</w:t>
      </w:r>
      <w:r>
        <w:rPr>
          <w:rFonts w:hint="eastAsia" w:asciiTheme="minorEastAsia" w:hAnsiTheme="minorEastAsia" w:eastAsiaTheme="minorEastAsia" w:cstheme="minorEastAsia"/>
          <w:snapToGrid w:val="0"/>
          <w:color w:val="auto"/>
          <w:szCs w:val="24"/>
          <w:highlight w:val="none"/>
        </w:rPr>
        <w:t>。</w:t>
      </w:r>
      <w:r>
        <w:rPr>
          <w:rFonts w:hint="eastAsia" w:asciiTheme="minorEastAsia" w:hAnsiTheme="minorEastAsia" w:eastAsiaTheme="minorEastAsia" w:cstheme="minorEastAsia"/>
          <w:snapToGrid w:val="0"/>
          <w:color w:val="auto"/>
          <w:szCs w:val="24"/>
          <w:highlight w:val="none"/>
          <w:lang w:val="en-US" w:eastAsia="zh-CN"/>
        </w:rPr>
        <w:t>参考</w:t>
      </w:r>
      <w:r>
        <w:rPr>
          <w:rFonts w:hint="eastAsia" w:asciiTheme="minorEastAsia" w:hAnsiTheme="minorEastAsia" w:eastAsiaTheme="minorEastAsia" w:cstheme="minorEastAsia"/>
          <w:snapToGrid w:val="0"/>
          <w:color w:val="auto"/>
          <w:szCs w:val="24"/>
          <w:highlight w:val="none"/>
        </w:rPr>
        <w:t>《环境影响评价技术导则地下水环境》（HJ610-2016）要求，采用“</w:t>
      </w:r>
      <w:r>
        <w:rPr>
          <w:rFonts w:hint="eastAsia" w:asciiTheme="minorEastAsia" w:hAnsiTheme="minorEastAsia" w:eastAsiaTheme="minorEastAsia" w:cstheme="minorEastAsia"/>
          <w:snapToGrid w:val="0"/>
          <w:color w:val="auto"/>
          <w:szCs w:val="24"/>
          <w:highlight w:val="none"/>
          <w:lang w:val="en-US" w:eastAsia="zh-CN"/>
        </w:rPr>
        <w:t>查表法</w:t>
      </w:r>
      <w:r>
        <w:rPr>
          <w:rFonts w:hint="eastAsia" w:asciiTheme="minorEastAsia" w:hAnsiTheme="minorEastAsia" w:eastAsiaTheme="minorEastAsia" w:cstheme="minorEastAsia"/>
          <w:snapToGrid w:val="0"/>
          <w:color w:val="auto"/>
          <w:szCs w:val="24"/>
          <w:highlight w:val="none"/>
        </w:rPr>
        <w:t>”确定地下水大致的评价范围为：</w:t>
      </w:r>
      <w:r>
        <w:rPr>
          <w:rFonts w:hint="eastAsia" w:asciiTheme="minorEastAsia" w:hAnsiTheme="minorEastAsia" w:eastAsiaTheme="minorEastAsia" w:cstheme="minorEastAsia"/>
          <w:bCs/>
          <w:color w:val="auto"/>
          <w:kern w:val="0"/>
          <w:sz w:val="24"/>
          <w:szCs w:val="24"/>
          <w:highlight w:val="none"/>
          <w:lang w:val="en-US" w:eastAsia="zh-CN"/>
        </w:rPr>
        <w:t>2km×3km</w:t>
      </w:r>
      <w:r>
        <w:rPr>
          <w:rFonts w:hint="eastAsia" w:asciiTheme="minorEastAsia" w:hAnsiTheme="minorEastAsia" w:eastAsiaTheme="minorEastAsia" w:cstheme="minorEastAsia"/>
          <w:bCs/>
          <w:color w:val="auto"/>
          <w:kern w:val="0"/>
          <w:sz w:val="24"/>
          <w:szCs w:val="24"/>
          <w:highlight w:val="none"/>
        </w:rPr>
        <w:t>构成的区域范围，面积</w:t>
      </w:r>
      <w:r>
        <w:rPr>
          <w:rFonts w:hint="eastAsia" w:asciiTheme="minorEastAsia" w:hAnsiTheme="minorEastAsia" w:eastAsiaTheme="minorEastAsia" w:cstheme="minorEastAsia"/>
          <w:bCs/>
          <w:color w:val="auto"/>
          <w:kern w:val="0"/>
          <w:sz w:val="24"/>
          <w:szCs w:val="24"/>
          <w:highlight w:val="none"/>
          <w:lang w:val="en-US" w:eastAsia="zh-CN"/>
        </w:rPr>
        <w:t>6</w:t>
      </w:r>
      <w:r>
        <w:rPr>
          <w:rFonts w:hint="eastAsia" w:asciiTheme="minorEastAsia" w:hAnsiTheme="minorEastAsia" w:eastAsiaTheme="minorEastAsia" w:cstheme="minorEastAsia"/>
          <w:bCs/>
          <w:color w:val="auto"/>
          <w:kern w:val="0"/>
          <w:sz w:val="24"/>
          <w:szCs w:val="24"/>
          <w:highlight w:val="none"/>
        </w:rPr>
        <w:t>平方公里</w:t>
      </w:r>
      <w:r>
        <w:rPr>
          <w:rFonts w:hint="eastAsia" w:asciiTheme="minorEastAsia" w:hAnsiTheme="minorEastAsia" w:eastAsiaTheme="minorEastAsia" w:cstheme="minorEastAsia"/>
          <w:snapToGrid w:val="0"/>
          <w:color w:val="auto"/>
          <w:szCs w:val="24"/>
          <w:highlight w:val="none"/>
        </w:rPr>
        <w:t>。</w:t>
      </w:r>
    </w:p>
    <w:p w14:paraId="2A00E33D">
      <w:pPr>
        <w:pStyle w:val="7"/>
        <w:keepNext w:val="0"/>
        <w:keepLines w:val="0"/>
        <w:widowControl w:val="0"/>
        <w:numPr>
          <w:ilvl w:val="2"/>
          <w:numId w:val="0"/>
        </w:numPr>
        <w:snapToGrid w:val="0"/>
        <w:spacing w:before="0" w:after="0" w:line="360" w:lineRule="auto"/>
        <w:ind w:leftChars="0"/>
        <w:jc w:val="both"/>
        <w:rPr>
          <w:rFonts w:hint="eastAsia" w:asciiTheme="minorEastAsia" w:hAnsiTheme="minorEastAsia" w:eastAsiaTheme="minorEastAsia" w:cstheme="minorEastAsia"/>
          <w:color w:val="auto"/>
          <w:highlight w:val="none"/>
        </w:rPr>
      </w:pPr>
      <w:bookmarkStart w:id="270" w:name="_Toc12333"/>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.4土壤环境</w:t>
      </w:r>
      <w:bookmarkEnd w:id="270"/>
    </w:p>
    <w:p w14:paraId="617094C8">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5</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4.1 项目类别</w:t>
      </w:r>
    </w:p>
    <w:p w14:paraId="15A385CB">
      <w:pPr>
        <w:widowControl w:val="0"/>
        <w:snapToGrid w:val="0"/>
        <w:spacing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lang w:val="en-US" w:eastAsia="zh-CN"/>
        </w:rPr>
        <w:t>对照</w:t>
      </w:r>
      <w:r>
        <w:rPr>
          <w:rFonts w:hint="eastAsia" w:asciiTheme="minorEastAsia" w:hAnsiTheme="minorEastAsia" w:eastAsiaTheme="minorEastAsia" w:cstheme="minorEastAsia"/>
          <w:color w:val="auto"/>
          <w:szCs w:val="24"/>
          <w:highlight w:val="none"/>
        </w:rPr>
        <w:t>《环境影响评价技术导则土壤环境（试行）》（HJ964-2018）附录A</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本项目属于“环境和公共设施管理业”中的“采取填埋和焚烧方式的一般工业固体废物处置及综合利用”，类别为Ⅱ类。</w:t>
      </w:r>
    </w:p>
    <w:p w14:paraId="6B6A02BB">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5</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4.2 占地规模</w:t>
      </w:r>
    </w:p>
    <w:p w14:paraId="40D8A8F0">
      <w:pPr>
        <w:widowControl w:val="0"/>
        <w:snapToGrid w:val="0"/>
        <w:spacing w:line="360" w:lineRule="auto"/>
        <w:ind w:firstLine="480" w:firstLineChars="200"/>
        <w:jc w:val="both"/>
        <w:rPr>
          <w:rFonts w:hint="eastAsia" w:asciiTheme="minorEastAsia" w:hAnsiTheme="minorEastAsia" w:eastAsiaTheme="minorEastAsia" w:cstheme="minorEastAsia"/>
          <w:color w:val="auto"/>
          <w:szCs w:val="24"/>
          <w:highlight w:val="none"/>
          <w:lang w:val="en-US" w:eastAsia="zh-CN"/>
        </w:rPr>
      </w:pPr>
      <w:r>
        <w:rPr>
          <w:rFonts w:hint="eastAsia" w:asciiTheme="minorEastAsia" w:hAnsiTheme="minorEastAsia" w:eastAsiaTheme="minorEastAsia" w:cstheme="minorEastAsia"/>
          <w:color w:val="auto"/>
          <w:szCs w:val="24"/>
          <w:highlight w:val="none"/>
        </w:rPr>
        <w:t>建设项目占地规模分为大型（≥50hm</w:t>
      </w:r>
      <w:r>
        <w:rPr>
          <w:rFonts w:hint="eastAsia" w:asciiTheme="minorEastAsia" w:hAnsiTheme="minorEastAsia" w:eastAsiaTheme="minorEastAsia" w:cstheme="minorEastAsia"/>
          <w:color w:val="auto"/>
          <w:szCs w:val="24"/>
          <w:highlight w:val="none"/>
          <w:vertAlign w:val="superscript"/>
        </w:rPr>
        <w:t>2</w:t>
      </w:r>
      <w:r>
        <w:rPr>
          <w:rFonts w:hint="eastAsia" w:asciiTheme="minorEastAsia" w:hAnsiTheme="minorEastAsia" w:eastAsiaTheme="minorEastAsia" w:cstheme="minorEastAsia"/>
          <w:color w:val="auto"/>
          <w:szCs w:val="24"/>
          <w:highlight w:val="none"/>
        </w:rPr>
        <w:t>）、中型（5~50hm</w:t>
      </w:r>
      <w:r>
        <w:rPr>
          <w:rFonts w:hint="eastAsia" w:asciiTheme="minorEastAsia" w:hAnsiTheme="minorEastAsia" w:eastAsiaTheme="minorEastAsia" w:cstheme="minorEastAsia"/>
          <w:color w:val="auto"/>
          <w:szCs w:val="24"/>
          <w:highlight w:val="none"/>
          <w:vertAlign w:val="superscript"/>
        </w:rPr>
        <w:t>2</w:t>
      </w:r>
      <w:r>
        <w:rPr>
          <w:rFonts w:hint="eastAsia" w:asciiTheme="minorEastAsia" w:hAnsiTheme="minorEastAsia" w:eastAsiaTheme="minorEastAsia" w:cstheme="minorEastAsia"/>
          <w:color w:val="auto"/>
          <w:szCs w:val="24"/>
          <w:highlight w:val="none"/>
        </w:rPr>
        <w:t>）、小型（≤5hm</w:t>
      </w:r>
      <w:r>
        <w:rPr>
          <w:rFonts w:hint="eastAsia" w:asciiTheme="minorEastAsia" w:hAnsiTheme="minorEastAsia" w:eastAsiaTheme="minorEastAsia" w:cstheme="minorEastAsia"/>
          <w:color w:val="auto"/>
          <w:szCs w:val="24"/>
          <w:highlight w:val="none"/>
          <w:vertAlign w:val="superscript"/>
        </w:rPr>
        <w:t>2</w:t>
      </w:r>
      <w:r>
        <w:rPr>
          <w:rFonts w:hint="eastAsia" w:asciiTheme="minorEastAsia" w:hAnsiTheme="minorEastAsia" w:eastAsiaTheme="minorEastAsia" w:cstheme="minorEastAsia"/>
          <w:color w:val="auto"/>
          <w:szCs w:val="24"/>
          <w:highlight w:val="none"/>
        </w:rPr>
        <w:t>），</w:t>
      </w:r>
      <w:r>
        <w:rPr>
          <w:rFonts w:hint="eastAsia" w:asciiTheme="minorEastAsia" w:hAnsiTheme="minorEastAsia" w:eastAsiaTheme="minorEastAsia" w:cstheme="minorEastAsia"/>
          <w:color w:val="auto"/>
          <w:szCs w:val="24"/>
          <w:highlight w:val="none"/>
          <w:lang w:val="en-US" w:eastAsia="zh-CN"/>
        </w:rPr>
        <w:t>本项目</w:t>
      </w:r>
      <w:r>
        <w:rPr>
          <w:rFonts w:hint="eastAsia" w:asciiTheme="minorEastAsia" w:hAnsiTheme="minorEastAsia" w:eastAsiaTheme="minorEastAsia" w:cstheme="minorEastAsia"/>
          <w:color w:val="auto"/>
          <w:szCs w:val="24"/>
          <w:highlight w:val="none"/>
        </w:rPr>
        <w:t>总占地规模为</w:t>
      </w:r>
      <w:r>
        <w:rPr>
          <w:rFonts w:hint="eastAsia" w:ascii="Times New Roman" w:hAnsi="Times New Roman" w:eastAsia="宋体" w:cs="Times New Roman"/>
          <w:color w:val="auto"/>
          <w:sz w:val="28"/>
          <w:szCs w:val="28"/>
          <w:highlight w:val="none"/>
        </w:rPr>
        <w:t>1</w:t>
      </w:r>
      <w:r>
        <w:rPr>
          <w:rFonts w:hint="eastAsia" w:ascii="Times New Roman" w:hAnsi="Times New Roman" w:eastAsia="宋体" w:cs="Times New Roman"/>
          <w:color w:val="auto"/>
          <w:sz w:val="28"/>
          <w:szCs w:val="28"/>
          <w:highlight w:val="none"/>
          <w:lang w:val="en-US" w:eastAsia="zh-CN"/>
        </w:rPr>
        <w:t>.</w:t>
      </w:r>
      <w:r>
        <w:rPr>
          <w:rFonts w:hint="eastAsia" w:ascii="Times New Roman" w:hAnsi="Times New Roman" w:eastAsia="宋体" w:cs="Times New Roman"/>
          <w:color w:val="auto"/>
          <w:sz w:val="28"/>
          <w:szCs w:val="28"/>
          <w:highlight w:val="none"/>
        </w:rPr>
        <w:t>12961</w:t>
      </w:r>
      <w:r>
        <w:rPr>
          <w:rFonts w:hint="eastAsia" w:asciiTheme="minorEastAsia" w:hAnsiTheme="minorEastAsia" w:eastAsiaTheme="minorEastAsia" w:cstheme="minorEastAsia"/>
          <w:color w:val="auto"/>
          <w:szCs w:val="24"/>
          <w:highlight w:val="none"/>
        </w:rPr>
        <w:t>hm</w:t>
      </w:r>
      <w:r>
        <w:rPr>
          <w:rFonts w:hint="eastAsia" w:asciiTheme="minorEastAsia" w:hAnsiTheme="minorEastAsia" w:eastAsiaTheme="minorEastAsia" w:cstheme="minorEastAsia"/>
          <w:color w:val="auto"/>
          <w:szCs w:val="24"/>
          <w:highlight w:val="none"/>
          <w:vertAlign w:val="superscript"/>
        </w:rPr>
        <w:t>2</w:t>
      </w:r>
      <w:r>
        <w:rPr>
          <w:rFonts w:hint="eastAsia" w:asciiTheme="minorEastAsia" w:hAnsiTheme="minorEastAsia" w:eastAsiaTheme="minorEastAsia" w:cstheme="minorEastAsia"/>
          <w:color w:val="auto"/>
          <w:szCs w:val="24"/>
          <w:highlight w:val="none"/>
        </w:rPr>
        <w:t>≤5hm</w:t>
      </w:r>
      <w:r>
        <w:rPr>
          <w:rFonts w:hint="eastAsia" w:asciiTheme="minorEastAsia" w:hAnsiTheme="minorEastAsia" w:eastAsiaTheme="minorEastAsia" w:cstheme="minorEastAsia"/>
          <w:color w:val="auto"/>
          <w:szCs w:val="24"/>
          <w:highlight w:val="none"/>
          <w:vertAlign w:val="superscript"/>
        </w:rPr>
        <w:t>2</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属于小型。</w:t>
      </w:r>
    </w:p>
    <w:p w14:paraId="23BCBB33">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5</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4.3敏感程度</w:t>
      </w:r>
    </w:p>
    <w:p w14:paraId="4B1B670A">
      <w:pPr>
        <w:pStyle w:val="319"/>
        <w:widowControl w:val="0"/>
        <w:snapToGrid w:val="0"/>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建设项目所在地周边的土壤环境敏感程度分为敏感、较敏感、不敏感，判别依据见表2</w:t>
      </w:r>
      <w:r>
        <w:rPr>
          <w:rFonts w:hint="eastAsia" w:asciiTheme="minorEastAsia" w:hAnsiTheme="minorEastAsia" w:eastAsiaTheme="minorEastAsia" w:cstheme="minorEastAsia"/>
          <w:color w:val="auto"/>
          <w:szCs w:val="24"/>
          <w:highlight w:val="none"/>
          <w:lang w:val="en-US" w:eastAsia="zh-CN"/>
        </w:rPr>
        <w:t>.5</w:t>
      </w:r>
      <w:r>
        <w:rPr>
          <w:rFonts w:hint="eastAsia" w:asciiTheme="minorEastAsia" w:hAnsiTheme="minorEastAsia" w:eastAsiaTheme="minorEastAsia" w:cstheme="minorEastAsia"/>
          <w:color w:val="auto"/>
          <w:szCs w:val="24"/>
          <w:highlight w:val="none"/>
        </w:rPr>
        <w:t>-1</w:t>
      </w:r>
      <w:r>
        <w:rPr>
          <w:rFonts w:hint="eastAsia" w:asciiTheme="minorEastAsia" w:hAnsiTheme="minorEastAsia" w:eastAsiaTheme="minorEastAsia" w:cstheme="minorEastAsia"/>
          <w:color w:val="auto"/>
          <w:szCs w:val="24"/>
          <w:highlight w:val="none"/>
          <w:lang w:val="en-US" w:eastAsia="zh-CN"/>
        </w:rPr>
        <w:t>0</w:t>
      </w:r>
      <w:r>
        <w:rPr>
          <w:rFonts w:hint="eastAsia" w:asciiTheme="minorEastAsia" w:hAnsiTheme="minorEastAsia" w:eastAsiaTheme="minorEastAsia" w:cstheme="minorEastAsia"/>
          <w:color w:val="auto"/>
          <w:szCs w:val="24"/>
          <w:highlight w:val="none"/>
        </w:rPr>
        <w:t>。本项目周围存在</w:t>
      </w:r>
      <w:r>
        <w:rPr>
          <w:rFonts w:hint="eastAsia" w:asciiTheme="minorEastAsia" w:hAnsiTheme="minorEastAsia" w:eastAsiaTheme="minorEastAsia" w:cstheme="minorEastAsia"/>
          <w:color w:val="auto"/>
          <w:szCs w:val="24"/>
          <w:highlight w:val="none"/>
          <w:lang w:val="en-US" w:eastAsia="zh-CN"/>
        </w:rPr>
        <w:t>耕地</w:t>
      </w:r>
      <w:r>
        <w:rPr>
          <w:rFonts w:hint="eastAsia" w:asciiTheme="minorEastAsia" w:hAnsiTheme="minorEastAsia" w:eastAsiaTheme="minorEastAsia" w:cstheme="minorEastAsia"/>
          <w:color w:val="auto"/>
          <w:szCs w:val="24"/>
          <w:highlight w:val="none"/>
        </w:rPr>
        <w:t>，</w:t>
      </w:r>
      <w:r>
        <w:rPr>
          <w:rFonts w:hint="eastAsia" w:asciiTheme="minorEastAsia" w:hAnsiTheme="minorEastAsia" w:eastAsiaTheme="minorEastAsia" w:cstheme="minorEastAsia"/>
          <w:color w:val="auto"/>
          <w:kern w:val="0"/>
          <w:sz w:val="24"/>
          <w:szCs w:val="20"/>
          <w:highlight w:val="none"/>
        </w:rPr>
        <w:t>土壤敏感程度为</w:t>
      </w:r>
      <w:r>
        <w:rPr>
          <w:rFonts w:hint="eastAsia" w:asciiTheme="minorEastAsia" w:hAnsiTheme="minorEastAsia" w:eastAsiaTheme="minorEastAsia" w:cstheme="minorEastAsia"/>
          <w:color w:val="auto"/>
          <w:kern w:val="0"/>
          <w:sz w:val="24"/>
          <w:szCs w:val="20"/>
          <w:highlight w:val="none"/>
          <w:lang w:val="en-US" w:eastAsia="zh-CN"/>
        </w:rPr>
        <w:t>敏感</w:t>
      </w:r>
      <w:r>
        <w:rPr>
          <w:rFonts w:hint="eastAsia" w:asciiTheme="minorEastAsia" w:hAnsiTheme="minorEastAsia" w:eastAsiaTheme="minorEastAsia" w:cstheme="minorEastAsia"/>
          <w:color w:val="auto"/>
          <w:szCs w:val="24"/>
          <w:highlight w:val="none"/>
        </w:rPr>
        <w:t>。</w:t>
      </w:r>
    </w:p>
    <w:p w14:paraId="2B6526C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rPr>
        <w:t>表2</w:t>
      </w:r>
      <w:r>
        <w:rPr>
          <w:rFonts w:hint="eastAsia" w:asciiTheme="minorEastAsia" w:hAnsiTheme="minorEastAsia" w:eastAsiaTheme="minorEastAsia" w:cstheme="minorEastAsia"/>
          <w:b/>
          <w:bCs/>
          <w:color w:val="auto"/>
          <w:highlight w:val="none"/>
          <w:lang w:val="en-US" w:eastAsia="zh-CN"/>
        </w:rPr>
        <w:t>.5</w:t>
      </w:r>
      <w:r>
        <w:rPr>
          <w:rFonts w:hint="eastAsia" w:asciiTheme="minorEastAsia" w:hAnsiTheme="minorEastAsia" w:eastAsiaTheme="minorEastAsia" w:cstheme="minorEastAsia"/>
          <w:b/>
          <w:bCs/>
          <w:color w:val="auto"/>
          <w:highlight w:val="none"/>
        </w:rPr>
        <w:t>-1</w:t>
      </w:r>
      <w:r>
        <w:rPr>
          <w:rFonts w:hint="eastAsia" w:asciiTheme="minorEastAsia" w:hAnsiTheme="minorEastAsia" w:eastAsiaTheme="minorEastAsia" w:cstheme="minorEastAsia"/>
          <w:b/>
          <w:bCs/>
          <w:color w:val="auto"/>
          <w:highlight w:val="none"/>
          <w:lang w:val="en-US" w:eastAsia="zh-CN"/>
        </w:rPr>
        <w:t xml:space="preserve">0  </w:t>
      </w:r>
      <w:r>
        <w:rPr>
          <w:rFonts w:hint="eastAsia" w:asciiTheme="minorEastAsia" w:hAnsiTheme="minorEastAsia" w:eastAsiaTheme="minorEastAsia" w:cstheme="minorEastAsia"/>
          <w:b/>
          <w:bCs/>
          <w:color w:val="auto"/>
          <w:highlight w:val="none"/>
        </w:rPr>
        <w:t>污染型影响环境敏感程度分级</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7421"/>
      </w:tblGrid>
      <w:tr w14:paraId="7EBBF0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46" w:type="pct"/>
            <w:tcBorders>
              <w:tl2br w:val="nil"/>
              <w:tr2bl w:val="nil"/>
            </w:tcBorders>
            <w:vAlign w:val="center"/>
          </w:tcPr>
          <w:p w14:paraId="2C85257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分级</w:t>
            </w:r>
          </w:p>
        </w:tc>
        <w:tc>
          <w:tcPr>
            <w:tcW w:w="4354" w:type="pct"/>
            <w:tcBorders>
              <w:tl2br w:val="nil"/>
              <w:tr2bl w:val="nil"/>
            </w:tcBorders>
            <w:vAlign w:val="center"/>
          </w:tcPr>
          <w:p w14:paraId="2F25881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判别依据</w:t>
            </w:r>
          </w:p>
        </w:tc>
      </w:tr>
      <w:tr w14:paraId="34672A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46" w:type="pct"/>
            <w:tcBorders>
              <w:tl2br w:val="nil"/>
              <w:tr2bl w:val="nil"/>
            </w:tcBorders>
            <w:vAlign w:val="center"/>
          </w:tcPr>
          <w:p w14:paraId="5734787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敏感</w:t>
            </w:r>
          </w:p>
        </w:tc>
        <w:tc>
          <w:tcPr>
            <w:tcW w:w="4354" w:type="pct"/>
            <w:tcBorders>
              <w:tl2br w:val="nil"/>
              <w:tr2bl w:val="nil"/>
            </w:tcBorders>
            <w:vAlign w:val="center"/>
          </w:tcPr>
          <w:p w14:paraId="096EAE4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建设项目周边存在耕地、园地、牧草地、饮用水水源地或居民区、学校、医院、疗养院、养老院等土壤环境敏感目标的</w:t>
            </w:r>
          </w:p>
        </w:tc>
      </w:tr>
      <w:tr w14:paraId="66E62C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46" w:type="pct"/>
            <w:tcBorders>
              <w:tl2br w:val="nil"/>
              <w:tr2bl w:val="nil"/>
            </w:tcBorders>
            <w:vAlign w:val="center"/>
          </w:tcPr>
          <w:p w14:paraId="4299C0A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较敏感</w:t>
            </w:r>
          </w:p>
        </w:tc>
        <w:tc>
          <w:tcPr>
            <w:tcW w:w="4354" w:type="pct"/>
            <w:tcBorders>
              <w:tl2br w:val="nil"/>
              <w:tr2bl w:val="nil"/>
            </w:tcBorders>
            <w:vAlign w:val="center"/>
          </w:tcPr>
          <w:p w14:paraId="01F13A4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建设项目周边存在其他土壤环境敏感目标的</w:t>
            </w:r>
          </w:p>
        </w:tc>
      </w:tr>
      <w:tr w14:paraId="4B08C3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46" w:type="pct"/>
            <w:tcBorders>
              <w:tl2br w:val="nil"/>
              <w:tr2bl w:val="nil"/>
            </w:tcBorders>
            <w:vAlign w:val="center"/>
          </w:tcPr>
          <w:p w14:paraId="5F34383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不敏感</w:t>
            </w:r>
          </w:p>
        </w:tc>
        <w:tc>
          <w:tcPr>
            <w:tcW w:w="4354" w:type="pct"/>
            <w:tcBorders>
              <w:tl2br w:val="nil"/>
              <w:tr2bl w:val="nil"/>
            </w:tcBorders>
            <w:vAlign w:val="center"/>
          </w:tcPr>
          <w:p w14:paraId="3A9D55B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其他情况</w:t>
            </w:r>
          </w:p>
        </w:tc>
      </w:tr>
    </w:tbl>
    <w:p w14:paraId="5F47C204">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5</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4.4 评价等级判定</w:t>
      </w:r>
    </w:p>
    <w:p w14:paraId="47B92D09">
      <w:pPr>
        <w:pStyle w:val="319"/>
        <w:widowControl w:val="0"/>
        <w:snapToGrid w:val="0"/>
        <w:ind w:firstLine="52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建设项目土壤环境影响评价工作等级的划分见表2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-1</w:t>
      </w:r>
      <w:r>
        <w:rPr>
          <w:rFonts w:hint="eastAsia" w:asciiTheme="minorEastAsia" w:hAnsiTheme="minorEastAsia" w:eastAsiaTheme="minorEastAsia" w:cstheme="minorEastAsia"/>
          <w:color w:val="auto"/>
          <w:highlight w:val="none"/>
          <w:lang w:val="en-US" w:eastAsia="zh-CN"/>
        </w:rPr>
        <w:t>1</w:t>
      </w:r>
      <w:r>
        <w:rPr>
          <w:rFonts w:hint="eastAsia" w:asciiTheme="minorEastAsia" w:hAnsiTheme="minorEastAsia" w:eastAsiaTheme="minorEastAsia" w:cstheme="minorEastAsia"/>
          <w:color w:val="auto"/>
          <w:highlight w:val="none"/>
        </w:rPr>
        <w:t>。</w:t>
      </w:r>
    </w:p>
    <w:p w14:paraId="11BB45AA">
      <w:pPr>
        <w:pStyle w:val="318"/>
        <w:widowControl w:val="0"/>
        <w:snapToGrid w:val="0"/>
        <w:spacing w:line="240" w:lineRule="auto"/>
        <w:ind w:firstLine="480"/>
        <w:rPr>
          <w:rFonts w:hint="eastAsia" w:asciiTheme="minorEastAsia" w:hAnsiTheme="minorEastAsia" w:eastAsiaTheme="minorEastAsia" w:cstheme="minorEastAsia"/>
          <w:b/>
          <w:bCs/>
          <w:color w:val="auto"/>
          <w:spacing w:val="0"/>
          <w:kern w:val="2"/>
          <w:sz w:val="24"/>
          <w:szCs w:val="24"/>
          <w:highlight w:val="none"/>
          <w:lang w:val="en-US" w:eastAsia="zh-CN" w:bidi="ar-SA"/>
        </w:rPr>
      </w:pPr>
      <w:r>
        <w:rPr>
          <w:rFonts w:hint="eastAsia" w:asciiTheme="minorEastAsia" w:hAnsiTheme="minorEastAsia" w:eastAsiaTheme="minorEastAsia" w:cstheme="minorEastAsia"/>
          <w:b/>
          <w:bCs/>
          <w:color w:val="auto"/>
          <w:spacing w:val="0"/>
          <w:kern w:val="2"/>
          <w:sz w:val="24"/>
          <w:szCs w:val="24"/>
          <w:highlight w:val="none"/>
          <w:lang w:val="en-US" w:eastAsia="zh-CN" w:bidi="ar-SA"/>
        </w:rPr>
        <w:t>表2.5-11  污染型影响环境工作等级划分表</w:t>
      </w:r>
    </w:p>
    <w:tbl>
      <w:tblPr>
        <w:tblStyle w:val="84"/>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54"/>
        <w:gridCol w:w="808"/>
        <w:gridCol w:w="808"/>
        <w:gridCol w:w="808"/>
        <w:gridCol w:w="808"/>
        <w:gridCol w:w="808"/>
        <w:gridCol w:w="673"/>
        <w:gridCol w:w="943"/>
        <w:gridCol w:w="808"/>
        <w:gridCol w:w="804"/>
      </w:tblGrid>
      <w:tr w14:paraId="287067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36" w:type="pct"/>
            <w:vMerge w:val="restart"/>
            <w:tcBorders>
              <w:tl2br w:val="nil"/>
              <w:tr2bl w:val="nil"/>
            </w:tcBorders>
            <w:vAlign w:val="center"/>
          </w:tcPr>
          <w:p w14:paraId="3EDF54BA">
            <w:pPr>
              <w:pStyle w:val="43"/>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敏感程度</w:t>
            </w:r>
          </w:p>
          <w:p w14:paraId="72B2ED5A">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占地规模</w:t>
            </w:r>
          </w:p>
        </w:tc>
        <w:tc>
          <w:tcPr>
            <w:tcW w:w="1421" w:type="pct"/>
            <w:gridSpan w:val="3"/>
            <w:tcBorders>
              <w:tl2br w:val="nil"/>
              <w:tr2bl w:val="nil"/>
            </w:tcBorders>
            <w:vAlign w:val="center"/>
          </w:tcPr>
          <w:p w14:paraId="60FB458E">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snapToGrid w:val="0"/>
                <w:color w:val="auto"/>
                <w:sz w:val="21"/>
                <w:szCs w:val="21"/>
                <w:highlight w:val="none"/>
                <w:lang w:val="en-GB"/>
              </w:rPr>
            </w:pPr>
            <w:r>
              <w:rPr>
                <w:rFonts w:hint="eastAsia" w:asciiTheme="minorEastAsia" w:hAnsiTheme="minorEastAsia" w:eastAsiaTheme="minorEastAsia" w:cstheme="minorEastAsia"/>
                <w:b w:val="0"/>
                <w:bCs/>
                <w:snapToGrid w:val="0"/>
                <w:color w:val="auto"/>
                <w:sz w:val="21"/>
                <w:szCs w:val="21"/>
                <w:highlight w:val="none"/>
                <w:lang w:val="en-GB"/>
              </w:rPr>
              <w:t>Ⅰ类</w:t>
            </w:r>
          </w:p>
        </w:tc>
        <w:tc>
          <w:tcPr>
            <w:tcW w:w="1342" w:type="pct"/>
            <w:gridSpan w:val="3"/>
            <w:tcBorders>
              <w:tl2br w:val="nil"/>
              <w:tr2bl w:val="nil"/>
            </w:tcBorders>
            <w:vAlign w:val="center"/>
          </w:tcPr>
          <w:p w14:paraId="32D2429D">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shd w:val="pct10" w:color="auto" w:fill="FFFFFF"/>
              </w:rPr>
            </w:pPr>
            <w:r>
              <w:rPr>
                <w:rFonts w:hint="eastAsia" w:asciiTheme="minorEastAsia" w:hAnsiTheme="minorEastAsia" w:eastAsiaTheme="minorEastAsia" w:cstheme="minorEastAsia"/>
                <w:b/>
                <w:bCs w:val="0"/>
                <w:snapToGrid w:val="0"/>
                <w:color w:val="auto"/>
                <w:sz w:val="21"/>
                <w:szCs w:val="21"/>
                <w:highlight w:val="none"/>
                <w:shd w:val="pct10" w:color="auto" w:fill="FFFFFF"/>
                <w:lang w:val="en-GB"/>
              </w:rPr>
              <w:t>Ⅱ类</w:t>
            </w:r>
          </w:p>
        </w:tc>
        <w:tc>
          <w:tcPr>
            <w:tcW w:w="1500" w:type="pct"/>
            <w:gridSpan w:val="3"/>
            <w:tcBorders>
              <w:tl2br w:val="nil"/>
              <w:tr2bl w:val="nil"/>
            </w:tcBorders>
            <w:vAlign w:val="center"/>
          </w:tcPr>
          <w:p w14:paraId="7D9389EA">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snapToGrid w:val="0"/>
                <w:color w:val="auto"/>
                <w:sz w:val="21"/>
                <w:szCs w:val="21"/>
                <w:highlight w:val="none"/>
                <w:lang w:val="en-GB"/>
              </w:rPr>
              <w:t>Ⅲ类</w:t>
            </w:r>
          </w:p>
        </w:tc>
      </w:tr>
      <w:tr w14:paraId="14F723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36" w:type="pct"/>
            <w:vMerge w:val="continue"/>
            <w:tcBorders>
              <w:tl2br w:val="nil"/>
              <w:tr2bl w:val="nil"/>
            </w:tcBorders>
            <w:vAlign w:val="center"/>
          </w:tcPr>
          <w:p w14:paraId="28DB9B48">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p>
        </w:tc>
        <w:tc>
          <w:tcPr>
            <w:tcW w:w="474" w:type="pct"/>
            <w:tcBorders>
              <w:tl2br w:val="nil"/>
              <w:tr2bl w:val="nil"/>
            </w:tcBorders>
            <w:vAlign w:val="center"/>
          </w:tcPr>
          <w:p w14:paraId="473E2943">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snapToGrid w:val="0"/>
                <w:color w:val="auto"/>
                <w:sz w:val="21"/>
                <w:szCs w:val="21"/>
                <w:highlight w:val="none"/>
                <w:lang w:val="en-GB"/>
              </w:rPr>
            </w:pPr>
            <w:r>
              <w:rPr>
                <w:rFonts w:hint="eastAsia" w:asciiTheme="minorEastAsia" w:hAnsiTheme="minorEastAsia" w:eastAsiaTheme="minorEastAsia" w:cstheme="minorEastAsia"/>
                <w:b w:val="0"/>
                <w:bCs/>
                <w:snapToGrid w:val="0"/>
                <w:color w:val="auto"/>
                <w:sz w:val="21"/>
                <w:szCs w:val="21"/>
                <w:highlight w:val="none"/>
                <w:lang w:val="en-GB"/>
              </w:rPr>
              <w:t>大</w:t>
            </w:r>
          </w:p>
        </w:tc>
        <w:tc>
          <w:tcPr>
            <w:tcW w:w="474" w:type="pct"/>
            <w:tcBorders>
              <w:tl2br w:val="nil"/>
              <w:tr2bl w:val="nil"/>
            </w:tcBorders>
            <w:vAlign w:val="center"/>
          </w:tcPr>
          <w:p w14:paraId="6E898614">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snapToGrid w:val="0"/>
                <w:color w:val="auto"/>
                <w:sz w:val="21"/>
                <w:szCs w:val="21"/>
                <w:highlight w:val="none"/>
                <w:lang w:val="en-GB"/>
              </w:rPr>
            </w:pPr>
            <w:r>
              <w:rPr>
                <w:rFonts w:hint="eastAsia" w:asciiTheme="minorEastAsia" w:hAnsiTheme="minorEastAsia" w:eastAsiaTheme="minorEastAsia" w:cstheme="minorEastAsia"/>
                <w:b w:val="0"/>
                <w:bCs/>
                <w:snapToGrid w:val="0"/>
                <w:color w:val="auto"/>
                <w:sz w:val="21"/>
                <w:szCs w:val="21"/>
                <w:highlight w:val="none"/>
                <w:lang w:val="en-GB"/>
              </w:rPr>
              <w:t>中</w:t>
            </w:r>
          </w:p>
        </w:tc>
        <w:tc>
          <w:tcPr>
            <w:tcW w:w="474" w:type="pct"/>
            <w:tcBorders>
              <w:tl2br w:val="nil"/>
              <w:tr2bl w:val="nil"/>
            </w:tcBorders>
            <w:vAlign w:val="center"/>
          </w:tcPr>
          <w:p w14:paraId="1D42673F">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snapToGrid w:val="0"/>
                <w:color w:val="auto"/>
                <w:sz w:val="21"/>
                <w:szCs w:val="21"/>
                <w:highlight w:val="none"/>
                <w:lang w:val="en-GB"/>
              </w:rPr>
            </w:pPr>
            <w:r>
              <w:rPr>
                <w:rFonts w:hint="eastAsia" w:asciiTheme="minorEastAsia" w:hAnsiTheme="minorEastAsia" w:eastAsiaTheme="minorEastAsia" w:cstheme="minorEastAsia"/>
                <w:b w:val="0"/>
                <w:bCs/>
                <w:snapToGrid w:val="0"/>
                <w:color w:val="auto"/>
                <w:sz w:val="21"/>
                <w:szCs w:val="21"/>
                <w:highlight w:val="none"/>
                <w:lang w:val="en-GB"/>
              </w:rPr>
              <w:t>小</w:t>
            </w:r>
          </w:p>
        </w:tc>
        <w:tc>
          <w:tcPr>
            <w:tcW w:w="474" w:type="pct"/>
            <w:tcBorders>
              <w:tl2br w:val="nil"/>
              <w:tr2bl w:val="nil"/>
            </w:tcBorders>
            <w:vAlign w:val="center"/>
          </w:tcPr>
          <w:p w14:paraId="5C359B3A">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snapToGrid w:val="0"/>
                <w:color w:val="auto"/>
                <w:sz w:val="21"/>
                <w:szCs w:val="21"/>
                <w:highlight w:val="none"/>
                <w:lang w:val="en-GB"/>
              </w:rPr>
              <w:t>大</w:t>
            </w:r>
          </w:p>
        </w:tc>
        <w:tc>
          <w:tcPr>
            <w:tcW w:w="474" w:type="pct"/>
            <w:tcBorders>
              <w:tl2br w:val="nil"/>
              <w:tr2bl w:val="nil"/>
            </w:tcBorders>
            <w:vAlign w:val="center"/>
          </w:tcPr>
          <w:p w14:paraId="10FD99B3">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shd w:val="pct10" w:color="auto" w:fill="FFFFFF"/>
              </w:rPr>
            </w:pPr>
            <w:r>
              <w:rPr>
                <w:rFonts w:hint="eastAsia" w:asciiTheme="minorEastAsia" w:hAnsiTheme="minorEastAsia" w:eastAsiaTheme="minorEastAsia" w:cstheme="minorEastAsia"/>
                <w:b w:val="0"/>
                <w:bCs/>
                <w:snapToGrid w:val="0"/>
                <w:color w:val="auto"/>
                <w:sz w:val="21"/>
                <w:szCs w:val="21"/>
                <w:highlight w:val="none"/>
                <w:lang w:val="en-GB"/>
              </w:rPr>
              <w:t>中</w:t>
            </w:r>
          </w:p>
        </w:tc>
        <w:tc>
          <w:tcPr>
            <w:tcW w:w="395" w:type="pct"/>
            <w:tcBorders>
              <w:tl2br w:val="nil"/>
              <w:tr2bl w:val="nil"/>
            </w:tcBorders>
            <w:vAlign w:val="center"/>
          </w:tcPr>
          <w:p w14:paraId="7A3451F5">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bCs w:val="0"/>
                <w:color w:val="auto"/>
                <w:sz w:val="21"/>
                <w:szCs w:val="21"/>
                <w:highlight w:val="none"/>
              </w:rPr>
            </w:pPr>
            <w:r>
              <w:rPr>
                <w:rFonts w:hint="eastAsia" w:asciiTheme="minorEastAsia" w:hAnsiTheme="minorEastAsia" w:eastAsiaTheme="minorEastAsia" w:cstheme="minorEastAsia"/>
                <w:b/>
                <w:bCs w:val="0"/>
                <w:snapToGrid w:val="0"/>
                <w:color w:val="auto"/>
                <w:sz w:val="21"/>
                <w:szCs w:val="21"/>
                <w:highlight w:val="none"/>
                <w:shd w:val="pct10" w:color="auto" w:fill="FFFFFF"/>
                <w:lang w:val="en-GB"/>
              </w:rPr>
              <w:t>小</w:t>
            </w:r>
          </w:p>
        </w:tc>
        <w:tc>
          <w:tcPr>
            <w:tcW w:w="553" w:type="pct"/>
            <w:tcBorders>
              <w:tl2br w:val="nil"/>
              <w:tr2bl w:val="nil"/>
            </w:tcBorders>
            <w:vAlign w:val="center"/>
          </w:tcPr>
          <w:p w14:paraId="64EE59B6">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snapToGrid w:val="0"/>
                <w:color w:val="auto"/>
                <w:sz w:val="21"/>
                <w:szCs w:val="21"/>
                <w:highlight w:val="none"/>
                <w:lang w:val="en-GB"/>
              </w:rPr>
              <w:t>大</w:t>
            </w:r>
          </w:p>
        </w:tc>
        <w:tc>
          <w:tcPr>
            <w:tcW w:w="474" w:type="pct"/>
            <w:tcBorders>
              <w:tl2br w:val="nil"/>
              <w:tr2bl w:val="nil"/>
            </w:tcBorders>
            <w:vAlign w:val="center"/>
          </w:tcPr>
          <w:p w14:paraId="1E6C1D80">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snapToGrid w:val="0"/>
                <w:color w:val="auto"/>
                <w:sz w:val="21"/>
                <w:szCs w:val="21"/>
                <w:highlight w:val="none"/>
                <w:lang w:val="en-GB"/>
              </w:rPr>
              <w:t>中</w:t>
            </w:r>
          </w:p>
        </w:tc>
        <w:tc>
          <w:tcPr>
            <w:tcW w:w="474" w:type="pct"/>
            <w:tcBorders>
              <w:tl2br w:val="nil"/>
              <w:tr2bl w:val="nil"/>
            </w:tcBorders>
            <w:vAlign w:val="center"/>
          </w:tcPr>
          <w:p w14:paraId="2E29AC1F">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snapToGrid w:val="0"/>
                <w:color w:val="auto"/>
                <w:sz w:val="21"/>
                <w:szCs w:val="21"/>
                <w:highlight w:val="none"/>
                <w:lang w:val="en-GB"/>
              </w:rPr>
              <w:t>小</w:t>
            </w:r>
          </w:p>
        </w:tc>
      </w:tr>
      <w:tr w14:paraId="3F847B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36" w:type="pct"/>
            <w:tcBorders>
              <w:tl2br w:val="nil"/>
              <w:tr2bl w:val="nil"/>
            </w:tcBorders>
            <w:vAlign w:val="center"/>
          </w:tcPr>
          <w:p w14:paraId="1E397CA5">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bCs w:val="0"/>
                <w:snapToGrid w:val="0"/>
                <w:color w:val="auto"/>
                <w:sz w:val="21"/>
                <w:szCs w:val="21"/>
                <w:highlight w:val="none"/>
                <w:shd w:val="pct10" w:color="auto" w:fill="FFFFFF"/>
                <w:lang w:val="en-GB"/>
              </w:rPr>
              <w:t>敏感</w:t>
            </w:r>
          </w:p>
        </w:tc>
        <w:tc>
          <w:tcPr>
            <w:tcW w:w="474" w:type="pct"/>
            <w:tcBorders>
              <w:tl2br w:val="nil"/>
              <w:tr2bl w:val="nil"/>
            </w:tcBorders>
            <w:vAlign w:val="center"/>
          </w:tcPr>
          <w:p w14:paraId="1C14E63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一级</w:t>
            </w:r>
          </w:p>
        </w:tc>
        <w:tc>
          <w:tcPr>
            <w:tcW w:w="474" w:type="pct"/>
            <w:tcBorders>
              <w:tl2br w:val="nil"/>
              <w:tr2bl w:val="nil"/>
            </w:tcBorders>
            <w:vAlign w:val="center"/>
          </w:tcPr>
          <w:p w14:paraId="04339B0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一级</w:t>
            </w:r>
          </w:p>
        </w:tc>
        <w:tc>
          <w:tcPr>
            <w:tcW w:w="474" w:type="pct"/>
            <w:tcBorders>
              <w:tl2br w:val="nil"/>
              <w:tr2bl w:val="nil"/>
            </w:tcBorders>
            <w:vAlign w:val="center"/>
          </w:tcPr>
          <w:p w14:paraId="43CA858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一级</w:t>
            </w:r>
          </w:p>
        </w:tc>
        <w:tc>
          <w:tcPr>
            <w:tcW w:w="474" w:type="pct"/>
            <w:tcBorders>
              <w:tl2br w:val="nil"/>
              <w:tr2bl w:val="nil"/>
            </w:tcBorders>
            <w:vAlign w:val="center"/>
          </w:tcPr>
          <w:p w14:paraId="7370D3B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二级</w:t>
            </w:r>
          </w:p>
        </w:tc>
        <w:tc>
          <w:tcPr>
            <w:tcW w:w="474" w:type="pct"/>
            <w:tcBorders>
              <w:tl2br w:val="nil"/>
              <w:tr2bl w:val="nil"/>
            </w:tcBorders>
            <w:vAlign w:val="center"/>
          </w:tcPr>
          <w:p w14:paraId="3930296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二级</w:t>
            </w:r>
          </w:p>
        </w:tc>
        <w:tc>
          <w:tcPr>
            <w:tcW w:w="395" w:type="pct"/>
            <w:tcBorders>
              <w:tl2br w:val="nil"/>
              <w:tr2bl w:val="nil"/>
            </w:tcBorders>
            <w:vAlign w:val="center"/>
          </w:tcPr>
          <w:p w14:paraId="36C0B88B">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bCs w:val="0"/>
                <w:snapToGrid w:val="0"/>
                <w:color w:val="auto"/>
                <w:sz w:val="21"/>
                <w:szCs w:val="21"/>
                <w:highlight w:val="none"/>
                <w:shd w:val="pct10" w:color="auto" w:fill="FFFFFF"/>
                <w:lang w:val="en-GB"/>
              </w:rPr>
              <w:t>二级</w:t>
            </w:r>
          </w:p>
        </w:tc>
        <w:tc>
          <w:tcPr>
            <w:tcW w:w="553" w:type="pct"/>
            <w:tcBorders>
              <w:tl2br w:val="nil"/>
              <w:tr2bl w:val="nil"/>
            </w:tcBorders>
            <w:vAlign w:val="center"/>
          </w:tcPr>
          <w:p w14:paraId="5460E61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三级</w:t>
            </w:r>
          </w:p>
        </w:tc>
        <w:tc>
          <w:tcPr>
            <w:tcW w:w="474" w:type="pct"/>
            <w:tcBorders>
              <w:tl2br w:val="nil"/>
              <w:tr2bl w:val="nil"/>
            </w:tcBorders>
            <w:vAlign w:val="center"/>
          </w:tcPr>
          <w:p w14:paraId="6DDC356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三级</w:t>
            </w:r>
          </w:p>
        </w:tc>
        <w:tc>
          <w:tcPr>
            <w:tcW w:w="474" w:type="pct"/>
            <w:tcBorders>
              <w:tl2br w:val="nil"/>
              <w:tr2bl w:val="nil"/>
            </w:tcBorders>
            <w:vAlign w:val="center"/>
          </w:tcPr>
          <w:p w14:paraId="0B473FD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三级</w:t>
            </w:r>
          </w:p>
        </w:tc>
      </w:tr>
      <w:tr w14:paraId="0C9F84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36" w:type="pct"/>
            <w:tcBorders>
              <w:tl2br w:val="nil"/>
              <w:tr2bl w:val="nil"/>
            </w:tcBorders>
            <w:vAlign w:val="center"/>
          </w:tcPr>
          <w:p w14:paraId="55B5112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lang w:val="en-GB"/>
              </w:rPr>
              <w:t>较敏感</w:t>
            </w:r>
          </w:p>
        </w:tc>
        <w:tc>
          <w:tcPr>
            <w:tcW w:w="474" w:type="pct"/>
            <w:tcBorders>
              <w:tl2br w:val="nil"/>
              <w:tr2bl w:val="nil"/>
            </w:tcBorders>
            <w:vAlign w:val="center"/>
          </w:tcPr>
          <w:p w14:paraId="119525B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一级</w:t>
            </w:r>
          </w:p>
        </w:tc>
        <w:tc>
          <w:tcPr>
            <w:tcW w:w="474" w:type="pct"/>
            <w:tcBorders>
              <w:tl2br w:val="nil"/>
              <w:tr2bl w:val="nil"/>
            </w:tcBorders>
            <w:vAlign w:val="center"/>
          </w:tcPr>
          <w:p w14:paraId="3E96604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一级</w:t>
            </w:r>
          </w:p>
        </w:tc>
        <w:tc>
          <w:tcPr>
            <w:tcW w:w="474" w:type="pct"/>
            <w:tcBorders>
              <w:tl2br w:val="nil"/>
              <w:tr2bl w:val="nil"/>
            </w:tcBorders>
            <w:vAlign w:val="center"/>
          </w:tcPr>
          <w:p w14:paraId="3EBA902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二级</w:t>
            </w:r>
          </w:p>
        </w:tc>
        <w:tc>
          <w:tcPr>
            <w:tcW w:w="474" w:type="pct"/>
            <w:tcBorders>
              <w:tl2br w:val="nil"/>
              <w:tr2bl w:val="nil"/>
            </w:tcBorders>
            <w:vAlign w:val="center"/>
          </w:tcPr>
          <w:p w14:paraId="74F8111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二级</w:t>
            </w:r>
          </w:p>
        </w:tc>
        <w:tc>
          <w:tcPr>
            <w:tcW w:w="474" w:type="pct"/>
            <w:tcBorders>
              <w:tl2br w:val="nil"/>
              <w:tr2bl w:val="nil"/>
            </w:tcBorders>
            <w:vAlign w:val="center"/>
          </w:tcPr>
          <w:p w14:paraId="2545D47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二级</w:t>
            </w:r>
          </w:p>
        </w:tc>
        <w:tc>
          <w:tcPr>
            <w:tcW w:w="395" w:type="pct"/>
            <w:tcBorders>
              <w:tl2br w:val="nil"/>
              <w:tr2bl w:val="nil"/>
            </w:tcBorders>
            <w:vAlign w:val="center"/>
          </w:tcPr>
          <w:p w14:paraId="30ECB98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lang w:val="en-GB"/>
              </w:rPr>
              <w:t>三级</w:t>
            </w:r>
          </w:p>
        </w:tc>
        <w:tc>
          <w:tcPr>
            <w:tcW w:w="553" w:type="pct"/>
            <w:tcBorders>
              <w:tl2br w:val="nil"/>
              <w:tr2bl w:val="nil"/>
            </w:tcBorders>
            <w:vAlign w:val="center"/>
          </w:tcPr>
          <w:p w14:paraId="299E97B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三级</w:t>
            </w:r>
          </w:p>
        </w:tc>
        <w:tc>
          <w:tcPr>
            <w:tcW w:w="474" w:type="pct"/>
            <w:tcBorders>
              <w:tl2br w:val="nil"/>
              <w:tr2bl w:val="nil"/>
            </w:tcBorders>
            <w:vAlign w:val="center"/>
          </w:tcPr>
          <w:p w14:paraId="53FDAE0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三级</w:t>
            </w:r>
          </w:p>
        </w:tc>
        <w:tc>
          <w:tcPr>
            <w:tcW w:w="474" w:type="pct"/>
            <w:tcBorders>
              <w:tl2br w:val="nil"/>
              <w:tr2bl w:val="nil"/>
            </w:tcBorders>
            <w:vAlign w:val="center"/>
          </w:tcPr>
          <w:p w14:paraId="4664484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w:t>
            </w:r>
          </w:p>
        </w:tc>
      </w:tr>
      <w:tr w14:paraId="392CCA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36" w:type="pct"/>
            <w:tcBorders>
              <w:tl2br w:val="nil"/>
              <w:tr2bl w:val="nil"/>
            </w:tcBorders>
            <w:vAlign w:val="center"/>
          </w:tcPr>
          <w:p w14:paraId="2923AB5A">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不敏感</w:t>
            </w:r>
          </w:p>
        </w:tc>
        <w:tc>
          <w:tcPr>
            <w:tcW w:w="474" w:type="pct"/>
            <w:tcBorders>
              <w:tl2br w:val="nil"/>
              <w:tr2bl w:val="nil"/>
            </w:tcBorders>
            <w:vAlign w:val="center"/>
          </w:tcPr>
          <w:p w14:paraId="116FFB2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一级</w:t>
            </w:r>
          </w:p>
        </w:tc>
        <w:tc>
          <w:tcPr>
            <w:tcW w:w="474" w:type="pct"/>
            <w:tcBorders>
              <w:tl2br w:val="nil"/>
              <w:tr2bl w:val="nil"/>
            </w:tcBorders>
            <w:vAlign w:val="center"/>
          </w:tcPr>
          <w:p w14:paraId="1EC445F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二级</w:t>
            </w:r>
          </w:p>
        </w:tc>
        <w:tc>
          <w:tcPr>
            <w:tcW w:w="474" w:type="pct"/>
            <w:tcBorders>
              <w:tl2br w:val="nil"/>
              <w:tr2bl w:val="nil"/>
            </w:tcBorders>
            <w:vAlign w:val="center"/>
          </w:tcPr>
          <w:p w14:paraId="62E4007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二级</w:t>
            </w:r>
          </w:p>
        </w:tc>
        <w:tc>
          <w:tcPr>
            <w:tcW w:w="474" w:type="pct"/>
            <w:tcBorders>
              <w:tl2br w:val="nil"/>
              <w:tr2bl w:val="nil"/>
            </w:tcBorders>
            <w:vAlign w:val="center"/>
          </w:tcPr>
          <w:p w14:paraId="6B57EE7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二级</w:t>
            </w:r>
          </w:p>
        </w:tc>
        <w:tc>
          <w:tcPr>
            <w:tcW w:w="474" w:type="pct"/>
            <w:tcBorders>
              <w:tl2br w:val="nil"/>
              <w:tr2bl w:val="nil"/>
            </w:tcBorders>
            <w:vAlign w:val="center"/>
          </w:tcPr>
          <w:p w14:paraId="4DDDEA5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三级</w:t>
            </w:r>
          </w:p>
        </w:tc>
        <w:tc>
          <w:tcPr>
            <w:tcW w:w="395" w:type="pct"/>
            <w:tcBorders>
              <w:tl2br w:val="nil"/>
              <w:tr2bl w:val="nil"/>
            </w:tcBorders>
            <w:vAlign w:val="center"/>
          </w:tcPr>
          <w:p w14:paraId="3CE4076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三级</w:t>
            </w:r>
          </w:p>
        </w:tc>
        <w:tc>
          <w:tcPr>
            <w:tcW w:w="553" w:type="pct"/>
            <w:tcBorders>
              <w:tl2br w:val="nil"/>
              <w:tr2bl w:val="nil"/>
            </w:tcBorders>
            <w:vAlign w:val="center"/>
          </w:tcPr>
          <w:p w14:paraId="79DE907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三级</w:t>
            </w:r>
          </w:p>
        </w:tc>
        <w:tc>
          <w:tcPr>
            <w:tcW w:w="474" w:type="pct"/>
            <w:tcBorders>
              <w:tl2br w:val="nil"/>
              <w:tr2bl w:val="nil"/>
            </w:tcBorders>
            <w:vAlign w:val="center"/>
          </w:tcPr>
          <w:p w14:paraId="5D53F54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w:t>
            </w:r>
          </w:p>
        </w:tc>
        <w:tc>
          <w:tcPr>
            <w:tcW w:w="474" w:type="pct"/>
            <w:tcBorders>
              <w:tl2br w:val="nil"/>
              <w:tr2bl w:val="nil"/>
            </w:tcBorders>
            <w:vAlign w:val="center"/>
          </w:tcPr>
          <w:p w14:paraId="7C6BB33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jc w:val="center"/>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w:t>
            </w:r>
          </w:p>
        </w:tc>
      </w:tr>
      <w:tr w14:paraId="62ACB1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10"/>
            <w:tcBorders>
              <w:tl2br w:val="nil"/>
              <w:tr2bl w:val="nil"/>
            </w:tcBorders>
            <w:vAlign w:val="center"/>
          </w:tcPr>
          <w:p w14:paraId="083C1911">
            <w:pPr>
              <w:pStyle w:val="43"/>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textAlignment w:val="auto"/>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注：“-”表示可不开展土壤环境影响评价工作。</w:t>
            </w:r>
          </w:p>
        </w:tc>
      </w:tr>
    </w:tbl>
    <w:p w14:paraId="7B55206E">
      <w:pPr>
        <w:pStyle w:val="3"/>
        <w:keepNext w:val="0"/>
        <w:keepLines w:val="0"/>
        <w:pageBreakBefore w:val="0"/>
        <w:widowControl w:val="0"/>
        <w:kinsoku/>
        <w:wordWrap/>
        <w:overflowPunct/>
        <w:topLinePunct w:val="0"/>
        <w:autoSpaceDE/>
        <w:autoSpaceDN/>
        <w:bidi w:val="0"/>
        <w:adjustRightInd/>
        <w:snapToGrid w:val="0"/>
        <w:spacing w:after="0" w:line="360" w:lineRule="auto"/>
        <w:ind w:firstLine="480" w:firstLineChars="200"/>
        <w:jc w:val="both"/>
        <w:textAlignment w:val="auto"/>
        <w:rPr>
          <w:rFonts w:hint="eastAsia" w:asciiTheme="minorEastAsia" w:hAnsiTheme="minorEastAsia" w:eastAsiaTheme="minorEastAsia" w:cstheme="minorEastAsia"/>
          <w:snapToGrid w:val="0"/>
          <w:color w:val="auto"/>
          <w:sz w:val="24"/>
          <w:szCs w:val="24"/>
          <w:highlight w:val="none"/>
        </w:rPr>
      </w:pPr>
      <w:r>
        <w:rPr>
          <w:rFonts w:hint="eastAsia" w:asciiTheme="minorEastAsia" w:hAnsiTheme="minorEastAsia" w:eastAsiaTheme="minorEastAsia" w:cstheme="minorEastAsia"/>
          <w:snapToGrid w:val="0"/>
          <w:color w:val="auto"/>
          <w:sz w:val="24"/>
          <w:szCs w:val="24"/>
          <w:highlight w:val="none"/>
        </w:rPr>
        <w:t>本项目</w:t>
      </w:r>
      <w:r>
        <w:rPr>
          <w:rFonts w:hint="eastAsia" w:asciiTheme="minorEastAsia" w:hAnsiTheme="minorEastAsia" w:eastAsiaTheme="minorEastAsia" w:cstheme="minorEastAsia"/>
          <w:snapToGrid w:val="0"/>
          <w:color w:val="auto"/>
          <w:sz w:val="24"/>
          <w:szCs w:val="24"/>
          <w:highlight w:val="none"/>
          <w:lang w:val="en-US" w:eastAsia="zh-CN"/>
        </w:rPr>
        <w:t>为</w:t>
      </w:r>
      <w:r>
        <w:rPr>
          <w:rFonts w:hint="eastAsia" w:asciiTheme="minorEastAsia" w:hAnsiTheme="minorEastAsia" w:eastAsiaTheme="minorEastAsia" w:cstheme="minorEastAsia"/>
          <w:snapToGrid w:val="0"/>
          <w:color w:val="auto"/>
          <w:sz w:val="24"/>
          <w:szCs w:val="24"/>
          <w:highlight w:val="none"/>
        </w:rPr>
        <w:t>Ⅱ类项目</w:t>
      </w:r>
      <w:r>
        <w:rPr>
          <w:rFonts w:hint="eastAsia" w:asciiTheme="minorEastAsia" w:hAnsiTheme="minorEastAsia" w:eastAsiaTheme="minorEastAsia" w:cstheme="minorEastAsia"/>
          <w:snapToGrid w:val="0"/>
          <w:color w:val="auto"/>
          <w:sz w:val="24"/>
          <w:szCs w:val="24"/>
          <w:highlight w:val="none"/>
          <w:lang w:eastAsia="zh-CN"/>
        </w:rPr>
        <w:t>，</w:t>
      </w:r>
      <w:r>
        <w:rPr>
          <w:rFonts w:hint="eastAsia" w:asciiTheme="minorEastAsia" w:hAnsiTheme="minorEastAsia" w:eastAsiaTheme="minorEastAsia" w:cstheme="minorEastAsia"/>
          <w:snapToGrid w:val="0"/>
          <w:color w:val="auto"/>
          <w:sz w:val="24"/>
          <w:szCs w:val="24"/>
          <w:highlight w:val="none"/>
        </w:rPr>
        <w:t>占地面积</w:t>
      </w:r>
      <w:r>
        <w:rPr>
          <w:rFonts w:hint="eastAsia" w:ascii="Times New Roman" w:hAnsi="Times New Roman" w:eastAsia="宋体" w:cs="Times New Roman"/>
          <w:color w:val="auto"/>
          <w:sz w:val="28"/>
          <w:szCs w:val="28"/>
          <w:highlight w:val="none"/>
        </w:rPr>
        <w:t>1</w:t>
      </w:r>
      <w:r>
        <w:rPr>
          <w:rFonts w:hint="eastAsia" w:ascii="Times New Roman" w:hAnsi="Times New Roman" w:eastAsia="宋体" w:cs="Times New Roman"/>
          <w:color w:val="auto"/>
          <w:sz w:val="28"/>
          <w:szCs w:val="28"/>
          <w:highlight w:val="none"/>
          <w:lang w:val="en-US" w:eastAsia="zh-CN"/>
        </w:rPr>
        <w:t>.</w:t>
      </w:r>
      <w:r>
        <w:rPr>
          <w:rFonts w:hint="eastAsia" w:ascii="Times New Roman" w:hAnsi="Times New Roman" w:eastAsia="宋体" w:cs="Times New Roman"/>
          <w:color w:val="auto"/>
          <w:sz w:val="28"/>
          <w:szCs w:val="28"/>
          <w:highlight w:val="none"/>
        </w:rPr>
        <w:t>12961</w:t>
      </w:r>
      <w:r>
        <w:rPr>
          <w:rFonts w:hint="eastAsia" w:asciiTheme="minorEastAsia" w:hAnsiTheme="minorEastAsia" w:eastAsiaTheme="minorEastAsia" w:cstheme="minorEastAsia"/>
          <w:snapToGrid w:val="0"/>
          <w:color w:val="auto"/>
          <w:sz w:val="24"/>
          <w:szCs w:val="24"/>
          <w:highlight w:val="none"/>
        </w:rPr>
        <w:t>hm</w:t>
      </w:r>
      <w:r>
        <w:rPr>
          <w:rFonts w:hint="eastAsia" w:asciiTheme="minorEastAsia" w:hAnsiTheme="minorEastAsia" w:eastAsiaTheme="minorEastAsia" w:cstheme="minorEastAsia"/>
          <w:snapToGrid w:val="0"/>
          <w:color w:val="auto"/>
          <w:sz w:val="24"/>
          <w:szCs w:val="24"/>
          <w:highlight w:val="none"/>
          <w:vertAlign w:val="superscript"/>
        </w:rPr>
        <w:t>2</w:t>
      </w:r>
      <w:r>
        <w:rPr>
          <w:rFonts w:hint="eastAsia" w:asciiTheme="minorEastAsia" w:hAnsiTheme="minorEastAsia" w:eastAsiaTheme="minorEastAsia" w:cstheme="minorEastAsia"/>
          <w:snapToGrid w:val="0"/>
          <w:color w:val="auto"/>
          <w:sz w:val="24"/>
          <w:szCs w:val="24"/>
          <w:highlight w:val="none"/>
        </w:rPr>
        <w:t>，属于</w:t>
      </w:r>
      <w:r>
        <w:rPr>
          <w:rFonts w:hint="eastAsia" w:asciiTheme="minorEastAsia" w:hAnsiTheme="minorEastAsia" w:eastAsiaTheme="minorEastAsia" w:cstheme="minorEastAsia"/>
          <w:snapToGrid w:val="0"/>
          <w:color w:val="auto"/>
          <w:sz w:val="24"/>
          <w:szCs w:val="24"/>
          <w:highlight w:val="none"/>
          <w:lang w:val="en-US" w:eastAsia="zh-CN"/>
        </w:rPr>
        <w:t>小</w:t>
      </w:r>
      <w:r>
        <w:rPr>
          <w:rFonts w:hint="eastAsia" w:asciiTheme="minorEastAsia" w:hAnsiTheme="minorEastAsia" w:eastAsiaTheme="minorEastAsia" w:cstheme="minorEastAsia"/>
          <w:snapToGrid w:val="0"/>
          <w:color w:val="auto"/>
          <w:sz w:val="24"/>
          <w:szCs w:val="24"/>
          <w:highlight w:val="none"/>
        </w:rPr>
        <w:t>型（</w:t>
      </w:r>
      <w:r>
        <w:rPr>
          <w:rFonts w:hint="eastAsia" w:asciiTheme="minorEastAsia" w:hAnsiTheme="minorEastAsia" w:eastAsiaTheme="minorEastAsia" w:cstheme="minorEastAsia"/>
          <w:color w:val="auto"/>
          <w:szCs w:val="24"/>
          <w:highlight w:val="none"/>
        </w:rPr>
        <w:t>≤5</w:t>
      </w:r>
      <w:r>
        <w:rPr>
          <w:rFonts w:hint="eastAsia" w:asciiTheme="minorEastAsia" w:hAnsiTheme="minorEastAsia" w:eastAsiaTheme="minorEastAsia" w:cstheme="minorEastAsia"/>
          <w:snapToGrid w:val="0"/>
          <w:color w:val="auto"/>
          <w:sz w:val="24"/>
          <w:szCs w:val="24"/>
          <w:highlight w:val="none"/>
        </w:rPr>
        <w:t>hm</w:t>
      </w:r>
      <w:r>
        <w:rPr>
          <w:rFonts w:hint="eastAsia" w:asciiTheme="minorEastAsia" w:hAnsiTheme="minorEastAsia" w:eastAsiaTheme="minorEastAsia" w:cstheme="minorEastAsia"/>
          <w:snapToGrid w:val="0"/>
          <w:color w:val="auto"/>
          <w:sz w:val="24"/>
          <w:szCs w:val="24"/>
          <w:highlight w:val="none"/>
          <w:vertAlign w:val="superscript"/>
        </w:rPr>
        <w:t>2</w:t>
      </w:r>
      <w:r>
        <w:rPr>
          <w:rFonts w:hint="eastAsia" w:asciiTheme="minorEastAsia" w:hAnsiTheme="minorEastAsia" w:eastAsiaTheme="minorEastAsia" w:cstheme="minorEastAsia"/>
          <w:snapToGrid w:val="0"/>
          <w:color w:val="auto"/>
          <w:sz w:val="24"/>
          <w:szCs w:val="24"/>
          <w:highlight w:val="none"/>
        </w:rPr>
        <w:t>）建设项目</w:t>
      </w:r>
      <w:r>
        <w:rPr>
          <w:rFonts w:hint="eastAsia" w:asciiTheme="minorEastAsia" w:hAnsiTheme="minorEastAsia" w:eastAsiaTheme="minorEastAsia" w:cstheme="minorEastAsia"/>
          <w:snapToGrid w:val="0"/>
          <w:color w:val="auto"/>
          <w:sz w:val="24"/>
          <w:szCs w:val="24"/>
          <w:highlight w:val="none"/>
          <w:lang w:eastAsia="zh-CN"/>
        </w:rPr>
        <w:t>，</w:t>
      </w:r>
      <w:r>
        <w:rPr>
          <w:rFonts w:hint="eastAsia" w:asciiTheme="minorEastAsia" w:hAnsiTheme="minorEastAsia" w:eastAsiaTheme="minorEastAsia" w:cstheme="minorEastAsia"/>
          <w:snapToGrid w:val="0"/>
          <w:color w:val="auto"/>
          <w:sz w:val="24"/>
          <w:szCs w:val="24"/>
          <w:highlight w:val="none"/>
        </w:rPr>
        <w:t>土壤环境敏感程度属于敏感，</w:t>
      </w:r>
      <w:r>
        <w:rPr>
          <w:rFonts w:hint="eastAsia" w:asciiTheme="minorEastAsia" w:hAnsiTheme="minorEastAsia" w:eastAsiaTheme="minorEastAsia" w:cstheme="minorEastAsia"/>
          <w:snapToGrid w:val="0"/>
          <w:color w:val="auto"/>
          <w:sz w:val="24"/>
          <w:szCs w:val="24"/>
          <w:highlight w:val="none"/>
          <w:lang w:val="en-US" w:eastAsia="zh-CN"/>
        </w:rPr>
        <w:t>因此</w:t>
      </w:r>
      <w:r>
        <w:rPr>
          <w:rFonts w:hint="eastAsia" w:asciiTheme="minorEastAsia" w:hAnsiTheme="minorEastAsia" w:eastAsiaTheme="minorEastAsia" w:cstheme="minorEastAsia"/>
          <w:snapToGrid w:val="0"/>
          <w:color w:val="auto"/>
          <w:sz w:val="24"/>
          <w:szCs w:val="24"/>
          <w:highlight w:val="none"/>
        </w:rPr>
        <w:t>本项目土壤地评价工作等级定为</w:t>
      </w:r>
      <w:r>
        <w:rPr>
          <w:rFonts w:hint="eastAsia" w:asciiTheme="minorEastAsia" w:hAnsiTheme="minorEastAsia" w:eastAsiaTheme="minorEastAsia" w:cstheme="minorEastAsia"/>
          <w:snapToGrid w:val="0"/>
          <w:color w:val="auto"/>
          <w:sz w:val="24"/>
          <w:szCs w:val="24"/>
          <w:highlight w:val="none"/>
          <w:lang w:val="en-US" w:eastAsia="zh-CN"/>
        </w:rPr>
        <w:t>二</w:t>
      </w:r>
      <w:r>
        <w:rPr>
          <w:rFonts w:hint="eastAsia" w:asciiTheme="minorEastAsia" w:hAnsiTheme="minorEastAsia" w:eastAsiaTheme="minorEastAsia" w:cstheme="minorEastAsia"/>
          <w:snapToGrid w:val="0"/>
          <w:color w:val="auto"/>
          <w:sz w:val="24"/>
          <w:szCs w:val="24"/>
          <w:highlight w:val="none"/>
        </w:rPr>
        <w:t>级。</w:t>
      </w:r>
    </w:p>
    <w:p w14:paraId="76D10587">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5</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4.5评价范围</w:t>
      </w:r>
    </w:p>
    <w:p w14:paraId="1A3338FC">
      <w:pPr>
        <w:pStyle w:val="3"/>
        <w:keepNext w:val="0"/>
        <w:keepLines w:val="0"/>
        <w:pageBreakBefore w:val="0"/>
        <w:widowControl w:val="0"/>
        <w:kinsoku/>
        <w:wordWrap/>
        <w:overflowPunct/>
        <w:topLinePunct w:val="0"/>
        <w:autoSpaceDE/>
        <w:autoSpaceDN/>
        <w:bidi w:val="0"/>
        <w:adjustRightInd/>
        <w:snapToGrid w:val="0"/>
        <w:spacing w:after="0" w:line="360" w:lineRule="auto"/>
        <w:ind w:firstLine="480" w:firstLineChars="200"/>
        <w:jc w:val="left"/>
        <w:textAlignment w:val="auto"/>
        <w:rPr>
          <w:rFonts w:hint="eastAsia" w:asciiTheme="minorEastAsia" w:hAnsiTheme="minorEastAsia" w:eastAsiaTheme="minorEastAsia" w:cstheme="minorEastAsia"/>
          <w:snapToGrid w:val="0"/>
          <w:color w:val="auto"/>
          <w:sz w:val="24"/>
          <w:szCs w:val="24"/>
          <w:highlight w:val="none"/>
        </w:rPr>
      </w:pPr>
      <w:r>
        <w:rPr>
          <w:rFonts w:hint="eastAsia" w:asciiTheme="minorEastAsia" w:hAnsiTheme="minorEastAsia" w:eastAsiaTheme="minorEastAsia" w:cstheme="minorEastAsia"/>
          <w:snapToGrid w:val="0"/>
          <w:color w:val="auto"/>
          <w:sz w:val="24"/>
          <w:szCs w:val="24"/>
          <w:highlight w:val="none"/>
        </w:rPr>
        <w:t>本项目评价范围为回填复垦区</w:t>
      </w:r>
      <w:r>
        <w:rPr>
          <w:rFonts w:hint="eastAsia" w:asciiTheme="minorEastAsia" w:hAnsiTheme="minorEastAsia" w:eastAsiaTheme="minorEastAsia" w:cstheme="minorEastAsia"/>
          <w:snapToGrid w:val="0"/>
          <w:color w:val="auto"/>
          <w:sz w:val="24"/>
          <w:szCs w:val="24"/>
          <w:highlight w:val="none"/>
          <w:lang w:val="en-US" w:eastAsia="zh-CN"/>
        </w:rPr>
        <w:t>内全部及回填复垦区</w:t>
      </w:r>
      <w:r>
        <w:rPr>
          <w:rFonts w:hint="eastAsia" w:asciiTheme="minorEastAsia" w:hAnsiTheme="minorEastAsia" w:eastAsiaTheme="minorEastAsia" w:cstheme="minorEastAsia"/>
          <w:snapToGrid w:val="0"/>
          <w:color w:val="auto"/>
          <w:sz w:val="24"/>
          <w:szCs w:val="24"/>
          <w:highlight w:val="none"/>
        </w:rPr>
        <w:t>外</w:t>
      </w:r>
      <w:r>
        <w:rPr>
          <w:rFonts w:hint="eastAsia" w:asciiTheme="minorEastAsia" w:hAnsiTheme="minorEastAsia" w:eastAsiaTheme="minorEastAsia" w:cstheme="minorEastAsia"/>
          <w:snapToGrid w:val="0"/>
          <w:color w:val="auto"/>
          <w:sz w:val="24"/>
          <w:szCs w:val="24"/>
          <w:highlight w:val="none"/>
          <w:lang w:val="en-US" w:eastAsia="zh-CN"/>
        </w:rPr>
        <w:t>0.2</w:t>
      </w:r>
      <w:r>
        <w:rPr>
          <w:rFonts w:hint="eastAsia" w:asciiTheme="minorEastAsia" w:hAnsiTheme="minorEastAsia" w:eastAsiaTheme="minorEastAsia" w:cstheme="minorEastAsia"/>
          <w:snapToGrid w:val="0"/>
          <w:color w:val="auto"/>
          <w:sz w:val="24"/>
          <w:szCs w:val="24"/>
          <w:highlight w:val="none"/>
        </w:rPr>
        <w:t>km范围</w:t>
      </w:r>
      <w:r>
        <w:rPr>
          <w:rFonts w:hint="eastAsia" w:asciiTheme="minorEastAsia" w:hAnsiTheme="minorEastAsia" w:eastAsiaTheme="minorEastAsia" w:cstheme="minorEastAsia"/>
          <w:snapToGrid w:val="0"/>
          <w:color w:val="auto"/>
          <w:sz w:val="24"/>
          <w:szCs w:val="24"/>
          <w:highlight w:val="none"/>
          <w:lang w:val="en-US" w:eastAsia="zh-CN"/>
        </w:rPr>
        <w:t>内</w:t>
      </w:r>
      <w:r>
        <w:rPr>
          <w:rFonts w:hint="eastAsia" w:asciiTheme="minorEastAsia" w:hAnsiTheme="minorEastAsia" w:eastAsiaTheme="minorEastAsia" w:cstheme="minorEastAsia"/>
          <w:snapToGrid w:val="0"/>
          <w:color w:val="auto"/>
          <w:sz w:val="24"/>
          <w:szCs w:val="24"/>
          <w:highlight w:val="none"/>
        </w:rPr>
        <w:t>。</w:t>
      </w:r>
    </w:p>
    <w:bookmarkEnd w:id="268"/>
    <w:p w14:paraId="21722E73">
      <w:pPr>
        <w:pStyle w:val="7"/>
        <w:keepNext w:val="0"/>
        <w:keepLines w:val="0"/>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bookmarkStart w:id="271" w:name="_Toc8964"/>
      <w:bookmarkStart w:id="272" w:name="_Toc531800105"/>
      <w:bookmarkStart w:id="273" w:name="_Toc532125224"/>
      <w:bookmarkStart w:id="274" w:name="_Toc525827424"/>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.5声环境</w:t>
      </w:r>
      <w:bookmarkEnd w:id="271"/>
      <w:bookmarkEnd w:id="272"/>
      <w:bookmarkEnd w:id="273"/>
      <w:bookmarkEnd w:id="274"/>
    </w:p>
    <w:p w14:paraId="4E5CAD6B">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5</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5.1 评价等级判定</w:t>
      </w:r>
    </w:p>
    <w:p w14:paraId="0653C35F">
      <w:pPr>
        <w:pStyle w:val="319"/>
        <w:widowControl w:val="0"/>
        <w:snapToGrid w:val="0"/>
        <w:ind w:firstLine="52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根据《环境影响评价技术导则声环境》（HJ2.4-2021），将声环境影响评价工作等级分为三个级别，划分依据见表2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-1</w:t>
      </w:r>
      <w:r>
        <w:rPr>
          <w:rFonts w:hint="eastAsia" w:asciiTheme="minorEastAsia" w:hAnsiTheme="minorEastAsia" w:eastAsia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rPr>
        <w:t>。</w:t>
      </w:r>
    </w:p>
    <w:p w14:paraId="4939D057">
      <w:pPr>
        <w:pStyle w:val="318"/>
        <w:widowControl w:val="0"/>
        <w:snapToGrid w:val="0"/>
        <w:spacing w:line="240" w:lineRule="auto"/>
        <w:ind w:firstLine="480"/>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bCs/>
          <w:color w:val="auto"/>
          <w:spacing w:val="0"/>
          <w:kern w:val="2"/>
          <w:sz w:val="24"/>
          <w:szCs w:val="24"/>
          <w:highlight w:val="none"/>
          <w:lang w:val="en-US" w:eastAsia="zh-CN" w:bidi="ar-SA"/>
        </w:rPr>
        <w:t>表2.5-12  声环境评价工作等级划分</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766"/>
        <w:gridCol w:w="1923"/>
        <w:gridCol w:w="1945"/>
        <w:gridCol w:w="1888"/>
      </w:tblGrid>
      <w:tr w14:paraId="4894B4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622" w:type="pct"/>
            <w:tcBorders>
              <w:tl2br w:val="nil"/>
              <w:tr2bl w:val="nil"/>
            </w:tcBorders>
            <w:vAlign w:val="center"/>
          </w:tcPr>
          <w:p w14:paraId="2B1FC1D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项目</w:t>
            </w:r>
          </w:p>
        </w:tc>
        <w:tc>
          <w:tcPr>
            <w:tcW w:w="1128" w:type="pct"/>
            <w:tcBorders>
              <w:tl2br w:val="nil"/>
              <w:tr2bl w:val="nil"/>
            </w:tcBorders>
            <w:vAlign w:val="center"/>
          </w:tcPr>
          <w:p w14:paraId="32F270A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一级</w:t>
            </w:r>
          </w:p>
        </w:tc>
        <w:tc>
          <w:tcPr>
            <w:tcW w:w="1141" w:type="pct"/>
            <w:tcBorders>
              <w:tl2br w:val="nil"/>
              <w:tr2bl w:val="nil"/>
            </w:tcBorders>
            <w:vAlign w:val="center"/>
          </w:tcPr>
          <w:p w14:paraId="27A5AA8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二级</w:t>
            </w:r>
          </w:p>
        </w:tc>
        <w:tc>
          <w:tcPr>
            <w:tcW w:w="1107" w:type="pct"/>
            <w:tcBorders>
              <w:tl2br w:val="nil"/>
              <w:tr2bl w:val="nil"/>
            </w:tcBorders>
            <w:vAlign w:val="center"/>
          </w:tcPr>
          <w:p w14:paraId="27F7548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三级</w:t>
            </w:r>
          </w:p>
        </w:tc>
      </w:tr>
      <w:tr w14:paraId="4D5457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22" w:type="pct"/>
            <w:tcBorders>
              <w:tl2br w:val="nil"/>
              <w:tr2bl w:val="nil"/>
            </w:tcBorders>
            <w:vAlign w:val="center"/>
          </w:tcPr>
          <w:p w14:paraId="5C88D2A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建设项目所在区域</w:t>
            </w:r>
          </w:p>
          <w:p w14:paraId="3D2FEB1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的声环境功能区类别</w:t>
            </w:r>
          </w:p>
        </w:tc>
        <w:tc>
          <w:tcPr>
            <w:tcW w:w="1128" w:type="pct"/>
            <w:tcBorders>
              <w:tl2br w:val="nil"/>
              <w:tr2bl w:val="nil"/>
            </w:tcBorders>
            <w:vAlign w:val="center"/>
          </w:tcPr>
          <w:p w14:paraId="743641DA">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GB3096规定的0类声环境功能区域</w:t>
            </w:r>
          </w:p>
        </w:tc>
        <w:tc>
          <w:tcPr>
            <w:tcW w:w="1141" w:type="pct"/>
            <w:tcBorders>
              <w:tl2br w:val="nil"/>
              <w:tr2bl w:val="nil"/>
            </w:tcBorders>
            <w:vAlign w:val="center"/>
          </w:tcPr>
          <w:p w14:paraId="2721A2E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GB3096规定的1类、2类地区</w:t>
            </w:r>
          </w:p>
        </w:tc>
        <w:tc>
          <w:tcPr>
            <w:tcW w:w="1107" w:type="pct"/>
            <w:tcBorders>
              <w:tl2br w:val="nil"/>
              <w:tr2bl w:val="nil"/>
            </w:tcBorders>
            <w:vAlign w:val="center"/>
          </w:tcPr>
          <w:p w14:paraId="32627DF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GB3096规定的3类、4类地区</w:t>
            </w:r>
          </w:p>
        </w:tc>
      </w:tr>
      <w:tr w14:paraId="00CE86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22" w:type="pct"/>
            <w:tcBorders>
              <w:tl2br w:val="nil"/>
              <w:tr2bl w:val="nil"/>
            </w:tcBorders>
            <w:vAlign w:val="center"/>
          </w:tcPr>
          <w:p w14:paraId="54237C7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建设项目建设前后所在区域的声环境质量变化程度</w:t>
            </w:r>
          </w:p>
        </w:tc>
        <w:tc>
          <w:tcPr>
            <w:tcW w:w="1128" w:type="pct"/>
            <w:tcBorders>
              <w:tl2br w:val="nil"/>
              <w:tr2bl w:val="nil"/>
            </w:tcBorders>
            <w:vAlign w:val="center"/>
          </w:tcPr>
          <w:p w14:paraId="2E459A9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敏感目标噪声级增高量＞5dB(A)</w:t>
            </w:r>
          </w:p>
        </w:tc>
        <w:tc>
          <w:tcPr>
            <w:tcW w:w="1141" w:type="pct"/>
            <w:tcBorders>
              <w:tl2br w:val="nil"/>
              <w:tr2bl w:val="nil"/>
            </w:tcBorders>
            <w:vAlign w:val="center"/>
          </w:tcPr>
          <w:p w14:paraId="3CC0047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敏感目标噪声级增高量达3dB(A)～5dB(A)</w:t>
            </w:r>
          </w:p>
        </w:tc>
        <w:tc>
          <w:tcPr>
            <w:tcW w:w="1107" w:type="pct"/>
            <w:tcBorders>
              <w:tl2br w:val="nil"/>
              <w:tr2bl w:val="nil"/>
            </w:tcBorders>
            <w:vAlign w:val="center"/>
          </w:tcPr>
          <w:p w14:paraId="5A6D236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敏感目标噪声级增高量＜3dB(A)</w:t>
            </w:r>
          </w:p>
        </w:tc>
      </w:tr>
      <w:tr w14:paraId="03BB57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22" w:type="pct"/>
            <w:tcBorders>
              <w:tl2br w:val="nil"/>
              <w:tr2bl w:val="nil"/>
            </w:tcBorders>
            <w:vAlign w:val="center"/>
          </w:tcPr>
          <w:p w14:paraId="28A11EFA">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受建设项目影响人口的数量</w:t>
            </w:r>
          </w:p>
        </w:tc>
        <w:tc>
          <w:tcPr>
            <w:tcW w:w="1128" w:type="pct"/>
            <w:tcBorders>
              <w:tl2br w:val="nil"/>
              <w:tr2bl w:val="nil"/>
            </w:tcBorders>
            <w:vAlign w:val="center"/>
          </w:tcPr>
          <w:p w14:paraId="68F2FBC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显著增多</w:t>
            </w:r>
          </w:p>
        </w:tc>
        <w:tc>
          <w:tcPr>
            <w:tcW w:w="1141" w:type="pct"/>
            <w:tcBorders>
              <w:tl2br w:val="nil"/>
              <w:tr2bl w:val="nil"/>
            </w:tcBorders>
            <w:vAlign w:val="center"/>
          </w:tcPr>
          <w:p w14:paraId="5D941D7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增加较多</w:t>
            </w:r>
          </w:p>
        </w:tc>
        <w:tc>
          <w:tcPr>
            <w:tcW w:w="1107" w:type="pct"/>
            <w:tcBorders>
              <w:tl2br w:val="nil"/>
              <w:tr2bl w:val="nil"/>
            </w:tcBorders>
            <w:vAlign w:val="center"/>
          </w:tcPr>
          <w:p w14:paraId="0B3A93F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变化不大</w:t>
            </w:r>
          </w:p>
        </w:tc>
      </w:tr>
    </w:tbl>
    <w:p w14:paraId="5C1FCC67">
      <w:pPr>
        <w:widowControl w:val="0"/>
        <w:snapToGrid w:val="0"/>
        <w:spacing w:line="360" w:lineRule="auto"/>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kern w:val="2"/>
          <w:highlight w:val="none"/>
          <w:lang w:val="en-US" w:eastAsia="zh-CN" w:bidi="ar"/>
        </w:rPr>
        <w:t>本项目所在区域为1</w:t>
      </w:r>
      <w:r>
        <w:rPr>
          <w:rFonts w:hint="eastAsia" w:asciiTheme="minorEastAsia" w:hAnsiTheme="minorEastAsia" w:eastAsiaTheme="minorEastAsia" w:cstheme="minorEastAsia"/>
          <w:color w:val="auto"/>
          <w:kern w:val="2"/>
          <w:highlight w:val="none"/>
          <w:lang w:bidi="ar"/>
        </w:rPr>
        <w:t>类区，</w:t>
      </w:r>
      <w:r>
        <w:rPr>
          <w:rFonts w:hint="eastAsia" w:asciiTheme="minorEastAsia" w:hAnsiTheme="minorEastAsia" w:eastAsiaTheme="minorEastAsia" w:cstheme="minorEastAsia"/>
          <w:color w:val="auto"/>
          <w:highlight w:val="none"/>
        </w:rPr>
        <w:t>工程建设后评价范围内敏感目标噪声级增高量低于3dB(A)</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受影响人口变化情况不明显</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因此，确定声环境影响评价工作等级为二级。</w:t>
      </w:r>
    </w:p>
    <w:p w14:paraId="200D5B05">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5</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5.2评价范围</w:t>
      </w:r>
    </w:p>
    <w:p w14:paraId="0FD2A6E9">
      <w:pPr>
        <w:widowControl w:val="0"/>
        <w:autoSpaceDE w:val="0"/>
        <w:autoSpaceDN w:val="0"/>
        <w:snapToGrid w:val="0"/>
        <w:spacing w:line="360" w:lineRule="auto"/>
        <w:ind w:firstLine="480" w:firstLineChars="200"/>
        <w:textAlignment w:val="bottom"/>
        <w:rPr>
          <w:rFonts w:hint="eastAsia" w:asciiTheme="minorEastAsia" w:hAnsiTheme="minorEastAsia" w:eastAsiaTheme="minorEastAsia" w:cstheme="minorEastAsia"/>
          <w:color w:val="auto"/>
          <w:szCs w:val="28"/>
          <w:highlight w:val="none"/>
        </w:rPr>
      </w:pPr>
      <w:r>
        <w:rPr>
          <w:rFonts w:hint="eastAsia" w:asciiTheme="minorEastAsia" w:hAnsiTheme="minorEastAsia" w:eastAsiaTheme="minorEastAsia" w:cstheme="minorEastAsia"/>
          <w:color w:val="auto"/>
          <w:szCs w:val="28"/>
          <w:highlight w:val="none"/>
        </w:rPr>
        <w:t>根据《环境影响评价技术导则声环境》（HJ2.4—2021）中关于噪声环境影响评价范围的确定原则，本项目噪声评价范围为</w:t>
      </w:r>
      <w:r>
        <w:rPr>
          <w:rFonts w:hint="eastAsia" w:asciiTheme="minorEastAsia" w:hAnsiTheme="minorEastAsia" w:eastAsiaTheme="minorEastAsia" w:cstheme="minorEastAsia"/>
          <w:snapToGrid w:val="0"/>
          <w:color w:val="auto"/>
          <w:sz w:val="24"/>
          <w:szCs w:val="24"/>
          <w:highlight w:val="none"/>
          <w:lang w:val="en-US" w:eastAsia="zh-CN"/>
        </w:rPr>
        <w:t>回填复垦区</w:t>
      </w:r>
      <w:r>
        <w:rPr>
          <w:rFonts w:hint="eastAsia" w:asciiTheme="minorEastAsia" w:hAnsiTheme="minorEastAsia" w:eastAsiaTheme="minorEastAsia" w:cstheme="minorEastAsia"/>
          <w:color w:val="auto"/>
          <w:szCs w:val="28"/>
          <w:highlight w:val="none"/>
        </w:rPr>
        <w:t>外200m。</w:t>
      </w:r>
    </w:p>
    <w:p w14:paraId="1F41D8DF">
      <w:pPr>
        <w:pStyle w:val="7"/>
        <w:keepNext w:val="0"/>
        <w:keepLines w:val="0"/>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bookmarkStart w:id="275" w:name="_Toc23837"/>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.6环境风险</w:t>
      </w:r>
      <w:bookmarkEnd w:id="275"/>
    </w:p>
    <w:p w14:paraId="423577F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Theme="minorEastAsia"/>
          <w:color w:val="auto"/>
          <w:highlight w:val="none"/>
          <w:lang w:val="en-US" w:eastAsia="zh-CN"/>
        </w:rPr>
      </w:pPr>
      <w:r>
        <w:rPr>
          <w:rFonts w:hint="eastAsia" w:eastAsiaTheme="minorEastAsia"/>
          <w:color w:val="auto"/>
          <w:highlight w:val="none"/>
          <w:lang w:val="en-US" w:eastAsia="zh-CN"/>
        </w:rPr>
        <w:t>依据《建设项目环境影响评价技术导则 总纲》HJ2.1-2016中：“6.3.6对存在环境风险的建设项目，应分析环境风险源项，计算环境风险后果，开展环境风险评价。对存在较大潜在人群健康风险的建设项目，应分析人群主要暴露途径。”</w:t>
      </w:r>
    </w:p>
    <w:p w14:paraId="300D434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本项目为</w:t>
      </w:r>
      <w:r>
        <w:rPr>
          <w:rFonts w:hint="eastAsia" w:ascii="Times New Roman" w:hAnsi="宋体" w:eastAsia="宋体" w:cs="Times New Roman"/>
          <w:color w:val="auto"/>
          <w:kern w:val="0"/>
          <w:sz w:val="24"/>
          <w:szCs w:val="24"/>
          <w:highlight w:val="none"/>
          <w:lang w:val="en-US" w:eastAsia="zh-CN"/>
        </w:rPr>
        <w:t>灰渣回填复垦利用项目</w:t>
      </w:r>
      <w:r>
        <w:rPr>
          <w:rFonts w:hint="eastAsia" w:ascii="Times New Roman" w:hAnsi="宋体" w:cs="Times New Roman"/>
          <w:color w:val="auto"/>
          <w:kern w:val="0"/>
          <w:sz w:val="24"/>
          <w:szCs w:val="24"/>
          <w:highlight w:val="none"/>
          <w:lang w:val="en-US" w:eastAsia="zh-CN"/>
        </w:rPr>
        <w:t>，对</w:t>
      </w:r>
      <w:r>
        <w:rPr>
          <w:rFonts w:hint="eastAsia" w:asciiTheme="minorEastAsia" w:hAnsiTheme="minorEastAsia" w:eastAsiaTheme="minorEastAsia" w:cstheme="minorEastAsia"/>
          <w:color w:val="auto"/>
          <w:szCs w:val="24"/>
          <w:highlight w:val="none"/>
        </w:rPr>
        <w:t>采砂坑</w:t>
      </w:r>
      <w:r>
        <w:rPr>
          <w:rFonts w:hint="eastAsia" w:ascii="Times New Roman" w:hAnsi="宋体" w:cs="Times New Roman"/>
          <w:color w:val="auto"/>
          <w:kern w:val="0"/>
          <w:sz w:val="24"/>
          <w:szCs w:val="24"/>
          <w:highlight w:val="none"/>
          <w:lang w:val="en-US" w:eastAsia="zh-CN"/>
        </w:rPr>
        <w:t>进行</w:t>
      </w:r>
      <w:r>
        <w:rPr>
          <w:rFonts w:hint="eastAsia" w:asciiTheme="minorEastAsia" w:hAnsiTheme="minorEastAsia" w:eastAsiaTheme="minorEastAsia" w:cstheme="minorEastAsia"/>
          <w:color w:val="auto"/>
          <w:highlight w:val="none"/>
          <w:lang w:val="en-US" w:eastAsia="zh-CN"/>
        </w:rPr>
        <w:t>生态修复，灰渣浸出液检测结果，关注的铅、铬、镉、铜、镍、锌等重金属均未检出，各项监测指标满足《土壤环境质量 农用地土壤污染风险管控标准（试行）》（GB 15618-2018 ）表1 农用地土壤污染风险筛选值（基本项目）要求，不属于《建设项目环境风险评价技术导则》（HJ169-2018）中规定的环境风险物质，无风险源。</w:t>
      </w:r>
    </w:p>
    <w:p w14:paraId="77DFEE7A">
      <w:pPr>
        <w:widowControl/>
        <w:spacing w:line="360" w:lineRule="auto"/>
        <w:ind w:left="147" w:firstLine="482"/>
        <w:jc w:val="left"/>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同时企业已编制</w:t>
      </w:r>
      <w:r>
        <w:rPr>
          <w:rFonts w:hint="eastAsia" w:asciiTheme="minorEastAsia" w:hAnsiTheme="minorEastAsia" w:eastAsiaTheme="minorEastAsia" w:cstheme="minorEastAsia"/>
          <w:color w:val="auto"/>
          <w:highlight w:val="none"/>
        </w:rPr>
        <w:t>《</w:t>
      </w:r>
      <w:r>
        <w:rPr>
          <w:rFonts w:hint="eastAsia" w:ascii="Times New Roman" w:hAnsi="宋体" w:eastAsia="宋体" w:cs="Times New Roman"/>
          <w:color w:val="auto"/>
          <w:kern w:val="0"/>
          <w:sz w:val="24"/>
          <w:szCs w:val="24"/>
          <w:highlight w:val="none"/>
          <w:lang w:val="en-US" w:eastAsia="zh-CN"/>
        </w:rPr>
        <w:t>黑龙江嘉龙环保科技有限公司灰渣回填复垦利用项目</w:t>
      </w:r>
      <w:r>
        <w:rPr>
          <w:rFonts w:hint="eastAsia" w:asciiTheme="minorEastAsia" w:hAnsiTheme="minorEastAsia" w:eastAsiaTheme="minorEastAsia" w:cstheme="minorEastAsia"/>
          <w:color w:val="auto"/>
          <w:spacing w:val="-3"/>
          <w:szCs w:val="24"/>
          <w:highlight w:val="none"/>
        </w:rPr>
        <w:t>风险评估报告》，并通过专家评审</w:t>
      </w:r>
      <w:r>
        <w:rPr>
          <w:rFonts w:hint="eastAsia" w:asciiTheme="minorEastAsia" w:hAnsiTheme="minorEastAsia" w:eastAsiaTheme="minorEastAsia" w:cstheme="minorEastAsia"/>
          <w:color w:val="auto"/>
          <w:spacing w:val="-3"/>
          <w:szCs w:val="24"/>
          <w:highlight w:val="none"/>
          <w:lang w:eastAsia="zh-CN"/>
        </w:rPr>
        <w:t>。</w:t>
      </w:r>
      <w:r>
        <w:rPr>
          <w:rFonts w:hint="eastAsia" w:asciiTheme="minorEastAsia" w:hAnsiTheme="minorEastAsia" w:eastAsiaTheme="minorEastAsia" w:cstheme="minorEastAsia"/>
          <w:color w:val="auto"/>
          <w:spacing w:val="-3"/>
          <w:szCs w:val="24"/>
          <w:highlight w:val="none"/>
          <w:lang w:val="en-US" w:eastAsia="zh-CN"/>
        </w:rPr>
        <w:t>依据该风险评估报告可知：</w:t>
      </w:r>
      <w:r>
        <w:rPr>
          <w:rFonts w:hint="eastAsia" w:asciiTheme="minorEastAsia" w:hAnsiTheme="minorEastAsia" w:eastAsiaTheme="minorEastAsia" w:cstheme="minorEastAsia"/>
          <w:color w:val="auto"/>
          <w:szCs w:val="24"/>
          <w:highlight w:val="none"/>
          <w:u w:val="single"/>
          <w:lang w:val="en-US" w:eastAsia="zh-CN"/>
        </w:rPr>
        <w:t>①</w:t>
      </w:r>
      <w:r>
        <w:rPr>
          <w:rFonts w:hint="eastAsia" w:asciiTheme="minorEastAsia" w:hAnsiTheme="minorEastAsia" w:eastAsiaTheme="minorEastAsia" w:cstheme="minorEastAsia"/>
          <w:color w:val="auto"/>
          <w:sz w:val="24"/>
          <w:szCs w:val="22"/>
          <w:highlight w:val="none"/>
          <w:lang w:val="en-US" w:eastAsia="zh-CN" w:bidi="ar-SA"/>
        </w:rPr>
        <w:t>灰渣浸出液中任何一种污染物的浓度均未超过《污水综合排放标准》（GB 8978-1996）中最高允许排放浓度，且pH值在6-9范围之内，因此</w:t>
      </w:r>
      <w:r>
        <w:rPr>
          <w:rFonts w:hint="eastAsia" w:asciiTheme="minorEastAsia" w:hAnsiTheme="minorEastAsia" w:eastAsiaTheme="minorEastAsia" w:cstheme="minorEastAsia"/>
          <w:color w:val="auto"/>
          <w:spacing w:val="2"/>
          <w:szCs w:val="24"/>
          <w:highlight w:val="none"/>
          <w:lang w:val="en-US" w:eastAsia="zh-CN"/>
        </w:rPr>
        <w:t>本项目使用的</w:t>
      </w:r>
      <w:r>
        <w:rPr>
          <w:rFonts w:hint="eastAsia" w:asciiTheme="minorEastAsia" w:hAnsiTheme="minorEastAsia" w:eastAsiaTheme="minorEastAsia" w:cstheme="minorEastAsia"/>
          <w:color w:val="auto"/>
          <w:szCs w:val="24"/>
          <w:highlight w:val="none"/>
        </w:rPr>
        <w:t>灰渣</w:t>
      </w:r>
      <w:r>
        <w:rPr>
          <w:rFonts w:hint="eastAsia" w:asciiTheme="minorEastAsia" w:hAnsiTheme="minorEastAsia" w:eastAsiaTheme="minorEastAsia" w:cstheme="minorEastAsia"/>
          <w:color w:val="auto"/>
          <w:highlight w:val="none"/>
          <w:shd w:val="clear" w:color="auto" w:fill="FFFFFF"/>
        </w:rPr>
        <w:t>属于“</w:t>
      </w:r>
      <w:r>
        <w:rPr>
          <w:rFonts w:hint="eastAsia" w:asciiTheme="minorEastAsia" w:hAnsiTheme="minorEastAsia" w:eastAsiaTheme="minorEastAsia" w:cstheme="minorEastAsia"/>
          <w:color w:val="auto"/>
          <w:kern w:val="2"/>
          <w:szCs w:val="22"/>
          <w:highlight w:val="none"/>
          <w:lang w:bidi="ar"/>
        </w:rPr>
        <w:t>第I类一般工业固体废物</w:t>
      </w:r>
      <w:r>
        <w:rPr>
          <w:rFonts w:hint="eastAsia" w:asciiTheme="minorEastAsia" w:hAnsiTheme="minorEastAsia" w:eastAsiaTheme="minorEastAsia" w:cstheme="minorEastAsia"/>
          <w:color w:val="auto"/>
          <w:highlight w:val="none"/>
          <w:shd w:val="clear" w:color="auto" w:fill="FFFFFF"/>
        </w:rPr>
        <w:t>”</w:t>
      </w:r>
      <w:r>
        <w:rPr>
          <w:rFonts w:hint="eastAsia" w:asciiTheme="minorEastAsia" w:hAnsiTheme="minorEastAsia" w:eastAsiaTheme="minorEastAsia" w:cstheme="minorEastAsia"/>
          <w:color w:val="auto"/>
          <w:kern w:val="2"/>
          <w:szCs w:val="22"/>
          <w:highlight w:val="none"/>
          <w:lang w:bidi="ar"/>
        </w:rPr>
        <w:t>，且有机质含量小于2%；水溶性盐总量小于2%</w:t>
      </w:r>
      <w:r>
        <w:rPr>
          <w:rFonts w:hint="eastAsia" w:asciiTheme="minorEastAsia" w:hAnsiTheme="minorEastAsia" w:eastAsiaTheme="minorEastAsia" w:cstheme="minorEastAsia"/>
          <w:color w:val="auto"/>
          <w:kern w:val="2"/>
          <w:szCs w:val="22"/>
          <w:highlight w:val="none"/>
          <w:lang w:eastAsia="zh-CN" w:bidi="ar"/>
        </w:rPr>
        <w:t>，</w:t>
      </w:r>
      <w:r>
        <w:rPr>
          <w:rFonts w:hint="eastAsia" w:asciiTheme="minorEastAsia" w:hAnsiTheme="minorEastAsia" w:eastAsiaTheme="minorEastAsia" w:cstheme="minorEastAsia"/>
          <w:color w:val="auto"/>
          <w:kern w:val="2"/>
          <w:szCs w:val="22"/>
          <w:highlight w:val="none"/>
          <w:lang w:bidi="ar"/>
        </w:rPr>
        <w:t>满足《一般工业固体废物贮存和填埋污染控制标准》中充填及回填利用</w:t>
      </w:r>
      <w:r>
        <w:rPr>
          <w:rFonts w:hint="eastAsia" w:asciiTheme="minorEastAsia" w:hAnsiTheme="minorEastAsia" w:eastAsiaTheme="minorEastAsia" w:cstheme="minorEastAsia"/>
          <w:color w:val="auto"/>
          <w:kern w:val="2"/>
          <w:szCs w:val="22"/>
          <w:highlight w:val="none"/>
          <w:lang w:eastAsia="zh-CN" w:bidi="ar"/>
        </w:rPr>
        <w:t>、</w:t>
      </w:r>
      <w:r>
        <w:rPr>
          <w:rFonts w:hint="eastAsia" w:asciiTheme="minorEastAsia" w:hAnsiTheme="minorEastAsia" w:eastAsiaTheme="minorEastAsia" w:cstheme="minorEastAsia"/>
          <w:color w:val="auto"/>
          <w:kern w:val="2"/>
          <w:szCs w:val="22"/>
          <w:highlight w:val="none"/>
          <w:lang w:val="en-US" w:eastAsia="zh-CN" w:bidi="ar"/>
        </w:rPr>
        <w:t>封填及土地复垦</w:t>
      </w:r>
      <w:r>
        <w:rPr>
          <w:rFonts w:hint="eastAsia" w:asciiTheme="minorEastAsia" w:hAnsiTheme="minorEastAsia" w:eastAsiaTheme="minorEastAsia" w:cstheme="minorEastAsia"/>
          <w:color w:val="auto"/>
          <w:kern w:val="2"/>
          <w:szCs w:val="22"/>
          <w:highlight w:val="none"/>
          <w:lang w:bidi="ar"/>
        </w:rPr>
        <w:t>要求</w:t>
      </w:r>
      <w:r>
        <w:rPr>
          <w:rFonts w:hint="eastAsia" w:asciiTheme="minorEastAsia" w:hAnsiTheme="minorEastAsia" w:eastAsiaTheme="minorEastAsia" w:cstheme="minorEastAsia"/>
          <w:color w:val="auto"/>
          <w:kern w:val="2"/>
          <w:szCs w:val="22"/>
          <w:highlight w:val="none"/>
          <w:lang w:eastAsia="zh-CN" w:bidi="ar"/>
        </w:rPr>
        <w:t>；</w:t>
      </w:r>
      <w:r>
        <w:rPr>
          <w:rFonts w:hint="eastAsia" w:asciiTheme="minorEastAsia" w:hAnsiTheme="minorEastAsia" w:eastAsiaTheme="minorEastAsia" w:cstheme="minorEastAsia"/>
          <w:color w:val="auto"/>
          <w:kern w:val="2"/>
          <w:szCs w:val="22"/>
          <w:highlight w:val="none"/>
          <w:u w:val="single"/>
          <w:lang w:val="en-US" w:eastAsia="zh-CN" w:bidi="ar"/>
        </w:rPr>
        <w:t>②</w:t>
      </w:r>
      <w:r>
        <w:rPr>
          <w:rFonts w:hint="eastAsia" w:asciiTheme="minorEastAsia" w:hAnsiTheme="minorEastAsia" w:eastAsiaTheme="minorEastAsia" w:cstheme="minorEastAsia"/>
          <w:color w:val="auto"/>
          <w:kern w:val="0"/>
          <w:sz w:val="24"/>
          <w:highlight w:val="none"/>
          <w:lang w:val="en-US" w:eastAsia="zh-CN" w:bidi="ar"/>
        </w:rPr>
        <w:t>占地范围内各监测点位各监测因子监测结果均未超过《建设用地土壤污染风险管控标准（试行）》（GB36600-2018）中第二类用地筛选值标准限值</w:t>
      </w:r>
      <w:r>
        <w:rPr>
          <w:rFonts w:hint="eastAsia" w:asciiTheme="minorEastAsia" w:hAnsiTheme="minorEastAsia" w:eastAsiaTheme="minorEastAsia" w:cstheme="minorEastAsia"/>
          <w:color w:val="auto"/>
          <w:kern w:val="0"/>
          <w:sz w:val="24"/>
          <w:highlight w:val="none"/>
          <w:lang w:bidi="ar"/>
        </w:rPr>
        <w:t>，</w:t>
      </w:r>
      <w:r>
        <w:rPr>
          <w:rFonts w:hint="eastAsia" w:asciiTheme="minorEastAsia" w:hAnsiTheme="minorEastAsia" w:eastAsiaTheme="minorEastAsia" w:cstheme="minorEastAsia"/>
          <w:color w:val="auto"/>
          <w:kern w:val="0"/>
          <w:sz w:val="24"/>
          <w:highlight w:val="none"/>
          <w:lang w:val="en-US" w:eastAsia="zh-CN" w:bidi="ar"/>
        </w:rPr>
        <w:t>占地范围外各监测点位各监测因子监测结果均未超过</w:t>
      </w:r>
      <w:r>
        <w:rPr>
          <w:rFonts w:hint="eastAsia" w:asciiTheme="minorEastAsia" w:hAnsiTheme="minorEastAsia" w:eastAsiaTheme="minorEastAsia" w:cstheme="minorEastAsia"/>
          <w:color w:val="auto"/>
          <w:kern w:val="0"/>
          <w:sz w:val="24"/>
          <w:highlight w:val="none"/>
          <w:lang w:bidi="ar"/>
        </w:rPr>
        <w:t>《土壤环境质量 农用地土壤污染风险管控标准（试行）》（GB15618-2018）表1 农用地土壤污染风险筛选值，</w:t>
      </w:r>
      <w:r>
        <w:rPr>
          <w:rFonts w:hint="eastAsia" w:asciiTheme="minorEastAsia" w:hAnsiTheme="minorEastAsia" w:eastAsiaTheme="minorEastAsia" w:cstheme="minorEastAsia"/>
          <w:color w:val="auto"/>
          <w:kern w:val="0"/>
          <w:sz w:val="24"/>
          <w:highlight w:val="none"/>
          <w:lang w:val="en-US" w:eastAsia="zh-CN" w:bidi="ar"/>
        </w:rPr>
        <w:t>因此，</w:t>
      </w:r>
      <w:r>
        <w:rPr>
          <w:rFonts w:hint="eastAsia" w:asciiTheme="minorEastAsia" w:hAnsiTheme="minorEastAsia" w:eastAsiaTheme="minorEastAsia" w:cstheme="minorEastAsia"/>
          <w:color w:val="auto"/>
          <w:kern w:val="0"/>
          <w:sz w:val="24"/>
          <w:highlight w:val="none"/>
          <w:lang w:bidi="ar"/>
        </w:rPr>
        <w:t>评价区整体及各样点土壤中各监测因子含量基本属自然本底状态，没有受到人为活动污染。</w:t>
      </w:r>
      <w:r>
        <w:rPr>
          <w:rFonts w:hint="eastAsia" w:asciiTheme="minorEastAsia" w:hAnsiTheme="minorEastAsia" w:eastAsiaTheme="minorEastAsia" w:cstheme="minorEastAsia"/>
          <w:color w:val="auto"/>
          <w:kern w:val="0"/>
          <w:sz w:val="24"/>
          <w:highlight w:val="none"/>
          <w:lang w:val="en-US" w:eastAsia="zh-CN" w:bidi="ar"/>
        </w:rPr>
        <w:t>地下水</w:t>
      </w:r>
      <w:r>
        <w:rPr>
          <w:rFonts w:hint="eastAsia" w:asciiTheme="minorEastAsia" w:hAnsiTheme="minorEastAsia" w:eastAsiaTheme="minorEastAsia" w:cstheme="minorEastAsia"/>
          <w:color w:val="auto"/>
          <w:kern w:val="0"/>
          <w:sz w:val="24"/>
          <w:highlight w:val="none"/>
          <w:lang w:bidi="ar"/>
        </w:rPr>
        <w:t>各监测点位监测因子均能满足《地下水质量标准》（GB/T14848-2017）中III类标准</w:t>
      </w:r>
      <w:r>
        <w:rPr>
          <w:rFonts w:hint="eastAsia" w:asciiTheme="minorEastAsia" w:hAnsiTheme="minorEastAsia" w:eastAsiaTheme="minorEastAsia" w:cstheme="minorEastAsia"/>
          <w:color w:val="auto"/>
          <w:kern w:val="0"/>
          <w:sz w:val="24"/>
          <w:highlight w:val="none"/>
          <w:lang w:val="en-US" w:eastAsia="zh-CN" w:bidi="ar"/>
        </w:rPr>
        <w:t>。</w:t>
      </w:r>
      <w:r>
        <w:rPr>
          <w:rFonts w:hint="eastAsia" w:asciiTheme="minorEastAsia" w:hAnsiTheme="minorEastAsia" w:eastAsiaTheme="minorEastAsia" w:cstheme="minorEastAsia"/>
          <w:color w:val="auto"/>
          <w:highlight w:val="none"/>
          <w:lang w:val="en-US" w:eastAsia="zh-CN"/>
        </w:rPr>
        <w:t>项目地块土壤、地下水中不存在超筛选值的污染物，项目地块不属于污染地块，无需要启动土壤、地下水污染风险评估程序，</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lang w:val="en-US" w:eastAsia="zh-CN"/>
        </w:rPr>
        <w:t>土壤、地下水环境污染风险可接受；</w:t>
      </w:r>
      <w:r>
        <w:rPr>
          <w:rFonts w:hint="eastAsia" w:asciiTheme="minorEastAsia" w:hAnsiTheme="minorEastAsia" w:eastAsiaTheme="minorEastAsia" w:cstheme="minorEastAsia"/>
          <w:color w:val="auto"/>
          <w:highlight w:val="none"/>
          <w:u w:val="single"/>
          <w:lang w:val="en-US" w:eastAsia="zh-CN"/>
        </w:rPr>
        <w:t>③</w:t>
      </w:r>
      <w:r>
        <w:rPr>
          <w:rFonts w:hint="eastAsia" w:asciiTheme="minorEastAsia" w:hAnsiTheme="minorEastAsia" w:eastAsiaTheme="minorEastAsia" w:cstheme="minorEastAsia"/>
          <w:color w:val="auto"/>
          <w:szCs w:val="24"/>
          <w:highlight w:val="none"/>
          <w:lang w:val="en-US" w:eastAsia="zh-CN"/>
        </w:rPr>
        <w:t>项目</w:t>
      </w:r>
      <w:r>
        <w:rPr>
          <w:rFonts w:hint="eastAsia" w:asciiTheme="minorEastAsia" w:hAnsiTheme="minorEastAsia" w:eastAsiaTheme="minorEastAsia" w:cstheme="minorEastAsia"/>
          <w:color w:val="auto"/>
          <w:szCs w:val="24"/>
          <w:highlight w:val="none"/>
        </w:rPr>
        <w:t>灰渣土壤指标中不存在超筛选值的污染物，回填复垦无需要启动土壤污染人体健康风险评估程序；灰渣浸出液不存在超筛选值的有毒有害污染物，回填复垦无需要启动地下水污染人体健康风险评估程序。评估结论为环境风险可以接受。</w:t>
      </w:r>
    </w:p>
    <w:p w14:paraId="3E304A1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因此本项目未开展环境风险评价。</w:t>
      </w:r>
    </w:p>
    <w:p w14:paraId="3571BB9F">
      <w:pPr>
        <w:pStyle w:val="7"/>
        <w:keepNext w:val="0"/>
        <w:keepLines w:val="0"/>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.7生态环境</w:t>
      </w:r>
    </w:p>
    <w:p w14:paraId="483BCEA5">
      <w:pPr>
        <w:pStyle w:val="1336"/>
        <w:widowControl w:val="0"/>
        <w:adjustRightInd/>
        <w:ind w:firstLine="482"/>
        <w:jc w:val="both"/>
        <w:rPr>
          <w:rFonts w:hint="eastAsia" w:asciiTheme="minorEastAsia" w:hAnsiTheme="minorEastAsia" w:eastAsiaTheme="minorEastAsia" w:cstheme="minorEastAsia"/>
          <w:bCs/>
          <w:color w:val="auto"/>
          <w:kern w:val="2"/>
          <w:szCs w:val="24"/>
          <w:highlight w:val="none"/>
        </w:rPr>
      </w:pPr>
      <w:r>
        <w:rPr>
          <w:rFonts w:hint="eastAsia" w:asciiTheme="minorEastAsia" w:hAnsiTheme="minorEastAsia" w:eastAsiaTheme="minorEastAsia" w:cstheme="minorEastAsia"/>
          <w:snapToGrid w:val="0"/>
          <w:color w:val="auto"/>
          <w:kern w:val="0"/>
          <w:highlight w:val="none"/>
        </w:rPr>
        <w:t>（1）</w:t>
      </w:r>
      <w:r>
        <w:rPr>
          <w:rFonts w:hint="eastAsia" w:asciiTheme="minorEastAsia" w:hAnsiTheme="minorEastAsia" w:eastAsiaTheme="minorEastAsia" w:cstheme="minorEastAsia"/>
          <w:bCs/>
          <w:color w:val="auto"/>
          <w:kern w:val="2"/>
          <w:szCs w:val="24"/>
          <w:highlight w:val="none"/>
        </w:rPr>
        <w:t>评价工作等级</w:t>
      </w:r>
    </w:p>
    <w:p w14:paraId="7EFC177E">
      <w:pPr>
        <w:pStyle w:val="1336"/>
        <w:widowControl w:val="0"/>
        <w:adjustRightInd/>
        <w:ind w:firstLine="482"/>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根据《环境影响评价技术导则—生态影响》（HJ19-2022）可知，依据建设项目影响区域的生态敏感性和影响程度，评价等级划分为一级、二级和三级，如下表所示。</w:t>
      </w:r>
    </w:p>
    <w:p w14:paraId="0E59D0E4">
      <w:pPr>
        <w:pStyle w:val="318"/>
        <w:widowControl w:val="0"/>
        <w:snapToGrid w:val="0"/>
        <w:spacing w:line="240" w:lineRule="auto"/>
        <w:ind w:firstLine="480"/>
        <w:rPr>
          <w:rFonts w:hint="eastAsia" w:asciiTheme="minorEastAsia" w:hAnsiTheme="minorEastAsia" w:eastAsiaTheme="minorEastAsia" w:cstheme="minorEastAsia"/>
          <w:b/>
          <w:color w:val="auto"/>
          <w:spacing w:val="0"/>
          <w:kern w:val="2"/>
          <w:sz w:val="24"/>
          <w:szCs w:val="24"/>
          <w:highlight w:val="none"/>
          <w:lang w:val="en-US" w:eastAsia="zh-CN" w:bidi="ar-SA"/>
        </w:rPr>
      </w:pPr>
      <w:r>
        <w:rPr>
          <w:rFonts w:hint="eastAsia" w:asciiTheme="minorEastAsia" w:hAnsiTheme="minorEastAsia" w:eastAsiaTheme="minorEastAsia" w:cstheme="minorEastAsia"/>
          <w:b/>
          <w:color w:val="auto"/>
          <w:spacing w:val="0"/>
          <w:kern w:val="2"/>
          <w:sz w:val="24"/>
          <w:szCs w:val="24"/>
          <w:highlight w:val="none"/>
          <w:lang w:val="en-US" w:eastAsia="zh-CN" w:bidi="ar-SA"/>
        </w:rPr>
        <w:t>表2.5-13  生态影响评价工作等级划分表</w:t>
      </w:r>
    </w:p>
    <w:tbl>
      <w:tblPr>
        <w:tblStyle w:val="84"/>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7"/>
        <w:gridCol w:w="4859"/>
        <w:gridCol w:w="2803"/>
      </w:tblGrid>
      <w:tr w14:paraId="629724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3" w:type="pct"/>
            <w:tcBorders>
              <w:tl2br w:val="nil"/>
              <w:tr2bl w:val="nil"/>
            </w:tcBorders>
            <w:vAlign w:val="center"/>
          </w:tcPr>
          <w:p w14:paraId="67FCAD4D">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评价工作等级</w:t>
            </w:r>
          </w:p>
        </w:tc>
        <w:tc>
          <w:tcPr>
            <w:tcW w:w="2851" w:type="pct"/>
            <w:tcBorders>
              <w:tl2br w:val="nil"/>
              <w:tr2bl w:val="nil"/>
            </w:tcBorders>
            <w:vAlign w:val="center"/>
          </w:tcPr>
          <w:p w14:paraId="585763D8">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评价原则</w:t>
            </w:r>
          </w:p>
        </w:tc>
        <w:tc>
          <w:tcPr>
            <w:tcW w:w="1644" w:type="pct"/>
            <w:tcBorders>
              <w:tl2br w:val="nil"/>
              <w:tr2bl w:val="nil"/>
            </w:tcBorders>
            <w:vAlign w:val="center"/>
          </w:tcPr>
          <w:p w14:paraId="5A06F33E">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本项目</w:t>
            </w:r>
          </w:p>
        </w:tc>
      </w:tr>
      <w:tr w14:paraId="7756AD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3" w:type="pct"/>
            <w:tcBorders>
              <w:tl2br w:val="nil"/>
              <w:tr2bl w:val="nil"/>
            </w:tcBorders>
            <w:vAlign w:val="center"/>
          </w:tcPr>
          <w:p w14:paraId="3FBA82E9">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一级</w:t>
            </w:r>
          </w:p>
        </w:tc>
        <w:tc>
          <w:tcPr>
            <w:tcW w:w="2851" w:type="pct"/>
            <w:tcBorders>
              <w:tl2br w:val="nil"/>
              <w:tr2bl w:val="nil"/>
            </w:tcBorders>
            <w:vAlign w:val="center"/>
          </w:tcPr>
          <w:p w14:paraId="5FEC49EF">
            <w:pPr>
              <w:keepNext w:val="0"/>
              <w:keepLines w:val="0"/>
              <w:widowControl w:val="0"/>
              <w:suppressLineNumbers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涉及国家公园、自然保护区、世界自然遗产、重要生境时，评价等级为一级</w:t>
            </w:r>
          </w:p>
        </w:tc>
        <w:tc>
          <w:tcPr>
            <w:tcW w:w="1644" w:type="pct"/>
            <w:tcBorders>
              <w:tl2br w:val="nil"/>
              <w:tr2bl w:val="nil"/>
            </w:tcBorders>
            <w:vAlign w:val="center"/>
          </w:tcPr>
          <w:p w14:paraId="79F08537">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不涉及；</w:t>
            </w:r>
          </w:p>
        </w:tc>
      </w:tr>
      <w:tr w14:paraId="013CA9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3" w:type="pct"/>
            <w:vMerge w:val="restart"/>
            <w:tcBorders>
              <w:tl2br w:val="nil"/>
              <w:tr2bl w:val="nil"/>
            </w:tcBorders>
            <w:vAlign w:val="center"/>
          </w:tcPr>
          <w:p w14:paraId="618646EC">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二级</w:t>
            </w:r>
          </w:p>
        </w:tc>
        <w:tc>
          <w:tcPr>
            <w:tcW w:w="2851" w:type="pct"/>
            <w:tcBorders>
              <w:tl2br w:val="nil"/>
              <w:tr2bl w:val="nil"/>
            </w:tcBorders>
            <w:vAlign w:val="center"/>
          </w:tcPr>
          <w:p w14:paraId="30C03927">
            <w:pPr>
              <w:keepNext w:val="0"/>
              <w:keepLines w:val="0"/>
              <w:widowControl w:val="0"/>
              <w:suppressLineNumbers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1、涉及自然公园时，评价等级为二级；</w:t>
            </w:r>
          </w:p>
        </w:tc>
        <w:tc>
          <w:tcPr>
            <w:tcW w:w="1644" w:type="pct"/>
            <w:tcBorders>
              <w:tl2br w:val="nil"/>
              <w:tr2bl w:val="nil"/>
            </w:tcBorders>
            <w:vAlign w:val="center"/>
          </w:tcPr>
          <w:p w14:paraId="62D4E087">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snapToGrid w:val="0"/>
                <w:color w:val="auto"/>
                <w:sz w:val="21"/>
                <w:szCs w:val="21"/>
                <w:highlight w:val="none"/>
                <w:lang w:val="en-US" w:eastAsia="zh-CN"/>
              </w:rPr>
              <w:t>不涉及；</w:t>
            </w:r>
          </w:p>
        </w:tc>
      </w:tr>
      <w:tr w14:paraId="7860B9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3" w:type="pct"/>
            <w:vMerge w:val="continue"/>
            <w:tcBorders>
              <w:tl2br w:val="nil"/>
              <w:tr2bl w:val="nil"/>
            </w:tcBorders>
            <w:vAlign w:val="center"/>
          </w:tcPr>
          <w:p w14:paraId="1BD38782">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51" w:type="pct"/>
            <w:tcBorders>
              <w:tl2br w:val="nil"/>
              <w:tr2bl w:val="nil"/>
            </w:tcBorders>
            <w:vAlign w:val="center"/>
          </w:tcPr>
          <w:p w14:paraId="54E07740">
            <w:pPr>
              <w:keepNext w:val="0"/>
              <w:keepLines w:val="0"/>
              <w:widowControl w:val="0"/>
              <w:suppressLineNumbers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2、涉及生态保护红线时，评价等级不低于二级；</w:t>
            </w:r>
          </w:p>
        </w:tc>
        <w:tc>
          <w:tcPr>
            <w:tcW w:w="1644" w:type="pct"/>
            <w:tcBorders>
              <w:tl2br w:val="nil"/>
              <w:tr2bl w:val="nil"/>
            </w:tcBorders>
            <w:vAlign w:val="center"/>
          </w:tcPr>
          <w:p w14:paraId="4F2A72DB">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snapToGrid w:val="0"/>
                <w:color w:val="auto"/>
                <w:sz w:val="21"/>
                <w:szCs w:val="21"/>
                <w:highlight w:val="none"/>
              </w:rPr>
            </w:pPr>
            <w:r>
              <w:rPr>
                <w:rFonts w:hint="eastAsia" w:asciiTheme="minorEastAsia" w:hAnsiTheme="minorEastAsia" w:eastAsiaTheme="minorEastAsia" w:cstheme="minorEastAsia"/>
                <w:snapToGrid w:val="0"/>
                <w:color w:val="auto"/>
                <w:sz w:val="21"/>
                <w:szCs w:val="21"/>
                <w:highlight w:val="none"/>
                <w:lang w:val="en-US" w:eastAsia="zh-CN"/>
              </w:rPr>
              <w:t>不涉及生态保护红线；</w:t>
            </w:r>
          </w:p>
        </w:tc>
      </w:tr>
      <w:tr w14:paraId="31EEC6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3" w:type="pct"/>
            <w:vMerge w:val="continue"/>
            <w:tcBorders>
              <w:tl2br w:val="nil"/>
              <w:tr2bl w:val="nil"/>
            </w:tcBorders>
            <w:vAlign w:val="center"/>
          </w:tcPr>
          <w:p w14:paraId="58E40056">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51" w:type="pct"/>
            <w:tcBorders>
              <w:tl2br w:val="nil"/>
              <w:tr2bl w:val="nil"/>
            </w:tcBorders>
            <w:vAlign w:val="center"/>
          </w:tcPr>
          <w:p w14:paraId="48572B12">
            <w:pPr>
              <w:keepNext w:val="0"/>
              <w:keepLines w:val="0"/>
              <w:widowControl w:val="0"/>
              <w:suppressLineNumbers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3、根据HJ2.3判断属于水文要素影响型且地表水评价等级不低于二级的建设项目，生态影响评价等级不低于二级；</w:t>
            </w:r>
          </w:p>
        </w:tc>
        <w:tc>
          <w:tcPr>
            <w:tcW w:w="1644" w:type="pct"/>
            <w:tcBorders>
              <w:tl2br w:val="nil"/>
              <w:tr2bl w:val="nil"/>
            </w:tcBorders>
            <w:vAlign w:val="center"/>
          </w:tcPr>
          <w:p w14:paraId="74AD4EC4">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snapToGrid w:val="0"/>
                <w:color w:val="auto"/>
                <w:sz w:val="21"/>
                <w:szCs w:val="21"/>
                <w:highlight w:val="none"/>
                <w:lang w:val="en-US" w:eastAsia="zh-CN"/>
              </w:rPr>
            </w:pPr>
            <w:r>
              <w:rPr>
                <w:rFonts w:hint="eastAsia" w:asciiTheme="minorEastAsia" w:hAnsiTheme="minorEastAsia" w:eastAsiaTheme="minorEastAsia" w:cstheme="minorEastAsia"/>
                <w:snapToGrid w:val="0"/>
                <w:color w:val="auto"/>
                <w:sz w:val="21"/>
                <w:szCs w:val="21"/>
                <w:highlight w:val="none"/>
                <w:lang w:val="en-US" w:eastAsia="zh-CN"/>
              </w:rPr>
              <w:t>本项目为</w:t>
            </w:r>
            <w:r>
              <w:rPr>
                <w:rFonts w:hint="eastAsia" w:ascii="Times New Roman"/>
                <w:color w:val="auto"/>
                <w:highlight w:val="none"/>
                <w:lang w:val="en-US" w:eastAsia="zh-CN"/>
              </w:rPr>
              <w:t>采砂坑</w:t>
            </w:r>
            <w:r>
              <w:rPr>
                <w:rFonts w:hint="eastAsia" w:asciiTheme="minorEastAsia" w:hAnsiTheme="minorEastAsia" w:eastAsiaTheme="minorEastAsia" w:cstheme="minorEastAsia"/>
                <w:snapToGrid w:val="0"/>
                <w:color w:val="auto"/>
                <w:sz w:val="21"/>
                <w:szCs w:val="21"/>
                <w:highlight w:val="none"/>
                <w:lang w:val="en-US" w:eastAsia="zh-CN"/>
              </w:rPr>
              <w:t>修复项目，</w:t>
            </w:r>
          </w:p>
          <w:p w14:paraId="25375CAA">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snapToGrid w:val="0"/>
                <w:color w:val="auto"/>
                <w:sz w:val="21"/>
                <w:szCs w:val="21"/>
                <w:highlight w:val="none"/>
              </w:rPr>
            </w:pPr>
            <w:r>
              <w:rPr>
                <w:rFonts w:hint="eastAsia" w:asciiTheme="minorEastAsia" w:hAnsiTheme="minorEastAsia" w:eastAsiaTheme="minorEastAsia" w:cstheme="minorEastAsia"/>
                <w:snapToGrid w:val="0"/>
                <w:color w:val="auto"/>
                <w:sz w:val="21"/>
                <w:szCs w:val="21"/>
                <w:highlight w:val="none"/>
                <w:lang w:val="en-US" w:eastAsia="zh-CN"/>
              </w:rPr>
              <w:t>非水文要素影响型项目；</w:t>
            </w:r>
          </w:p>
        </w:tc>
      </w:tr>
      <w:tr w14:paraId="5B8CF9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3" w:type="pct"/>
            <w:vMerge w:val="continue"/>
            <w:tcBorders>
              <w:tl2br w:val="nil"/>
              <w:tr2bl w:val="nil"/>
            </w:tcBorders>
            <w:vAlign w:val="center"/>
          </w:tcPr>
          <w:p w14:paraId="7BF1493D">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51" w:type="pct"/>
            <w:tcBorders>
              <w:tl2br w:val="nil"/>
              <w:tr2bl w:val="nil"/>
            </w:tcBorders>
            <w:vAlign w:val="center"/>
          </w:tcPr>
          <w:p w14:paraId="79D0046D">
            <w:pPr>
              <w:keepNext w:val="0"/>
              <w:keepLines w:val="0"/>
              <w:widowControl w:val="0"/>
              <w:suppressLineNumbers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4、根据HJ610、HJ964判断地下水水位或土壤影响范围内分布有天然林、公益林、湿地等生态保护目标的建设项目，生态影响评价等级不低于二级；</w:t>
            </w:r>
          </w:p>
        </w:tc>
        <w:tc>
          <w:tcPr>
            <w:tcW w:w="1644" w:type="pct"/>
            <w:tcBorders>
              <w:tl2br w:val="nil"/>
              <w:tr2bl w:val="nil"/>
            </w:tcBorders>
            <w:vAlign w:val="center"/>
          </w:tcPr>
          <w:p w14:paraId="2B4D581F">
            <w:pPr>
              <w:pStyle w:val="152"/>
              <w:keepNext w:val="0"/>
              <w:keepLines w:val="0"/>
              <w:suppressLineNumbers w:val="0"/>
              <w:spacing w:before="0" w:beforeAutospacing="0" w:after="0" w:afterAutospacing="0"/>
              <w:ind w:left="0" w:leftChars="0" w:right="0" w:firstLine="0" w:firstLineChars="0"/>
              <w:jc w:val="center"/>
              <w:rPr>
                <w:rFonts w:hint="eastAsia" w:asciiTheme="minorEastAsia" w:hAnsiTheme="minorEastAsia" w:eastAsiaTheme="minorEastAsia" w:cstheme="minorEastAsia"/>
                <w:snapToGrid w:val="0"/>
                <w:color w:val="auto"/>
                <w:sz w:val="21"/>
                <w:szCs w:val="21"/>
                <w:highlight w:val="none"/>
                <w:lang w:eastAsia="zh-CN"/>
              </w:rPr>
            </w:pPr>
            <w:r>
              <w:rPr>
                <w:rFonts w:hint="eastAsia" w:asciiTheme="minorEastAsia" w:hAnsiTheme="minorEastAsia" w:eastAsiaTheme="minorEastAsia" w:cstheme="minorEastAsia"/>
                <w:snapToGrid w:val="0"/>
                <w:color w:val="auto"/>
                <w:sz w:val="21"/>
                <w:szCs w:val="21"/>
                <w:highlight w:val="none"/>
              </w:rPr>
              <w:t>地下水水位或土壤影响范围内</w:t>
            </w:r>
            <w:r>
              <w:rPr>
                <w:rFonts w:hint="eastAsia" w:asciiTheme="minorEastAsia" w:hAnsiTheme="minorEastAsia" w:eastAsiaTheme="minorEastAsia" w:cstheme="minorEastAsia"/>
                <w:snapToGrid w:val="0"/>
                <w:color w:val="auto"/>
                <w:sz w:val="21"/>
                <w:szCs w:val="21"/>
                <w:highlight w:val="none"/>
                <w:lang w:val="en-US" w:eastAsia="zh-CN"/>
              </w:rPr>
              <w:t>无</w:t>
            </w:r>
            <w:r>
              <w:rPr>
                <w:rFonts w:hint="eastAsia" w:asciiTheme="minorEastAsia" w:hAnsiTheme="minorEastAsia" w:eastAsiaTheme="minorEastAsia" w:cstheme="minorEastAsia"/>
                <w:snapToGrid w:val="0"/>
                <w:color w:val="auto"/>
                <w:sz w:val="21"/>
                <w:szCs w:val="21"/>
                <w:highlight w:val="none"/>
              </w:rPr>
              <w:t>天然林、公益林、湿地</w:t>
            </w:r>
            <w:r>
              <w:rPr>
                <w:rFonts w:hint="eastAsia" w:asciiTheme="minorEastAsia" w:hAnsiTheme="minorEastAsia" w:eastAsiaTheme="minorEastAsia" w:cstheme="minorEastAsia"/>
                <w:snapToGrid w:val="0"/>
                <w:color w:val="auto"/>
                <w:sz w:val="21"/>
                <w:szCs w:val="21"/>
                <w:highlight w:val="none"/>
                <w:lang w:eastAsia="zh-CN"/>
              </w:rPr>
              <w:t>；</w:t>
            </w:r>
          </w:p>
        </w:tc>
      </w:tr>
      <w:tr w14:paraId="201589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3" w:type="pct"/>
            <w:vMerge w:val="continue"/>
            <w:tcBorders>
              <w:tl2br w:val="nil"/>
              <w:tr2bl w:val="nil"/>
            </w:tcBorders>
            <w:vAlign w:val="center"/>
          </w:tcPr>
          <w:p w14:paraId="0AB4447F">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51" w:type="pct"/>
            <w:tcBorders>
              <w:tl2br w:val="nil"/>
              <w:tr2bl w:val="nil"/>
            </w:tcBorders>
            <w:vAlign w:val="center"/>
          </w:tcPr>
          <w:p w14:paraId="41C5FCFD">
            <w:pPr>
              <w:keepNext w:val="0"/>
              <w:keepLines w:val="0"/>
              <w:widowControl w:val="0"/>
              <w:suppressLineNumbers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5、当工程占地规模大于20km</w:t>
            </w:r>
            <w:r>
              <w:rPr>
                <w:rFonts w:hint="eastAsia" w:asciiTheme="minorEastAsia" w:hAnsiTheme="minorEastAsia" w:eastAsiaTheme="minorEastAsia" w:cstheme="minorEastAsia"/>
                <w:b w:val="0"/>
                <w:bCs w:val="0"/>
                <w:color w:val="auto"/>
                <w:sz w:val="21"/>
                <w:szCs w:val="21"/>
                <w:highlight w:val="none"/>
                <w:vertAlign w:val="superscript"/>
              </w:rPr>
              <w:t>2</w:t>
            </w:r>
            <w:r>
              <w:rPr>
                <w:rFonts w:hint="eastAsia" w:asciiTheme="minorEastAsia" w:hAnsiTheme="minorEastAsia" w:eastAsiaTheme="minorEastAsia" w:cstheme="minorEastAsia"/>
                <w:b w:val="0"/>
                <w:bCs w:val="0"/>
                <w:color w:val="auto"/>
                <w:sz w:val="21"/>
                <w:szCs w:val="21"/>
                <w:highlight w:val="none"/>
              </w:rPr>
              <w:t>时（包括永久和临时占用陆域和水域）。</w:t>
            </w:r>
          </w:p>
        </w:tc>
        <w:tc>
          <w:tcPr>
            <w:tcW w:w="1644" w:type="pct"/>
            <w:tcBorders>
              <w:tl2br w:val="nil"/>
              <w:tr2bl w:val="nil"/>
            </w:tcBorders>
            <w:vAlign w:val="center"/>
          </w:tcPr>
          <w:p w14:paraId="64EBD1FA">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snapToGrid w:val="0"/>
                <w:color w:val="auto"/>
                <w:sz w:val="21"/>
                <w:szCs w:val="21"/>
                <w:highlight w:val="none"/>
              </w:rPr>
            </w:pPr>
            <w:r>
              <w:rPr>
                <w:rFonts w:hint="eastAsia" w:asciiTheme="minorEastAsia" w:hAnsiTheme="minorEastAsia" w:eastAsiaTheme="minorEastAsia" w:cstheme="minorEastAsia"/>
                <w:snapToGrid w:val="0"/>
                <w:color w:val="auto"/>
                <w:sz w:val="21"/>
                <w:szCs w:val="21"/>
                <w:highlight w:val="none"/>
              </w:rPr>
              <w:t>本项目修复总面积</w:t>
            </w:r>
            <w:r>
              <w:rPr>
                <w:rFonts w:hint="eastAsia" w:asciiTheme="minorEastAsia" w:hAnsiTheme="minorEastAsia" w:eastAsiaTheme="minorEastAsia" w:cstheme="minorEastAsia"/>
                <w:color w:val="auto"/>
                <w:kern w:val="2"/>
                <w:sz w:val="21"/>
                <w:szCs w:val="21"/>
                <w:highlight w:val="none"/>
                <w:lang w:bidi="ar"/>
              </w:rPr>
              <w:t>0.0</w:t>
            </w:r>
            <w:r>
              <w:rPr>
                <w:rFonts w:hint="eastAsia" w:asciiTheme="minorEastAsia" w:hAnsiTheme="minorEastAsia" w:eastAsiaTheme="minorEastAsia" w:cstheme="minorEastAsia"/>
                <w:color w:val="auto"/>
                <w:kern w:val="2"/>
                <w:sz w:val="21"/>
                <w:szCs w:val="21"/>
                <w:highlight w:val="none"/>
                <w:lang w:val="en-US" w:eastAsia="zh-CN" w:bidi="ar"/>
              </w:rPr>
              <w:t>16</w:t>
            </w:r>
            <w:r>
              <w:rPr>
                <w:rFonts w:hint="eastAsia" w:asciiTheme="minorEastAsia" w:hAnsiTheme="minorEastAsia" w:eastAsiaTheme="minorEastAsia" w:cstheme="minorEastAsia"/>
                <w:color w:val="auto"/>
                <w:kern w:val="2"/>
                <w:sz w:val="21"/>
                <w:szCs w:val="21"/>
                <w:highlight w:val="none"/>
                <w:lang w:bidi="ar"/>
              </w:rPr>
              <w:t>km</w:t>
            </w:r>
            <w:r>
              <w:rPr>
                <w:rFonts w:hint="eastAsia" w:asciiTheme="minorEastAsia" w:hAnsiTheme="minorEastAsia" w:eastAsiaTheme="minorEastAsia" w:cstheme="minorEastAsia"/>
                <w:color w:val="auto"/>
                <w:kern w:val="2"/>
                <w:sz w:val="21"/>
                <w:szCs w:val="21"/>
                <w:highlight w:val="none"/>
                <w:vertAlign w:val="superscript"/>
                <w:lang w:bidi="ar"/>
              </w:rPr>
              <w:t>2</w:t>
            </w:r>
            <w:r>
              <w:rPr>
                <w:rFonts w:hint="eastAsia" w:asciiTheme="minorEastAsia" w:hAnsiTheme="minorEastAsia" w:eastAsiaTheme="minorEastAsia" w:cstheme="minorEastAsia"/>
                <w:snapToGrid w:val="0"/>
                <w:color w:val="auto"/>
                <w:sz w:val="21"/>
                <w:szCs w:val="21"/>
                <w:highlight w:val="none"/>
                <w:lang w:val="en-US" w:eastAsia="zh-CN"/>
              </w:rPr>
              <w:t>&lt;</w:t>
            </w:r>
            <w:r>
              <w:rPr>
                <w:rFonts w:hint="eastAsia" w:asciiTheme="minorEastAsia" w:hAnsiTheme="minorEastAsia" w:eastAsiaTheme="minorEastAsia" w:cstheme="minorEastAsia"/>
                <w:b w:val="0"/>
                <w:bCs w:val="0"/>
                <w:color w:val="auto"/>
                <w:sz w:val="21"/>
                <w:szCs w:val="21"/>
                <w:highlight w:val="none"/>
              </w:rPr>
              <w:t>20km</w:t>
            </w:r>
            <w:r>
              <w:rPr>
                <w:rFonts w:hint="eastAsia" w:asciiTheme="minorEastAsia" w:hAnsiTheme="minorEastAsia" w:eastAsiaTheme="minorEastAsia" w:cstheme="minorEastAsia"/>
                <w:b w:val="0"/>
                <w:bCs w:val="0"/>
                <w:color w:val="auto"/>
                <w:sz w:val="21"/>
                <w:szCs w:val="21"/>
                <w:highlight w:val="none"/>
                <w:vertAlign w:val="superscript"/>
              </w:rPr>
              <w:t>2</w:t>
            </w:r>
            <w:r>
              <w:rPr>
                <w:rFonts w:hint="eastAsia" w:asciiTheme="minorEastAsia" w:hAnsiTheme="minorEastAsia" w:eastAsiaTheme="minorEastAsia" w:cstheme="minorEastAsia"/>
                <w:snapToGrid w:val="0"/>
                <w:color w:val="auto"/>
                <w:sz w:val="21"/>
                <w:szCs w:val="21"/>
                <w:highlight w:val="none"/>
                <w:lang w:eastAsia="zh-CN"/>
              </w:rPr>
              <w:t>；</w:t>
            </w:r>
          </w:p>
        </w:tc>
      </w:tr>
      <w:tr w14:paraId="0CADCE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3" w:type="pct"/>
            <w:tcBorders>
              <w:tl2br w:val="nil"/>
              <w:tr2bl w:val="nil"/>
            </w:tcBorders>
            <w:vAlign w:val="center"/>
          </w:tcPr>
          <w:p w14:paraId="59338A17">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三级</w:t>
            </w:r>
          </w:p>
        </w:tc>
        <w:tc>
          <w:tcPr>
            <w:tcW w:w="2851" w:type="pct"/>
            <w:tcBorders>
              <w:tl2br w:val="nil"/>
              <w:tr2bl w:val="nil"/>
            </w:tcBorders>
            <w:vAlign w:val="center"/>
          </w:tcPr>
          <w:p w14:paraId="5C0F564C">
            <w:pPr>
              <w:keepNext w:val="0"/>
              <w:keepLines w:val="0"/>
              <w:widowControl w:val="0"/>
              <w:suppressLineNumbers w:val="0"/>
              <w:snapToGrid w:val="0"/>
              <w:spacing w:before="0" w:beforeAutospacing="0" w:after="0" w:afterAutospacing="0" w:line="240" w:lineRule="auto"/>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除以上条件外，评价等级为三级</w:t>
            </w:r>
          </w:p>
        </w:tc>
        <w:tc>
          <w:tcPr>
            <w:tcW w:w="1644" w:type="pct"/>
            <w:tcBorders>
              <w:tl2br w:val="nil"/>
              <w:tr2bl w:val="nil"/>
            </w:tcBorders>
            <w:vAlign w:val="center"/>
          </w:tcPr>
          <w:p w14:paraId="5C25290E">
            <w:pPr>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三级。</w:t>
            </w:r>
          </w:p>
        </w:tc>
      </w:tr>
    </w:tbl>
    <w:p w14:paraId="4BDE201E">
      <w:pPr>
        <w:keepNext w:val="0"/>
        <w:keepLines w:val="0"/>
        <w:pageBreakBefore w:val="0"/>
        <w:widowControl w:val="0"/>
        <w:kinsoku/>
        <w:wordWrap/>
        <w:overflowPunct/>
        <w:topLinePunct w:val="0"/>
        <w:autoSpaceDE/>
        <w:autoSpaceDN/>
        <w:bidi w:val="0"/>
        <w:adjustRightInd/>
        <w:snapToGrid w:val="0"/>
        <w:spacing w:line="360" w:lineRule="auto"/>
        <w:ind w:firstLine="480" w:firstLineChars="200"/>
        <w:jc w:val="both"/>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snapToGrid w:val="0"/>
          <w:color w:val="auto"/>
          <w:szCs w:val="24"/>
          <w:highlight w:val="none"/>
        </w:rPr>
        <w:t>本项目修复总面积为</w:t>
      </w:r>
      <w:r>
        <w:rPr>
          <w:rFonts w:hint="eastAsia" w:ascii="Times New Roman" w:hAnsi="Times New Roman" w:eastAsia="宋体" w:cs="Times New Roman"/>
          <w:color w:val="auto"/>
          <w:sz w:val="24"/>
          <w:szCs w:val="24"/>
          <w:highlight w:val="none"/>
        </w:rPr>
        <w:t>11296.10</w:t>
      </w:r>
      <w:r>
        <w:rPr>
          <w:rFonts w:hint="eastAsia" w:asciiTheme="minorEastAsia" w:hAnsiTheme="minorEastAsia" w:eastAsiaTheme="minorEastAsia" w:cstheme="minorEastAsia"/>
          <w:color w:val="auto"/>
          <w:sz w:val="24"/>
          <w:szCs w:val="24"/>
          <w:highlight w:val="none"/>
        </w:rPr>
        <w:t>m</w:t>
      </w:r>
      <w:r>
        <w:rPr>
          <w:rFonts w:hint="eastAsia" w:asciiTheme="minorEastAsia" w:hAnsiTheme="minorEastAsia" w:eastAsiaTheme="minorEastAsia" w:cstheme="minorEastAsia"/>
          <w:color w:val="auto"/>
          <w:sz w:val="24"/>
          <w:szCs w:val="24"/>
          <w:highlight w:val="none"/>
          <w:vertAlign w:val="superscript"/>
        </w:rPr>
        <w:t>2</w:t>
      </w:r>
      <w:r>
        <w:rPr>
          <w:rFonts w:hint="eastAsia" w:asciiTheme="minorEastAsia" w:hAnsiTheme="minorEastAsia" w:eastAsiaTheme="minorEastAsia" w:cstheme="minorEastAsia"/>
          <w:snapToGrid w:val="0"/>
          <w:color w:val="auto"/>
          <w:sz w:val="24"/>
          <w:szCs w:val="24"/>
          <w:highlight w:val="none"/>
        </w:rPr>
        <w:t>（</w:t>
      </w:r>
      <w:r>
        <w:rPr>
          <w:rFonts w:hint="eastAsia" w:asciiTheme="minorEastAsia" w:hAnsiTheme="minorEastAsia" w:eastAsiaTheme="minorEastAsia" w:cstheme="minorEastAsia"/>
          <w:color w:val="auto"/>
          <w:kern w:val="2"/>
          <w:sz w:val="24"/>
          <w:szCs w:val="24"/>
          <w:highlight w:val="none"/>
          <w:lang w:bidi="ar"/>
        </w:rPr>
        <w:t>0.0</w:t>
      </w:r>
      <w:r>
        <w:rPr>
          <w:rFonts w:hint="eastAsia" w:asciiTheme="minorEastAsia" w:hAnsiTheme="minorEastAsia" w:eastAsiaTheme="minorEastAsia" w:cstheme="minorEastAsia"/>
          <w:color w:val="auto"/>
          <w:kern w:val="2"/>
          <w:sz w:val="24"/>
          <w:szCs w:val="24"/>
          <w:highlight w:val="none"/>
          <w:lang w:val="en-US" w:eastAsia="zh-CN" w:bidi="ar"/>
        </w:rPr>
        <w:t>11</w:t>
      </w:r>
      <w:r>
        <w:rPr>
          <w:rFonts w:hint="eastAsia" w:asciiTheme="minorEastAsia" w:hAnsiTheme="minorEastAsia" w:eastAsiaTheme="minorEastAsia" w:cstheme="minorEastAsia"/>
          <w:color w:val="auto"/>
          <w:kern w:val="2"/>
          <w:sz w:val="24"/>
          <w:szCs w:val="24"/>
          <w:highlight w:val="none"/>
          <w:lang w:bidi="ar"/>
        </w:rPr>
        <w:t>km</w:t>
      </w:r>
      <w:r>
        <w:rPr>
          <w:rFonts w:hint="eastAsia" w:asciiTheme="minorEastAsia" w:hAnsiTheme="minorEastAsia" w:eastAsiaTheme="minorEastAsia" w:cstheme="minorEastAsia"/>
          <w:color w:val="auto"/>
          <w:kern w:val="2"/>
          <w:sz w:val="24"/>
          <w:szCs w:val="24"/>
          <w:highlight w:val="none"/>
          <w:vertAlign w:val="superscript"/>
          <w:lang w:bidi="ar"/>
        </w:rPr>
        <w:t>2</w:t>
      </w:r>
      <w:r>
        <w:rPr>
          <w:rFonts w:hint="eastAsia" w:asciiTheme="minorEastAsia" w:hAnsiTheme="minorEastAsia" w:eastAsiaTheme="minorEastAsia" w:cstheme="minorEastAsia"/>
          <w:snapToGrid w:val="0"/>
          <w:color w:val="auto"/>
          <w:sz w:val="24"/>
          <w:szCs w:val="24"/>
          <w:highlight w:val="none"/>
        </w:rPr>
        <w:t>）</w:t>
      </w:r>
      <w:r>
        <w:rPr>
          <w:rFonts w:hint="eastAsia" w:asciiTheme="minorEastAsia" w:hAnsiTheme="minorEastAsia" w:eastAsiaTheme="minorEastAsia" w:cstheme="minorEastAsia"/>
          <w:snapToGrid w:val="0"/>
          <w:color w:val="auto"/>
          <w:sz w:val="24"/>
          <w:szCs w:val="24"/>
          <w:highlight w:val="none"/>
          <w:lang w:val="en-US" w:eastAsia="zh-CN"/>
        </w:rPr>
        <w:t>&lt;20</w:t>
      </w:r>
      <w:r>
        <w:rPr>
          <w:rFonts w:hint="eastAsia" w:asciiTheme="minorEastAsia" w:hAnsiTheme="minorEastAsia" w:eastAsiaTheme="minorEastAsia" w:cstheme="minorEastAsia"/>
          <w:color w:val="auto"/>
          <w:kern w:val="2"/>
          <w:sz w:val="24"/>
          <w:szCs w:val="24"/>
          <w:highlight w:val="none"/>
          <w:lang w:bidi="ar"/>
        </w:rPr>
        <w:t>km</w:t>
      </w:r>
      <w:r>
        <w:rPr>
          <w:rFonts w:hint="eastAsia" w:asciiTheme="minorEastAsia" w:hAnsiTheme="minorEastAsia" w:eastAsiaTheme="minorEastAsia" w:cstheme="minorEastAsia"/>
          <w:color w:val="auto"/>
          <w:kern w:val="2"/>
          <w:sz w:val="24"/>
          <w:szCs w:val="24"/>
          <w:highlight w:val="none"/>
          <w:vertAlign w:val="superscript"/>
          <w:lang w:bidi="ar"/>
        </w:rPr>
        <w:t>2</w:t>
      </w:r>
      <w:r>
        <w:rPr>
          <w:rFonts w:hint="eastAsia" w:asciiTheme="minorEastAsia" w:hAnsiTheme="minorEastAsia" w:eastAsiaTheme="minorEastAsia" w:cstheme="minorEastAsia"/>
          <w:snapToGrid w:val="0"/>
          <w:color w:val="auto"/>
          <w:szCs w:val="24"/>
          <w:highlight w:val="none"/>
        </w:rPr>
        <w:t>，</w:t>
      </w:r>
      <w:r>
        <w:rPr>
          <w:rFonts w:hint="eastAsia" w:asciiTheme="minorEastAsia" w:hAnsiTheme="minorEastAsia" w:eastAsiaTheme="minorEastAsia" w:cstheme="minorEastAsia"/>
          <w:color w:val="auto"/>
          <w:kern w:val="2"/>
          <w:highlight w:val="none"/>
          <w:lang w:bidi="ar"/>
        </w:rPr>
        <w:t>不涉及</w:t>
      </w:r>
      <w:r>
        <w:rPr>
          <w:rFonts w:hint="eastAsia" w:asciiTheme="minorEastAsia" w:hAnsiTheme="minorEastAsia" w:eastAsiaTheme="minorEastAsia" w:cstheme="minorEastAsia"/>
          <w:color w:val="auto"/>
          <w:highlight w:val="none"/>
        </w:rPr>
        <w:t>国家公园、自然保护区、世界自然遗产、重要</w:t>
      </w:r>
      <w:r>
        <w:rPr>
          <w:rFonts w:hint="eastAsia" w:asciiTheme="minorEastAsia" w:hAnsiTheme="minorEastAsia" w:eastAsiaTheme="minorEastAsia" w:cstheme="minorEastAsia"/>
          <w:color w:val="auto"/>
          <w:szCs w:val="24"/>
          <w:highlight w:val="none"/>
        </w:rPr>
        <w:t>生境，不涉及自然公园、生态保护红线等，本项目建设不影响地下水水位，不会通过水位影响湿地等生态保护目标</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因此</w:t>
      </w:r>
      <w:r>
        <w:rPr>
          <w:rFonts w:hint="eastAsia" w:asciiTheme="minorEastAsia" w:hAnsiTheme="minorEastAsia" w:eastAsiaTheme="minorEastAsia" w:cstheme="minorEastAsia"/>
          <w:color w:val="auto"/>
          <w:szCs w:val="24"/>
          <w:highlight w:val="none"/>
        </w:rPr>
        <w:t>生态影响评价工作等级为三级评价。</w:t>
      </w:r>
    </w:p>
    <w:p w14:paraId="47EB78CA">
      <w:pPr>
        <w:pStyle w:val="3"/>
        <w:keepNext w:val="0"/>
        <w:keepLines w:val="0"/>
        <w:pageBreakBefore w:val="0"/>
        <w:widowControl w:val="0"/>
        <w:kinsoku/>
        <w:wordWrap/>
        <w:overflowPunct/>
        <w:topLinePunct w:val="0"/>
        <w:autoSpaceDE/>
        <w:autoSpaceDN/>
        <w:bidi w:val="0"/>
        <w:adjustRightInd/>
        <w:snapToGrid w:val="0"/>
        <w:spacing w:after="0" w:line="360" w:lineRule="auto"/>
        <w:ind w:firstLine="480" w:firstLineChars="200"/>
        <w:jc w:val="left"/>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snapToGrid w:val="0"/>
          <w:color w:val="auto"/>
          <w:sz w:val="24"/>
          <w:szCs w:val="24"/>
          <w:highlight w:val="none"/>
        </w:rPr>
        <w:t>（3）</w:t>
      </w:r>
      <w:r>
        <w:rPr>
          <w:rFonts w:hint="eastAsia" w:asciiTheme="minorEastAsia" w:hAnsiTheme="minorEastAsia" w:eastAsiaTheme="minorEastAsia" w:cstheme="minorEastAsia"/>
          <w:color w:val="auto"/>
          <w:sz w:val="24"/>
          <w:szCs w:val="24"/>
          <w:highlight w:val="none"/>
        </w:rPr>
        <w:t>评价范围</w:t>
      </w:r>
    </w:p>
    <w:p w14:paraId="0C115AF0">
      <w:pPr>
        <w:pStyle w:val="3"/>
        <w:keepNext w:val="0"/>
        <w:keepLines w:val="0"/>
        <w:pageBreakBefore w:val="0"/>
        <w:widowControl w:val="0"/>
        <w:kinsoku/>
        <w:wordWrap/>
        <w:overflowPunct/>
        <w:topLinePunct w:val="0"/>
        <w:autoSpaceDE/>
        <w:autoSpaceDN/>
        <w:bidi w:val="0"/>
        <w:adjustRightInd/>
        <w:snapToGrid w:val="0"/>
        <w:spacing w:after="0" w:line="360" w:lineRule="auto"/>
        <w:ind w:firstLine="480" w:firstLineChars="200"/>
        <w:jc w:val="left"/>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评价范围：项目回填复垦区范围外扩200m范围。</w:t>
      </w:r>
    </w:p>
    <w:p w14:paraId="5513C129">
      <w:pPr>
        <w:pStyle w:val="7"/>
        <w:keepNext w:val="0"/>
        <w:keepLines w:val="0"/>
        <w:pageBreakBefore w:val="0"/>
        <w:widowControl w:val="0"/>
        <w:numPr>
          <w:ilvl w:val="2"/>
          <w:numId w:val="0"/>
        </w:numPr>
        <w:kinsoku/>
        <w:wordWrap/>
        <w:overflowPunct/>
        <w:topLinePunct w:val="0"/>
        <w:bidi w:val="0"/>
        <w:snapToGrid w:val="0"/>
        <w:spacing w:line="360" w:lineRule="auto"/>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.8评价等级及评价范围汇总</w:t>
      </w:r>
    </w:p>
    <w:p w14:paraId="08EC96DB">
      <w:pPr>
        <w:pStyle w:val="318"/>
        <w:widowControl w:val="0"/>
        <w:snapToGrid w:val="0"/>
        <w:spacing w:line="240" w:lineRule="auto"/>
        <w:ind w:firstLine="480"/>
        <w:rPr>
          <w:rFonts w:hint="eastAsia" w:asciiTheme="minorEastAsia" w:hAnsiTheme="minorEastAsia" w:eastAsiaTheme="minorEastAsia" w:cstheme="minorEastAsia"/>
          <w:b/>
          <w:color w:val="auto"/>
          <w:spacing w:val="0"/>
          <w:kern w:val="2"/>
          <w:sz w:val="24"/>
          <w:szCs w:val="24"/>
          <w:highlight w:val="none"/>
          <w:lang w:val="en-US" w:eastAsia="zh-CN" w:bidi="ar-SA"/>
        </w:rPr>
      </w:pPr>
      <w:r>
        <w:rPr>
          <w:rFonts w:hint="eastAsia" w:asciiTheme="minorEastAsia" w:hAnsiTheme="minorEastAsia" w:eastAsiaTheme="minorEastAsia" w:cstheme="minorEastAsia"/>
          <w:b/>
          <w:color w:val="auto"/>
          <w:spacing w:val="0"/>
          <w:kern w:val="2"/>
          <w:sz w:val="24"/>
          <w:szCs w:val="24"/>
          <w:highlight w:val="none"/>
          <w:lang w:val="en-US" w:eastAsia="zh-CN" w:bidi="ar-SA"/>
        </w:rPr>
        <w:t>表2.5-14  评价等级统计列表</w:t>
      </w:r>
    </w:p>
    <w:tbl>
      <w:tblPr>
        <w:tblStyle w:val="84"/>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21"/>
        <w:gridCol w:w="1138"/>
        <w:gridCol w:w="5860"/>
      </w:tblGrid>
      <w:tr w14:paraId="33B929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3" w:type="pct"/>
            <w:tcBorders>
              <w:tl2br w:val="nil"/>
              <w:tr2bl w:val="nil"/>
            </w:tcBorders>
            <w:vAlign w:val="center"/>
          </w:tcPr>
          <w:p w14:paraId="7C3D5B67">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环境要素</w:t>
            </w:r>
          </w:p>
        </w:tc>
        <w:tc>
          <w:tcPr>
            <w:tcW w:w="668" w:type="pct"/>
            <w:tcBorders>
              <w:tl2br w:val="nil"/>
              <w:tr2bl w:val="nil"/>
            </w:tcBorders>
            <w:vAlign w:val="center"/>
          </w:tcPr>
          <w:p w14:paraId="4B4A6C26">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评价等级</w:t>
            </w:r>
          </w:p>
        </w:tc>
        <w:tc>
          <w:tcPr>
            <w:tcW w:w="3439" w:type="pct"/>
            <w:tcBorders>
              <w:tl2br w:val="nil"/>
              <w:tr2bl w:val="nil"/>
            </w:tcBorders>
            <w:vAlign w:val="center"/>
          </w:tcPr>
          <w:p w14:paraId="3763B7CB">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评价范围</w:t>
            </w:r>
          </w:p>
        </w:tc>
      </w:tr>
      <w:tr w14:paraId="623B20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3" w:type="pct"/>
            <w:tcBorders>
              <w:tl2br w:val="nil"/>
              <w:tr2bl w:val="nil"/>
            </w:tcBorders>
            <w:vAlign w:val="center"/>
          </w:tcPr>
          <w:p w14:paraId="3D6BBF3F">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大气环境</w:t>
            </w:r>
          </w:p>
        </w:tc>
        <w:tc>
          <w:tcPr>
            <w:tcW w:w="668" w:type="pct"/>
            <w:tcBorders>
              <w:tl2br w:val="nil"/>
              <w:tr2bl w:val="nil"/>
            </w:tcBorders>
            <w:vAlign w:val="center"/>
          </w:tcPr>
          <w:p w14:paraId="2454D241">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二级</w:t>
            </w:r>
          </w:p>
        </w:tc>
        <w:tc>
          <w:tcPr>
            <w:tcW w:w="3439" w:type="pct"/>
            <w:tcBorders>
              <w:tl2br w:val="nil"/>
              <w:tr2bl w:val="nil"/>
            </w:tcBorders>
            <w:vAlign w:val="center"/>
          </w:tcPr>
          <w:p w14:paraId="70117F04">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iCs/>
                <w:color w:val="auto"/>
                <w:sz w:val="21"/>
                <w:szCs w:val="21"/>
                <w:highlight w:val="none"/>
              </w:rPr>
            </w:pPr>
            <w:r>
              <w:rPr>
                <w:rFonts w:hint="eastAsia" w:asciiTheme="minorEastAsia" w:hAnsiTheme="minorEastAsia" w:eastAsiaTheme="minorEastAsia" w:cstheme="minorEastAsia"/>
                <w:color w:val="auto"/>
                <w:sz w:val="21"/>
                <w:szCs w:val="21"/>
                <w:highlight w:val="none"/>
              </w:rPr>
              <w:t>以回填复垦区为中心区域，边长为5km的矩形区域</w:t>
            </w:r>
          </w:p>
        </w:tc>
      </w:tr>
      <w:tr w14:paraId="085A50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3" w:type="pct"/>
            <w:tcBorders>
              <w:tl2br w:val="nil"/>
              <w:tr2bl w:val="nil"/>
            </w:tcBorders>
            <w:vAlign w:val="center"/>
          </w:tcPr>
          <w:p w14:paraId="1B4677BE">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声环境</w:t>
            </w:r>
          </w:p>
        </w:tc>
        <w:tc>
          <w:tcPr>
            <w:tcW w:w="668" w:type="pct"/>
            <w:tcBorders>
              <w:tl2br w:val="nil"/>
              <w:tr2bl w:val="nil"/>
            </w:tcBorders>
            <w:vAlign w:val="center"/>
          </w:tcPr>
          <w:p w14:paraId="2BEA38D3">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二级</w:t>
            </w:r>
          </w:p>
        </w:tc>
        <w:tc>
          <w:tcPr>
            <w:tcW w:w="3439" w:type="pct"/>
            <w:tcBorders>
              <w:tl2br w:val="nil"/>
              <w:tr2bl w:val="nil"/>
            </w:tcBorders>
            <w:vAlign w:val="center"/>
          </w:tcPr>
          <w:p w14:paraId="62E6E6BE">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iCs/>
                <w:color w:val="auto"/>
                <w:sz w:val="21"/>
                <w:szCs w:val="21"/>
                <w:highlight w:val="none"/>
              </w:rPr>
            </w:pPr>
            <w:r>
              <w:rPr>
                <w:rFonts w:hint="eastAsia" w:asciiTheme="minorEastAsia" w:hAnsiTheme="minorEastAsia" w:eastAsiaTheme="minorEastAsia" w:cstheme="minorEastAsia"/>
                <w:color w:val="auto"/>
                <w:sz w:val="21"/>
                <w:szCs w:val="21"/>
                <w:highlight w:val="none"/>
              </w:rPr>
              <w:t>回填复垦区外200m范围</w:t>
            </w:r>
          </w:p>
        </w:tc>
      </w:tr>
      <w:tr w14:paraId="7AAF77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3" w:type="pct"/>
            <w:tcBorders>
              <w:tl2br w:val="nil"/>
              <w:tr2bl w:val="nil"/>
            </w:tcBorders>
            <w:vAlign w:val="center"/>
          </w:tcPr>
          <w:p w14:paraId="30B23620">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地表水环境</w:t>
            </w:r>
          </w:p>
        </w:tc>
        <w:tc>
          <w:tcPr>
            <w:tcW w:w="668" w:type="pct"/>
            <w:tcBorders>
              <w:tl2br w:val="nil"/>
              <w:tr2bl w:val="nil"/>
            </w:tcBorders>
            <w:vAlign w:val="center"/>
          </w:tcPr>
          <w:p w14:paraId="4F483CDA">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三级B</w:t>
            </w:r>
          </w:p>
        </w:tc>
        <w:tc>
          <w:tcPr>
            <w:tcW w:w="3439" w:type="pct"/>
            <w:tcBorders>
              <w:tl2br w:val="nil"/>
              <w:tr2bl w:val="nil"/>
            </w:tcBorders>
            <w:vAlign w:val="center"/>
          </w:tcPr>
          <w:p w14:paraId="2E8C7737">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val="en-US" w:eastAsia="zh-CN"/>
              </w:rPr>
              <w:t>无</w:t>
            </w:r>
            <w:r>
              <w:rPr>
                <w:rFonts w:hint="eastAsia" w:asciiTheme="minorEastAsia" w:hAnsiTheme="minorEastAsia" w:eastAsiaTheme="minorEastAsia" w:cstheme="minorEastAsia"/>
                <w:color w:val="auto"/>
                <w:sz w:val="21"/>
                <w:szCs w:val="21"/>
                <w:highlight w:val="none"/>
              </w:rPr>
              <w:t>需设置评价范围。</w:t>
            </w:r>
          </w:p>
        </w:tc>
      </w:tr>
      <w:tr w14:paraId="7A432D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3" w:type="pct"/>
            <w:tcBorders>
              <w:tl2br w:val="nil"/>
              <w:tr2bl w:val="nil"/>
            </w:tcBorders>
            <w:vAlign w:val="center"/>
          </w:tcPr>
          <w:p w14:paraId="3B534080">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地下水环境</w:t>
            </w:r>
          </w:p>
        </w:tc>
        <w:tc>
          <w:tcPr>
            <w:tcW w:w="668" w:type="pct"/>
            <w:tcBorders>
              <w:tl2br w:val="nil"/>
              <w:tr2bl w:val="nil"/>
            </w:tcBorders>
            <w:vAlign w:val="center"/>
          </w:tcPr>
          <w:p w14:paraId="0576F3FB">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三级</w:t>
            </w:r>
          </w:p>
        </w:tc>
        <w:tc>
          <w:tcPr>
            <w:tcW w:w="3439" w:type="pct"/>
            <w:tcBorders>
              <w:tl2br w:val="nil"/>
              <w:tr2bl w:val="nil"/>
            </w:tcBorders>
            <w:vAlign w:val="center"/>
          </w:tcPr>
          <w:p w14:paraId="3C16B09B">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Cs/>
                <w:color w:val="auto"/>
                <w:kern w:val="0"/>
                <w:sz w:val="21"/>
                <w:szCs w:val="21"/>
                <w:highlight w:val="none"/>
                <w:lang w:val="en-US" w:eastAsia="zh-CN"/>
              </w:rPr>
              <w:t>2km×3km</w:t>
            </w:r>
            <w:r>
              <w:rPr>
                <w:rFonts w:hint="eastAsia" w:asciiTheme="minorEastAsia" w:hAnsiTheme="minorEastAsia" w:eastAsiaTheme="minorEastAsia" w:cstheme="minorEastAsia"/>
                <w:bCs/>
                <w:color w:val="auto"/>
                <w:kern w:val="0"/>
                <w:sz w:val="21"/>
                <w:szCs w:val="21"/>
                <w:highlight w:val="none"/>
              </w:rPr>
              <w:t>构成的区域范围</w:t>
            </w:r>
            <w:r>
              <w:rPr>
                <w:rFonts w:hint="eastAsia" w:asciiTheme="minorEastAsia" w:hAnsiTheme="minorEastAsia" w:eastAsiaTheme="minorEastAsia" w:cstheme="minorEastAsia"/>
                <w:color w:val="auto"/>
                <w:sz w:val="21"/>
                <w:szCs w:val="21"/>
                <w:highlight w:val="none"/>
              </w:rPr>
              <w:t>，共计</w:t>
            </w:r>
            <w:r>
              <w:rPr>
                <w:rFonts w:hint="eastAsia" w:asciiTheme="minorEastAsia" w:hAnsiTheme="minorEastAsia" w:eastAsiaTheme="minorEastAsia" w:cstheme="minorEastAsia"/>
                <w:color w:val="auto"/>
                <w:sz w:val="21"/>
                <w:szCs w:val="21"/>
                <w:highlight w:val="none"/>
                <w:lang w:val="en-US" w:eastAsia="zh-CN"/>
              </w:rPr>
              <w:t>6</w:t>
            </w:r>
            <w:r>
              <w:rPr>
                <w:rFonts w:hint="eastAsia" w:asciiTheme="minorEastAsia" w:hAnsiTheme="minorEastAsia" w:eastAsiaTheme="minorEastAsia" w:cstheme="minorEastAsia"/>
                <w:color w:val="auto"/>
                <w:sz w:val="21"/>
                <w:szCs w:val="21"/>
                <w:highlight w:val="none"/>
              </w:rPr>
              <w:t>km</w:t>
            </w:r>
            <w:r>
              <w:rPr>
                <w:rFonts w:hint="eastAsia" w:asciiTheme="minorEastAsia" w:hAnsiTheme="minorEastAsia" w:eastAsiaTheme="minorEastAsia" w:cstheme="minorEastAsia"/>
                <w:color w:val="auto"/>
                <w:sz w:val="21"/>
                <w:szCs w:val="21"/>
                <w:highlight w:val="none"/>
                <w:vertAlign w:val="superscript"/>
              </w:rPr>
              <w:t>2</w:t>
            </w:r>
            <w:r>
              <w:rPr>
                <w:rFonts w:hint="eastAsia" w:asciiTheme="minorEastAsia" w:hAnsiTheme="minorEastAsia" w:eastAsiaTheme="minorEastAsia" w:cstheme="minorEastAsia"/>
                <w:color w:val="auto"/>
                <w:sz w:val="21"/>
                <w:szCs w:val="21"/>
                <w:highlight w:val="none"/>
              </w:rPr>
              <w:t>。</w:t>
            </w:r>
          </w:p>
        </w:tc>
      </w:tr>
      <w:tr w14:paraId="001333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3" w:type="pct"/>
            <w:tcBorders>
              <w:tl2br w:val="nil"/>
              <w:tr2bl w:val="nil"/>
            </w:tcBorders>
            <w:vAlign w:val="center"/>
          </w:tcPr>
          <w:p w14:paraId="3D8F2B89">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土壤环境</w:t>
            </w:r>
          </w:p>
        </w:tc>
        <w:tc>
          <w:tcPr>
            <w:tcW w:w="668" w:type="pct"/>
            <w:tcBorders>
              <w:tl2br w:val="nil"/>
              <w:tr2bl w:val="nil"/>
            </w:tcBorders>
            <w:vAlign w:val="center"/>
          </w:tcPr>
          <w:p w14:paraId="2A31E8BA">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二级</w:t>
            </w:r>
          </w:p>
        </w:tc>
        <w:tc>
          <w:tcPr>
            <w:tcW w:w="3439" w:type="pct"/>
            <w:tcBorders>
              <w:tl2br w:val="nil"/>
              <w:tr2bl w:val="nil"/>
            </w:tcBorders>
            <w:vAlign w:val="center"/>
          </w:tcPr>
          <w:p w14:paraId="523D577C">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iCs/>
                <w:color w:val="auto"/>
                <w:sz w:val="21"/>
                <w:szCs w:val="21"/>
                <w:highlight w:val="none"/>
              </w:rPr>
              <w:t>回填复垦区</w:t>
            </w:r>
            <w:r>
              <w:rPr>
                <w:rFonts w:hint="eastAsia" w:asciiTheme="minorEastAsia" w:hAnsiTheme="minorEastAsia" w:eastAsiaTheme="minorEastAsia" w:cstheme="minorEastAsia"/>
                <w:color w:val="auto"/>
                <w:sz w:val="21"/>
                <w:szCs w:val="21"/>
                <w:highlight w:val="none"/>
              </w:rPr>
              <w:t>内全部及</w:t>
            </w:r>
            <w:r>
              <w:rPr>
                <w:rFonts w:hint="eastAsia" w:asciiTheme="minorEastAsia" w:hAnsiTheme="minorEastAsia" w:eastAsiaTheme="minorEastAsia" w:cstheme="minorEastAsia"/>
                <w:iCs/>
                <w:color w:val="auto"/>
                <w:sz w:val="21"/>
                <w:szCs w:val="21"/>
                <w:highlight w:val="none"/>
              </w:rPr>
              <w:t>回填复垦区</w:t>
            </w:r>
            <w:r>
              <w:rPr>
                <w:rFonts w:hint="eastAsia" w:asciiTheme="minorEastAsia" w:hAnsiTheme="minorEastAsia" w:eastAsiaTheme="minorEastAsia" w:cstheme="minorEastAsia"/>
                <w:color w:val="auto"/>
                <w:sz w:val="21"/>
                <w:szCs w:val="21"/>
                <w:highlight w:val="none"/>
              </w:rPr>
              <w:t>外0.2km范围内</w:t>
            </w:r>
          </w:p>
        </w:tc>
      </w:tr>
      <w:tr w14:paraId="5D0CC7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3" w:type="pct"/>
            <w:tcBorders>
              <w:tl2br w:val="nil"/>
              <w:tr2bl w:val="nil"/>
            </w:tcBorders>
            <w:vAlign w:val="center"/>
          </w:tcPr>
          <w:p w14:paraId="5A7D6303">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环境风险</w:t>
            </w:r>
          </w:p>
        </w:tc>
        <w:tc>
          <w:tcPr>
            <w:tcW w:w="668" w:type="pct"/>
            <w:tcBorders>
              <w:tl2br w:val="nil"/>
              <w:tr2bl w:val="nil"/>
            </w:tcBorders>
            <w:vAlign w:val="center"/>
          </w:tcPr>
          <w:p w14:paraId="58C8488B">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不评价</w:t>
            </w:r>
          </w:p>
        </w:tc>
        <w:tc>
          <w:tcPr>
            <w:tcW w:w="3439" w:type="pct"/>
            <w:tcBorders>
              <w:tl2br w:val="nil"/>
              <w:tr2bl w:val="nil"/>
            </w:tcBorders>
            <w:vAlign w:val="center"/>
          </w:tcPr>
          <w:p w14:paraId="2969ABF2">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不涉及</w:t>
            </w:r>
          </w:p>
        </w:tc>
      </w:tr>
      <w:tr w14:paraId="2B15F5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3" w:type="pct"/>
            <w:tcBorders>
              <w:tl2br w:val="nil"/>
              <w:tr2bl w:val="nil"/>
            </w:tcBorders>
            <w:vAlign w:val="center"/>
          </w:tcPr>
          <w:p w14:paraId="51F55A1A">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生态环境</w:t>
            </w:r>
          </w:p>
        </w:tc>
        <w:tc>
          <w:tcPr>
            <w:tcW w:w="668" w:type="pct"/>
            <w:tcBorders>
              <w:tl2br w:val="nil"/>
              <w:tr2bl w:val="nil"/>
            </w:tcBorders>
            <w:vAlign w:val="center"/>
          </w:tcPr>
          <w:p w14:paraId="7178F51E">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三级</w:t>
            </w:r>
          </w:p>
        </w:tc>
        <w:tc>
          <w:tcPr>
            <w:tcW w:w="3439" w:type="pct"/>
            <w:tcBorders>
              <w:tl2br w:val="nil"/>
              <w:tr2bl w:val="nil"/>
            </w:tcBorders>
            <w:vAlign w:val="center"/>
          </w:tcPr>
          <w:p w14:paraId="29BB97E1">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iCs/>
                <w:color w:val="auto"/>
                <w:sz w:val="21"/>
                <w:szCs w:val="21"/>
                <w:highlight w:val="none"/>
              </w:rPr>
            </w:pPr>
            <w:r>
              <w:rPr>
                <w:rFonts w:hint="eastAsia" w:asciiTheme="minorEastAsia" w:hAnsiTheme="minorEastAsia" w:eastAsiaTheme="minorEastAsia" w:cstheme="minorEastAsia"/>
                <w:iCs/>
                <w:color w:val="auto"/>
                <w:sz w:val="21"/>
                <w:szCs w:val="21"/>
                <w:highlight w:val="none"/>
              </w:rPr>
              <w:t>回填复垦区</w:t>
            </w:r>
            <w:r>
              <w:rPr>
                <w:rFonts w:hint="eastAsia" w:asciiTheme="minorEastAsia" w:hAnsiTheme="minorEastAsia" w:eastAsiaTheme="minorEastAsia" w:cstheme="minorEastAsia"/>
                <w:color w:val="auto"/>
                <w:sz w:val="21"/>
                <w:szCs w:val="21"/>
                <w:highlight w:val="none"/>
              </w:rPr>
              <w:t>外200m范围</w:t>
            </w:r>
          </w:p>
        </w:tc>
      </w:tr>
    </w:tbl>
    <w:p w14:paraId="383AECFC">
      <w:pPr>
        <w:pStyle w:val="148"/>
        <w:spacing w:line="360" w:lineRule="auto"/>
        <w:ind w:firstLine="200"/>
        <w:rPr>
          <w:rFonts w:hint="eastAsia" w:asciiTheme="minorEastAsia" w:hAnsiTheme="minorEastAsia" w:eastAsiaTheme="minorEastAsia" w:cstheme="minorEastAsia"/>
          <w:color w:val="auto"/>
          <w:sz w:val="24"/>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720" w:num="1"/>
          <w:docGrid w:linePitch="312" w:charSpace="0"/>
        </w:sectPr>
      </w:pPr>
    </w:p>
    <w:p w14:paraId="68CBA5E3">
      <w:pPr>
        <w:bidi w:val="0"/>
        <w:jc w:val="center"/>
        <w:rPr>
          <w:rFonts w:hint="eastAsia" w:asciiTheme="minorEastAsia" w:hAnsiTheme="minorEastAsia" w:eastAsiaTheme="minorEastAsia" w:cstheme="minorEastAsia"/>
          <w:color w:val="auto"/>
          <w:highlight w:val="none"/>
        </w:rPr>
      </w:pPr>
      <w:r>
        <w:rPr>
          <w:color w:val="auto"/>
          <w:sz w:val="24"/>
          <w:highlight w:val="none"/>
        </w:rPr>
        <mc:AlternateContent>
          <mc:Choice Requires="wps">
            <w:drawing>
              <wp:anchor distT="0" distB="0" distL="114300" distR="114300" simplePos="0" relativeHeight="251705344" behindDoc="0" locked="0" layoutInCell="1" allowOverlap="1">
                <wp:simplePos x="0" y="0"/>
                <wp:positionH relativeFrom="column">
                  <wp:posOffset>9295130</wp:posOffset>
                </wp:positionH>
                <wp:positionV relativeFrom="paragraph">
                  <wp:posOffset>7151370</wp:posOffset>
                </wp:positionV>
                <wp:extent cx="523875" cy="0"/>
                <wp:effectExtent l="0" t="12700" r="9525" b="12700"/>
                <wp:wrapNone/>
                <wp:docPr id="26" name="直接连接符 26"/>
                <wp:cNvGraphicFramePr/>
                <a:graphic xmlns:a="http://schemas.openxmlformats.org/drawingml/2006/main">
                  <a:graphicData uri="http://schemas.microsoft.com/office/word/2010/wordprocessingShape">
                    <wps:wsp>
                      <wps:cNvCnPr/>
                      <wps:spPr>
                        <a:xfrm>
                          <a:off x="0" y="0"/>
                          <a:ext cx="523875" cy="0"/>
                        </a:xfrm>
                        <a:prstGeom prst="line">
                          <a:avLst/>
                        </a:prstGeom>
                        <a:ln>
                          <a:solidFill>
                            <a:srgbClr val="FFFF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31.9pt;margin-top:563.1pt;height:0pt;width:41.25pt;z-index:251705344;mso-width-relative:page;mso-height-relative:page;" filled="f" stroked="t" coordsize="21600,21600" o:gfxdata="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8imOLYAAAADwEAAA8AAAAA&#10;AAAAAQAgAAAAIgAAAGRycy9kb3ducmV2LnhtbFBLAQIUABQAAAAIAIdO4kDlA8cM2wEAAJwDAAAO&#10;AAAAAAAAAAEAIAAAACcBAABkcnMvZTJvRG9jLnhtbFBLBQYAAAAABgAGAFkBAAB0BQAAAAA=&#10;">
                <v:fill on="f" focussize="0,0"/>
                <v:stroke weight="2pt" color="#FFFF00 [3204]" joinstyle="round"/>
                <v:imagedata o:title=""/>
                <o:lock v:ext="edit" aspectratio="f"/>
              </v:line>
            </w:pict>
          </mc:Fallback>
        </mc:AlternateContent>
      </w:r>
      <w:r>
        <w:rPr>
          <w:color w:val="auto"/>
          <w:sz w:val="24"/>
          <w:highlight w:val="none"/>
        </w:rPr>
        <mc:AlternateContent>
          <mc:Choice Requires="wps">
            <w:drawing>
              <wp:anchor distT="0" distB="0" distL="114300" distR="114300" simplePos="0" relativeHeight="251704320" behindDoc="0" locked="0" layoutInCell="1" allowOverlap="1">
                <wp:simplePos x="0" y="0"/>
                <wp:positionH relativeFrom="column">
                  <wp:posOffset>9294495</wp:posOffset>
                </wp:positionH>
                <wp:positionV relativeFrom="paragraph">
                  <wp:posOffset>6849745</wp:posOffset>
                </wp:positionV>
                <wp:extent cx="523875" cy="0"/>
                <wp:effectExtent l="0" t="12700" r="9525" b="12700"/>
                <wp:wrapNone/>
                <wp:docPr id="24" name="直接连接符 24"/>
                <wp:cNvGraphicFramePr/>
                <a:graphic xmlns:a="http://schemas.openxmlformats.org/drawingml/2006/main">
                  <a:graphicData uri="http://schemas.microsoft.com/office/word/2010/wordprocessingShape">
                    <wps:wsp>
                      <wps:cNvCnPr/>
                      <wps:spPr>
                        <a:xfrm>
                          <a:off x="0" y="0"/>
                          <a:ext cx="523875" cy="0"/>
                        </a:xfrm>
                        <a:prstGeom prst="line">
                          <a:avLst/>
                        </a:prstGeom>
                        <a:ln>
                          <a:solidFill>
                            <a:srgbClr val="00B05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31.85pt;margin-top:539.35pt;height:0pt;width:41.25pt;z-index:251704320;mso-width-relative:page;mso-height-relative:page;" filled="f" stroked="t" coordsize="21600,21600" o:gfxdata="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SrVEqtgAAAAPAQAADwAA&#10;AAAAAAABACAAAAAiAAAAZHJzL2Rvd25yZXYueG1sUEsBAhQAFAAAAAgAh07iQH4MmBjdAQAAnAMA&#10;AA4AAAAAAAAAAQAgAAAAJwEAAGRycy9lMm9Eb2MueG1sUEsFBgAAAAAGAAYAWQEAAHYFAAAAAA==&#10;">
                <v:fill on="f" focussize="0,0"/>
                <v:stroke weight="2pt" color="#00B050 [3204]" joinstyle="round"/>
                <v:imagedata o:title=""/>
                <o:lock v:ext="edit" aspectratio="f"/>
              </v:line>
            </w:pict>
          </mc:Fallback>
        </mc:AlternateContent>
      </w:r>
      <w:r>
        <w:rPr>
          <w:color w:val="auto"/>
          <w:sz w:val="24"/>
          <w:highlight w:val="none"/>
        </w:rPr>
        <mc:AlternateContent>
          <mc:Choice Requires="wps">
            <w:drawing>
              <wp:anchor distT="0" distB="0" distL="114300" distR="114300" simplePos="0" relativeHeight="251703296" behindDoc="0" locked="0" layoutInCell="1" allowOverlap="1">
                <wp:simplePos x="0" y="0"/>
                <wp:positionH relativeFrom="column">
                  <wp:posOffset>9261475</wp:posOffset>
                </wp:positionH>
                <wp:positionV relativeFrom="paragraph">
                  <wp:posOffset>6530975</wp:posOffset>
                </wp:positionV>
                <wp:extent cx="523875" cy="0"/>
                <wp:effectExtent l="0" t="12700" r="9525" b="12700"/>
                <wp:wrapNone/>
                <wp:docPr id="19" name="直接连接符 19"/>
                <wp:cNvGraphicFramePr/>
                <a:graphic xmlns:a="http://schemas.openxmlformats.org/drawingml/2006/main">
                  <a:graphicData uri="http://schemas.microsoft.com/office/word/2010/wordprocessingShape">
                    <wps:wsp>
                      <wps:cNvCnPr/>
                      <wps:spPr>
                        <a:xfrm>
                          <a:off x="10295255" y="7590155"/>
                          <a:ext cx="523875" cy="0"/>
                        </a:xfrm>
                        <a:prstGeom prst="line">
                          <a:avLst/>
                        </a:prstGeom>
                        <a:ln>
                          <a:solidFill>
                            <a:srgbClr val="1C2BF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29.25pt;margin-top:514.25pt;height:0pt;width:41.25pt;z-index:251703296;mso-width-relative:page;mso-height-relative:page;" filled="f" stroked="t" coordsize="21600,21600" o:gfxdata="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PjwfLNkAAAAPAQAADwAAAAAAAAABACAAAAAiAAAAZHJzL2Rvd25yZXYueG1sUEsBAhQAFAAAAAgA&#10;h07iQH6VR6HrAQAAqQMAAA4AAAAAAAAAAQAgAAAAKAEAAGRycy9lMm9Eb2MueG1sUEsFBgAAAAAG&#10;AAYAWQEAAIUFAAAAAA==&#10;">
                <v:fill on="f" focussize="0,0"/>
                <v:stroke weight="2pt" color="#1C2BF0 [3204]" joinstyle="round"/>
                <v:imagedata o:title=""/>
                <o:lock v:ext="edit" aspectratio="f"/>
              </v:line>
            </w:pict>
          </mc:Fallback>
        </mc:AlternateContent>
      </w:r>
      <w:r>
        <w:rPr>
          <w:color w:val="auto"/>
          <w:sz w:val="24"/>
          <w:highlight w:val="none"/>
        </w:rPr>
        <mc:AlternateContent>
          <mc:Choice Requires="wps">
            <w:drawing>
              <wp:anchor distT="0" distB="0" distL="114300" distR="114300" simplePos="0" relativeHeight="251702272" behindDoc="0" locked="0" layoutInCell="1" allowOverlap="1">
                <wp:simplePos x="0" y="0"/>
                <wp:positionH relativeFrom="column">
                  <wp:posOffset>9166860</wp:posOffset>
                </wp:positionH>
                <wp:positionV relativeFrom="paragraph">
                  <wp:posOffset>5953125</wp:posOffset>
                </wp:positionV>
                <wp:extent cx="1999615" cy="1586230"/>
                <wp:effectExtent l="12700" t="12700" r="19685" b="13970"/>
                <wp:wrapNone/>
                <wp:docPr id="13" name="矩形 13"/>
                <wp:cNvGraphicFramePr/>
                <a:graphic xmlns:a="http://schemas.openxmlformats.org/drawingml/2006/main">
                  <a:graphicData uri="http://schemas.microsoft.com/office/word/2010/wordprocessingShape">
                    <wps:wsp>
                      <wps:cNvSpPr/>
                      <wps:spPr>
                        <a:xfrm>
                          <a:off x="10128250" y="7225030"/>
                          <a:ext cx="1999615" cy="1586230"/>
                        </a:xfrm>
                        <a:prstGeom prst="rect">
                          <a:avLst/>
                        </a:prstGeom>
                        <a:solidFill>
                          <a:schemeClr val="bg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26439EBC">
                            <w:pPr>
                              <w:jc w:val="cente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图例</w:t>
                            </w:r>
                          </w:p>
                          <w:p w14:paraId="7FDCF808">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本项目厂界</w:t>
                            </w:r>
                          </w:p>
                          <w:p w14:paraId="61539D68">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大气评价范围</w:t>
                            </w:r>
                          </w:p>
                          <w:p w14:paraId="09E34114">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环境保护目标</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21.8pt;margin-top:468.75pt;height:124.9pt;width:157.45pt;z-index:251702272;v-text-anchor:middle;mso-width-relative:page;mso-height-relative:page;" fillcolor="#FFFFFF [3212]" filled="t" stroked="t" coordsize="21600,21600" o:gfxdata="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1bvEtNwAAAAOAQAADwAAAAAAAAABACAAAAAi&#10;AAAAZHJzL2Rvd25yZXYueG1sUEsBAhQAFAAAAAgAh07iQMmmBVp4AgAA+AQAAA4AAAAAAAAAAQAg&#10;AAAAKwEAAGRycy9lMm9Eb2MueG1sUEsFBgAAAAAGAAYAWQEAABUGAAAAAA==&#10;">
                <v:fill on="t" focussize="0,0"/>
                <v:stroke weight="2pt" color="#000000 [3213]" joinstyle="round"/>
                <v:imagedata o:title=""/>
                <o:lock v:ext="edit" aspectratio="f"/>
                <v:textbox>
                  <w:txbxContent>
                    <w:p w14:paraId="26439EBC">
                      <w:pPr>
                        <w:jc w:val="cente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图例</w:t>
                      </w:r>
                    </w:p>
                    <w:p w14:paraId="7FDCF808">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本项目厂界</w:t>
                      </w:r>
                    </w:p>
                    <w:p w14:paraId="61539D68">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大气评价范围</w:t>
                      </w:r>
                    </w:p>
                    <w:p w14:paraId="09E34114">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环境保护目标</w:t>
                      </w:r>
                    </w:p>
                  </w:txbxContent>
                </v:textbox>
              </v:rect>
            </w:pict>
          </mc:Fallback>
        </mc:AlternateContent>
      </w:r>
      <w:r>
        <w:rPr>
          <w:color w:val="auto"/>
          <w:highlight w:val="none"/>
        </w:rPr>
        <w:drawing>
          <wp:anchor distT="0" distB="0" distL="114300" distR="114300" simplePos="0" relativeHeight="251701248" behindDoc="0" locked="0" layoutInCell="1" allowOverlap="1">
            <wp:simplePos x="0" y="0"/>
            <wp:positionH relativeFrom="column">
              <wp:posOffset>10434955</wp:posOffset>
            </wp:positionH>
            <wp:positionV relativeFrom="paragraph">
              <wp:posOffset>57150</wp:posOffset>
            </wp:positionV>
            <wp:extent cx="724535" cy="716915"/>
            <wp:effectExtent l="0" t="0" r="12065" b="6985"/>
            <wp:wrapNone/>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26"/>
                    <a:stretch>
                      <a:fillRect/>
                    </a:stretch>
                  </pic:blipFill>
                  <pic:spPr>
                    <a:xfrm>
                      <a:off x="0" y="0"/>
                      <a:ext cx="724535" cy="716915"/>
                    </a:xfrm>
                    <a:prstGeom prst="rect">
                      <a:avLst/>
                    </a:prstGeom>
                    <a:noFill/>
                    <a:ln>
                      <a:noFill/>
                    </a:ln>
                  </pic:spPr>
                </pic:pic>
              </a:graphicData>
            </a:graphic>
          </wp:anchor>
        </w:drawing>
      </w:r>
      <w:r>
        <w:rPr>
          <w:color w:val="auto"/>
          <w:highlight w:val="none"/>
        </w:rPr>
        <w:drawing>
          <wp:inline distT="0" distB="0" distL="114300" distR="114300">
            <wp:extent cx="9150350" cy="7581900"/>
            <wp:effectExtent l="0" t="0" r="6350"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27"/>
                    <a:stretch>
                      <a:fillRect/>
                    </a:stretch>
                  </pic:blipFill>
                  <pic:spPr>
                    <a:xfrm>
                      <a:off x="0" y="0"/>
                      <a:ext cx="9150350" cy="7581900"/>
                    </a:xfrm>
                    <a:prstGeom prst="rect">
                      <a:avLst/>
                    </a:prstGeom>
                    <a:noFill/>
                    <a:ln>
                      <a:noFill/>
                    </a:ln>
                  </pic:spPr>
                </pic:pic>
              </a:graphicData>
            </a:graphic>
          </wp:inline>
        </w:drawing>
      </w:r>
    </w:p>
    <w:p w14:paraId="29452318">
      <w:pPr>
        <w:bidi w:val="0"/>
        <w:jc w:val="center"/>
        <w:rPr>
          <w:rFonts w:hint="eastAsia" w:asciiTheme="minorEastAsia" w:hAnsiTheme="minorEastAsia" w:eastAsiaTheme="minorEastAsia" w:cstheme="minorEastAsia"/>
          <w:b/>
          <w:bCs/>
          <w:color w:val="auto"/>
          <w:highlight w:val="none"/>
        </w:rPr>
        <w:sectPr>
          <w:pgSz w:w="23811" w:h="16838" w:orient="landscape"/>
          <w:pgMar w:top="1418" w:right="1440" w:bottom="1418" w:left="1440" w:header="851" w:footer="992" w:gutter="0"/>
          <w:pgBorders>
            <w:top w:val="none" w:sz="0" w:space="0"/>
            <w:left w:val="none" w:sz="0" w:space="0"/>
            <w:bottom w:val="none" w:sz="0" w:space="0"/>
            <w:right w:val="none" w:sz="0" w:space="0"/>
          </w:pgBorders>
          <w:pgNumType w:fmt="numberInDash"/>
          <w:cols w:space="720" w:num="1"/>
          <w:docGrid w:linePitch="312" w:charSpace="0"/>
        </w:sectPr>
      </w:pPr>
      <w:r>
        <w:rPr>
          <w:rFonts w:hint="eastAsia" w:asciiTheme="minorEastAsia" w:hAnsiTheme="minorEastAsia" w:eastAsiaTheme="minorEastAsia" w:cstheme="minorEastAsia"/>
          <w:b/>
          <w:bCs/>
          <w:color w:val="auto"/>
          <w:highlight w:val="none"/>
        </w:rPr>
        <w:t>图2.</w:t>
      </w:r>
      <w:r>
        <w:rPr>
          <w:rFonts w:hint="eastAsia" w:asciiTheme="minorEastAsia" w:hAnsiTheme="minorEastAsia" w:eastAsiaTheme="minorEastAsia" w:cstheme="minorEastAsia"/>
          <w:b/>
          <w:bCs/>
          <w:color w:val="auto"/>
          <w:highlight w:val="none"/>
          <w:lang w:val="en-US" w:eastAsia="zh-CN"/>
        </w:rPr>
        <w:t>5-1</w:t>
      </w:r>
      <w:r>
        <w:rPr>
          <w:rFonts w:hint="eastAsia" w:asciiTheme="minorEastAsia" w:hAnsiTheme="minorEastAsia" w:eastAsiaTheme="minorEastAsia" w:cstheme="minorEastAsia"/>
          <w:b/>
          <w:bCs/>
          <w:color w:val="auto"/>
          <w:highlight w:val="none"/>
        </w:rPr>
        <w:t xml:space="preserve">  </w:t>
      </w:r>
      <w:r>
        <w:rPr>
          <w:rFonts w:hint="eastAsia" w:asciiTheme="minorEastAsia" w:hAnsiTheme="minorEastAsia" w:eastAsiaTheme="minorEastAsia" w:cstheme="minorEastAsia"/>
          <w:b/>
          <w:bCs/>
          <w:color w:val="auto"/>
          <w:highlight w:val="none"/>
          <w:lang w:val="en-US" w:eastAsia="zh-CN"/>
        </w:rPr>
        <w:t>大气</w:t>
      </w:r>
      <w:r>
        <w:rPr>
          <w:rFonts w:hint="eastAsia" w:asciiTheme="minorEastAsia" w:hAnsiTheme="minorEastAsia" w:eastAsiaTheme="minorEastAsia" w:cstheme="minorEastAsia"/>
          <w:b/>
          <w:bCs/>
          <w:color w:val="auto"/>
          <w:highlight w:val="none"/>
        </w:rPr>
        <w:t>评价范围</w:t>
      </w:r>
      <w:r>
        <w:rPr>
          <w:rFonts w:hint="eastAsia" w:asciiTheme="minorEastAsia" w:hAnsiTheme="minorEastAsia" w:eastAsiaTheme="minorEastAsia" w:cstheme="minorEastAsia"/>
          <w:b/>
          <w:bCs/>
          <w:color w:val="auto"/>
          <w:highlight w:val="none"/>
          <w:lang w:val="en-US" w:eastAsia="zh-CN"/>
        </w:rPr>
        <w:t>及环境保护目标</w:t>
      </w:r>
      <w:r>
        <w:rPr>
          <w:rFonts w:hint="eastAsia" w:asciiTheme="minorEastAsia" w:hAnsiTheme="minorEastAsia" w:eastAsiaTheme="minorEastAsia" w:cstheme="minorEastAsia"/>
          <w:b/>
          <w:bCs/>
          <w:color w:val="auto"/>
          <w:highlight w:val="none"/>
        </w:rPr>
        <w:t>示意图</w:t>
      </w:r>
    </w:p>
    <w:p w14:paraId="62689AB8">
      <w:pPr>
        <w:bidi w:val="0"/>
        <w:jc w:val="center"/>
        <w:rPr>
          <w:rFonts w:hint="eastAsia" w:asciiTheme="minorEastAsia" w:hAnsiTheme="minorEastAsia" w:eastAsiaTheme="minorEastAsia" w:cstheme="minorEastAsia"/>
          <w:color w:val="auto"/>
          <w:highlight w:val="none"/>
        </w:rPr>
      </w:pPr>
      <w:r>
        <w:rPr>
          <w:color w:val="auto"/>
          <w:sz w:val="24"/>
          <w:highlight w:val="none"/>
        </w:rPr>
        <mc:AlternateContent>
          <mc:Choice Requires="wps">
            <w:drawing>
              <wp:anchor distT="0" distB="0" distL="114300" distR="114300" simplePos="0" relativeHeight="251713536" behindDoc="0" locked="0" layoutInCell="1" allowOverlap="1">
                <wp:simplePos x="0" y="0"/>
                <wp:positionH relativeFrom="column">
                  <wp:posOffset>6092825</wp:posOffset>
                </wp:positionH>
                <wp:positionV relativeFrom="paragraph">
                  <wp:posOffset>4831080</wp:posOffset>
                </wp:positionV>
                <wp:extent cx="523875" cy="0"/>
                <wp:effectExtent l="0" t="12700" r="9525" b="12700"/>
                <wp:wrapNone/>
                <wp:docPr id="57" name="直接连接符 57"/>
                <wp:cNvGraphicFramePr/>
                <a:graphic xmlns:a="http://schemas.openxmlformats.org/drawingml/2006/main">
                  <a:graphicData uri="http://schemas.microsoft.com/office/word/2010/wordprocessingShape">
                    <wps:wsp>
                      <wps:cNvCnPr/>
                      <wps:spPr>
                        <a:xfrm>
                          <a:off x="0" y="0"/>
                          <a:ext cx="523875" cy="0"/>
                        </a:xfrm>
                        <a:prstGeom prst="line">
                          <a:avLst/>
                        </a:prstGeom>
                        <a:ln>
                          <a:solidFill>
                            <a:srgbClr val="FF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479.75pt;margin-top:380.4pt;height:0pt;width:41.25pt;z-index:251713536;mso-width-relative:page;mso-height-relative:page;" filled="f" stroked="t" coordsize="21600,21600" o:gfxdata="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lo1O+2AAAAAwBAAAPAAAA&#10;AAAAAAEAIAAAACIAAABkcnMvZG93bnJldi54bWxQSwECFAAUAAAACACHTuJAMKp7c9wBAACcAwAA&#10;DgAAAAAAAAABACAAAAAnAQAAZHJzL2Uyb0RvYy54bWxQSwUGAAAAAAYABgBZAQAAdQUAAAAA&#10;">
                <v:fill on="f" focussize="0,0"/>
                <v:stroke weight="2pt" color="#FF0000 [3204]" joinstyle="round"/>
                <v:imagedata o:title=""/>
                <o:lock v:ext="edit" aspectratio="f"/>
              </v:line>
            </w:pict>
          </mc:Fallback>
        </mc:AlternateContent>
      </w:r>
      <w:r>
        <w:rPr>
          <w:color w:val="auto"/>
          <w:sz w:val="24"/>
          <w:highlight w:val="none"/>
        </w:rPr>
        <mc:AlternateContent>
          <mc:Choice Requires="wps">
            <w:drawing>
              <wp:anchor distT="0" distB="0" distL="114300" distR="114300" simplePos="0" relativeHeight="251712512" behindDoc="0" locked="0" layoutInCell="1" allowOverlap="1">
                <wp:simplePos x="0" y="0"/>
                <wp:positionH relativeFrom="column">
                  <wp:posOffset>6073140</wp:posOffset>
                </wp:positionH>
                <wp:positionV relativeFrom="paragraph">
                  <wp:posOffset>4525010</wp:posOffset>
                </wp:positionV>
                <wp:extent cx="523875" cy="0"/>
                <wp:effectExtent l="0" t="12700" r="9525" b="12700"/>
                <wp:wrapNone/>
                <wp:docPr id="56" name="直接连接符 56"/>
                <wp:cNvGraphicFramePr/>
                <a:graphic xmlns:a="http://schemas.openxmlformats.org/drawingml/2006/main">
                  <a:graphicData uri="http://schemas.microsoft.com/office/word/2010/wordprocessingShape">
                    <wps:wsp>
                      <wps:cNvCnPr/>
                      <wps:spPr>
                        <a:xfrm>
                          <a:off x="0" y="0"/>
                          <a:ext cx="523875" cy="0"/>
                        </a:xfrm>
                        <a:prstGeom prst="line">
                          <a:avLst/>
                        </a:prstGeom>
                        <a:ln>
                          <a:solidFill>
                            <a:srgbClr val="1C2BF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478.2pt;margin-top:356.3pt;height:0pt;width:41.25pt;z-index:251712512;mso-width-relative:page;mso-height-relative:page;" filled="f" stroked="t" coordsize="21600,21600" o:gfxdata="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ENE3EDbAAAADAEA&#10;AA8AAAAAAAAAAQAgAAAAIgAAAGRycy9kb3ducmV2LnhtbFBLAQIUABQAAAAIAIdO4kAjwbrH3gEA&#10;AJwDAAAOAAAAAAAAAAEAIAAAACoBAABkcnMvZTJvRG9jLnhtbFBLBQYAAAAABgAGAFkBAAB6BQAA&#10;AAA=&#10;">
                <v:fill on="f" focussize="0,0"/>
                <v:stroke weight="2pt" color="#1C2BF0 [3204]" joinstyle="round"/>
                <v:imagedata o:title=""/>
                <o:lock v:ext="edit" aspectratio="f"/>
              </v:line>
            </w:pict>
          </mc:Fallback>
        </mc:AlternateContent>
      </w:r>
      <w:r>
        <w:rPr>
          <w:color w:val="auto"/>
          <w:sz w:val="24"/>
          <w:highlight w:val="none"/>
        </w:rPr>
        <mc:AlternateContent>
          <mc:Choice Requires="wps">
            <w:drawing>
              <wp:anchor distT="0" distB="0" distL="114300" distR="114300" simplePos="0" relativeHeight="251711488" behindDoc="0" locked="0" layoutInCell="1" allowOverlap="1">
                <wp:simplePos x="0" y="0"/>
                <wp:positionH relativeFrom="column">
                  <wp:posOffset>6002020</wp:posOffset>
                </wp:positionH>
                <wp:positionV relativeFrom="paragraph">
                  <wp:posOffset>4109085</wp:posOffset>
                </wp:positionV>
                <wp:extent cx="1999615" cy="1009015"/>
                <wp:effectExtent l="12700" t="12700" r="19685" b="19685"/>
                <wp:wrapNone/>
                <wp:docPr id="55" name="矩形 55"/>
                <wp:cNvGraphicFramePr/>
                <a:graphic xmlns:a="http://schemas.openxmlformats.org/drawingml/2006/main">
                  <a:graphicData uri="http://schemas.microsoft.com/office/word/2010/wordprocessingShape">
                    <wps:wsp>
                      <wps:cNvSpPr/>
                      <wps:spPr>
                        <a:xfrm>
                          <a:off x="0" y="0"/>
                          <a:ext cx="1999615" cy="1009015"/>
                        </a:xfrm>
                        <a:prstGeom prst="rect">
                          <a:avLst/>
                        </a:prstGeom>
                        <a:solidFill>
                          <a:schemeClr val="bg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E4E9045">
                            <w:pPr>
                              <w:jc w:val="cente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图例</w:t>
                            </w:r>
                          </w:p>
                          <w:p w14:paraId="3E45A2C8">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本项目厂界</w:t>
                            </w:r>
                          </w:p>
                          <w:p w14:paraId="0FC8A5EB">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厂区外200米范围</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72.6pt;margin-top:323.55pt;height:79.45pt;width:157.45pt;z-index:251711488;v-text-anchor:middle;mso-width-relative:page;mso-height-relative:page;" fillcolor="#FFFFFF [3212]" filled="t" stroked="t" coordsize="21600,21600" o:gfxdata="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GNaKz2gAAAAwBAAAPAAAAAAAAAAEAIAAAACIAAABkcnMvZG93bnJldi54&#10;bWxQSwECFAAUAAAACACHTuJAbBRILWoCAADrBAAADgAAAAAAAAABACAAAAApAQAAZHJzL2Uyb0Rv&#10;Yy54bWxQSwUGAAAAAAYABgBZAQAABQYAAAAA&#10;">
                <v:fill on="t" focussize="0,0"/>
                <v:stroke weight="2pt" color="#000000 [3213]" joinstyle="round"/>
                <v:imagedata o:title=""/>
                <o:lock v:ext="edit" aspectratio="f"/>
                <v:textbox>
                  <w:txbxContent>
                    <w:p w14:paraId="4E4E9045">
                      <w:pPr>
                        <w:jc w:val="cente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图例</w:t>
                      </w:r>
                    </w:p>
                    <w:p w14:paraId="3E45A2C8">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本项目厂界</w:t>
                      </w:r>
                    </w:p>
                    <w:p w14:paraId="0FC8A5EB">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厂区外200米范围</w:t>
                      </w:r>
                    </w:p>
                  </w:txbxContent>
                </v:textbox>
              </v:rect>
            </w:pict>
          </mc:Fallback>
        </mc:AlternateContent>
      </w:r>
      <w:r>
        <w:rPr>
          <w:color w:val="auto"/>
          <w:highlight w:val="none"/>
        </w:rPr>
        <w:drawing>
          <wp:anchor distT="0" distB="0" distL="114300" distR="114300" simplePos="0" relativeHeight="251706368" behindDoc="0" locked="0" layoutInCell="1" allowOverlap="1">
            <wp:simplePos x="0" y="0"/>
            <wp:positionH relativeFrom="column">
              <wp:posOffset>7258685</wp:posOffset>
            </wp:positionH>
            <wp:positionV relativeFrom="paragraph">
              <wp:posOffset>5080</wp:posOffset>
            </wp:positionV>
            <wp:extent cx="724535" cy="716915"/>
            <wp:effectExtent l="0" t="0" r="12065" b="6985"/>
            <wp:wrapNone/>
            <wp:docPr id="4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
                    <pic:cNvPicPr>
                      <a:picLocks noChangeAspect="1"/>
                    </pic:cNvPicPr>
                  </pic:nvPicPr>
                  <pic:blipFill>
                    <a:blip r:embed="rId26"/>
                    <a:stretch>
                      <a:fillRect/>
                    </a:stretch>
                  </pic:blipFill>
                  <pic:spPr>
                    <a:xfrm>
                      <a:off x="0" y="0"/>
                      <a:ext cx="724535" cy="716915"/>
                    </a:xfrm>
                    <a:prstGeom prst="rect">
                      <a:avLst/>
                    </a:prstGeom>
                    <a:noFill/>
                    <a:ln>
                      <a:noFill/>
                    </a:ln>
                  </pic:spPr>
                </pic:pic>
              </a:graphicData>
            </a:graphic>
          </wp:anchor>
        </w:drawing>
      </w:r>
      <w:r>
        <w:rPr>
          <w:color w:val="auto"/>
          <w:sz w:val="24"/>
          <w:highlight w:val="none"/>
        </w:rPr>
        <mc:AlternateContent>
          <mc:Choice Requires="wps">
            <w:drawing>
              <wp:anchor distT="0" distB="0" distL="114300" distR="114300" simplePos="0" relativeHeight="251710464" behindDoc="0" locked="0" layoutInCell="1" allowOverlap="1">
                <wp:simplePos x="0" y="0"/>
                <wp:positionH relativeFrom="column">
                  <wp:posOffset>4472940</wp:posOffset>
                </wp:positionH>
                <wp:positionV relativeFrom="paragraph">
                  <wp:posOffset>2922905</wp:posOffset>
                </wp:positionV>
                <wp:extent cx="839470" cy="444500"/>
                <wp:effectExtent l="0" t="0" r="0" b="0"/>
                <wp:wrapNone/>
                <wp:docPr id="54" name="矩形 54"/>
                <wp:cNvGraphicFramePr/>
                <a:graphic xmlns:a="http://schemas.openxmlformats.org/drawingml/2006/main">
                  <a:graphicData uri="http://schemas.microsoft.com/office/word/2010/wordprocessingShape">
                    <wps:wsp>
                      <wps:cNvSpPr/>
                      <wps:spPr>
                        <a:xfrm>
                          <a:off x="0" y="0"/>
                          <a:ext cx="839470" cy="44450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2D320BB">
                            <w:pPr>
                              <w:jc w:val="center"/>
                              <w:rPr>
                                <w:rFonts w:hint="default" w:eastAsia="宋体"/>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pPr>
                            <w:r>
                              <w:rPr>
                                <w:rFonts w:hint="eastAsia"/>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农田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2.2pt;margin-top:230.15pt;height:35pt;width:66.1pt;z-index:251710464;v-text-anchor:middle;mso-width-relative:page;mso-height-relative:page;" filled="f" stroked="f" coordsize="21600,21600" o:gfxdata="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QpOqp2QAAAAsB&#10;AAAPAAAAAAAAAAEAIAAAACIAAABkcnMvZG93bnJldi54bWxQSwECFAAUAAAACACHTuJAR8SdC1MC&#10;AACXBAAADgAAAAAAAAABACAAAAAoAQAAZHJzL2Uyb0RvYy54bWxQSwUGAAAAAAYABgBZAQAA7QUA&#10;AAAA&#10;">
                <v:fill on="f" focussize="0,0"/>
                <v:stroke on="f" weight="2pt"/>
                <v:imagedata o:title=""/>
                <o:lock v:ext="edit" aspectratio="f"/>
                <v:textbox>
                  <w:txbxContent>
                    <w:p w14:paraId="42D320BB">
                      <w:pPr>
                        <w:jc w:val="center"/>
                        <w:rPr>
                          <w:rFonts w:hint="default" w:eastAsia="宋体"/>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pPr>
                      <w:r>
                        <w:rPr>
                          <w:rFonts w:hint="eastAsia"/>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农田</w:t>
                      </w:r>
                    </w:p>
                  </w:txbxContent>
                </v:textbox>
              </v:rect>
            </w:pict>
          </mc:Fallback>
        </mc:AlternateContent>
      </w:r>
      <w:r>
        <w:rPr>
          <w:color w:val="auto"/>
          <w:sz w:val="24"/>
          <w:highlight w:val="none"/>
        </w:rPr>
        <mc:AlternateContent>
          <mc:Choice Requires="wps">
            <w:drawing>
              <wp:anchor distT="0" distB="0" distL="114300" distR="114300" simplePos="0" relativeHeight="251709440" behindDoc="0" locked="0" layoutInCell="1" allowOverlap="1">
                <wp:simplePos x="0" y="0"/>
                <wp:positionH relativeFrom="column">
                  <wp:posOffset>3869055</wp:posOffset>
                </wp:positionH>
                <wp:positionV relativeFrom="paragraph">
                  <wp:posOffset>3427095</wp:posOffset>
                </wp:positionV>
                <wp:extent cx="839470" cy="444500"/>
                <wp:effectExtent l="0" t="0" r="0" b="0"/>
                <wp:wrapNone/>
                <wp:docPr id="53" name="矩形 53"/>
                <wp:cNvGraphicFramePr/>
                <a:graphic xmlns:a="http://schemas.openxmlformats.org/drawingml/2006/main">
                  <a:graphicData uri="http://schemas.microsoft.com/office/word/2010/wordprocessingShape">
                    <wps:wsp>
                      <wps:cNvSpPr/>
                      <wps:spPr>
                        <a:xfrm>
                          <a:off x="0" y="0"/>
                          <a:ext cx="839470" cy="44450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7CDB069">
                            <w:pPr>
                              <w:jc w:val="center"/>
                              <w:rPr>
                                <w:rFonts w:hint="eastAsia" w:eastAsia="宋体"/>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pPr>
                            <w:r>
                              <w:rPr>
                                <w:rFonts w:hint="eastAsia"/>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树林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4.65pt;margin-top:269.85pt;height:35pt;width:66.1pt;z-index:251709440;v-text-anchor:middle;mso-width-relative:page;mso-height-relative:page;" filled="f" stroked="f" coordsize="21600,21600" o:gfxdata="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JbPt12QAAAAsB&#10;AAAPAAAAAAAAAAEAIAAAACIAAABkcnMvZG93bnJldi54bWxQSwECFAAUAAAACACHTuJAk0YZdVMC&#10;AACXBAAADgAAAAAAAAABACAAAAAoAQAAZHJzL2Uyb0RvYy54bWxQSwUGAAAAAAYABgBZAQAA7QUA&#10;AAAA&#10;">
                <v:fill on="f" focussize="0,0"/>
                <v:stroke on="f" weight="2pt"/>
                <v:imagedata o:title=""/>
                <o:lock v:ext="edit" aspectratio="f"/>
                <v:textbox>
                  <w:txbxContent>
                    <w:p w14:paraId="77CDB069">
                      <w:pPr>
                        <w:jc w:val="center"/>
                        <w:rPr>
                          <w:rFonts w:hint="eastAsia" w:eastAsia="宋体"/>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pPr>
                      <w:r>
                        <w:rPr>
                          <w:rFonts w:hint="eastAsia"/>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树林</w:t>
                      </w:r>
                    </w:p>
                  </w:txbxContent>
                </v:textbox>
              </v:rect>
            </w:pict>
          </mc:Fallback>
        </mc:AlternateContent>
      </w:r>
      <w:r>
        <w:rPr>
          <w:color w:val="auto"/>
          <w:sz w:val="24"/>
          <w:highlight w:val="none"/>
        </w:rPr>
        <mc:AlternateContent>
          <mc:Choice Requires="wps">
            <w:drawing>
              <wp:anchor distT="0" distB="0" distL="114300" distR="114300" simplePos="0" relativeHeight="251708416" behindDoc="0" locked="0" layoutInCell="1" allowOverlap="1">
                <wp:simplePos x="0" y="0"/>
                <wp:positionH relativeFrom="column">
                  <wp:posOffset>3601085</wp:posOffset>
                </wp:positionH>
                <wp:positionV relativeFrom="paragraph">
                  <wp:posOffset>2269490</wp:posOffset>
                </wp:positionV>
                <wp:extent cx="839470" cy="444500"/>
                <wp:effectExtent l="0" t="0" r="0" b="0"/>
                <wp:wrapNone/>
                <wp:docPr id="46" name="矩形 46"/>
                <wp:cNvGraphicFramePr/>
                <a:graphic xmlns:a="http://schemas.openxmlformats.org/drawingml/2006/main">
                  <a:graphicData uri="http://schemas.microsoft.com/office/word/2010/wordprocessingShape">
                    <wps:wsp>
                      <wps:cNvSpPr/>
                      <wps:spPr>
                        <a:xfrm>
                          <a:off x="0" y="0"/>
                          <a:ext cx="839470" cy="44450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675ADEB3">
                            <w:pPr>
                              <w:jc w:val="center"/>
                              <w:rPr>
                                <w:rFonts w:hint="eastAsia" w:eastAsia="宋体"/>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pPr>
                            <w:r>
                              <w:rPr>
                                <w:rFonts w:hint="eastAsia"/>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树林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3.55pt;margin-top:178.7pt;height:35pt;width:66.1pt;z-index:251708416;v-text-anchor:middle;mso-width-relative:page;mso-height-relative:page;" filled="f" stroked="f" coordsize="21600,21600" o:gfxdata="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HuDeY9oAAAAL&#10;AQAADwAAAAAAAAABACAAAAAiAAAAZHJzL2Rvd25yZXYueG1sUEsBAhQAFAAAAAgAh07iQEubWNZT&#10;AgAAlwQAAA4AAAAAAAAAAQAgAAAAKQEAAGRycy9lMm9Eb2MueG1sUEsFBgAAAAAGAAYAWQEAAO4F&#10;AAAAAA==&#10;">
                <v:fill on="f" focussize="0,0"/>
                <v:stroke on="f" weight="2pt"/>
                <v:imagedata o:title=""/>
                <o:lock v:ext="edit" aspectratio="f"/>
                <v:textbox>
                  <w:txbxContent>
                    <w:p w14:paraId="675ADEB3">
                      <w:pPr>
                        <w:jc w:val="center"/>
                        <w:rPr>
                          <w:rFonts w:hint="eastAsia" w:eastAsia="宋体"/>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pPr>
                      <w:r>
                        <w:rPr>
                          <w:rFonts w:hint="eastAsia"/>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树林</w:t>
                      </w:r>
                    </w:p>
                  </w:txbxContent>
                </v:textbox>
              </v:rect>
            </w:pict>
          </mc:Fallback>
        </mc:AlternateContent>
      </w:r>
      <w:r>
        <w:rPr>
          <w:color w:val="auto"/>
          <w:sz w:val="24"/>
          <w:highlight w:val="none"/>
        </w:rPr>
        <mc:AlternateContent>
          <mc:Choice Requires="wps">
            <w:drawing>
              <wp:anchor distT="0" distB="0" distL="114300" distR="114300" simplePos="0" relativeHeight="251707392" behindDoc="0" locked="0" layoutInCell="1" allowOverlap="1">
                <wp:simplePos x="0" y="0"/>
                <wp:positionH relativeFrom="column">
                  <wp:posOffset>2898140</wp:posOffset>
                </wp:positionH>
                <wp:positionV relativeFrom="paragraph">
                  <wp:posOffset>2794635</wp:posOffset>
                </wp:positionV>
                <wp:extent cx="839470" cy="444500"/>
                <wp:effectExtent l="0" t="0" r="0" b="0"/>
                <wp:wrapNone/>
                <wp:docPr id="44" name="矩形 44"/>
                <wp:cNvGraphicFramePr/>
                <a:graphic xmlns:a="http://schemas.openxmlformats.org/drawingml/2006/main">
                  <a:graphicData uri="http://schemas.microsoft.com/office/word/2010/wordprocessingShape">
                    <wps:wsp>
                      <wps:cNvSpPr/>
                      <wps:spPr>
                        <a:xfrm>
                          <a:off x="3812540" y="3695065"/>
                          <a:ext cx="839470" cy="44450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6317BDFA">
                            <w:pPr>
                              <w:jc w:val="center"/>
                              <w:rPr>
                                <w:rFonts w:hint="eastAsia" w:eastAsia="宋体"/>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pPr>
                            <w:r>
                              <w:rPr>
                                <w:rFonts w:hint="eastAsia"/>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树林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8.2pt;margin-top:220.05pt;height:35pt;width:66.1pt;z-index:251707392;v-text-anchor:middle;mso-width-relative:page;mso-height-relative:page;" filled="f" stroked="f" coordsize="21600,21600" o:gfxdata="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3IEpLNgAAAALAQAADwAAAAAAAAABACAAAAAiAAAAZHJzL2Rvd25yZXYueG1sUEsBAhQAFAAAAAgA&#10;h07iQFVSbjBeAgAAowQAAA4AAAAAAAAAAQAgAAAAJwEAAGRycy9lMm9Eb2MueG1sUEsFBgAAAAAG&#10;AAYAWQEAAPcFAAAAAA==&#10;">
                <v:fill on="f" focussize="0,0"/>
                <v:stroke on="f" weight="2pt"/>
                <v:imagedata o:title=""/>
                <o:lock v:ext="edit" aspectratio="f"/>
                <v:textbox>
                  <w:txbxContent>
                    <w:p w14:paraId="6317BDFA">
                      <w:pPr>
                        <w:jc w:val="center"/>
                        <w:rPr>
                          <w:rFonts w:hint="eastAsia" w:eastAsia="宋体"/>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pPr>
                      <w:r>
                        <w:rPr>
                          <w:rFonts w:hint="eastAsia"/>
                          <w:color w:val="FF0000"/>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树林</w:t>
                      </w:r>
                    </w:p>
                  </w:txbxContent>
                </v:textbox>
              </v:rect>
            </w:pict>
          </mc:Fallback>
        </mc:AlternateContent>
      </w:r>
      <w:r>
        <w:rPr>
          <w:color w:val="auto"/>
          <w:highlight w:val="none"/>
        </w:rPr>
        <w:drawing>
          <wp:inline distT="0" distB="0" distL="114300" distR="114300">
            <wp:extent cx="7159625" cy="5150485"/>
            <wp:effectExtent l="0" t="0" r="3175" b="571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28"/>
                    <a:stretch>
                      <a:fillRect/>
                    </a:stretch>
                  </pic:blipFill>
                  <pic:spPr>
                    <a:xfrm>
                      <a:off x="0" y="0"/>
                      <a:ext cx="7159625" cy="5150485"/>
                    </a:xfrm>
                    <a:prstGeom prst="rect">
                      <a:avLst/>
                    </a:prstGeom>
                    <a:noFill/>
                    <a:ln>
                      <a:noFill/>
                    </a:ln>
                  </pic:spPr>
                </pic:pic>
              </a:graphicData>
            </a:graphic>
          </wp:inline>
        </w:drawing>
      </w:r>
    </w:p>
    <w:p w14:paraId="196ADC1A">
      <w:pPr>
        <w:bidi w:val="0"/>
        <w:jc w:val="center"/>
        <w:rPr>
          <w:rFonts w:hint="eastAsia" w:asciiTheme="minorEastAsia" w:hAnsiTheme="minorEastAsia" w:eastAsiaTheme="minorEastAsia" w:cstheme="minorEastAsia"/>
          <w:b/>
          <w:bCs/>
          <w:color w:val="auto"/>
          <w:highlight w:val="none"/>
        </w:rPr>
        <w:sectPr>
          <w:pgSz w:w="16838" w:h="11906" w:orient="landscape"/>
          <w:pgMar w:top="1418" w:right="1440" w:bottom="1418" w:left="1440" w:header="851" w:footer="992" w:gutter="0"/>
          <w:pgBorders>
            <w:top w:val="none" w:sz="0" w:space="0"/>
            <w:left w:val="none" w:sz="0" w:space="0"/>
            <w:bottom w:val="none" w:sz="0" w:space="0"/>
            <w:right w:val="none" w:sz="0" w:space="0"/>
          </w:pgBorders>
          <w:pgNumType w:fmt="numberInDash"/>
          <w:cols w:space="720" w:num="1"/>
          <w:docGrid w:linePitch="312" w:charSpace="0"/>
        </w:sectPr>
      </w:pPr>
      <w:r>
        <w:rPr>
          <w:rFonts w:hint="eastAsia" w:asciiTheme="minorEastAsia" w:hAnsiTheme="minorEastAsia" w:eastAsiaTheme="minorEastAsia" w:cstheme="minorEastAsia"/>
          <w:b/>
          <w:bCs/>
          <w:color w:val="auto"/>
          <w:highlight w:val="none"/>
        </w:rPr>
        <w:t>图2.</w:t>
      </w:r>
      <w:r>
        <w:rPr>
          <w:rFonts w:hint="eastAsia" w:asciiTheme="minorEastAsia" w:hAnsiTheme="minorEastAsia" w:eastAsiaTheme="minorEastAsia" w:cstheme="minorEastAsia"/>
          <w:b/>
          <w:bCs/>
          <w:color w:val="auto"/>
          <w:highlight w:val="none"/>
          <w:lang w:val="en-US" w:eastAsia="zh-CN"/>
        </w:rPr>
        <w:t>5-2</w:t>
      </w:r>
      <w:r>
        <w:rPr>
          <w:rFonts w:hint="eastAsia" w:asciiTheme="minorEastAsia" w:hAnsiTheme="minorEastAsia" w:eastAsiaTheme="minorEastAsia" w:cstheme="minorEastAsia"/>
          <w:b/>
          <w:bCs/>
          <w:color w:val="auto"/>
          <w:highlight w:val="none"/>
        </w:rPr>
        <w:t xml:space="preserve">  </w:t>
      </w:r>
      <w:r>
        <w:rPr>
          <w:rFonts w:hint="eastAsia" w:asciiTheme="minorEastAsia" w:hAnsiTheme="minorEastAsia" w:eastAsiaTheme="minorEastAsia" w:cstheme="minorEastAsia"/>
          <w:b/>
          <w:bCs/>
          <w:color w:val="auto"/>
          <w:highlight w:val="none"/>
          <w:lang w:val="en-US" w:eastAsia="zh-CN"/>
        </w:rPr>
        <w:t>声、生态和土壤</w:t>
      </w:r>
      <w:r>
        <w:rPr>
          <w:rFonts w:hint="eastAsia" w:asciiTheme="minorEastAsia" w:hAnsiTheme="minorEastAsia" w:eastAsiaTheme="minorEastAsia" w:cstheme="minorEastAsia"/>
          <w:b/>
          <w:bCs/>
          <w:color w:val="auto"/>
          <w:highlight w:val="none"/>
        </w:rPr>
        <w:t>评价范围示意图</w:t>
      </w:r>
    </w:p>
    <w:p w14:paraId="2E2EE9D1">
      <w:pPr>
        <w:pStyle w:val="2"/>
        <w:jc w:val="center"/>
        <w:rPr>
          <w:color w:val="auto"/>
          <w:highlight w:val="none"/>
        </w:rPr>
      </w:pPr>
      <w:r>
        <w:rPr>
          <w:color w:val="auto"/>
          <w:sz w:val="24"/>
          <w:highlight w:val="none"/>
        </w:rPr>
        <mc:AlternateContent>
          <mc:Choice Requires="wps">
            <w:drawing>
              <wp:anchor distT="0" distB="0" distL="114300" distR="114300" simplePos="0" relativeHeight="251719680" behindDoc="0" locked="0" layoutInCell="1" allowOverlap="1">
                <wp:simplePos x="0" y="0"/>
                <wp:positionH relativeFrom="column">
                  <wp:posOffset>5894070</wp:posOffset>
                </wp:positionH>
                <wp:positionV relativeFrom="paragraph">
                  <wp:posOffset>4697095</wp:posOffset>
                </wp:positionV>
                <wp:extent cx="523875" cy="0"/>
                <wp:effectExtent l="0" t="12700" r="9525" b="12700"/>
                <wp:wrapNone/>
                <wp:docPr id="154" name="直接连接符 154"/>
                <wp:cNvGraphicFramePr/>
                <a:graphic xmlns:a="http://schemas.openxmlformats.org/drawingml/2006/main">
                  <a:graphicData uri="http://schemas.microsoft.com/office/word/2010/wordprocessingShape">
                    <wps:wsp>
                      <wps:cNvCnPr/>
                      <wps:spPr>
                        <a:xfrm>
                          <a:off x="0" y="0"/>
                          <a:ext cx="523875" cy="0"/>
                        </a:xfrm>
                        <a:prstGeom prst="line">
                          <a:avLst/>
                        </a:prstGeom>
                        <a:ln>
                          <a:solidFill>
                            <a:srgbClr val="00B0F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464.1pt;margin-top:369.85pt;height:0pt;width:41.25pt;z-index:251719680;mso-width-relative:page;mso-height-relative:page;" filled="f" stroked="t" coordsize="21600,21600" o:gfxdata="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Rx7n1NcAAAAMAQAADwAA&#10;AAAAAAABACAAAAAiAAAAZHJzL2Rvd25yZXYueG1sUEsBAhQAFAAAAAgAh07iQIHn5qHeAQAAngMA&#10;AA4AAAAAAAAAAQAgAAAAJgEAAGRycy9lMm9Eb2MueG1sUEsFBgAAAAAGAAYAWQEAAHYFAAAAAA==&#10;">
                <v:fill on="f" focussize="0,0"/>
                <v:stroke weight="2pt" color="#00B0F0 [3204]" joinstyle="round"/>
                <v:imagedata o:title=""/>
                <o:lock v:ext="edit" aspectratio="f"/>
              </v:line>
            </w:pict>
          </mc:Fallback>
        </mc:AlternateContent>
      </w:r>
      <w:r>
        <w:rPr>
          <w:color w:val="auto"/>
          <w:sz w:val="24"/>
          <w:highlight w:val="none"/>
        </w:rPr>
        <mc:AlternateContent>
          <mc:Choice Requires="wps">
            <w:drawing>
              <wp:anchor distT="0" distB="0" distL="114300" distR="114300" simplePos="0" relativeHeight="251718656" behindDoc="0" locked="0" layoutInCell="1" allowOverlap="1">
                <wp:simplePos x="0" y="0"/>
                <wp:positionH relativeFrom="column">
                  <wp:posOffset>5881370</wp:posOffset>
                </wp:positionH>
                <wp:positionV relativeFrom="paragraph">
                  <wp:posOffset>4398645</wp:posOffset>
                </wp:positionV>
                <wp:extent cx="523875" cy="0"/>
                <wp:effectExtent l="0" t="12700" r="9525" b="12700"/>
                <wp:wrapNone/>
                <wp:docPr id="151" name="直接连接符 151"/>
                <wp:cNvGraphicFramePr/>
                <a:graphic xmlns:a="http://schemas.openxmlformats.org/drawingml/2006/main">
                  <a:graphicData uri="http://schemas.microsoft.com/office/word/2010/wordprocessingShape">
                    <wps:wsp>
                      <wps:cNvCnPr/>
                      <wps:spPr>
                        <a:xfrm>
                          <a:off x="0" y="0"/>
                          <a:ext cx="523875" cy="0"/>
                        </a:xfrm>
                        <a:prstGeom prst="line">
                          <a:avLst/>
                        </a:prstGeom>
                        <a:ln>
                          <a:solidFill>
                            <a:srgbClr val="1C2BF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463.1pt;margin-top:346.35pt;height:0pt;width:41.25pt;z-index:251718656;mso-width-relative:page;mso-height-relative:page;" filled="f" stroked="t" coordsize="21600,21600" o:gfxdata="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Et6t0DaAAAADAEA&#10;AA8AAAAAAAAAAQAgAAAAIgAAAGRycy9kb3ducmV2LnhtbFBLAQIUABQAAAAIAIdO4kBK0F923wEA&#10;AJ4DAAAOAAAAAAAAAAEAIAAAACkBAABkcnMvZTJvRG9jLnhtbFBLBQYAAAAABgAGAFkBAAB6BQAA&#10;AAA=&#10;">
                <v:fill on="f" focussize="0,0"/>
                <v:stroke weight="2pt" color="#1C2BF0 [3204]" joinstyle="round"/>
                <v:imagedata o:title=""/>
                <o:lock v:ext="edit" aspectratio="f"/>
              </v:line>
            </w:pict>
          </mc:Fallback>
        </mc:AlternateContent>
      </w:r>
      <w:r>
        <w:rPr>
          <w:color w:val="auto"/>
          <w:sz w:val="24"/>
          <w:highlight w:val="none"/>
        </w:rPr>
        <mc:AlternateContent>
          <mc:Choice Requires="wps">
            <w:drawing>
              <wp:anchor distT="0" distB="0" distL="114300" distR="114300" simplePos="0" relativeHeight="251717632" behindDoc="0" locked="0" layoutInCell="1" allowOverlap="1">
                <wp:simplePos x="0" y="0"/>
                <wp:positionH relativeFrom="column">
                  <wp:posOffset>5788025</wp:posOffset>
                </wp:positionH>
                <wp:positionV relativeFrom="paragraph">
                  <wp:posOffset>3970655</wp:posOffset>
                </wp:positionV>
                <wp:extent cx="1999615" cy="1009015"/>
                <wp:effectExtent l="12700" t="12700" r="19685" b="19685"/>
                <wp:wrapNone/>
                <wp:docPr id="148" name="矩形 148"/>
                <wp:cNvGraphicFramePr/>
                <a:graphic xmlns:a="http://schemas.openxmlformats.org/drawingml/2006/main">
                  <a:graphicData uri="http://schemas.microsoft.com/office/word/2010/wordprocessingShape">
                    <wps:wsp>
                      <wps:cNvSpPr/>
                      <wps:spPr>
                        <a:xfrm>
                          <a:off x="0" y="0"/>
                          <a:ext cx="1999615" cy="1009015"/>
                        </a:xfrm>
                        <a:prstGeom prst="rect">
                          <a:avLst/>
                        </a:prstGeom>
                        <a:solidFill>
                          <a:schemeClr val="bg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27DD149">
                            <w:pPr>
                              <w:jc w:val="cente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图例</w:t>
                            </w:r>
                          </w:p>
                          <w:p w14:paraId="48E08ED3">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本项目厂界</w:t>
                            </w:r>
                          </w:p>
                          <w:p w14:paraId="307F8CD9">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地下水评价范围</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55.75pt;margin-top:312.65pt;height:79.45pt;width:157.45pt;z-index:251717632;v-text-anchor:middle;mso-width-relative:page;mso-height-relative:page;" fillcolor="#FFFFFF [3212]" filled="t" stroked="t" coordsize="21600,21600" o:gfxdata="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IyWSXfbAAAADAEAAA8AAAAAAAAAAQAgAAAAIgAAAGRycy9kb3ducmV2&#10;LnhtbFBLAQIUABQAAAAIAIdO4kBl2ql5awIAAO0EAAAOAAAAAAAAAAEAIAAAACoBAABkcnMvZTJv&#10;RG9jLnhtbFBLBQYAAAAABgAGAFkBAAAHBgAAAAA=&#10;">
                <v:fill on="t" focussize="0,0"/>
                <v:stroke weight="2pt" color="#000000 [3213]" joinstyle="round"/>
                <v:imagedata o:title=""/>
                <o:lock v:ext="edit" aspectratio="f"/>
                <v:textbox>
                  <w:txbxContent>
                    <w:p w14:paraId="727DD149">
                      <w:pPr>
                        <w:jc w:val="cente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图例</w:t>
                      </w:r>
                    </w:p>
                    <w:p w14:paraId="48E08ED3">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本项目厂界</w:t>
                      </w:r>
                    </w:p>
                    <w:p w14:paraId="307F8CD9">
                      <w:pPr>
                        <w:pStyle w:val="2"/>
                        <w:rPr>
                          <w:rFonts w:hint="default"/>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 xml:space="preserve">     地下水评价范围</w:t>
                      </w:r>
                    </w:p>
                  </w:txbxContent>
                </v:textbox>
              </v:rect>
            </w:pict>
          </mc:Fallback>
        </mc:AlternateContent>
      </w:r>
      <w:r>
        <w:rPr>
          <w:color w:val="auto"/>
          <w:sz w:val="24"/>
          <w:highlight w:val="none"/>
        </w:rPr>
        <mc:AlternateContent>
          <mc:Choice Requires="wps">
            <w:drawing>
              <wp:anchor distT="0" distB="0" distL="114300" distR="114300" simplePos="0" relativeHeight="251716608" behindDoc="0" locked="0" layoutInCell="1" allowOverlap="1">
                <wp:simplePos x="0" y="0"/>
                <wp:positionH relativeFrom="column">
                  <wp:posOffset>1221740</wp:posOffset>
                </wp:positionH>
                <wp:positionV relativeFrom="paragraph">
                  <wp:posOffset>3136265</wp:posOffset>
                </wp:positionV>
                <wp:extent cx="1339850" cy="571500"/>
                <wp:effectExtent l="0" t="0" r="0" b="0"/>
                <wp:wrapNone/>
                <wp:docPr id="146" name="矩形 146"/>
                <wp:cNvGraphicFramePr/>
                <a:graphic xmlns:a="http://schemas.openxmlformats.org/drawingml/2006/main">
                  <a:graphicData uri="http://schemas.microsoft.com/office/word/2010/wordprocessingShape">
                    <wps:wsp>
                      <wps:cNvSpPr/>
                      <wps:spPr>
                        <a:xfrm>
                          <a:off x="2066290" y="4176395"/>
                          <a:ext cx="1339850" cy="57150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66C03E9C">
                            <w:pPr>
                              <w:jc w:val="center"/>
                              <w:rPr>
                                <w:rFonts w:hint="eastAsia" w:eastAsia="宋体"/>
                                <w:lang w:val="en-US" w:eastAsia="zh-CN"/>
                              </w:rPr>
                            </w:pPr>
                            <w:r>
                              <w:rPr>
                                <w:rFonts w:hint="eastAsia"/>
                                <w:lang w:val="en-US" w:eastAsia="zh-CN"/>
                              </w:rPr>
                              <w:t>地下水流向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6.2pt;margin-top:246.95pt;height:45pt;width:105.5pt;z-index:251716608;v-text-anchor:middle;mso-width-relative:page;mso-height-relative:page;" filled="f" stroked="f" coordsize="21600,21600" o:gfxdata="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GUFpSNkAAAALAQAADwAAAAAAAAABACAAAAAiAAAAZHJzL2Rvd25yZXYueG1sUEsBAhQA&#10;FAAAAAgAh07iQKRfloljAgAApgQAAA4AAAAAAAAAAQAgAAAAKAEAAGRycy9lMm9Eb2MueG1sUEsF&#10;BgAAAAAGAAYAWQEAAP0FAAAAAA==&#10;">
                <v:fill on="f" focussize="0,0"/>
                <v:stroke on="f" weight="2pt"/>
                <v:imagedata o:title=""/>
                <o:lock v:ext="edit" aspectratio="f"/>
                <v:textbox>
                  <w:txbxContent>
                    <w:p w14:paraId="66C03E9C">
                      <w:pPr>
                        <w:jc w:val="center"/>
                        <w:rPr>
                          <w:rFonts w:hint="eastAsia" w:eastAsia="宋体"/>
                          <w:lang w:val="en-US" w:eastAsia="zh-CN"/>
                        </w:rPr>
                      </w:pPr>
                      <w:r>
                        <w:rPr>
                          <w:rFonts w:hint="eastAsia"/>
                          <w:lang w:val="en-US" w:eastAsia="zh-CN"/>
                        </w:rPr>
                        <w:t>地下水流向</w:t>
                      </w:r>
                    </w:p>
                  </w:txbxContent>
                </v:textbox>
              </v:rect>
            </w:pict>
          </mc:Fallback>
        </mc:AlternateContent>
      </w:r>
      <w:r>
        <w:rPr>
          <w:color w:val="auto"/>
          <w:sz w:val="24"/>
          <w:highlight w:val="none"/>
        </w:rPr>
        <mc:AlternateContent>
          <mc:Choice Requires="wps">
            <w:drawing>
              <wp:anchor distT="0" distB="0" distL="114300" distR="114300" simplePos="0" relativeHeight="251715584" behindDoc="0" locked="0" layoutInCell="1" allowOverlap="1">
                <wp:simplePos x="0" y="0"/>
                <wp:positionH relativeFrom="column">
                  <wp:posOffset>1996440</wp:posOffset>
                </wp:positionH>
                <wp:positionV relativeFrom="paragraph">
                  <wp:posOffset>2729865</wp:posOffset>
                </wp:positionV>
                <wp:extent cx="342900" cy="1092200"/>
                <wp:effectExtent l="12065" t="0" r="26035" b="12700"/>
                <wp:wrapNone/>
                <wp:docPr id="135" name="直接箭头连接符 135"/>
                <wp:cNvGraphicFramePr/>
                <a:graphic xmlns:a="http://schemas.openxmlformats.org/drawingml/2006/main">
                  <a:graphicData uri="http://schemas.microsoft.com/office/word/2010/wordprocessingShape">
                    <wps:wsp>
                      <wps:cNvCnPr/>
                      <wps:spPr>
                        <a:xfrm flipV="1">
                          <a:off x="2910840" y="3630295"/>
                          <a:ext cx="342900" cy="1092200"/>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57.2pt;margin-top:214.95pt;height:86pt;width:27pt;z-index:251715584;mso-width-relative:page;mso-height-relative:page;" filled="f" stroked="t" coordsize="21600,21600" o:gfxdata="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8y+RudoAAAALAQAADwAA&#10;AAAAAAABACAAAAAiAAAAZHJzL2Rvd25yZXYueG1sUEsBAhQAFAAAAAgAh07iQH7QlpYUAgAA5wMA&#10;AA4AAAAAAAAAAQAgAAAAKQEAAGRycy9lMm9Eb2MueG1sUEsFBgAAAAAGAAYAWQEAAK8FAAAAAA==&#10;">
                <v:fill on="f" focussize="0,0"/>
                <v:stroke weight="2pt" color="#FF0000 [3204]" joinstyle="round" endarrow="open"/>
                <v:imagedata o:title=""/>
                <o:lock v:ext="edit" aspectratio="f"/>
              </v:shape>
            </w:pict>
          </mc:Fallback>
        </mc:AlternateContent>
      </w:r>
      <w:r>
        <w:rPr>
          <w:color w:val="auto"/>
          <w:highlight w:val="none"/>
        </w:rPr>
        <w:drawing>
          <wp:anchor distT="0" distB="0" distL="114300" distR="114300" simplePos="0" relativeHeight="251714560" behindDoc="0" locked="0" layoutInCell="1" allowOverlap="1">
            <wp:simplePos x="0" y="0"/>
            <wp:positionH relativeFrom="column">
              <wp:posOffset>7013575</wp:posOffset>
            </wp:positionH>
            <wp:positionV relativeFrom="paragraph">
              <wp:posOffset>18415</wp:posOffset>
            </wp:positionV>
            <wp:extent cx="724535" cy="716915"/>
            <wp:effectExtent l="0" t="0" r="12065" b="6985"/>
            <wp:wrapNone/>
            <wp:docPr id="1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9"/>
                    <pic:cNvPicPr>
                      <a:picLocks noChangeAspect="1"/>
                    </pic:cNvPicPr>
                  </pic:nvPicPr>
                  <pic:blipFill>
                    <a:blip r:embed="rId26"/>
                    <a:stretch>
                      <a:fillRect/>
                    </a:stretch>
                  </pic:blipFill>
                  <pic:spPr>
                    <a:xfrm>
                      <a:off x="0" y="0"/>
                      <a:ext cx="724535" cy="716915"/>
                    </a:xfrm>
                    <a:prstGeom prst="rect">
                      <a:avLst/>
                    </a:prstGeom>
                    <a:noFill/>
                    <a:ln>
                      <a:noFill/>
                    </a:ln>
                  </pic:spPr>
                </pic:pic>
              </a:graphicData>
            </a:graphic>
          </wp:anchor>
        </w:drawing>
      </w:r>
      <w:r>
        <w:rPr>
          <w:color w:val="auto"/>
          <w:highlight w:val="none"/>
        </w:rPr>
        <w:drawing>
          <wp:inline distT="0" distB="0" distL="114300" distR="114300">
            <wp:extent cx="6594475" cy="5028565"/>
            <wp:effectExtent l="0" t="0" r="9525" b="635"/>
            <wp:docPr id="1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2"/>
                    <pic:cNvPicPr>
                      <a:picLocks noChangeAspect="1"/>
                    </pic:cNvPicPr>
                  </pic:nvPicPr>
                  <pic:blipFill>
                    <a:blip r:embed="rId29"/>
                    <a:stretch>
                      <a:fillRect/>
                    </a:stretch>
                  </pic:blipFill>
                  <pic:spPr>
                    <a:xfrm>
                      <a:off x="0" y="0"/>
                      <a:ext cx="6594475" cy="5028565"/>
                    </a:xfrm>
                    <a:prstGeom prst="rect">
                      <a:avLst/>
                    </a:prstGeom>
                    <a:noFill/>
                    <a:ln>
                      <a:noFill/>
                    </a:ln>
                  </pic:spPr>
                </pic:pic>
              </a:graphicData>
            </a:graphic>
          </wp:inline>
        </w:drawing>
      </w:r>
    </w:p>
    <w:p w14:paraId="331AD763">
      <w:pPr>
        <w:pStyle w:val="2"/>
        <w:jc w:val="center"/>
        <w:rPr>
          <w:rFonts w:hint="eastAsia"/>
          <w:color w:val="auto"/>
          <w:highlight w:val="none"/>
        </w:rPr>
        <w:sectPr>
          <w:pgSz w:w="16838" w:h="11906" w:orient="landscape"/>
          <w:pgMar w:top="1418" w:right="1440" w:bottom="1418" w:left="1440" w:header="851" w:footer="992" w:gutter="0"/>
          <w:pgBorders>
            <w:top w:val="none" w:sz="0" w:space="0"/>
            <w:left w:val="none" w:sz="0" w:space="0"/>
            <w:bottom w:val="none" w:sz="0" w:space="0"/>
            <w:right w:val="none" w:sz="0" w:space="0"/>
          </w:pgBorders>
          <w:pgNumType w:fmt="numberInDash"/>
          <w:cols w:space="720" w:num="1"/>
          <w:docGrid w:linePitch="312" w:charSpace="0"/>
        </w:sectPr>
      </w:pPr>
      <w:r>
        <w:rPr>
          <w:rFonts w:hint="eastAsia" w:asciiTheme="minorEastAsia" w:hAnsiTheme="minorEastAsia" w:eastAsiaTheme="minorEastAsia" w:cstheme="minorEastAsia"/>
          <w:b/>
          <w:bCs/>
          <w:color w:val="auto"/>
          <w:highlight w:val="none"/>
        </w:rPr>
        <w:t>图2.</w:t>
      </w:r>
      <w:r>
        <w:rPr>
          <w:rFonts w:hint="eastAsia" w:asciiTheme="minorEastAsia" w:hAnsiTheme="minorEastAsia" w:eastAsiaTheme="minorEastAsia" w:cstheme="minorEastAsia"/>
          <w:b/>
          <w:bCs/>
          <w:color w:val="auto"/>
          <w:highlight w:val="none"/>
          <w:lang w:val="en-US" w:eastAsia="zh-CN"/>
        </w:rPr>
        <w:t>5-3</w:t>
      </w:r>
      <w:r>
        <w:rPr>
          <w:rFonts w:hint="eastAsia" w:asciiTheme="minorEastAsia" w:hAnsiTheme="minorEastAsia" w:eastAsiaTheme="minorEastAsia" w:cstheme="minorEastAsia"/>
          <w:b/>
          <w:bCs/>
          <w:color w:val="auto"/>
          <w:highlight w:val="none"/>
        </w:rPr>
        <w:t xml:space="preserve">  </w:t>
      </w:r>
      <w:r>
        <w:rPr>
          <w:rFonts w:hint="eastAsia" w:asciiTheme="minorEastAsia" w:hAnsiTheme="minorEastAsia" w:eastAsiaTheme="minorEastAsia" w:cstheme="minorEastAsia"/>
          <w:b/>
          <w:bCs/>
          <w:color w:val="auto"/>
          <w:highlight w:val="none"/>
          <w:lang w:val="en-US" w:eastAsia="zh-CN"/>
        </w:rPr>
        <w:t>地下水</w:t>
      </w:r>
      <w:r>
        <w:rPr>
          <w:rFonts w:hint="eastAsia" w:asciiTheme="minorEastAsia" w:hAnsiTheme="minorEastAsia" w:eastAsiaTheme="minorEastAsia" w:cstheme="minorEastAsia"/>
          <w:b/>
          <w:bCs/>
          <w:color w:val="auto"/>
          <w:highlight w:val="none"/>
        </w:rPr>
        <w:t>评价范围示意图</w:t>
      </w:r>
    </w:p>
    <w:p w14:paraId="37204320">
      <w:pPr>
        <w:pStyle w:val="6"/>
        <w:keepNext w:val="0"/>
        <w:keepLines w:val="0"/>
        <w:widowControl w:val="0"/>
        <w:snapToGrid w:val="0"/>
        <w:spacing w:before="0" w:after="0" w:line="360" w:lineRule="auto"/>
        <w:rPr>
          <w:rFonts w:hint="eastAsia" w:asciiTheme="minorEastAsia" w:hAnsiTheme="minorEastAsia" w:eastAsiaTheme="minorEastAsia" w:cstheme="minorEastAsia"/>
          <w:color w:val="auto"/>
          <w:highlight w:val="none"/>
        </w:rPr>
      </w:pPr>
      <w:bookmarkStart w:id="276" w:name="_Toc525827428"/>
      <w:bookmarkStart w:id="277" w:name="_Toc9123"/>
      <w:bookmarkStart w:id="278" w:name="_Toc13153"/>
      <w:bookmarkStart w:id="279" w:name="_Toc30601"/>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6</w:t>
      </w:r>
      <w:r>
        <w:rPr>
          <w:rFonts w:hint="eastAsia" w:asciiTheme="minorEastAsia" w:hAnsiTheme="minorEastAsia" w:eastAsiaTheme="minorEastAsia" w:cstheme="minorEastAsia"/>
          <w:color w:val="auto"/>
          <w:highlight w:val="none"/>
        </w:rPr>
        <w:t>环境保护目标</w:t>
      </w:r>
      <w:bookmarkEnd w:id="276"/>
      <w:bookmarkEnd w:id="277"/>
      <w:bookmarkEnd w:id="278"/>
      <w:bookmarkEnd w:id="279"/>
    </w:p>
    <w:p w14:paraId="4982D266">
      <w:pPr>
        <w:pStyle w:val="374"/>
        <w:autoSpaceDE w:val="0"/>
        <w:autoSpaceDN w:val="0"/>
        <w:spacing w:line="360" w:lineRule="auto"/>
        <w:ind w:firstLine="480" w:firstLineChars="200"/>
        <w:jc w:val="both"/>
        <w:textAlignment w:val="bottom"/>
        <w:rPr>
          <w:rFonts w:hint="eastAsia" w:asciiTheme="minorEastAsia" w:hAnsiTheme="minorEastAsia" w:eastAsiaTheme="minorEastAsia" w:cstheme="minorEastAsia"/>
          <w:color w:val="auto"/>
          <w:highlight w:val="none"/>
        </w:rPr>
      </w:pPr>
      <w:bookmarkStart w:id="280" w:name="_Hlk40356407"/>
      <w:r>
        <w:rPr>
          <w:rFonts w:hint="eastAsia" w:asciiTheme="minorEastAsia" w:hAnsiTheme="minorEastAsia" w:eastAsiaTheme="minorEastAsia" w:cstheme="minorEastAsia"/>
          <w:color w:val="auto"/>
          <w:highlight w:val="none"/>
        </w:rPr>
        <w:t>本项目不在国家法律、法规、规章和规划确定或县级及以上人民政府规定的自然保护区、风景名胜区、饮用水源保护区、基本农田保护区和其他需要特别保护的区域内。</w:t>
      </w:r>
    </w:p>
    <w:bookmarkEnd w:id="280"/>
    <w:p w14:paraId="1CE0D1AD">
      <w:pPr>
        <w:widowControl w:val="0"/>
        <w:snapToGrid w:val="0"/>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依据回填区评价范围确定本项目环境保护目标如下：</w:t>
      </w:r>
    </w:p>
    <w:p w14:paraId="635D5251">
      <w:pPr>
        <w:widowControl w:val="0"/>
        <w:snapToGrid w:val="0"/>
        <w:spacing w:line="240" w:lineRule="auto"/>
        <w:jc w:val="center"/>
        <w:rPr>
          <w:rFonts w:hint="eastAsia" w:asciiTheme="minorEastAsia" w:hAnsiTheme="minorEastAsia" w:eastAsiaTheme="minorEastAsia" w:cstheme="minorEastAsia"/>
          <w:b/>
          <w:bCs/>
          <w:snapToGrid w:val="0"/>
          <w:color w:val="auto"/>
          <w:highlight w:val="none"/>
        </w:rPr>
      </w:pPr>
      <w:r>
        <w:rPr>
          <w:rFonts w:hint="eastAsia" w:asciiTheme="minorEastAsia" w:hAnsiTheme="minorEastAsia" w:eastAsiaTheme="minorEastAsia" w:cstheme="minorEastAsia"/>
          <w:b/>
          <w:bCs/>
          <w:color w:val="auto"/>
          <w:szCs w:val="24"/>
          <w:highlight w:val="none"/>
        </w:rPr>
        <w:t>表2</w:t>
      </w:r>
      <w:r>
        <w:rPr>
          <w:rFonts w:hint="eastAsia" w:asciiTheme="minorEastAsia" w:hAnsiTheme="minorEastAsia" w:eastAsiaTheme="minorEastAsia" w:cstheme="minorEastAsia"/>
          <w:b/>
          <w:bCs/>
          <w:color w:val="auto"/>
          <w:szCs w:val="24"/>
          <w:highlight w:val="none"/>
          <w:lang w:val="en-US" w:eastAsia="zh-CN"/>
        </w:rPr>
        <w:t>.6</w:t>
      </w:r>
      <w:r>
        <w:rPr>
          <w:rFonts w:hint="eastAsia" w:asciiTheme="minorEastAsia" w:hAnsiTheme="minorEastAsia" w:eastAsiaTheme="minorEastAsia" w:cstheme="minorEastAsia"/>
          <w:b/>
          <w:bCs/>
          <w:color w:val="auto"/>
          <w:szCs w:val="24"/>
          <w:highlight w:val="none"/>
        </w:rPr>
        <w:t>-1</w:t>
      </w:r>
      <w:r>
        <w:rPr>
          <w:rFonts w:hint="eastAsia" w:asciiTheme="minorEastAsia" w:hAnsiTheme="minorEastAsia" w:eastAsiaTheme="minorEastAsia" w:cstheme="minorEastAsia"/>
          <w:b/>
          <w:bCs/>
          <w:color w:val="auto"/>
          <w:szCs w:val="24"/>
          <w:highlight w:val="none"/>
          <w:lang w:val="en-US" w:eastAsia="zh-CN"/>
        </w:rPr>
        <w:t xml:space="preserve">  环境空气主要环境保护目标</w:t>
      </w:r>
    </w:p>
    <w:tbl>
      <w:tblPr>
        <w:tblStyle w:val="84"/>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455"/>
        <w:gridCol w:w="1355"/>
        <w:gridCol w:w="1374"/>
        <w:gridCol w:w="1270"/>
        <w:gridCol w:w="736"/>
        <w:gridCol w:w="453"/>
        <w:gridCol w:w="704"/>
        <w:gridCol w:w="1094"/>
        <w:gridCol w:w="979"/>
      </w:tblGrid>
      <w:tr w14:paraId="6FA948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tblHeader/>
        </w:trPr>
        <w:tc>
          <w:tcPr>
            <w:tcW w:w="270" w:type="pct"/>
            <w:vMerge w:val="restart"/>
            <w:tcBorders>
              <w:tl2br w:val="nil"/>
              <w:tr2bl w:val="nil"/>
            </w:tcBorders>
            <w:vAlign w:val="center"/>
          </w:tcPr>
          <w:p w14:paraId="3BDA5F7E">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bookmarkStart w:id="281" w:name="_Hlk40356280"/>
            <w:r>
              <w:rPr>
                <w:rFonts w:hint="eastAsia" w:asciiTheme="minorEastAsia" w:hAnsiTheme="minorEastAsia" w:eastAsiaTheme="minorEastAsia" w:cstheme="minorEastAsia"/>
                <w:b w:val="0"/>
                <w:bCs w:val="0"/>
                <w:color w:val="auto"/>
                <w:kern w:val="0"/>
                <w:sz w:val="21"/>
                <w:szCs w:val="21"/>
                <w:highlight w:val="none"/>
              </w:rPr>
              <w:t>序号</w:t>
            </w:r>
          </w:p>
        </w:tc>
        <w:tc>
          <w:tcPr>
            <w:tcW w:w="804" w:type="pct"/>
            <w:vMerge w:val="restart"/>
            <w:tcBorders>
              <w:tl2br w:val="nil"/>
              <w:tr2bl w:val="nil"/>
            </w:tcBorders>
            <w:vAlign w:val="center"/>
          </w:tcPr>
          <w:p w14:paraId="68258B93">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r>
              <w:rPr>
                <w:rFonts w:hint="eastAsia" w:asciiTheme="minorEastAsia" w:hAnsiTheme="minorEastAsia" w:eastAsiaTheme="minorEastAsia" w:cstheme="minorEastAsia"/>
                <w:b w:val="0"/>
                <w:bCs w:val="0"/>
                <w:color w:val="auto"/>
                <w:kern w:val="0"/>
                <w:sz w:val="21"/>
                <w:szCs w:val="21"/>
                <w:highlight w:val="none"/>
              </w:rPr>
              <w:t>名称</w:t>
            </w:r>
          </w:p>
        </w:tc>
        <w:tc>
          <w:tcPr>
            <w:tcW w:w="1569" w:type="pct"/>
            <w:gridSpan w:val="2"/>
            <w:tcBorders>
              <w:tl2br w:val="nil"/>
              <w:tr2bl w:val="nil"/>
            </w:tcBorders>
            <w:shd w:val="clear" w:color="auto" w:fill="auto"/>
            <w:vAlign w:val="center"/>
          </w:tcPr>
          <w:p w14:paraId="7876B288">
            <w:pPr>
              <w:pStyle w:val="33"/>
              <w:keepNext w:val="0"/>
              <w:keepLines w:val="0"/>
              <w:widowControl w:val="0"/>
              <w:suppressLineNumbers w:val="0"/>
              <w:snapToGrid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0"/>
                <w:sz w:val="21"/>
                <w:szCs w:val="21"/>
                <w:highlight w:val="none"/>
                <w:lang w:val="en-US" w:eastAsia="zh-CN" w:bidi="ar-SA"/>
              </w:rPr>
            </w:pPr>
            <w:r>
              <w:rPr>
                <w:rFonts w:hint="eastAsia" w:asciiTheme="minorEastAsia" w:hAnsiTheme="minorEastAsia" w:eastAsiaTheme="minorEastAsia" w:cstheme="minorEastAsia"/>
                <w:b w:val="0"/>
                <w:bCs w:val="0"/>
                <w:color w:val="auto"/>
                <w:kern w:val="0"/>
                <w:sz w:val="21"/>
                <w:szCs w:val="21"/>
                <w:highlight w:val="none"/>
              </w:rPr>
              <w:t>坐标/</w:t>
            </w:r>
            <w:r>
              <w:rPr>
                <w:rFonts w:hint="eastAsia" w:asciiTheme="minorEastAsia" w:hAnsiTheme="minorEastAsia" w:eastAsiaTheme="minorEastAsia" w:cstheme="minorEastAsia"/>
                <w:b w:val="0"/>
                <w:bCs w:val="0"/>
                <w:color w:val="auto"/>
                <w:sz w:val="21"/>
                <w:szCs w:val="21"/>
                <w:highlight w:val="none"/>
              </w:rPr>
              <w:t>°</w:t>
            </w:r>
          </w:p>
        </w:tc>
        <w:tc>
          <w:tcPr>
            <w:tcW w:w="437" w:type="pct"/>
            <w:vMerge w:val="restart"/>
            <w:tcBorders>
              <w:tl2br w:val="nil"/>
              <w:tr2bl w:val="nil"/>
            </w:tcBorders>
            <w:vAlign w:val="center"/>
          </w:tcPr>
          <w:p w14:paraId="4340D91C">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r>
              <w:rPr>
                <w:rFonts w:hint="eastAsia" w:asciiTheme="minorEastAsia" w:hAnsiTheme="minorEastAsia" w:eastAsiaTheme="minorEastAsia" w:cstheme="minorEastAsia"/>
                <w:b w:val="0"/>
                <w:bCs w:val="0"/>
                <w:color w:val="auto"/>
                <w:kern w:val="0"/>
                <w:sz w:val="21"/>
                <w:szCs w:val="21"/>
                <w:highlight w:val="none"/>
              </w:rPr>
              <w:t>保护内容</w:t>
            </w:r>
          </w:p>
        </w:tc>
        <w:tc>
          <w:tcPr>
            <w:tcW w:w="269" w:type="pct"/>
            <w:vMerge w:val="restart"/>
            <w:tcBorders>
              <w:tl2br w:val="nil"/>
              <w:tr2bl w:val="nil"/>
            </w:tcBorders>
            <w:vAlign w:val="center"/>
          </w:tcPr>
          <w:p w14:paraId="16CB4567">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r>
              <w:rPr>
                <w:rFonts w:hint="eastAsia" w:asciiTheme="minorEastAsia" w:hAnsiTheme="minorEastAsia" w:eastAsiaTheme="minorEastAsia" w:cstheme="minorEastAsia"/>
                <w:b w:val="0"/>
                <w:bCs w:val="0"/>
                <w:color w:val="auto"/>
                <w:kern w:val="0"/>
                <w:sz w:val="21"/>
                <w:szCs w:val="21"/>
                <w:highlight w:val="none"/>
              </w:rPr>
              <w:t>保护对象</w:t>
            </w:r>
          </w:p>
        </w:tc>
        <w:tc>
          <w:tcPr>
            <w:tcW w:w="418" w:type="pct"/>
            <w:vMerge w:val="restart"/>
            <w:tcBorders>
              <w:tl2br w:val="nil"/>
              <w:tr2bl w:val="nil"/>
            </w:tcBorders>
            <w:vAlign w:val="center"/>
          </w:tcPr>
          <w:p w14:paraId="0CE56DB5">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r>
              <w:rPr>
                <w:rFonts w:hint="eastAsia" w:asciiTheme="minorEastAsia" w:hAnsiTheme="minorEastAsia" w:eastAsiaTheme="minorEastAsia" w:cstheme="minorEastAsia"/>
                <w:b w:val="0"/>
                <w:bCs w:val="0"/>
                <w:color w:val="auto"/>
                <w:kern w:val="0"/>
                <w:sz w:val="21"/>
                <w:szCs w:val="21"/>
                <w:highlight w:val="none"/>
              </w:rPr>
              <w:t>环境功能区</w:t>
            </w:r>
          </w:p>
        </w:tc>
        <w:tc>
          <w:tcPr>
            <w:tcW w:w="649" w:type="pct"/>
            <w:vMerge w:val="restart"/>
            <w:tcBorders>
              <w:tl2br w:val="nil"/>
              <w:tr2bl w:val="nil"/>
            </w:tcBorders>
            <w:vAlign w:val="center"/>
          </w:tcPr>
          <w:p w14:paraId="62B8B40A">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r>
              <w:rPr>
                <w:rFonts w:hint="eastAsia" w:asciiTheme="minorEastAsia" w:hAnsiTheme="minorEastAsia" w:eastAsiaTheme="minorEastAsia" w:cstheme="minorEastAsia"/>
                <w:b w:val="0"/>
                <w:bCs w:val="0"/>
                <w:color w:val="auto"/>
                <w:kern w:val="0"/>
                <w:sz w:val="21"/>
                <w:szCs w:val="21"/>
                <w:highlight w:val="none"/>
              </w:rPr>
              <w:t>相对治理区方位</w:t>
            </w:r>
          </w:p>
        </w:tc>
        <w:tc>
          <w:tcPr>
            <w:tcW w:w="581" w:type="pct"/>
            <w:vMerge w:val="restart"/>
            <w:tcBorders>
              <w:tl2br w:val="nil"/>
              <w:tr2bl w:val="nil"/>
            </w:tcBorders>
            <w:vAlign w:val="center"/>
          </w:tcPr>
          <w:p w14:paraId="073C0605">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r>
              <w:rPr>
                <w:rFonts w:hint="eastAsia" w:asciiTheme="minorEastAsia" w:hAnsiTheme="minorEastAsia" w:eastAsiaTheme="minorEastAsia" w:cstheme="minorEastAsia"/>
                <w:b w:val="0"/>
                <w:bCs w:val="0"/>
                <w:color w:val="auto"/>
                <w:kern w:val="0"/>
                <w:sz w:val="21"/>
                <w:szCs w:val="21"/>
                <w:highlight w:val="none"/>
              </w:rPr>
              <w:t>相对治理区距离/m</w:t>
            </w:r>
          </w:p>
        </w:tc>
      </w:tr>
      <w:tr w14:paraId="0CC972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tblHeader/>
        </w:trPr>
        <w:tc>
          <w:tcPr>
            <w:tcW w:w="270" w:type="pct"/>
            <w:vMerge w:val="continue"/>
            <w:tcBorders>
              <w:tl2br w:val="nil"/>
              <w:tr2bl w:val="nil"/>
            </w:tcBorders>
            <w:vAlign w:val="center"/>
          </w:tcPr>
          <w:p w14:paraId="3AAAA4E9">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c>
          <w:tcPr>
            <w:tcW w:w="804" w:type="pct"/>
            <w:vMerge w:val="continue"/>
            <w:tcBorders>
              <w:tl2br w:val="nil"/>
              <w:tr2bl w:val="nil"/>
            </w:tcBorders>
            <w:vAlign w:val="center"/>
          </w:tcPr>
          <w:p w14:paraId="332055D1">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c>
          <w:tcPr>
            <w:tcW w:w="815" w:type="pct"/>
            <w:tcBorders>
              <w:tl2br w:val="nil"/>
              <w:tr2bl w:val="nil"/>
            </w:tcBorders>
            <w:shd w:val="clear" w:color="auto" w:fill="auto"/>
            <w:vAlign w:val="center"/>
          </w:tcPr>
          <w:p w14:paraId="3480449C">
            <w:pPr>
              <w:pStyle w:val="33"/>
              <w:keepNext w:val="0"/>
              <w:keepLines w:val="0"/>
              <w:widowControl w:val="0"/>
              <w:suppressLineNumbers w:val="0"/>
              <w:snapToGrid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0"/>
                <w:sz w:val="21"/>
                <w:szCs w:val="21"/>
                <w:highlight w:val="none"/>
                <w:lang w:val="en-US" w:eastAsia="zh-CN" w:bidi="ar-SA"/>
              </w:rPr>
            </w:pPr>
            <w:r>
              <w:rPr>
                <w:rFonts w:hint="eastAsia" w:asciiTheme="minorEastAsia" w:hAnsiTheme="minorEastAsia" w:eastAsiaTheme="minorEastAsia" w:cstheme="minorEastAsia"/>
                <w:b w:val="0"/>
                <w:bCs w:val="0"/>
                <w:color w:val="auto"/>
                <w:kern w:val="0"/>
                <w:sz w:val="21"/>
                <w:szCs w:val="21"/>
                <w:highlight w:val="none"/>
              </w:rPr>
              <w:t>东经</w:t>
            </w:r>
          </w:p>
        </w:tc>
        <w:tc>
          <w:tcPr>
            <w:tcW w:w="753" w:type="pct"/>
            <w:tcBorders>
              <w:tl2br w:val="nil"/>
              <w:tr2bl w:val="nil"/>
            </w:tcBorders>
            <w:shd w:val="clear" w:color="auto" w:fill="auto"/>
            <w:vAlign w:val="center"/>
          </w:tcPr>
          <w:p w14:paraId="39AF536F">
            <w:pPr>
              <w:pStyle w:val="33"/>
              <w:keepNext w:val="0"/>
              <w:keepLines w:val="0"/>
              <w:widowControl w:val="0"/>
              <w:suppressLineNumbers w:val="0"/>
              <w:snapToGrid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0"/>
                <w:sz w:val="21"/>
                <w:szCs w:val="21"/>
                <w:highlight w:val="none"/>
                <w:lang w:val="en-US" w:eastAsia="zh-CN" w:bidi="ar-SA"/>
              </w:rPr>
            </w:pPr>
            <w:r>
              <w:rPr>
                <w:rFonts w:hint="eastAsia" w:asciiTheme="minorEastAsia" w:hAnsiTheme="minorEastAsia" w:eastAsiaTheme="minorEastAsia" w:cstheme="minorEastAsia"/>
                <w:b w:val="0"/>
                <w:bCs w:val="0"/>
                <w:color w:val="auto"/>
                <w:kern w:val="0"/>
                <w:sz w:val="21"/>
                <w:szCs w:val="21"/>
                <w:highlight w:val="none"/>
              </w:rPr>
              <w:t>北纬</w:t>
            </w:r>
          </w:p>
        </w:tc>
        <w:tc>
          <w:tcPr>
            <w:tcW w:w="437" w:type="pct"/>
            <w:vMerge w:val="continue"/>
            <w:tcBorders>
              <w:tl2br w:val="nil"/>
              <w:tr2bl w:val="nil"/>
            </w:tcBorders>
            <w:vAlign w:val="center"/>
          </w:tcPr>
          <w:p w14:paraId="76E3A062">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c>
          <w:tcPr>
            <w:tcW w:w="269" w:type="pct"/>
            <w:vMerge w:val="continue"/>
            <w:tcBorders>
              <w:tl2br w:val="nil"/>
              <w:tr2bl w:val="nil"/>
            </w:tcBorders>
            <w:vAlign w:val="center"/>
          </w:tcPr>
          <w:p w14:paraId="2072B21A">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c>
          <w:tcPr>
            <w:tcW w:w="418" w:type="pct"/>
            <w:vMerge w:val="continue"/>
            <w:tcBorders>
              <w:tl2br w:val="nil"/>
              <w:tr2bl w:val="nil"/>
            </w:tcBorders>
            <w:vAlign w:val="center"/>
          </w:tcPr>
          <w:p w14:paraId="5A3C6D7E">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c>
          <w:tcPr>
            <w:tcW w:w="649" w:type="pct"/>
            <w:vMerge w:val="continue"/>
            <w:tcBorders>
              <w:tl2br w:val="nil"/>
              <w:tr2bl w:val="nil"/>
            </w:tcBorders>
            <w:vAlign w:val="center"/>
          </w:tcPr>
          <w:p w14:paraId="7F733EB9">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c>
          <w:tcPr>
            <w:tcW w:w="581" w:type="pct"/>
            <w:vMerge w:val="continue"/>
            <w:tcBorders>
              <w:tl2br w:val="nil"/>
              <w:tr2bl w:val="nil"/>
            </w:tcBorders>
            <w:vAlign w:val="center"/>
          </w:tcPr>
          <w:p w14:paraId="1164C5D6">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r>
      <w:tr w14:paraId="64AF2B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tblHeader/>
        </w:trPr>
        <w:tc>
          <w:tcPr>
            <w:tcW w:w="270" w:type="pct"/>
            <w:tcBorders>
              <w:tl2br w:val="nil"/>
              <w:tr2bl w:val="nil"/>
            </w:tcBorders>
            <w:vAlign w:val="center"/>
          </w:tcPr>
          <w:p w14:paraId="4FDE6C7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w:t>
            </w:r>
          </w:p>
        </w:tc>
        <w:tc>
          <w:tcPr>
            <w:tcW w:w="804" w:type="pct"/>
            <w:tcBorders>
              <w:tl2br w:val="nil"/>
              <w:tr2bl w:val="nil"/>
            </w:tcBorders>
            <w:vAlign w:val="center"/>
          </w:tcPr>
          <w:p w14:paraId="5E9364ED">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元宝村</w:t>
            </w:r>
          </w:p>
        </w:tc>
        <w:tc>
          <w:tcPr>
            <w:tcW w:w="815" w:type="pct"/>
            <w:tcBorders>
              <w:tl2br w:val="nil"/>
              <w:tr2bl w:val="nil"/>
            </w:tcBorders>
            <w:shd w:val="clear" w:color="auto" w:fill="auto"/>
            <w:vAlign w:val="center"/>
          </w:tcPr>
          <w:p w14:paraId="7C3FC107">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128.27829838</w:t>
            </w:r>
          </w:p>
        </w:tc>
        <w:tc>
          <w:tcPr>
            <w:tcW w:w="753" w:type="pct"/>
            <w:tcBorders>
              <w:tl2br w:val="nil"/>
              <w:tr2bl w:val="nil"/>
            </w:tcBorders>
            <w:shd w:val="clear" w:color="auto" w:fill="auto"/>
            <w:vAlign w:val="center"/>
          </w:tcPr>
          <w:p w14:paraId="2B387794">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45.26769843</w:t>
            </w:r>
          </w:p>
        </w:tc>
        <w:tc>
          <w:tcPr>
            <w:tcW w:w="437" w:type="pct"/>
            <w:vMerge w:val="restart"/>
            <w:tcBorders>
              <w:tl2br w:val="nil"/>
              <w:tr2bl w:val="nil"/>
            </w:tcBorders>
            <w:vAlign w:val="center"/>
          </w:tcPr>
          <w:p w14:paraId="06576DFF">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zh-CN" w:eastAsia="zh-CN"/>
              </w:rPr>
              <w:t>农村人群集中区</w:t>
            </w:r>
          </w:p>
        </w:tc>
        <w:tc>
          <w:tcPr>
            <w:tcW w:w="269" w:type="pct"/>
            <w:vMerge w:val="restart"/>
            <w:tcBorders>
              <w:tl2br w:val="nil"/>
              <w:tr2bl w:val="nil"/>
            </w:tcBorders>
            <w:vAlign w:val="center"/>
          </w:tcPr>
          <w:p w14:paraId="6D5E96A7">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环境空气</w:t>
            </w:r>
          </w:p>
        </w:tc>
        <w:tc>
          <w:tcPr>
            <w:tcW w:w="418" w:type="pct"/>
            <w:vMerge w:val="restart"/>
            <w:tcBorders>
              <w:tl2br w:val="nil"/>
              <w:tr2bl w:val="nil"/>
            </w:tcBorders>
            <w:vAlign w:val="center"/>
          </w:tcPr>
          <w:p w14:paraId="4ACBA538">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二类区</w:t>
            </w:r>
          </w:p>
        </w:tc>
        <w:tc>
          <w:tcPr>
            <w:tcW w:w="649" w:type="pct"/>
            <w:tcBorders>
              <w:tl2br w:val="nil"/>
              <w:tr2bl w:val="nil"/>
            </w:tcBorders>
            <w:vAlign w:val="center"/>
          </w:tcPr>
          <w:p w14:paraId="63392C9F">
            <w:pPr>
              <w:pStyle w:val="33"/>
              <w:keepNext w:val="0"/>
              <w:keepLines w:val="0"/>
              <w:widowControl w:val="0"/>
              <w:suppressLineNumbers w:val="0"/>
              <w:snapToGrid w:val="0"/>
              <w:spacing w:before="0" w:beforeAutospacing="0" w:after="0" w:afterAutospacing="0"/>
              <w:ind w:left="0" w:leftChars="0" w:right="0"/>
              <w:jc w:val="center"/>
              <w:rPr>
                <w:rFonts w:hint="default" w:asciiTheme="minorEastAsia" w:hAnsiTheme="minorEastAsia" w:eastAsiaTheme="minorEastAsia" w:cstheme="minorEastAsia"/>
                <w:b w:val="0"/>
                <w:bCs w:val="0"/>
                <w:color w:val="auto"/>
                <w:kern w:val="0"/>
                <w:sz w:val="21"/>
                <w:szCs w:val="21"/>
                <w:highlight w:val="none"/>
                <w:lang w:val="en-US" w:eastAsia="zh-CN"/>
              </w:rPr>
            </w:pPr>
            <w:r>
              <w:rPr>
                <w:rFonts w:hint="eastAsia" w:asciiTheme="minorEastAsia" w:hAnsiTheme="minorEastAsia" w:eastAsiaTheme="minorEastAsia" w:cstheme="minorEastAsia"/>
                <w:b w:val="0"/>
                <w:bCs w:val="0"/>
                <w:color w:val="auto"/>
                <w:kern w:val="0"/>
                <w:sz w:val="21"/>
                <w:szCs w:val="21"/>
                <w:highlight w:val="none"/>
                <w:lang w:val="en-US" w:eastAsia="zh-CN"/>
              </w:rPr>
              <w:t>S</w:t>
            </w:r>
          </w:p>
        </w:tc>
        <w:tc>
          <w:tcPr>
            <w:tcW w:w="581" w:type="pct"/>
            <w:tcBorders>
              <w:tl2br w:val="nil"/>
              <w:tr2bl w:val="nil"/>
            </w:tcBorders>
            <w:vAlign w:val="center"/>
          </w:tcPr>
          <w:p w14:paraId="7A3C6FF8">
            <w:pPr>
              <w:pStyle w:val="33"/>
              <w:keepNext w:val="0"/>
              <w:keepLines w:val="0"/>
              <w:widowControl w:val="0"/>
              <w:suppressLineNumbers w:val="0"/>
              <w:snapToGrid w:val="0"/>
              <w:spacing w:before="0" w:beforeAutospacing="0" w:after="0" w:afterAutospacing="0"/>
              <w:ind w:left="0" w:leftChars="0" w:right="0"/>
              <w:jc w:val="center"/>
              <w:rPr>
                <w:rFonts w:hint="default" w:asciiTheme="minorEastAsia" w:hAnsiTheme="minorEastAsia" w:eastAsiaTheme="minorEastAsia" w:cstheme="minorEastAsia"/>
                <w:b w:val="0"/>
                <w:bCs w:val="0"/>
                <w:color w:val="auto"/>
                <w:kern w:val="0"/>
                <w:sz w:val="21"/>
                <w:szCs w:val="21"/>
                <w:highlight w:val="none"/>
                <w:lang w:val="en-US" w:eastAsia="zh-CN"/>
              </w:rPr>
            </w:pPr>
            <w:r>
              <w:rPr>
                <w:rFonts w:hint="eastAsia" w:asciiTheme="minorEastAsia" w:hAnsiTheme="minorEastAsia" w:eastAsiaTheme="minorEastAsia" w:cstheme="minorEastAsia"/>
                <w:b w:val="0"/>
                <w:bCs w:val="0"/>
                <w:color w:val="auto"/>
                <w:kern w:val="0"/>
                <w:sz w:val="21"/>
                <w:szCs w:val="21"/>
                <w:highlight w:val="none"/>
                <w:lang w:val="en-US" w:eastAsia="zh-CN"/>
              </w:rPr>
              <w:t>350</w:t>
            </w:r>
          </w:p>
        </w:tc>
      </w:tr>
      <w:tr w14:paraId="75BA84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54" w:hRule="atLeast"/>
          <w:tblHeader/>
        </w:trPr>
        <w:tc>
          <w:tcPr>
            <w:tcW w:w="270" w:type="pct"/>
            <w:tcBorders>
              <w:tl2br w:val="nil"/>
              <w:tr2bl w:val="nil"/>
            </w:tcBorders>
            <w:vAlign w:val="center"/>
          </w:tcPr>
          <w:p w14:paraId="719A919A">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2</w:t>
            </w:r>
          </w:p>
        </w:tc>
        <w:tc>
          <w:tcPr>
            <w:tcW w:w="804" w:type="pct"/>
            <w:tcBorders>
              <w:tl2br w:val="nil"/>
              <w:tr2bl w:val="nil"/>
            </w:tcBorders>
            <w:vAlign w:val="center"/>
          </w:tcPr>
          <w:p w14:paraId="0816B01F">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元宝镇</w:t>
            </w:r>
          </w:p>
        </w:tc>
        <w:tc>
          <w:tcPr>
            <w:tcW w:w="815" w:type="pct"/>
            <w:tcBorders>
              <w:tl2br w:val="nil"/>
              <w:tr2bl w:val="nil"/>
            </w:tcBorders>
            <w:vAlign w:val="center"/>
          </w:tcPr>
          <w:p w14:paraId="0466CA7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128.28072309</w:t>
            </w:r>
          </w:p>
        </w:tc>
        <w:tc>
          <w:tcPr>
            <w:tcW w:w="753" w:type="pct"/>
            <w:tcBorders>
              <w:tl2br w:val="nil"/>
              <w:tr2bl w:val="nil"/>
            </w:tcBorders>
            <w:vAlign w:val="center"/>
          </w:tcPr>
          <w:p w14:paraId="7BE2DE66">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45.26322812</w:t>
            </w:r>
          </w:p>
        </w:tc>
        <w:tc>
          <w:tcPr>
            <w:tcW w:w="437" w:type="pct"/>
            <w:vMerge w:val="continue"/>
            <w:tcBorders>
              <w:tl2br w:val="nil"/>
              <w:tr2bl w:val="nil"/>
            </w:tcBorders>
            <w:vAlign w:val="center"/>
          </w:tcPr>
          <w:p w14:paraId="4197836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69" w:type="pct"/>
            <w:vMerge w:val="continue"/>
            <w:tcBorders>
              <w:tl2br w:val="nil"/>
              <w:tr2bl w:val="nil"/>
            </w:tcBorders>
            <w:vAlign w:val="center"/>
          </w:tcPr>
          <w:p w14:paraId="5CBED86F">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18" w:type="pct"/>
            <w:vMerge w:val="continue"/>
            <w:tcBorders>
              <w:tl2br w:val="nil"/>
              <w:tr2bl w:val="nil"/>
            </w:tcBorders>
            <w:vAlign w:val="center"/>
          </w:tcPr>
          <w:p w14:paraId="012C07FA">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49" w:type="pct"/>
            <w:tcBorders>
              <w:tl2br w:val="nil"/>
              <w:tr2bl w:val="nil"/>
            </w:tcBorders>
            <w:vAlign w:val="center"/>
          </w:tcPr>
          <w:p w14:paraId="477B9A61">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kern w:val="0"/>
                <w:sz w:val="21"/>
                <w:szCs w:val="21"/>
                <w:highlight w:val="none"/>
                <w:lang w:val="en-US" w:eastAsia="zh-CN"/>
              </w:rPr>
              <w:t>S</w:t>
            </w:r>
          </w:p>
        </w:tc>
        <w:tc>
          <w:tcPr>
            <w:tcW w:w="581" w:type="pct"/>
            <w:tcBorders>
              <w:tl2br w:val="nil"/>
              <w:tr2bl w:val="nil"/>
            </w:tcBorders>
            <w:vAlign w:val="center"/>
          </w:tcPr>
          <w:p w14:paraId="07B6D1FD">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770</w:t>
            </w:r>
          </w:p>
        </w:tc>
      </w:tr>
      <w:tr w14:paraId="38CBCA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tblHeader/>
        </w:trPr>
        <w:tc>
          <w:tcPr>
            <w:tcW w:w="270" w:type="pct"/>
            <w:tcBorders>
              <w:tl2br w:val="nil"/>
              <w:tr2bl w:val="nil"/>
            </w:tcBorders>
            <w:vAlign w:val="center"/>
          </w:tcPr>
          <w:p w14:paraId="4968AB20">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3</w:t>
            </w:r>
          </w:p>
        </w:tc>
        <w:tc>
          <w:tcPr>
            <w:tcW w:w="804" w:type="pct"/>
            <w:tcBorders>
              <w:tl2br w:val="nil"/>
              <w:tr2bl w:val="nil"/>
            </w:tcBorders>
            <w:vAlign w:val="center"/>
          </w:tcPr>
          <w:p w14:paraId="4FBE395D">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洪福村</w:t>
            </w:r>
          </w:p>
        </w:tc>
        <w:tc>
          <w:tcPr>
            <w:tcW w:w="815" w:type="pct"/>
            <w:tcBorders>
              <w:tl2br w:val="nil"/>
              <w:tr2bl w:val="nil"/>
            </w:tcBorders>
            <w:vAlign w:val="center"/>
          </w:tcPr>
          <w:p w14:paraId="431075E8">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128.28430653</w:t>
            </w:r>
          </w:p>
        </w:tc>
        <w:tc>
          <w:tcPr>
            <w:tcW w:w="753" w:type="pct"/>
            <w:tcBorders>
              <w:tl2br w:val="nil"/>
              <w:tr2bl w:val="nil"/>
            </w:tcBorders>
            <w:vAlign w:val="center"/>
          </w:tcPr>
          <w:p w14:paraId="6FED25D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45.28071470</w:t>
            </w:r>
          </w:p>
        </w:tc>
        <w:tc>
          <w:tcPr>
            <w:tcW w:w="437" w:type="pct"/>
            <w:vMerge w:val="continue"/>
            <w:tcBorders>
              <w:tl2br w:val="nil"/>
              <w:tr2bl w:val="nil"/>
            </w:tcBorders>
            <w:vAlign w:val="center"/>
          </w:tcPr>
          <w:p w14:paraId="396B6348">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69" w:type="pct"/>
            <w:vMerge w:val="continue"/>
            <w:tcBorders>
              <w:tl2br w:val="nil"/>
              <w:tr2bl w:val="nil"/>
            </w:tcBorders>
            <w:vAlign w:val="center"/>
          </w:tcPr>
          <w:p w14:paraId="0B1C6C87">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18" w:type="pct"/>
            <w:vMerge w:val="continue"/>
            <w:tcBorders>
              <w:tl2br w:val="nil"/>
              <w:tr2bl w:val="nil"/>
            </w:tcBorders>
            <w:vAlign w:val="center"/>
          </w:tcPr>
          <w:p w14:paraId="63FFD3C2">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49" w:type="pct"/>
            <w:tcBorders>
              <w:tl2br w:val="nil"/>
              <w:tr2bl w:val="nil"/>
            </w:tcBorders>
            <w:vAlign w:val="center"/>
          </w:tcPr>
          <w:p w14:paraId="0276D3E1">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NE</w:t>
            </w:r>
          </w:p>
        </w:tc>
        <w:tc>
          <w:tcPr>
            <w:tcW w:w="581" w:type="pct"/>
            <w:tcBorders>
              <w:tl2br w:val="nil"/>
              <w:tr2bl w:val="nil"/>
            </w:tcBorders>
            <w:vAlign w:val="center"/>
          </w:tcPr>
          <w:p w14:paraId="444E4DD9">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1040</w:t>
            </w:r>
          </w:p>
        </w:tc>
      </w:tr>
      <w:tr w14:paraId="3081D2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tblHeader/>
        </w:trPr>
        <w:tc>
          <w:tcPr>
            <w:tcW w:w="270" w:type="pct"/>
            <w:tcBorders>
              <w:tl2br w:val="nil"/>
              <w:tr2bl w:val="nil"/>
            </w:tcBorders>
            <w:vAlign w:val="center"/>
          </w:tcPr>
          <w:p w14:paraId="3505DA10">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w:t>
            </w:r>
          </w:p>
        </w:tc>
        <w:tc>
          <w:tcPr>
            <w:tcW w:w="804" w:type="pct"/>
            <w:tcBorders>
              <w:tl2br w:val="nil"/>
              <w:tr2bl w:val="nil"/>
            </w:tcBorders>
            <w:vAlign w:val="center"/>
          </w:tcPr>
          <w:p w14:paraId="13BD57A7">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金沙屯</w:t>
            </w:r>
          </w:p>
        </w:tc>
        <w:tc>
          <w:tcPr>
            <w:tcW w:w="815" w:type="pct"/>
            <w:tcBorders>
              <w:tl2br w:val="nil"/>
              <w:tr2bl w:val="nil"/>
            </w:tcBorders>
            <w:vAlign w:val="center"/>
          </w:tcPr>
          <w:p w14:paraId="7AA7B595">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128.24800014</w:t>
            </w:r>
          </w:p>
        </w:tc>
        <w:tc>
          <w:tcPr>
            <w:tcW w:w="753" w:type="pct"/>
            <w:tcBorders>
              <w:tl2br w:val="nil"/>
              <w:tr2bl w:val="nil"/>
            </w:tcBorders>
            <w:vAlign w:val="center"/>
          </w:tcPr>
          <w:p w14:paraId="147AB60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45.29273171</w:t>
            </w:r>
          </w:p>
        </w:tc>
        <w:tc>
          <w:tcPr>
            <w:tcW w:w="437" w:type="pct"/>
            <w:vMerge w:val="continue"/>
            <w:tcBorders>
              <w:tl2br w:val="nil"/>
              <w:tr2bl w:val="nil"/>
            </w:tcBorders>
            <w:vAlign w:val="center"/>
          </w:tcPr>
          <w:p w14:paraId="4A03F6CC">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69" w:type="pct"/>
            <w:vMerge w:val="continue"/>
            <w:tcBorders>
              <w:tl2br w:val="nil"/>
              <w:tr2bl w:val="nil"/>
            </w:tcBorders>
            <w:vAlign w:val="center"/>
          </w:tcPr>
          <w:p w14:paraId="7246F562">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18" w:type="pct"/>
            <w:vMerge w:val="continue"/>
            <w:tcBorders>
              <w:tl2br w:val="nil"/>
              <w:tr2bl w:val="nil"/>
            </w:tcBorders>
            <w:vAlign w:val="center"/>
          </w:tcPr>
          <w:p w14:paraId="4709FE95">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49" w:type="pct"/>
            <w:tcBorders>
              <w:tl2br w:val="nil"/>
              <w:tr2bl w:val="nil"/>
            </w:tcBorders>
            <w:vAlign w:val="center"/>
          </w:tcPr>
          <w:p w14:paraId="53F4F545">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rPr>
            </w:pPr>
            <w:r>
              <w:rPr>
                <w:rFonts w:hint="eastAsia" w:asciiTheme="minorEastAsia" w:hAnsiTheme="minorEastAsia" w:eastAsiaTheme="minorEastAsia" w:cstheme="minorEastAsia"/>
                <w:b w:val="0"/>
                <w:bCs w:val="0"/>
                <w:color w:val="auto"/>
                <w:sz w:val="21"/>
                <w:szCs w:val="21"/>
                <w:highlight w:val="none"/>
                <w:lang w:val="en-US" w:eastAsia="zh-CN"/>
              </w:rPr>
              <w:t>NW</w:t>
            </w:r>
          </w:p>
        </w:tc>
        <w:tc>
          <w:tcPr>
            <w:tcW w:w="581" w:type="pct"/>
            <w:tcBorders>
              <w:tl2br w:val="nil"/>
              <w:tr2bl w:val="nil"/>
            </w:tcBorders>
            <w:vAlign w:val="center"/>
          </w:tcPr>
          <w:p w14:paraId="74A1CC15">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3160</w:t>
            </w:r>
          </w:p>
        </w:tc>
      </w:tr>
      <w:bookmarkEnd w:id="281"/>
    </w:tbl>
    <w:p w14:paraId="471135A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snapToGrid w:val="0"/>
          <w:color w:val="auto"/>
          <w:highlight w:val="none"/>
        </w:rPr>
      </w:pPr>
      <w:bookmarkStart w:id="282" w:name="_Hlk40356301"/>
    </w:p>
    <w:p w14:paraId="21F615A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b/>
          <w:snapToGrid w:val="0"/>
          <w:color w:val="auto"/>
          <w:highlight w:val="none"/>
        </w:rPr>
        <w:t>表2</w:t>
      </w:r>
      <w:r>
        <w:rPr>
          <w:rFonts w:hint="eastAsia" w:asciiTheme="minorEastAsia" w:hAnsiTheme="minorEastAsia" w:eastAsiaTheme="minorEastAsia" w:cstheme="minorEastAsia"/>
          <w:b/>
          <w:snapToGrid w:val="0"/>
          <w:color w:val="auto"/>
          <w:highlight w:val="none"/>
          <w:lang w:val="en-US" w:eastAsia="zh-CN"/>
        </w:rPr>
        <w:t>.6</w:t>
      </w:r>
      <w:r>
        <w:rPr>
          <w:rFonts w:hint="eastAsia" w:asciiTheme="minorEastAsia" w:hAnsiTheme="minorEastAsia" w:eastAsiaTheme="minorEastAsia" w:cstheme="minorEastAsia"/>
          <w:b/>
          <w:snapToGrid w:val="0"/>
          <w:color w:val="auto"/>
          <w:highlight w:val="none"/>
        </w:rPr>
        <w:t>-</w:t>
      </w:r>
      <w:r>
        <w:rPr>
          <w:rFonts w:hint="eastAsia" w:asciiTheme="minorEastAsia" w:hAnsiTheme="minorEastAsia" w:eastAsiaTheme="minorEastAsia" w:cstheme="minorEastAsia"/>
          <w:b/>
          <w:snapToGrid w:val="0"/>
          <w:color w:val="auto"/>
          <w:highlight w:val="none"/>
          <w:lang w:val="en-US" w:eastAsia="zh-CN"/>
        </w:rPr>
        <w:t>2  地下水、土壤、生态环境、声环境主要环境保护目标</w:t>
      </w:r>
    </w:p>
    <w:tbl>
      <w:tblPr>
        <w:tblStyle w:val="84"/>
        <w:tblW w:w="499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34"/>
        <w:gridCol w:w="3340"/>
        <w:gridCol w:w="4438"/>
      </w:tblGrid>
      <w:tr w14:paraId="5B83F3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1" w:type="pct"/>
            <w:tcBorders>
              <w:tl2br w:val="nil"/>
              <w:tr2bl w:val="nil"/>
            </w:tcBorders>
            <w:vAlign w:val="center"/>
          </w:tcPr>
          <w:p w14:paraId="2779D005">
            <w:pPr>
              <w:pStyle w:val="148"/>
              <w:keepNext w:val="0"/>
              <w:keepLines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环境要素</w:t>
            </w:r>
          </w:p>
        </w:tc>
        <w:tc>
          <w:tcPr>
            <w:tcW w:w="1961" w:type="pct"/>
            <w:tcBorders>
              <w:tl2br w:val="nil"/>
              <w:tr2bl w:val="nil"/>
            </w:tcBorders>
            <w:vAlign w:val="center"/>
          </w:tcPr>
          <w:p w14:paraId="1A999883">
            <w:pPr>
              <w:pStyle w:val="148"/>
              <w:keepNext w:val="0"/>
              <w:keepLines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rPr>
              <w:t>环境保护对象</w:t>
            </w:r>
            <w:r>
              <w:rPr>
                <w:rFonts w:hint="eastAsia" w:asciiTheme="minorEastAsia" w:hAnsiTheme="minorEastAsia" w:eastAsiaTheme="minorEastAsia" w:cstheme="minorEastAsia"/>
                <w:b w:val="0"/>
                <w:bCs w:val="0"/>
                <w:color w:val="auto"/>
                <w:sz w:val="21"/>
                <w:szCs w:val="21"/>
                <w:highlight w:val="none"/>
                <w:lang w:val="en-US" w:eastAsia="zh-CN"/>
              </w:rPr>
              <w:t>及内容</w:t>
            </w:r>
          </w:p>
        </w:tc>
        <w:tc>
          <w:tcPr>
            <w:tcW w:w="2606" w:type="pct"/>
            <w:tcBorders>
              <w:tl2br w:val="nil"/>
              <w:tr2bl w:val="nil"/>
            </w:tcBorders>
            <w:vAlign w:val="center"/>
          </w:tcPr>
          <w:p w14:paraId="627F43E9">
            <w:pPr>
              <w:pStyle w:val="148"/>
              <w:keepNext w:val="0"/>
              <w:keepLines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环境功能</w:t>
            </w:r>
          </w:p>
        </w:tc>
      </w:tr>
      <w:tr w14:paraId="07E829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1" w:type="pct"/>
            <w:tcBorders>
              <w:tl2br w:val="nil"/>
              <w:tr2bl w:val="nil"/>
            </w:tcBorders>
            <w:vAlign w:val="center"/>
          </w:tcPr>
          <w:p w14:paraId="62F19D69">
            <w:pPr>
              <w:pStyle w:val="148"/>
              <w:keepNext w:val="0"/>
              <w:keepLines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地下水</w:t>
            </w:r>
          </w:p>
        </w:tc>
        <w:tc>
          <w:tcPr>
            <w:tcW w:w="1961" w:type="pct"/>
            <w:tcBorders>
              <w:tl2br w:val="nil"/>
              <w:tr2bl w:val="nil"/>
            </w:tcBorders>
            <w:vAlign w:val="center"/>
          </w:tcPr>
          <w:p w14:paraId="6C4539BA">
            <w:pPr>
              <w:pStyle w:val="148"/>
              <w:keepNext w:val="0"/>
              <w:keepLines w:val="0"/>
              <w:suppressLineNumbers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地下水环境</w:t>
            </w:r>
          </w:p>
        </w:tc>
        <w:tc>
          <w:tcPr>
            <w:tcW w:w="2606" w:type="pct"/>
            <w:tcBorders>
              <w:tl2br w:val="nil"/>
              <w:tr2bl w:val="nil"/>
            </w:tcBorders>
            <w:vAlign w:val="center"/>
          </w:tcPr>
          <w:p w14:paraId="37C9DEB9">
            <w:pPr>
              <w:pStyle w:val="148"/>
              <w:keepNext w:val="0"/>
              <w:keepLines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color w:val="auto"/>
                <w:sz w:val="21"/>
                <w:szCs w:val="21"/>
                <w:highlight w:val="none"/>
              </w:rPr>
              <w:t>《地下水质量标准》（GB/T14848-2017）</w:t>
            </w:r>
            <w:r>
              <w:rPr>
                <w:rFonts w:hint="default" w:ascii="Times New Roman" w:hAnsi="Times New Roman" w:cs="Times New Roman"/>
                <w:color w:val="auto"/>
                <w:sz w:val="21"/>
                <w:szCs w:val="21"/>
                <w:highlight w:val="none"/>
                <w:lang w:eastAsia="zh-CN"/>
              </w:rPr>
              <w:t>Ⅲ</w:t>
            </w:r>
            <w:r>
              <w:rPr>
                <w:rFonts w:hint="eastAsia"/>
                <w:color w:val="auto"/>
                <w:sz w:val="21"/>
                <w:szCs w:val="21"/>
                <w:highlight w:val="none"/>
                <w:lang w:eastAsia="zh-CN"/>
              </w:rPr>
              <w:t>类</w:t>
            </w:r>
          </w:p>
        </w:tc>
      </w:tr>
      <w:tr w14:paraId="3A8913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1" w:type="pct"/>
            <w:tcBorders>
              <w:tl2br w:val="nil"/>
              <w:tr2bl w:val="nil"/>
            </w:tcBorders>
            <w:vAlign w:val="center"/>
          </w:tcPr>
          <w:p w14:paraId="3780CE58">
            <w:pPr>
              <w:pStyle w:val="148"/>
              <w:keepNext w:val="0"/>
              <w:keepLines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生态</w:t>
            </w:r>
          </w:p>
        </w:tc>
        <w:tc>
          <w:tcPr>
            <w:tcW w:w="1961" w:type="pct"/>
            <w:tcBorders>
              <w:tl2br w:val="nil"/>
              <w:tr2bl w:val="nil"/>
            </w:tcBorders>
            <w:vAlign w:val="center"/>
          </w:tcPr>
          <w:p w14:paraId="35C48235">
            <w:pPr>
              <w:keepNext w:val="0"/>
              <w:keepLines w:val="0"/>
              <w:widowControl w:val="0"/>
              <w:suppressLineNumbers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rPr>
            </w:pPr>
            <w:r>
              <w:rPr>
                <w:rFonts w:hint="eastAsia" w:asciiTheme="minorEastAsia" w:hAnsiTheme="minorEastAsia" w:eastAsiaTheme="minorEastAsia" w:cstheme="minorEastAsia"/>
                <w:b w:val="0"/>
                <w:bCs w:val="0"/>
                <w:color w:val="auto"/>
                <w:sz w:val="21"/>
                <w:szCs w:val="21"/>
                <w:highlight w:val="none"/>
              </w:rPr>
              <w:t>回填复垦区外200m范围</w:t>
            </w:r>
            <w:r>
              <w:rPr>
                <w:rFonts w:hint="eastAsia" w:asciiTheme="minorEastAsia" w:hAnsiTheme="minorEastAsia" w:eastAsiaTheme="minorEastAsia" w:cstheme="minorEastAsia"/>
                <w:b w:val="0"/>
                <w:bCs w:val="0"/>
                <w:color w:val="auto"/>
                <w:sz w:val="21"/>
                <w:szCs w:val="21"/>
                <w:highlight w:val="none"/>
                <w:lang w:val="en-US" w:eastAsia="zh-CN"/>
              </w:rPr>
              <w:t>内的农田、林地</w:t>
            </w:r>
          </w:p>
        </w:tc>
        <w:tc>
          <w:tcPr>
            <w:tcW w:w="2606" w:type="pct"/>
            <w:tcBorders>
              <w:tl2br w:val="nil"/>
              <w:tr2bl w:val="nil"/>
            </w:tcBorders>
            <w:vAlign w:val="center"/>
          </w:tcPr>
          <w:p w14:paraId="64B06235">
            <w:pPr>
              <w:keepNext w:val="0"/>
              <w:keepLines w:val="0"/>
              <w:widowControl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保护区域生态系统完整、生态结构稳定，强化或不降低区域生态功能等</w:t>
            </w:r>
          </w:p>
        </w:tc>
      </w:tr>
      <w:tr w14:paraId="7FAC4A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1" w:type="pct"/>
            <w:tcBorders>
              <w:tl2br w:val="nil"/>
              <w:tr2bl w:val="nil"/>
            </w:tcBorders>
            <w:vAlign w:val="center"/>
          </w:tcPr>
          <w:p w14:paraId="605E6F66">
            <w:pPr>
              <w:pStyle w:val="148"/>
              <w:keepNext w:val="0"/>
              <w:keepLines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土壤</w:t>
            </w:r>
          </w:p>
        </w:tc>
        <w:tc>
          <w:tcPr>
            <w:tcW w:w="1961" w:type="pct"/>
            <w:tcBorders>
              <w:tl2br w:val="nil"/>
              <w:tr2bl w:val="nil"/>
            </w:tcBorders>
            <w:vAlign w:val="center"/>
          </w:tcPr>
          <w:p w14:paraId="1A52FB0E">
            <w:pPr>
              <w:keepNext w:val="0"/>
              <w:keepLines w:val="0"/>
              <w:widowControl w:val="0"/>
              <w:suppressLineNumbers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iCs/>
                <w:color w:val="auto"/>
                <w:sz w:val="21"/>
                <w:szCs w:val="21"/>
                <w:highlight w:val="none"/>
              </w:rPr>
              <w:t>回填复垦区</w:t>
            </w:r>
            <w:r>
              <w:rPr>
                <w:rFonts w:hint="eastAsia" w:asciiTheme="minorEastAsia" w:hAnsiTheme="minorEastAsia" w:eastAsiaTheme="minorEastAsia" w:cstheme="minorEastAsia"/>
                <w:color w:val="auto"/>
                <w:sz w:val="21"/>
                <w:szCs w:val="21"/>
                <w:highlight w:val="none"/>
              </w:rPr>
              <w:t>外0.2km范围内</w:t>
            </w:r>
            <w:r>
              <w:rPr>
                <w:rFonts w:hint="eastAsia" w:asciiTheme="minorEastAsia" w:hAnsiTheme="minorEastAsia" w:eastAsiaTheme="minorEastAsia" w:cstheme="minorEastAsia"/>
                <w:color w:val="auto"/>
                <w:sz w:val="21"/>
                <w:szCs w:val="21"/>
                <w:highlight w:val="none"/>
                <w:lang w:val="en-US" w:eastAsia="zh-CN"/>
              </w:rPr>
              <w:t>农田</w:t>
            </w:r>
            <w:r>
              <w:rPr>
                <w:rFonts w:hint="eastAsia" w:asciiTheme="minorEastAsia" w:hAnsiTheme="minorEastAsia" w:eastAsiaTheme="minorEastAsia" w:cstheme="minorEastAsia"/>
                <w:b w:val="0"/>
                <w:bCs w:val="0"/>
                <w:color w:val="auto"/>
                <w:sz w:val="21"/>
                <w:szCs w:val="21"/>
                <w:highlight w:val="none"/>
                <w:lang w:val="en-US" w:eastAsia="zh-CN"/>
              </w:rPr>
              <w:t>、林地</w:t>
            </w:r>
          </w:p>
        </w:tc>
        <w:tc>
          <w:tcPr>
            <w:tcW w:w="2606" w:type="pct"/>
            <w:tcBorders>
              <w:tl2br w:val="nil"/>
              <w:tr2bl w:val="nil"/>
            </w:tcBorders>
            <w:vAlign w:val="center"/>
          </w:tcPr>
          <w:p w14:paraId="1254F116">
            <w:pPr>
              <w:keepNext w:val="0"/>
              <w:keepLines w:val="0"/>
              <w:widowControl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《土壤环境质量农用地土壤污染风险管控标准（试行）》（GB15618-2018）</w:t>
            </w:r>
          </w:p>
        </w:tc>
      </w:tr>
      <w:tr w14:paraId="40620E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1" w:type="pct"/>
            <w:tcBorders>
              <w:tl2br w:val="nil"/>
              <w:tr2bl w:val="nil"/>
            </w:tcBorders>
            <w:vAlign w:val="center"/>
          </w:tcPr>
          <w:p w14:paraId="1A304B2A">
            <w:pPr>
              <w:pStyle w:val="148"/>
              <w:keepNext w:val="0"/>
              <w:keepLines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声环境</w:t>
            </w:r>
          </w:p>
        </w:tc>
        <w:tc>
          <w:tcPr>
            <w:tcW w:w="1961" w:type="pct"/>
            <w:tcBorders>
              <w:tl2br w:val="nil"/>
              <w:tr2bl w:val="nil"/>
            </w:tcBorders>
            <w:vAlign w:val="center"/>
          </w:tcPr>
          <w:p w14:paraId="6F45EEB8">
            <w:pPr>
              <w:keepNext w:val="0"/>
              <w:keepLines w:val="0"/>
              <w:widowControl w:val="0"/>
              <w:suppressLineNumbers w:val="0"/>
              <w:spacing w:before="0" w:beforeAutospacing="0" w:after="0" w:afterAutospacing="0" w:line="240" w:lineRule="auto"/>
              <w:ind w:left="0" w:right="0"/>
              <w:jc w:val="center"/>
              <w:rPr>
                <w:rFonts w:hint="default" w:asciiTheme="minorEastAsia" w:hAnsiTheme="minorEastAsia" w:eastAsiaTheme="minorEastAsia" w:cstheme="minorEastAsia"/>
                <w:iCs/>
                <w:color w:val="auto"/>
                <w:sz w:val="21"/>
                <w:szCs w:val="21"/>
                <w:highlight w:val="none"/>
                <w:lang w:val="en-US" w:eastAsia="zh-CN"/>
              </w:rPr>
            </w:pPr>
            <w:r>
              <w:rPr>
                <w:rFonts w:hint="eastAsia" w:asciiTheme="minorEastAsia" w:hAnsiTheme="minorEastAsia" w:eastAsiaTheme="minorEastAsia" w:cstheme="minorEastAsia"/>
                <w:iCs/>
                <w:color w:val="auto"/>
                <w:sz w:val="21"/>
                <w:szCs w:val="21"/>
                <w:highlight w:val="none"/>
                <w:lang w:val="en-US" w:eastAsia="zh-CN"/>
              </w:rPr>
              <w:t>200m范围内声环境质量</w:t>
            </w:r>
          </w:p>
        </w:tc>
        <w:tc>
          <w:tcPr>
            <w:tcW w:w="2606" w:type="pct"/>
            <w:tcBorders>
              <w:tl2br w:val="nil"/>
              <w:tr2bl w:val="nil"/>
            </w:tcBorders>
            <w:vAlign w:val="center"/>
          </w:tcPr>
          <w:p w14:paraId="7A311820">
            <w:pPr>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eastAsia" w:ascii="Times New Roman" w:hAnsi="Times New Roman" w:eastAsia="宋体" w:cs="Times New Roman"/>
                <w:bCs/>
                <w:color w:val="auto"/>
                <w:kern w:val="2"/>
                <w:sz w:val="21"/>
                <w:szCs w:val="21"/>
                <w:highlight w:val="none"/>
                <w:lang w:val="en-US" w:eastAsia="zh-CN" w:bidi="ar-SA"/>
              </w:rPr>
              <w:t>《</w:t>
            </w:r>
            <w:r>
              <w:rPr>
                <w:rFonts w:hint="default" w:ascii="Times New Roman" w:hAnsi="Times New Roman" w:eastAsia="宋体" w:cs="Times New Roman"/>
                <w:bCs/>
                <w:color w:val="auto"/>
                <w:kern w:val="2"/>
                <w:sz w:val="21"/>
                <w:szCs w:val="21"/>
                <w:highlight w:val="none"/>
                <w:lang w:val="en-US" w:eastAsia="zh-CN" w:bidi="ar-SA"/>
              </w:rPr>
              <w:t>声环境质量标准》（GB3096-2008）</w:t>
            </w:r>
          </w:p>
          <w:p w14:paraId="66648545">
            <w:pPr>
              <w:keepNext w:val="0"/>
              <w:keepLines w:val="0"/>
              <w:widowControl w:val="0"/>
              <w:suppressLineNumbers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cs="Times New Roman"/>
                <w:bCs/>
                <w:color w:val="auto"/>
                <w:sz w:val="21"/>
                <w:szCs w:val="21"/>
                <w:highlight w:val="none"/>
                <w:lang w:val="en-US" w:eastAsia="zh-CN"/>
              </w:rPr>
              <w:t>1</w:t>
            </w:r>
            <w:r>
              <w:rPr>
                <w:rFonts w:hint="default" w:ascii="Times New Roman" w:hAnsi="Times New Roman" w:eastAsia="宋体" w:cs="Times New Roman"/>
                <w:bCs/>
                <w:color w:val="auto"/>
                <w:sz w:val="21"/>
                <w:szCs w:val="21"/>
                <w:highlight w:val="none"/>
              </w:rPr>
              <w:t>类</w:t>
            </w:r>
            <w:r>
              <w:rPr>
                <w:rFonts w:hint="eastAsia" w:ascii="Times New Roman" w:hAnsi="Times New Roman" w:eastAsia="宋体" w:cs="Times New Roman"/>
                <w:bCs/>
                <w:color w:val="auto"/>
                <w:sz w:val="21"/>
                <w:szCs w:val="21"/>
                <w:highlight w:val="none"/>
                <w:lang w:val="en-US" w:eastAsia="zh-CN"/>
              </w:rPr>
              <w:t>声功能区</w:t>
            </w:r>
          </w:p>
        </w:tc>
      </w:tr>
      <w:bookmarkEnd w:id="282"/>
    </w:tbl>
    <w:p w14:paraId="1B0CF23F">
      <w:pPr>
        <w:widowControl w:val="0"/>
        <w:snapToGrid w:val="0"/>
        <w:spacing w:line="240" w:lineRule="auto"/>
        <w:jc w:val="center"/>
        <w:rPr>
          <w:rFonts w:hint="eastAsia" w:asciiTheme="minorEastAsia" w:hAnsiTheme="minorEastAsia" w:eastAsiaTheme="minorEastAsia" w:cstheme="minorEastAsia"/>
          <w:b/>
          <w:bCs/>
          <w:color w:val="auto"/>
          <w:szCs w:val="24"/>
          <w:highlight w:val="none"/>
        </w:rPr>
      </w:pPr>
      <w:bookmarkStart w:id="283" w:name="_Toc22467"/>
      <w:bookmarkStart w:id="284" w:name="_Toc22763"/>
      <w:bookmarkStart w:id="285" w:name="_Toc1717"/>
      <w:bookmarkStart w:id="286" w:name="_Toc28563"/>
      <w:bookmarkStart w:id="287" w:name="_Toc29582"/>
      <w:bookmarkStart w:id="288" w:name="_Toc1063"/>
      <w:bookmarkStart w:id="289" w:name="_Toc27049"/>
      <w:bookmarkStart w:id="290" w:name="_Toc8774"/>
      <w:bookmarkStart w:id="291" w:name="_Toc17406"/>
      <w:bookmarkStart w:id="292" w:name="_Toc24109"/>
      <w:bookmarkStart w:id="293" w:name="_Toc32467"/>
      <w:bookmarkStart w:id="294" w:name="_Toc26637"/>
      <w:bookmarkStart w:id="295" w:name="_Toc7916"/>
      <w:bookmarkStart w:id="296" w:name="_Toc17398"/>
      <w:bookmarkStart w:id="297" w:name="_Toc158874889"/>
      <w:bookmarkStart w:id="298" w:name="_Toc158876360"/>
      <w:bookmarkStart w:id="299" w:name="_Toc165287664"/>
      <w:bookmarkStart w:id="300" w:name="_Toc24068"/>
      <w:bookmarkStart w:id="301" w:name="_Toc158875848"/>
      <w:bookmarkStart w:id="302" w:name="_Toc26125"/>
      <w:bookmarkStart w:id="303" w:name="_Toc12334"/>
      <w:bookmarkStart w:id="304" w:name="_Toc6060"/>
      <w:bookmarkStart w:id="305" w:name="_Toc94000932"/>
      <w:bookmarkStart w:id="306" w:name="_Toc23150"/>
      <w:bookmarkStart w:id="307" w:name="_Toc8880"/>
      <w:bookmarkStart w:id="308" w:name="_Toc5133"/>
      <w:bookmarkStart w:id="309" w:name="_Toc27752"/>
      <w:bookmarkStart w:id="310" w:name="_Toc24974"/>
      <w:bookmarkStart w:id="311" w:name="_Toc17770"/>
      <w:bookmarkStart w:id="312" w:name="_Toc10017"/>
      <w:bookmarkStart w:id="313" w:name="_Toc12252"/>
      <w:bookmarkStart w:id="314" w:name="_Toc4615"/>
      <w:bookmarkStart w:id="315" w:name="_Toc24467"/>
      <w:bookmarkStart w:id="316" w:name="_Toc11201"/>
      <w:bookmarkStart w:id="317" w:name="_Toc2804"/>
      <w:bookmarkStart w:id="318" w:name="_Toc28083"/>
      <w:bookmarkStart w:id="319" w:name="_Toc14451"/>
      <w:bookmarkStart w:id="320" w:name="_Toc32558"/>
      <w:bookmarkStart w:id="321" w:name="_Toc29125"/>
      <w:bookmarkStart w:id="322" w:name="_Toc5309"/>
      <w:bookmarkStart w:id="323" w:name="_Toc26073"/>
      <w:bookmarkStart w:id="324" w:name="_Toc19143"/>
      <w:bookmarkStart w:id="325" w:name="_Toc4074"/>
    </w:p>
    <w:p w14:paraId="5F495C83">
      <w:pPr>
        <w:widowControl w:val="0"/>
        <w:snapToGrid w:val="0"/>
        <w:spacing w:line="240" w:lineRule="auto"/>
        <w:jc w:val="center"/>
        <w:rPr>
          <w:rFonts w:hint="eastAsia" w:asciiTheme="minorEastAsia" w:hAnsiTheme="minorEastAsia" w:eastAsiaTheme="minorEastAsia" w:cstheme="minorEastAsia"/>
          <w:b/>
          <w:bCs/>
          <w:snapToGrid w:val="0"/>
          <w:color w:val="auto"/>
          <w:highlight w:val="none"/>
        </w:rPr>
      </w:pPr>
      <w:r>
        <w:rPr>
          <w:rFonts w:hint="eastAsia" w:asciiTheme="minorEastAsia" w:hAnsiTheme="minorEastAsia" w:eastAsiaTheme="minorEastAsia" w:cstheme="minorEastAsia"/>
          <w:b/>
          <w:bCs/>
          <w:color w:val="auto"/>
          <w:szCs w:val="24"/>
          <w:highlight w:val="none"/>
        </w:rPr>
        <w:t>表2</w:t>
      </w:r>
      <w:r>
        <w:rPr>
          <w:rFonts w:hint="eastAsia" w:asciiTheme="minorEastAsia" w:hAnsiTheme="minorEastAsia" w:eastAsiaTheme="minorEastAsia" w:cstheme="minorEastAsia"/>
          <w:b/>
          <w:bCs/>
          <w:color w:val="auto"/>
          <w:szCs w:val="24"/>
          <w:highlight w:val="none"/>
          <w:lang w:val="en-US" w:eastAsia="zh-CN"/>
        </w:rPr>
        <w:t>.6</w:t>
      </w:r>
      <w:r>
        <w:rPr>
          <w:rFonts w:hint="eastAsia" w:asciiTheme="minorEastAsia" w:hAnsiTheme="minorEastAsia" w:eastAsiaTheme="minorEastAsia" w:cstheme="minorEastAsia"/>
          <w:b/>
          <w:bCs/>
          <w:color w:val="auto"/>
          <w:szCs w:val="24"/>
          <w:highlight w:val="none"/>
        </w:rPr>
        <w:t>-</w:t>
      </w:r>
      <w:r>
        <w:rPr>
          <w:rFonts w:hint="eastAsia" w:asciiTheme="minorEastAsia" w:hAnsiTheme="minorEastAsia" w:eastAsiaTheme="minorEastAsia" w:cstheme="minorEastAsia"/>
          <w:b/>
          <w:bCs/>
          <w:color w:val="auto"/>
          <w:szCs w:val="24"/>
          <w:highlight w:val="none"/>
          <w:lang w:val="en-US" w:eastAsia="zh-CN"/>
        </w:rPr>
        <w:t>3  运输路线途径主要环境保护目标</w:t>
      </w:r>
    </w:p>
    <w:tbl>
      <w:tblPr>
        <w:tblStyle w:val="84"/>
        <w:tblW w:w="494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722"/>
        <w:gridCol w:w="1110"/>
        <w:gridCol w:w="1374"/>
        <w:gridCol w:w="1270"/>
        <w:gridCol w:w="482"/>
        <w:gridCol w:w="1892"/>
        <w:gridCol w:w="680"/>
        <w:gridCol w:w="801"/>
      </w:tblGrid>
      <w:tr w14:paraId="090C87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tblHeader/>
          <w:jc w:val="center"/>
        </w:trPr>
        <w:tc>
          <w:tcPr>
            <w:tcW w:w="433" w:type="pct"/>
            <w:vMerge w:val="restart"/>
            <w:tcBorders>
              <w:tl2br w:val="nil"/>
              <w:tr2bl w:val="nil"/>
            </w:tcBorders>
            <w:vAlign w:val="center"/>
          </w:tcPr>
          <w:p w14:paraId="573CFCE9">
            <w:pPr>
              <w:pStyle w:val="33"/>
              <w:keepNext w:val="0"/>
              <w:keepLines w:val="0"/>
              <w:widowControl w:val="0"/>
              <w:suppressLineNumbers w:val="0"/>
              <w:snapToGrid w:val="0"/>
              <w:spacing w:before="0" w:beforeAutospacing="0" w:after="0" w:afterAutospacing="0"/>
              <w:ind w:left="0" w:leftChars="0" w:right="0"/>
              <w:jc w:val="center"/>
              <w:rPr>
                <w:rFonts w:hint="default" w:asciiTheme="minorEastAsia" w:hAnsiTheme="minorEastAsia" w:eastAsiaTheme="minorEastAsia" w:cstheme="minorEastAsia"/>
                <w:b w:val="0"/>
                <w:bCs w:val="0"/>
                <w:color w:val="auto"/>
                <w:kern w:val="0"/>
                <w:sz w:val="21"/>
                <w:szCs w:val="21"/>
                <w:highlight w:val="none"/>
                <w:lang w:val="en-US" w:eastAsia="zh-CN"/>
              </w:rPr>
            </w:pPr>
            <w:r>
              <w:rPr>
                <w:rFonts w:hint="eastAsia" w:asciiTheme="minorEastAsia" w:hAnsiTheme="minorEastAsia" w:eastAsiaTheme="minorEastAsia" w:cstheme="minorEastAsia"/>
                <w:b w:val="0"/>
                <w:bCs w:val="0"/>
                <w:color w:val="auto"/>
                <w:kern w:val="0"/>
                <w:sz w:val="21"/>
                <w:szCs w:val="21"/>
                <w:highlight w:val="none"/>
                <w:lang w:val="en-US" w:eastAsia="zh-CN"/>
              </w:rPr>
              <w:t>涉及的环境要素</w:t>
            </w:r>
          </w:p>
        </w:tc>
        <w:tc>
          <w:tcPr>
            <w:tcW w:w="666" w:type="pct"/>
            <w:vMerge w:val="restart"/>
            <w:tcBorders>
              <w:tl2br w:val="nil"/>
              <w:tr2bl w:val="nil"/>
            </w:tcBorders>
            <w:vAlign w:val="center"/>
          </w:tcPr>
          <w:p w14:paraId="4F41AE4B">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lang w:val="en-US" w:eastAsia="zh-CN"/>
              </w:rPr>
            </w:pPr>
            <w:r>
              <w:rPr>
                <w:rFonts w:hint="eastAsia" w:asciiTheme="minorEastAsia" w:hAnsiTheme="minorEastAsia" w:eastAsiaTheme="minorEastAsia" w:cstheme="minorEastAsia"/>
                <w:b w:val="0"/>
                <w:bCs w:val="0"/>
                <w:color w:val="auto"/>
                <w:kern w:val="0"/>
                <w:sz w:val="21"/>
                <w:szCs w:val="21"/>
                <w:highlight w:val="none"/>
                <w:lang w:val="en-US" w:eastAsia="zh-CN"/>
              </w:rPr>
              <w:t>环境保护</w:t>
            </w:r>
          </w:p>
          <w:p w14:paraId="3F7131BD">
            <w:pPr>
              <w:pStyle w:val="33"/>
              <w:keepNext w:val="0"/>
              <w:keepLines w:val="0"/>
              <w:widowControl w:val="0"/>
              <w:suppressLineNumbers w:val="0"/>
              <w:snapToGrid w:val="0"/>
              <w:spacing w:before="0" w:beforeAutospacing="0" w:after="0" w:afterAutospacing="0"/>
              <w:ind w:left="0" w:leftChars="0" w:right="0"/>
              <w:jc w:val="center"/>
              <w:rPr>
                <w:rFonts w:hint="default" w:asciiTheme="minorEastAsia" w:hAnsiTheme="minorEastAsia" w:eastAsiaTheme="minorEastAsia" w:cstheme="minorEastAsia"/>
                <w:b w:val="0"/>
                <w:bCs w:val="0"/>
                <w:color w:val="auto"/>
                <w:kern w:val="0"/>
                <w:sz w:val="21"/>
                <w:szCs w:val="21"/>
                <w:highlight w:val="none"/>
                <w:lang w:val="en-US" w:eastAsia="zh-CN"/>
              </w:rPr>
            </w:pPr>
            <w:r>
              <w:rPr>
                <w:rFonts w:hint="eastAsia" w:asciiTheme="minorEastAsia" w:hAnsiTheme="minorEastAsia" w:eastAsiaTheme="minorEastAsia" w:cstheme="minorEastAsia"/>
                <w:b w:val="0"/>
                <w:bCs w:val="0"/>
                <w:color w:val="auto"/>
                <w:kern w:val="0"/>
                <w:sz w:val="21"/>
                <w:szCs w:val="21"/>
                <w:highlight w:val="none"/>
                <w:lang w:val="en-US" w:eastAsia="zh-CN"/>
              </w:rPr>
              <w:t>目标</w:t>
            </w:r>
          </w:p>
        </w:tc>
        <w:tc>
          <w:tcPr>
            <w:tcW w:w="1586" w:type="pct"/>
            <w:gridSpan w:val="2"/>
            <w:tcBorders>
              <w:tl2br w:val="nil"/>
              <w:tr2bl w:val="nil"/>
            </w:tcBorders>
            <w:shd w:val="clear" w:color="auto" w:fill="auto"/>
            <w:vAlign w:val="center"/>
          </w:tcPr>
          <w:p w14:paraId="43289C63">
            <w:pPr>
              <w:pStyle w:val="33"/>
              <w:keepNext w:val="0"/>
              <w:keepLines w:val="0"/>
              <w:widowControl w:val="0"/>
              <w:suppressLineNumbers w:val="0"/>
              <w:snapToGrid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0"/>
                <w:sz w:val="21"/>
                <w:szCs w:val="21"/>
                <w:highlight w:val="none"/>
                <w:lang w:val="en-US" w:eastAsia="zh-CN" w:bidi="ar-SA"/>
              </w:rPr>
            </w:pPr>
            <w:r>
              <w:rPr>
                <w:rFonts w:hint="eastAsia" w:asciiTheme="minorEastAsia" w:hAnsiTheme="minorEastAsia" w:eastAsiaTheme="minorEastAsia" w:cstheme="minorEastAsia"/>
                <w:b w:val="0"/>
                <w:bCs w:val="0"/>
                <w:color w:val="auto"/>
                <w:kern w:val="0"/>
                <w:sz w:val="21"/>
                <w:szCs w:val="21"/>
                <w:highlight w:val="none"/>
              </w:rPr>
              <w:t>坐标/</w:t>
            </w:r>
            <w:r>
              <w:rPr>
                <w:rFonts w:hint="eastAsia" w:asciiTheme="minorEastAsia" w:hAnsiTheme="minorEastAsia" w:eastAsiaTheme="minorEastAsia" w:cstheme="minorEastAsia"/>
                <w:b w:val="0"/>
                <w:bCs w:val="0"/>
                <w:color w:val="auto"/>
                <w:sz w:val="21"/>
                <w:szCs w:val="21"/>
                <w:highlight w:val="none"/>
              </w:rPr>
              <w:t>°</w:t>
            </w:r>
          </w:p>
        </w:tc>
        <w:tc>
          <w:tcPr>
            <w:tcW w:w="289" w:type="pct"/>
            <w:vMerge w:val="restart"/>
            <w:tcBorders>
              <w:tl2br w:val="nil"/>
              <w:tr2bl w:val="nil"/>
            </w:tcBorders>
            <w:vAlign w:val="center"/>
          </w:tcPr>
          <w:p w14:paraId="34826726">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r>
              <w:rPr>
                <w:rFonts w:hint="eastAsia" w:asciiTheme="minorEastAsia" w:hAnsiTheme="minorEastAsia" w:eastAsiaTheme="minorEastAsia" w:cstheme="minorEastAsia"/>
                <w:b w:val="0"/>
                <w:bCs w:val="0"/>
                <w:color w:val="auto"/>
                <w:kern w:val="0"/>
                <w:sz w:val="21"/>
                <w:szCs w:val="21"/>
                <w:highlight w:val="none"/>
              </w:rPr>
              <w:t>保护内容</w:t>
            </w:r>
          </w:p>
        </w:tc>
        <w:tc>
          <w:tcPr>
            <w:tcW w:w="1135" w:type="pct"/>
            <w:vMerge w:val="restart"/>
            <w:tcBorders>
              <w:tl2br w:val="nil"/>
              <w:tr2bl w:val="nil"/>
            </w:tcBorders>
            <w:vAlign w:val="center"/>
          </w:tcPr>
          <w:p w14:paraId="292BCC19">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r>
              <w:rPr>
                <w:rFonts w:hint="eastAsia" w:asciiTheme="minorEastAsia" w:hAnsiTheme="minorEastAsia" w:eastAsiaTheme="minorEastAsia" w:cstheme="minorEastAsia"/>
                <w:b w:val="0"/>
                <w:bCs w:val="0"/>
                <w:color w:val="auto"/>
                <w:kern w:val="0"/>
                <w:sz w:val="21"/>
                <w:szCs w:val="21"/>
                <w:highlight w:val="none"/>
              </w:rPr>
              <w:t>环境功能区</w:t>
            </w:r>
          </w:p>
        </w:tc>
        <w:tc>
          <w:tcPr>
            <w:tcW w:w="408" w:type="pct"/>
            <w:vMerge w:val="restart"/>
            <w:tcBorders>
              <w:tl2br w:val="nil"/>
              <w:tr2bl w:val="nil"/>
            </w:tcBorders>
            <w:vAlign w:val="center"/>
          </w:tcPr>
          <w:p w14:paraId="07B53092">
            <w:pPr>
              <w:pStyle w:val="33"/>
              <w:keepNext w:val="0"/>
              <w:keepLines w:val="0"/>
              <w:widowControl w:val="0"/>
              <w:suppressLineNumbers w:val="0"/>
              <w:snapToGrid w:val="0"/>
              <w:spacing w:before="0" w:beforeAutospacing="0" w:after="0" w:afterAutospacing="0"/>
              <w:ind w:left="0" w:leftChars="0" w:right="0"/>
              <w:jc w:val="center"/>
              <w:rPr>
                <w:rFonts w:hint="default" w:asciiTheme="minorEastAsia" w:hAnsiTheme="minorEastAsia" w:eastAsiaTheme="minorEastAsia" w:cstheme="minorEastAsia"/>
                <w:b w:val="0"/>
                <w:bCs w:val="0"/>
                <w:color w:val="auto"/>
                <w:kern w:val="0"/>
                <w:sz w:val="21"/>
                <w:szCs w:val="21"/>
                <w:highlight w:val="none"/>
                <w:lang w:val="en-US" w:eastAsia="zh-CN"/>
              </w:rPr>
            </w:pPr>
            <w:r>
              <w:rPr>
                <w:rFonts w:hint="eastAsia" w:asciiTheme="minorEastAsia" w:hAnsiTheme="minorEastAsia" w:eastAsiaTheme="minorEastAsia" w:cstheme="minorEastAsia"/>
                <w:b w:val="0"/>
                <w:bCs w:val="0"/>
                <w:color w:val="auto"/>
                <w:kern w:val="0"/>
                <w:sz w:val="21"/>
                <w:szCs w:val="21"/>
                <w:highlight w:val="none"/>
              </w:rPr>
              <w:t>相对</w:t>
            </w:r>
            <w:r>
              <w:rPr>
                <w:rFonts w:hint="eastAsia" w:asciiTheme="minorEastAsia" w:hAnsiTheme="minorEastAsia" w:eastAsiaTheme="minorEastAsia" w:cstheme="minorEastAsia"/>
                <w:b w:val="0"/>
                <w:bCs w:val="0"/>
                <w:color w:val="auto"/>
                <w:kern w:val="0"/>
                <w:sz w:val="21"/>
                <w:szCs w:val="21"/>
                <w:highlight w:val="none"/>
                <w:lang w:val="en-US" w:eastAsia="zh-CN"/>
              </w:rPr>
              <w:t>道路方位</w:t>
            </w:r>
          </w:p>
        </w:tc>
        <w:tc>
          <w:tcPr>
            <w:tcW w:w="480" w:type="pct"/>
            <w:vMerge w:val="restart"/>
            <w:tcBorders>
              <w:tl2br w:val="nil"/>
              <w:tr2bl w:val="nil"/>
            </w:tcBorders>
            <w:vAlign w:val="center"/>
          </w:tcPr>
          <w:p w14:paraId="18B2CA5D">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r>
              <w:rPr>
                <w:rFonts w:hint="eastAsia" w:asciiTheme="minorEastAsia" w:hAnsiTheme="minorEastAsia" w:eastAsiaTheme="minorEastAsia" w:cstheme="minorEastAsia"/>
                <w:b w:val="0"/>
                <w:bCs w:val="0"/>
                <w:color w:val="auto"/>
                <w:kern w:val="0"/>
                <w:sz w:val="21"/>
                <w:szCs w:val="21"/>
                <w:highlight w:val="none"/>
              </w:rPr>
              <w:t>相对</w:t>
            </w:r>
            <w:r>
              <w:rPr>
                <w:rFonts w:hint="eastAsia" w:asciiTheme="minorEastAsia" w:hAnsiTheme="minorEastAsia" w:eastAsiaTheme="minorEastAsia" w:cstheme="minorEastAsia"/>
                <w:b w:val="0"/>
                <w:bCs w:val="0"/>
                <w:color w:val="auto"/>
                <w:kern w:val="0"/>
                <w:sz w:val="21"/>
                <w:szCs w:val="21"/>
                <w:highlight w:val="none"/>
                <w:lang w:val="en-US" w:eastAsia="zh-CN"/>
              </w:rPr>
              <w:t>道路</w:t>
            </w:r>
            <w:r>
              <w:rPr>
                <w:rFonts w:hint="eastAsia" w:asciiTheme="minorEastAsia" w:hAnsiTheme="minorEastAsia" w:eastAsiaTheme="minorEastAsia" w:cstheme="minorEastAsia"/>
                <w:b w:val="0"/>
                <w:bCs w:val="0"/>
                <w:color w:val="auto"/>
                <w:kern w:val="0"/>
                <w:sz w:val="21"/>
                <w:szCs w:val="21"/>
                <w:highlight w:val="none"/>
              </w:rPr>
              <w:t>距离/m</w:t>
            </w:r>
          </w:p>
        </w:tc>
      </w:tr>
      <w:tr w14:paraId="4A5568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tblHeader/>
          <w:jc w:val="center"/>
        </w:trPr>
        <w:tc>
          <w:tcPr>
            <w:tcW w:w="433" w:type="pct"/>
            <w:vMerge w:val="continue"/>
            <w:tcBorders>
              <w:tl2br w:val="nil"/>
              <w:tr2bl w:val="nil"/>
            </w:tcBorders>
            <w:vAlign w:val="center"/>
          </w:tcPr>
          <w:p w14:paraId="1C69AE91">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c>
          <w:tcPr>
            <w:tcW w:w="666" w:type="pct"/>
            <w:vMerge w:val="continue"/>
            <w:tcBorders>
              <w:tl2br w:val="nil"/>
              <w:tr2bl w:val="nil"/>
            </w:tcBorders>
            <w:vAlign w:val="center"/>
          </w:tcPr>
          <w:p w14:paraId="28359CEE">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c>
          <w:tcPr>
            <w:tcW w:w="824" w:type="pct"/>
            <w:tcBorders>
              <w:tl2br w:val="nil"/>
              <w:tr2bl w:val="nil"/>
            </w:tcBorders>
            <w:shd w:val="clear" w:color="auto" w:fill="auto"/>
            <w:vAlign w:val="center"/>
          </w:tcPr>
          <w:p w14:paraId="05D1A07D">
            <w:pPr>
              <w:pStyle w:val="33"/>
              <w:keepNext w:val="0"/>
              <w:keepLines w:val="0"/>
              <w:widowControl w:val="0"/>
              <w:suppressLineNumbers w:val="0"/>
              <w:snapToGrid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0"/>
                <w:sz w:val="21"/>
                <w:szCs w:val="21"/>
                <w:highlight w:val="none"/>
                <w:lang w:val="en-US" w:eastAsia="zh-CN" w:bidi="ar-SA"/>
              </w:rPr>
            </w:pPr>
            <w:r>
              <w:rPr>
                <w:rFonts w:hint="eastAsia" w:asciiTheme="minorEastAsia" w:hAnsiTheme="minorEastAsia" w:eastAsiaTheme="minorEastAsia" w:cstheme="minorEastAsia"/>
                <w:b w:val="0"/>
                <w:bCs w:val="0"/>
                <w:color w:val="auto"/>
                <w:kern w:val="0"/>
                <w:sz w:val="21"/>
                <w:szCs w:val="21"/>
                <w:highlight w:val="none"/>
              </w:rPr>
              <w:t>东经</w:t>
            </w:r>
          </w:p>
        </w:tc>
        <w:tc>
          <w:tcPr>
            <w:tcW w:w="762" w:type="pct"/>
            <w:tcBorders>
              <w:tl2br w:val="nil"/>
              <w:tr2bl w:val="nil"/>
            </w:tcBorders>
            <w:shd w:val="clear" w:color="auto" w:fill="auto"/>
            <w:vAlign w:val="center"/>
          </w:tcPr>
          <w:p w14:paraId="116CBF3E">
            <w:pPr>
              <w:pStyle w:val="33"/>
              <w:keepNext w:val="0"/>
              <w:keepLines w:val="0"/>
              <w:widowControl w:val="0"/>
              <w:suppressLineNumbers w:val="0"/>
              <w:snapToGrid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0"/>
                <w:sz w:val="21"/>
                <w:szCs w:val="21"/>
                <w:highlight w:val="none"/>
                <w:lang w:val="en-US" w:eastAsia="zh-CN" w:bidi="ar-SA"/>
              </w:rPr>
            </w:pPr>
            <w:r>
              <w:rPr>
                <w:rFonts w:hint="eastAsia" w:asciiTheme="minorEastAsia" w:hAnsiTheme="minorEastAsia" w:eastAsiaTheme="minorEastAsia" w:cstheme="minorEastAsia"/>
                <w:b w:val="0"/>
                <w:bCs w:val="0"/>
                <w:color w:val="auto"/>
                <w:kern w:val="0"/>
                <w:sz w:val="21"/>
                <w:szCs w:val="21"/>
                <w:highlight w:val="none"/>
              </w:rPr>
              <w:t>北纬</w:t>
            </w:r>
          </w:p>
        </w:tc>
        <w:tc>
          <w:tcPr>
            <w:tcW w:w="289" w:type="pct"/>
            <w:vMerge w:val="continue"/>
            <w:tcBorders>
              <w:tl2br w:val="nil"/>
              <w:tr2bl w:val="nil"/>
            </w:tcBorders>
            <w:vAlign w:val="center"/>
          </w:tcPr>
          <w:p w14:paraId="4BC4EE64">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c>
          <w:tcPr>
            <w:tcW w:w="1135" w:type="pct"/>
            <w:vMerge w:val="continue"/>
            <w:tcBorders>
              <w:tl2br w:val="nil"/>
              <w:tr2bl w:val="nil"/>
            </w:tcBorders>
            <w:vAlign w:val="center"/>
          </w:tcPr>
          <w:p w14:paraId="620912F4">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c>
          <w:tcPr>
            <w:tcW w:w="408" w:type="pct"/>
            <w:vMerge w:val="continue"/>
            <w:tcBorders>
              <w:tl2br w:val="nil"/>
              <w:tr2bl w:val="nil"/>
            </w:tcBorders>
            <w:vAlign w:val="center"/>
          </w:tcPr>
          <w:p w14:paraId="66A8534E">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c>
          <w:tcPr>
            <w:tcW w:w="480" w:type="pct"/>
            <w:vMerge w:val="continue"/>
            <w:tcBorders>
              <w:tl2br w:val="nil"/>
              <w:tr2bl w:val="nil"/>
            </w:tcBorders>
            <w:vAlign w:val="center"/>
          </w:tcPr>
          <w:p w14:paraId="4DAC3FBD">
            <w:pPr>
              <w:pStyle w:val="33"/>
              <w:keepNext w:val="0"/>
              <w:keepLines w:val="0"/>
              <w:widowControl w:val="0"/>
              <w:suppressLineNumbers w:val="0"/>
              <w:snapToGrid w:val="0"/>
              <w:spacing w:before="0" w:beforeAutospacing="0" w:after="0" w:afterAutospacing="0"/>
              <w:ind w:left="0" w:leftChars="0" w:right="0"/>
              <w:jc w:val="center"/>
              <w:rPr>
                <w:rFonts w:hint="eastAsia" w:asciiTheme="minorEastAsia" w:hAnsiTheme="minorEastAsia" w:eastAsiaTheme="minorEastAsia" w:cstheme="minorEastAsia"/>
                <w:b w:val="0"/>
                <w:bCs w:val="0"/>
                <w:color w:val="auto"/>
                <w:kern w:val="0"/>
                <w:sz w:val="21"/>
                <w:szCs w:val="21"/>
                <w:highlight w:val="none"/>
              </w:rPr>
            </w:pPr>
          </w:p>
        </w:tc>
      </w:tr>
      <w:tr w14:paraId="410636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tblHeader/>
          <w:jc w:val="center"/>
        </w:trPr>
        <w:tc>
          <w:tcPr>
            <w:tcW w:w="433" w:type="pct"/>
            <w:vMerge w:val="restart"/>
            <w:tcBorders>
              <w:tl2br w:val="nil"/>
              <w:tr2bl w:val="nil"/>
            </w:tcBorders>
            <w:vAlign w:val="center"/>
          </w:tcPr>
          <w:p w14:paraId="24737BA3">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声环境、环境空气</w:t>
            </w:r>
          </w:p>
        </w:tc>
        <w:tc>
          <w:tcPr>
            <w:tcW w:w="666" w:type="pct"/>
            <w:tcBorders>
              <w:tl2br w:val="nil"/>
              <w:tr2bl w:val="nil"/>
            </w:tcBorders>
            <w:shd w:val="clear" w:color="auto" w:fill="auto"/>
            <w:vAlign w:val="center"/>
          </w:tcPr>
          <w:p w14:paraId="0BFE6A0E">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李花先生屯</w:t>
            </w:r>
          </w:p>
        </w:tc>
        <w:tc>
          <w:tcPr>
            <w:tcW w:w="824" w:type="pct"/>
            <w:tcBorders>
              <w:tl2br w:val="nil"/>
              <w:tr2bl w:val="nil"/>
            </w:tcBorders>
            <w:shd w:val="clear" w:color="auto" w:fill="auto"/>
            <w:vAlign w:val="center"/>
          </w:tcPr>
          <w:p w14:paraId="559DB9E1">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128.29320073</w:t>
            </w:r>
          </w:p>
        </w:tc>
        <w:tc>
          <w:tcPr>
            <w:tcW w:w="762" w:type="pct"/>
            <w:tcBorders>
              <w:tl2br w:val="nil"/>
              <w:tr2bl w:val="nil"/>
            </w:tcBorders>
            <w:shd w:val="clear" w:color="auto" w:fill="auto"/>
            <w:vAlign w:val="center"/>
          </w:tcPr>
          <w:p w14:paraId="4733BBB9">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45.43462175</w:t>
            </w:r>
          </w:p>
        </w:tc>
        <w:tc>
          <w:tcPr>
            <w:tcW w:w="289" w:type="pct"/>
            <w:vMerge w:val="restart"/>
            <w:tcBorders>
              <w:tl2br w:val="nil"/>
              <w:tr2bl w:val="nil"/>
            </w:tcBorders>
            <w:vAlign w:val="center"/>
          </w:tcPr>
          <w:p w14:paraId="23EBDDD4">
            <w:pPr>
              <w:keepNext w:val="0"/>
              <w:keepLines w:val="0"/>
              <w:widowControl w:val="0"/>
              <w:suppressLineNumbers w:val="0"/>
              <w:snapToGrid w:val="0"/>
              <w:spacing w:before="0" w:beforeAutospacing="0" w:after="0" w:afterAutospacing="0"/>
              <w:ind w:left="0" w:right="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居民区</w:t>
            </w:r>
          </w:p>
        </w:tc>
        <w:tc>
          <w:tcPr>
            <w:tcW w:w="1135" w:type="pct"/>
            <w:vMerge w:val="restart"/>
            <w:tcBorders>
              <w:tl2br w:val="nil"/>
              <w:tr2bl w:val="nil"/>
            </w:tcBorders>
            <w:vAlign w:val="center"/>
          </w:tcPr>
          <w:p w14:paraId="63AEE2D8">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《声环境质量标准》（GB3096-2008）表1中1类标准、《环境空气质量标准》（GB3095-20</w:t>
            </w:r>
            <w:r>
              <w:rPr>
                <w:rFonts w:hint="eastAsia" w:asciiTheme="minorEastAsia" w:hAnsiTheme="minorEastAsia" w:eastAsiaTheme="minorEastAsia" w:cstheme="minorEastAsia"/>
                <w:b w:val="0"/>
                <w:bCs w:val="0"/>
                <w:color w:val="auto"/>
                <w:sz w:val="21"/>
                <w:szCs w:val="21"/>
                <w:highlight w:val="none"/>
                <w:lang w:val="en-US" w:eastAsia="zh-CN"/>
              </w:rPr>
              <w:t>26</w:t>
            </w:r>
            <w:r>
              <w:rPr>
                <w:rFonts w:hint="eastAsia" w:asciiTheme="minorEastAsia" w:hAnsiTheme="minorEastAsia" w:eastAsiaTheme="minorEastAsia" w:cstheme="minorEastAsia"/>
                <w:b w:val="0"/>
                <w:bCs w:val="0"/>
                <w:color w:val="auto"/>
                <w:sz w:val="21"/>
                <w:szCs w:val="21"/>
                <w:highlight w:val="none"/>
              </w:rPr>
              <w:t>）</w:t>
            </w:r>
          </w:p>
        </w:tc>
        <w:tc>
          <w:tcPr>
            <w:tcW w:w="408" w:type="pct"/>
            <w:tcBorders>
              <w:tl2br w:val="nil"/>
              <w:tr2bl w:val="nil"/>
            </w:tcBorders>
            <w:shd w:val="clear" w:color="auto" w:fill="auto"/>
            <w:vAlign w:val="center"/>
          </w:tcPr>
          <w:p w14:paraId="1A17615A">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480" w:type="pct"/>
            <w:tcBorders>
              <w:tl2br w:val="nil"/>
              <w:tr2bl w:val="nil"/>
            </w:tcBorders>
            <w:shd w:val="clear" w:color="auto" w:fill="auto"/>
            <w:vAlign w:val="center"/>
          </w:tcPr>
          <w:p w14:paraId="21D4E9A2">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50</w:t>
            </w:r>
          </w:p>
        </w:tc>
      </w:tr>
      <w:tr w14:paraId="732CE9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9" w:hRule="atLeast"/>
          <w:tblHeader/>
          <w:jc w:val="center"/>
        </w:trPr>
        <w:tc>
          <w:tcPr>
            <w:tcW w:w="433" w:type="pct"/>
            <w:vMerge w:val="continue"/>
            <w:tcBorders>
              <w:tl2br w:val="nil"/>
              <w:tr2bl w:val="nil"/>
            </w:tcBorders>
            <w:vAlign w:val="center"/>
          </w:tcPr>
          <w:p w14:paraId="15C98682">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666" w:type="pct"/>
            <w:vMerge w:val="restart"/>
            <w:tcBorders>
              <w:tl2br w:val="nil"/>
              <w:tr2bl w:val="nil"/>
            </w:tcBorders>
            <w:vAlign w:val="center"/>
          </w:tcPr>
          <w:p w14:paraId="5A665C8D">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延安乡</w:t>
            </w:r>
          </w:p>
        </w:tc>
        <w:tc>
          <w:tcPr>
            <w:tcW w:w="824" w:type="pct"/>
            <w:vMerge w:val="restart"/>
            <w:tcBorders>
              <w:tl2br w:val="nil"/>
              <w:tr2bl w:val="nil"/>
            </w:tcBorders>
            <w:vAlign w:val="center"/>
          </w:tcPr>
          <w:p w14:paraId="6FE1F23E">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128.28188181</w:t>
            </w:r>
          </w:p>
        </w:tc>
        <w:tc>
          <w:tcPr>
            <w:tcW w:w="762" w:type="pct"/>
            <w:vMerge w:val="restart"/>
            <w:tcBorders>
              <w:tl2br w:val="nil"/>
              <w:tr2bl w:val="nil"/>
            </w:tcBorders>
            <w:vAlign w:val="center"/>
          </w:tcPr>
          <w:p w14:paraId="13D33D6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45.38207733</w:t>
            </w:r>
          </w:p>
        </w:tc>
        <w:tc>
          <w:tcPr>
            <w:tcW w:w="289" w:type="pct"/>
            <w:vMerge w:val="continue"/>
            <w:tcBorders>
              <w:tl2br w:val="nil"/>
              <w:tr2bl w:val="nil"/>
            </w:tcBorders>
            <w:vAlign w:val="center"/>
          </w:tcPr>
          <w:p w14:paraId="1614245A">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5F603353">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08" w:type="pct"/>
            <w:tcBorders>
              <w:tl2br w:val="nil"/>
              <w:tr2bl w:val="nil"/>
            </w:tcBorders>
            <w:vAlign w:val="center"/>
          </w:tcPr>
          <w:p w14:paraId="6C2F89F2">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480" w:type="pct"/>
            <w:tcBorders>
              <w:tl2br w:val="nil"/>
              <w:tr2bl w:val="nil"/>
            </w:tcBorders>
            <w:vAlign w:val="center"/>
          </w:tcPr>
          <w:p w14:paraId="7533E82B">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10</w:t>
            </w:r>
          </w:p>
        </w:tc>
      </w:tr>
      <w:tr w14:paraId="3951FF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48" w:hRule="atLeast"/>
          <w:tblHeader/>
          <w:jc w:val="center"/>
        </w:trPr>
        <w:tc>
          <w:tcPr>
            <w:tcW w:w="433" w:type="pct"/>
            <w:vMerge w:val="continue"/>
            <w:tcBorders>
              <w:tl2br w:val="nil"/>
              <w:tr2bl w:val="nil"/>
            </w:tcBorders>
            <w:vAlign w:val="center"/>
          </w:tcPr>
          <w:p w14:paraId="0600E97D">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666" w:type="pct"/>
            <w:vMerge w:val="continue"/>
            <w:tcBorders>
              <w:tl2br w:val="nil"/>
              <w:tr2bl w:val="nil"/>
            </w:tcBorders>
            <w:vAlign w:val="center"/>
          </w:tcPr>
          <w:p w14:paraId="3C482B86">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824" w:type="pct"/>
            <w:vMerge w:val="continue"/>
            <w:tcBorders>
              <w:tl2br w:val="nil"/>
              <w:tr2bl w:val="nil"/>
            </w:tcBorders>
            <w:vAlign w:val="center"/>
          </w:tcPr>
          <w:p w14:paraId="4027162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762" w:type="pct"/>
            <w:vMerge w:val="continue"/>
            <w:tcBorders>
              <w:tl2br w:val="nil"/>
              <w:tr2bl w:val="nil"/>
            </w:tcBorders>
            <w:vAlign w:val="center"/>
          </w:tcPr>
          <w:p w14:paraId="0E6A1C8A">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50C4549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4B67CF1A">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08" w:type="pct"/>
            <w:tcBorders>
              <w:tl2br w:val="nil"/>
              <w:tr2bl w:val="nil"/>
            </w:tcBorders>
            <w:vAlign w:val="center"/>
          </w:tcPr>
          <w:p w14:paraId="74B3C62E">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E</w:t>
            </w:r>
          </w:p>
        </w:tc>
        <w:tc>
          <w:tcPr>
            <w:tcW w:w="480" w:type="pct"/>
            <w:tcBorders>
              <w:tl2br w:val="nil"/>
              <w:tr2bl w:val="nil"/>
            </w:tcBorders>
            <w:vAlign w:val="center"/>
          </w:tcPr>
          <w:p w14:paraId="79B61406">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10</w:t>
            </w:r>
          </w:p>
        </w:tc>
      </w:tr>
      <w:tr w14:paraId="62CEE3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48" w:hRule="atLeast"/>
          <w:tblHeader/>
          <w:jc w:val="center"/>
        </w:trPr>
        <w:tc>
          <w:tcPr>
            <w:tcW w:w="433" w:type="pct"/>
            <w:vMerge w:val="continue"/>
            <w:tcBorders>
              <w:tl2br w:val="nil"/>
              <w:tr2bl w:val="nil"/>
            </w:tcBorders>
            <w:vAlign w:val="center"/>
          </w:tcPr>
          <w:p w14:paraId="5E633A0A">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666" w:type="pct"/>
            <w:tcBorders>
              <w:tl2br w:val="nil"/>
              <w:tr2bl w:val="nil"/>
            </w:tcBorders>
            <w:vAlign w:val="center"/>
          </w:tcPr>
          <w:p w14:paraId="56194CDE">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福安屯</w:t>
            </w:r>
          </w:p>
        </w:tc>
        <w:tc>
          <w:tcPr>
            <w:tcW w:w="824" w:type="pct"/>
            <w:tcBorders>
              <w:tl2br w:val="nil"/>
              <w:tr2bl w:val="nil"/>
            </w:tcBorders>
            <w:vAlign w:val="center"/>
          </w:tcPr>
          <w:p w14:paraId="1D0B2B27">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128.28224659</w:t>
            </w:r>
          </w:p>
        </w:tc>
        <w:tc>
          <w:tcPr>
            <w:tcW w:w="762" w:type="pct"/>
            <w:tcBorders>
              <w:tl2br w:val="nil"/>
              <w:tr2bl w:val="nil"/>
            </w:tcBorders>
            <w:vAlign w:val="center"/>
          </w:tcPr>
          <w:p w14:paraId="4962AD71">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45.37102141</w:t>
            </w:r>
          </w:p>
        </w:tc>
        <w:tc>
          <w:tcPr>
            <w:tcW w:w="289" w:type="pct"/>
            <w:vMerge w:val="continue"/>
            <w:tcBorders>
              <w:tl2br w:val="nil"/>
              <w:tr2bl w:val="nil"/>
            </w:tcBorders>
            <w:vAlign w:val="center"/>
          </w:tcPr>
          <w:p w14:paraId="5BBA40B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45610F33">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08" w:type="pct"/>
            <w:tcBorders>
              <w:tl2br w:val="nil"/>
              <w:tr2bl w:val="nil"/>
            </w:tcBorders>
            <w:vAlign w:val="center"/>
          </w:tcPr>
          <w:p w14:paraId="1324041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E</w:t>
            </w:r>
          </w:p>
        </w:tc>
        <w:tc>
          <w:tcPr>
            <w:tcW w:w="480" w:type="pct"/>
            <w:tcBorders>
              <w:tl2br w:val="nil"/>
              <w:tr2bl w:val="nil"/>
            </w:tcBorders>
            <w:vAlign w:val="center"/>
          </w:tcPr>
          <w:p w14:paraId="69031A76">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100</w:t>
            </w:r>
          </w:p>
        </w:tc>
      </w:tr>
      <w:tr w14:paraId="657D45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48" w:hRule="atLeast"/>
          <w:tblHeader/>
          <w:jc w:val="center"/>
        </w:trPr>
        <w:tc>
          <w:tcPr>
            <w:tcW w:w="433" w:type="pct"/>
            <w:vMerge w:val="continue"/>
            <w:tcBorders>
              <w:tl2br w:val="nil"/>
              <w:tr2bl w:val="nil"/>
            </w:tcBorders>
            <w:vAlign w:val="center"/>
          </w:tcPr>
          <w:p w14:paraId="7751D05D">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666" w:type="pct"/>
            <w:tcBorders>
              <w:tl2br w:val="nil"/>
              <w:tr2bl w:val="nil"/>
            </w:tcBorders>
            <w:vAlign w:val="center"/>
          </w:tcPr>
          <w:p w14:paraId="61B648CA">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粉房屯</w:t>
            </w:r>
          </w:p>
        </w:tc>
        <w:tc>
          <w:tcPr>
            <w:tcW w:w="824" w:type="pct"/>
            <w:tcBorders>
              <w:tl2br w:val="nil"/>
              <w:tr2bl w:val="nil"/>
            </w:tcBorders>
            <w:vAlign w:val="center"/>
          </w:tcPr>
          <w:p w14:paraId="2F37513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128.27533722</w:t>
            </w:r>
          </w:p>
        </w:tc>
        <w:tc>
          <w:tcPr>
            <w:tcW w:w="762" w:type="pct"/>
            <w:tcBorders>
              <w:tl2br w:val="nil"/>
              <w:tr2bl w:val="nil"/>
            </w:tcBorders>
            <w:vAlign w:val="center"/>
          </w:tcPr>
          <w:p w14:paraId="09F6B0A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45.35790526</w:t>
            </w:r>
          </w:p>
        </w:tc>
        <w:tc>
          <w:tcPr>
            <w:tcW w:w="289" w:type="pct"/>
            <w:vMerge w:val="continue"/>
            <w:tcBorders>
              <w:tl2br w:val="nil"/>
              <w:tr2bl w:val="nil"/>
            </w:tcBorders>
            <w:vAlign w:val="center"/>
          </w:tcPr>
          <w:p w14:paraId="5EFDE047">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2A2B22BF">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08" w:type="pct"/>
            <w:tcBorders>
              <w:tl2br w:val="nil"/>
              <w:tr2bl w:val="nil"/>
            </w:tcBorders>
            <w:vAlign w:val="center"/>
          </w:tcPr>
          <w:p w14:paraId="7F0D399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480" w:type="pct"/>
            <w:tcBorders>
              <w:tl2br w:val="nil"/>
              <w:tr2bl w:val="nil"/>
            </w:tcBorders>
            <w:vAlign w:val="center"/>
          </w:tcPr>
          <w:p w14:paraId="740E6314">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30</w:t>
            </w:r>
          </w:p>
        </w:tc>
      </w:tr>
      <w:tr w14:paraId="420A52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48" w:hRule="atLeast"/>
          <w:tblHeader/>
          <w:jc w:val="center"/>
        </w:trPr>
        <w:tc>
          <w:tcPr>
            <w:tcW w:w="433" w:type="pct"/>
            <w:vMerge w:val="continue"/>
            <w:tcBorders>
              <w:tl2br w:val="nil"/>
              <w:tr2bl w:val="nil"/>
            </w:tcBorders>
            <w:vAlign w:val="center"/>
          </w:tcPr>
          <w:p w14:paraId="672E94C8">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666" w:type="pct"/>
            <w:tcBorders>
              <w:tl2br w:val="nil"/>
              <w:tr2bl w:val="nil"/>
            </w:tcBorders>
            <w:vAlign w:val="center"/>
          </w:tcPr>
          <w:p w14:paraId="78A0FD44">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文化村</w:t>
            </w:r>
          </w:p>
        </w:tc>
        <w:tc>
          <w:tcPr>
            <w:tcW w:w="824" w:type="pct"/>
            <w:tcBorders>
              <w:tl2br w:val="nil"/>
              <w:tr2bl w:val="nil"/>
            </w:tcBorders>
            <w:vAlign w:val="center"/>
          </w:tcPr>
          <w:p w14:paraId="7603C8AC">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128.27349186</w:t>
            </w:r>
          </w:p>
        </w:tc>
        <w:tc>
          <w:tcPr>
            <w:tcW w:w="762" w:type="pct"/>
            <w:tcBorders>
              <w:tl2br w:val="nil"/>
              <w:tr2bl w:val="nil"/>
            </w:tcBorders>
            <w:vAlign w:val="center"/>
          </w:tcPr>
          <w:p w14:paraId="6D7129A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45.35295952</w:t>
            </w:r>
          </w:p>
        </w:tc>
        <w:tc>
          <w:tcPr>
            <w:tcW w:w="289" w:type="pct"/>
            <w:vMerge w:val="continue"/>
            <w:tcBorders>
              <w:tl2br w:val="nil"/>
              <w:tr2bl w:val="nil"/>
            </w:tcBorders>
            <w:vAlign w:val="center"/>
          </w:tcPr>
          <w:p w14:paraId="79742290">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002818D5">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08" w:type="pct"/>
            <w:tcBorders>
              <w:tl2br w:val="nil"/>
              <w:tr2bl w:val="nil"/>
            </w:tcBorders>
            <w:vAlign w:val="center"/>
          </w:tcPr>
          <w:p w14:paraId="4B7D886C">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480" w:type="pct"/>
            <w:tcBorders>
              <w:tl2br w:val="nil"/>
              <w:tr2bl w:val="nil"/>
            </w:tcBorders>
            <w:vAlign w:val="center"/>
          </w:tcPr>
          <w:p w14:paraId="2E250D51">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7C1CE6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48" w:hRule="atLeast"/>
          <w:tblHeader/>
          <w:jc w:val="center"/>
        </w:trPr>
        <w:tc>
          <w:tcPr>
            <w:tcW w:w="433" w:type="pct"/>
            <w:vMerge w:val="continue"/>
            <w:tcBorders>
              <w:tl2br w:val="nil"/>
              <w:tr2bl w:val="nil"/>
            </w:tcBorders>
            <w:vAlign w:val="center"/>
          </w:tcPr>
          <w:p w14:paraId="0C25CD4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666" w:type="pct"/>
            <w:tcBorders>
              <w:tl2br w:val="nil"/>
              <w:tr2bl w:val="nil"/>
            </w:tcBorders>
            <w:vAlign w:val="center"/>
          </w:tcPr>
          <w:p w14:paraId="442A8698">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新房屯</w:t>
            </w:r>
          </w:p>
        </w:tc>
        <w:tc>
          <w:tcPr>
            <w:tcW w:w="824" w:type="pct"/>
            <w:tcBorders>
              <w:tl2br w:val="nil"/>
              <w:tr2bl w:val="nil"/>
            </w:tcBorders>
            <w:vAlign w:val="center"/>
          </w:tcPr>
          <w:p w14:paraId="363B4DE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128.27117443</w:t>
            </w:r>
          </w:p>
        </w:tc>
        <w:tc>
          <w:tcPr>
            <w:tcW w:w="762" w:type="pct"/>
            <w:tcBorders>
              <w:tl2br w:val="nil"/>
              <w:tr2bl w:val="nil"/>
            </w:tcBorders>
            <w:vAlign w:val="center"/>
          </w:tcPr>
          <w:p w14:paraId="245A0F80">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45.33564606</w:t>
            </w:r>
          </w:p>
        </w:tc>
        <w:tc>
          <w:tcPr>
            <w:tcW w:w="289" w:type="pct"/>
            <w:vMerge w:val="continue"/>
            <w:tcBorders>
              <w:tl2br w:val="nil"/>
              <w:tr2bl w:val="nil"/>
            </w:tcBorders>
            <w:vAlign w:val="center"/>
          </w:tcPr>
          <w:p w14:paraId="37CF4761">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02129E49">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08" w:type="pct"/>
            <w:tcBorders>
              <w:tl2br w:val="nil"/>
              <w:tr2bl w:val="nil"/>
            </w:tcBorders>
            <w:vAlign w:val="center"/>
          </w:tcPr>
          <w:p w14:paraId="5084541D">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480" w:type="pct"/>
            <w:tcBorders>
              <w:tl2br w:val="nil"/>
              <w:tr2bl w:val="nil"/>
            </w:tcBorders>
            <w:vAlign w:val="center"/>
          </w:tcPr>
          <w:p w14:paraId="6CBC571B">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123D69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78" w:hRule="atLeast"/>
          <w:tblHeader/>
          <w:jc w:val="center"/>
        </w:trPr>
        <w:tc>
          <w:tcPr>
            <w:tcW w:w="433" w:type="pct"/>
            <w:vMerge w:val="continue"/>
            <w:tcBorders>
              <w:tl2br w:val="nil"/>
              <w:tr2bl w:val="nil"/>
            </w:tcBorders>
            <w:vAlign w:val="center"/>
          </w:tcPr>
          <w:p w14:paraId="5C22C8F7">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666" w:type="pct"/>
            <w:vMerge w:val="restart"/>
            <w:tcBorders>
              <w:tl2br w:val="nil"/>
              <w:tr2bl w:val="nil"/>
            </w:tcBorders>
            <w:vAlign w:val="center"/>
          </w:tcPr>
          <w:p w14:paraId="0187AB78">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长安村</w:t>
            </w:r>
          </w:p>
        </w:tc>
        <w:tc>
          <w:tcPr>
            <w:tcW w:w="824" w:type="pct"/>
            <w:vMerge w:val="restart"/>
            <w:tcBorders>
              <w:tl2br w:val="nil"/>
              <w:tr2bl w:val="nil"/>
            </w:tcBorders>
            <w:vAlign w:val="center"/>
          </w:tcPr>
          <w:p w14:paraId="35929C2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128.27014446</w:t>
            </w:r>
          </w:p>
        </w:tc>
        <w:tc>
          <w:tcPr>
            <w:tcW w:w="762" w:type="pct"/>
            <w:vMerge w:val="restart"/>
            <w:tcBorders>
              <w:tl2br w:val="nil"/>
              <w:tr2bl w:val="nil"/>
            </w:tcBorders>
            <w:vAlign w:val="center"/>
          </w:tcPr>
          <w:p w14:paraId="276ADC8A">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45.32285362</w:t>
            </w:r>
          </w:p>
        </w:tc>
        <w:tc>
          <w:tcPr>
            <w:tcW w:w="289" w:type="pct"/>
            <w:vMerge w:val="continue"/>
            <w:tcBorders>
              <w:tl2br w:val="nil"/>
              <w:tr2bl w:val="nil"/>
            </w:tcBorders>
            <w:vAlign w:val="center"/>
          </w:tcPr>
          <w:p w14:paraId="559EF8F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70919086">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08" w:type="pct"/>
            <w:tcBorders>
              <w:tl2br w:val="nil"/>
              <w:tr2bl w:val="nil"/>
            </w:tcBorders>
            <w:shd w:val="clear" w:color="auto" w:fill="auto"/>
            <w:vAlign w:val="center"/>
          </w:tcPr>
          <w:p w14:paraId="15EC01E9">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480" w:type="pct"/>
            <w:tcBorders>
              <w:tl2br w:val="nil"/>
              <w:tr2bl w:val="nil"/>
            </w:tcBorders>
            <w:shd w:val="clear" w:color="auto" w:fill="auto"/>
            <w:vAlign w:val="center"/>
          </w:tcPr>
          <w:p w14:paraId="37E9BA45">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4DD3BF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90" w:hRule="atLeast"/>
          <w:tblHeader/>
          <w:jc w:val="center"/>
        </w:trPr>
        <w:tc>
          <w:tcPr>
            <w:tcW w:w="433" w:type="pct"/>
            <w:vMerge w:val="continue"/>
            <w:tcBorders>
              <w:tl2br w:val="nil"/>
              <w:tr2bl w:val="nil"/>
            </w:tcBorders>
            <w:vAlign w:val="center"/>
          </w:tcPr>
          <w:p w14:paraId="5BA345F2">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666" w:type="pct"/>
            <w:vMerge w:val="continue"/>
            <w:tcBorders>
              <w:tl2br w:val="nil"/>
              <w:tr2bl w:val="nil"/>
            </w:tcBorders>
            <w:vAlign w:val="center"/>
          </w:tcPr>
          <w:p w14:paraId="6236456B">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824" w:type="pct"/>
            <w:vMerge w:val="continue"/>
            <w:tcBorders>
              <w:tl2br w:val="nil"/>
              <w:tr2bl w:val="nil"/>
            </w:tcBorders>
            <w:vAlign w:val="center"/>
          </w:tcPr>
          <w:p w14:paraId="1038A81B">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762" w:type="pct"/>
            <w:vMerge w:val="continue"/>
            <w:tcBorders>
              <w:tl2br w:val="nil"/>
              <w:tr2bl w:val="nil"/>
            </w:tcBorders>
            <w:vAlign w:val="center"/>
          </w:tcPr>
          <w:p w14:paraId="590C0E1D">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46682DDD">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02AD01AD">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408" w:type="pct"/>
            <w:tcBorders>
              <w:tl2br w:val="nil"/>
              <w:tr2bl w:val="nil"/>
            </w:tcBorders>
            <w:shd w:val="clear" w:color="auto" w:fill="auto"/>
            <w:vAlign w:val="center"/>
          </w:tcPr>
          <w:p w14:paraId="4277FCC3">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E</w:t>
            </w:r>
          </w:p>
        </w:tc>
        <w:tc>
          <w:tcPr>
            <w:tcW w:w="480" w:type="pct"/>
            <w:tcBorders>
              <w:tl2br w:val="nil"/>
              <w:tr2bl w:val="nil"/>
            </w:tcBorders>
            <w:shd w:val="clear" w:color="auto" w:fill="auto"/>
            <w:vAlign w:val="center"/>
          </w:tcPr>
          <w:p w14:paraId="04201D00">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04D95F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48" w:hRule="atLeast"/>
          <w:tblHeader/>
          <w:jc w:val="center"/>
        </w:trPr>
        <w:tc>
          <w:tcPr>
            <w:tcW w:w="433" w:type="pct"/>
            <w:vMerge w:val="continue"/>
            <w:tcBorders>
              <w:tl2br w:val="nil"/>
              <w:tr2bl w:val="nil"/>
            </w:tcBorders>
            <w:vAlign w:val="center"/>
          </w:tcPr>
          <w:p w14:paraId="7BC606B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vAlign w:val="center"/>
          </w:tcPr>
          <w:p w14:paraId="5E9C0626">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西南屯</w:t>
            </w:r>
          </w:p>
        </w:tc>
        <w:tc>
          <w:tcPr>
            <w:tcW w:w="0" w:type="auto"/>
            <w:tcBorders>
              <w:tl2br w:val="nil"/>
              <w:tr2bl w:val="nil"/>
            </w:tcBorders>
            <w:vAlign w:val="center"/>
          </w:tcPr>
          <w:p w14:paraId="6A0B6508">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128.26409340</w:t>
            </w:r>
          </w:p>
        </w:tc>
        <w:tc>
          <w:tcPr>
            <w:tcW w:w="0" w:type="auto"/>
            <w:tcBorders>
              <w:tl2br w:val="nil"/>
              <w:tr2bl w:val="nil"/>
            </w:tcBorders>
            <w:vAlign w:val="center"/>
          </w:tcPr>
          <w:p w14:paraId="1E6A309D">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45.31217093</w:t>
            </w:r>
          </w:p>
        </w:tc>
        <w:tc>
          <w:tcPr>
            <w:tcW w:w="289" w:type="pct"/>
            <w:vMerge w:val="continue"/>
            <w:tcBorders>
              <w:tl2br w:val="nil"/>
              <w:tr2bl w:val="nil"/>
            </w:tcBorders>
            <w:vAlign w:val="center"/>
          </w:tcPr>
          <w:p w14:paraId="4BF9AAD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631726C3">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71BE5925">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0" w:type="auto"/>
            <w:tcBorders>
              <w:tl2br w:val="nil"/>
              <w:tr2bl w:val="nil"/>
            </w:tcBorders>
            <w:shd w:val="clear" w:color="auto" w:fill="auto"/>
            <w:vAlign w:val="center"/>
          </w:tcPr>
          <w:p w14:paraId="48EDA86A">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7C8FC6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20" w:hRule="atLeast"/>
          <w:tblHeader/>
          <w:jc w:val="center"/>
        </w:trPr>
        <w:tc>
          <w:tcPr>
            <w:tcW w:w="433" w:type="pct"/>
            <w:vMerge w:val="continue"/>
            <w:tcBorders>
              <w:tl2br w:val="nil"/>
              <w:tr2bl w:val="nil"/>
            </w:tcBorders>
            <w:vAlign w:val="center"/>
          </w:tcPr>
          <w:p w14:paraId="16A62E26">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restart"/>
            <w:tcBorders>
              <w:tl2br w:val="nil"/>
              <w:tr2bl w:val="nil"/>
            </w:tcBorders>
            <w:vAlign w:val="center"/>
          </w:tcPr>
          <w:p w14:paraId="11D364A7">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洪福村</w:t>
            </w:r>
          </w:p>
        </w:tc>
        <w:tc>
          <w:tcPr>
            <w:tcW w:w="0" w:type="auto"/>
            <w:vMerge w:val="restart"/>
            <w:tcBorders>
              <w:tl2br w:val="nil"/>
              <w:tr2bl w:val="nil"/>
            </w:tcBorders>
            <w:vAlign w:val="center"/>
          </w:tcPr>
          <w:p w14:paraId="58BFA21A">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128.28349113</w:t>
            </w:r>
          </w:p>
        </w:tc>
        <w:tc>
          <w:tcPr>
            <w:tcW w:w="0" w:type="auto"/>
            <w:vMerge w:val="restart"/>
            <w:tcBorders>
              <w:tl2br w:val="nil"/>
              <w:tr2bl w:val="nil"/>
            </w:tcBorders>
            <w:vAlign w:val="center"/>
          </w:tcPr>
          <w:p w14:paraId="08A7673A">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45.28291901</w:t>
            </w:r>
          </w:p>
        </w:tc>
        <w:tc>
          <w:tcPr>
            <w:tcW w:w="289" w:type="pct"/>
            <w:vMerge w:val="continue"/>
            <w:tcBorders>
              <w:tl2br w:val="nil"/>
              <w:tr2bl w:val="nil"/>
            </w:tcBorders>
            <w:vAlign w:val="center"/>
          </w:tcPr>
          <w:p w14:paraId="174BB9DE">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2778095C">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2EAC392D">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0" w:type="auto"/>
            <w:tcBorders>
              <w:tl2br w:val="nil"/>
              <w:tr2bl w:val="nil"/>
            </w:tcBorders>
            <w:shd w:val="clear" w:color="auto" w:fill="auto"/>
            <w:vAlign w:val="center"/>
          </w:tcPr>
          <w:p w14:paraId="7CB471B1">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0921DC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48" w:hRule="atLeast"/>
          <w:tblHeader/>
          <w:jc w:val="center"/>
        </w:trPr>
        <w:tc>
          <w:tcPr>
            <w:tcW w:w="433" w:type="pct"/>
            <w:vMerge w:val="continue"/>
            <w:tcBorders>
              <w:tl2br w:val="nil"/>
              <w:tr2bl w:val="nil"/>
            </w:tcBorders>
            <w:vAlign w:val="center"/>
          </w:tcPr>
          <w:p w14:paraId="776CF421">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51EE31B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0" w:type="auto"/>
            <w:vMerge w:val="continue"/>
            <w:tcBorders>
              <w:tl2br w:val="nil"/>
              <w:tr2bl w:val="nil"/>
            </w:tcBorders>
            <w:vAlign w:val="center"/>
          </w:tcPr>
          <w:p w14:paraId="1B1474F8">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42846ED6">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2B566BC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6FE4F2FA">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6B289CC1">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E</w:t>
            </w:r>
          </w:p>
        </w:tc>
        <w:tc>
          <w:tcPr>
            <w:tcW w:w="0" w:type="auto"/>
            <w:tcBorders>
              <w:tl2br w:val="nil"/>
              <w:tr2bl w:val="nil"/>
            </w:tcBorders>
            <w:shd w:val="clear" w:color="auto" w:fill="auto"/>
            <w:vAlign w:val="center"/>
          </w:tcPr>
          <w:p w14:paraId="75FFEF7C">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0A3949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22" w:hRule="atLeast"/>
          <w:tblHeader/>
          <w:jc w:val="center"/>
        </w:trPr>
        <w:tc>
          <w:tcPr>
            <w:tcW w:w="433" w:type="pct"/>
            <w:vMerge w:val="continue"/>
            <w:tcBorders>
              <w:tl2br w:val="nil"/>
              <w:tr2bl w:val="nil"/>
            </w:tcBorders>
            <w:vAlign w:val="center"/>
          </w:tcPr>
          <w:p w14:paraId="62108F2C">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restart"/>
            <w:tcBorders>
              <w:tl2br w:val="nil"/>
              <w:tr2bl w:val="nil"/>
            </w:tcBorders>
            <w:vAlign w:val="center"/>
          </w:tcPr>
          <w:p w14:paraId="1F03BE01">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尚志市</w:t>
            </w:r>
          </w:p>
        </w:tc>
        <w:tc>
          <w:tcPr>
            <w:tcW w:w="0" w:type="auto"/>
            <w:vMerge w:val="restart"/>
            <w:tcBorders>
              <w:tl2br w:val="nil"/>
              <w:tr2bl w:val="nil"/>
            </w:tcBorders>
            <w:vAlign w:val="center"/>
          </w:tcPr>
          <w:p w14:paraId="6F98EFE7">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127.99089432</w:t>
            </w:r>
          </w:p>
        </w:tc>
        <w:tc>
          <w:tcPr>
            <w:tcW w:w="0" w:type="auto"/>
            <w:vMerge w:val="restart"/>
            <w:tcBorders>
              <w:tl2br w:val="nil"/>
              <w:tr2bl w:val="nil"/>
            </w:tcBorders>
            <w:vAlign w:val="center"/>
          </w:tcPr>
          <w:p w14:paraId="5C8EAAF1">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45.21348728</w:t>
            </w:r>
          </w:p>
        </w:tc>
        <w:tc>
          <w:tcPr>
            <w:tcW w:w="289" w:type="pct"/>
            <w:vMerge w:val="continue"/>
            <w:tcBorders>
              <w:tl2br w:val="nil"/>
              <w:tr2bl w:val="nil"/>
            </w:tcBorders>
            <w:vAlign w:val="center"/>
          </w:tcPr>
          <w:p w14:paraId="2A5217A1">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1919BF9F">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595183CB">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0" w:type="auto"/>
            <w:tcBorders>
              <w:tl2br w:val="nil"/>
              <w:tr2bl w:val="nil"/>
            </w:tcBorders>
            <w:shd w:val="clear" w:color="auto" w:fill="auto"/>
            <w:vAlign w:val="center"/>
          </w:tcPr>
          <w:p w14:paraId="41F32C3E">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3578CB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75" w:hRule="atLeast"/>
          <w:tblHeader/>
          <w:jc w:val="center"/>
        </w:trPr>
        <w:tc>
          <w:tcPr>
            <w:tcW w:w="433" w:type="pct"/>
            <w:vMerge w:val="continue"/>
            <w:tcBorders>
              <w:tl2br w:val="nil"/>
              <w:tr2bl w:val="nil"/>
            </w:tcBorders>
            <w:vAlign w:val="center"/>
          </w:tcPr>
          <w:p w14:paraId="175478B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70B2AAAD">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0" w:type="auto"/>
            <w:vMerge w:val="continue"/>
            <w:tcBorders>
              <w:tl2br w:val="nil"/>
              <w:tr2bl w:val="nil"/>
            </w:tcBorders>
            <w:vAlign w:val="center"/>
          </w:tcPr>
          <w:p w14:paraId="49FF1ABA">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5EC6B997">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6FD647E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61F7027B">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39165470">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E</w:t>
            </w:r>
          </w:p>
        </w:tc>
        <w:tc>
          <w:tcPr>
            <w:tcW w:w="0" w:type="auto"/>
            <w:tcBorders>
              <w:tl2br w:val="nil"/>
              <w:tr2bl w:val="nil"/>
            </w:tcBorders>
            <w:shd w:val="clear" w:color="auto" w:fill="auto"/>
            <w:vAlign w:val="center"/>
          </w:tcPr>
          <w:p w14:paraId="49230AD0">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7B9454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48" w:hRule="atLeast"/>
          <w:tblHeader/>
          <w:jc w:val="center"/>
        </w:trPr>
        <w:tc>
          <w:tcPr>
            <w:tcW w:w="433" w:type="pct"/>
            <w:vMerge w:val="continue"/>
            <w:tcBorders>
              <w:tl2br w:val="nil"/>
              <w:tr2bl w:val="nil"/>
            </w:tcBorders>
            <w:vAlign w:val="center"/>
          </w:tcPr>
          <w:p w14:paraId="3AB99C6C">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vAlign w:val="center"/>
          </w:tcPr>
          <w:p w14:paraId="11AD4730">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河东村</w:t>
            </w:r>
          </w:p>
        </w:tc>
        <w:tc>
          <w:tcPr>
            <w:tcW w:w="0" w:type="auto"/>
            <w:tcBorders>
              <w:tl2br w:val="nil"/>
              <w:tr2bl w:val="nil"/>
            </w:tcBorders>
            <w:vAlign w:val="center"/>
          </w:tcPr>
          <w:p w14:paraId="780AF40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128.17199707</w:t>
            </w:r>
          </w:p>
        </w:tc>
        <w:tc>
          <w:tcPr>
            <w:tcW w:w="0" w:type="auto"/>
            <w:tcBorders>
              <w:tl2br w:val="nil"/>
              <w:tr2bl w:val="nil"/>
            </w:tcBorders>
            <w:vAlign w:val="center"/>
          </w:tcPr>
          <w:p w14:paraId="5FC14D6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45.22083329</w:t>
            </w:r>
          </w:p>
        </w:tc>
        <w:tc>
          <w:tcPr>
            <w:tcW w:w="289" w:type="pct"/>
            <w:vMerge w:val="continue"/>
            <w:tcBorders>
              <w:tl2br w:val="nil"/>
              <w:tr2bl w:val="nil"/>
            </w:tcBorders>
            <w:vAlign w:val="center"/>
          </w:tcPr>
          <w:p w14:paraId="498F49C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1F2D9EE9">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004BA9DE">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S</w:t>
            </w:r>
          </w:p>
        </w:tc>
        <w:tc>
          <w:tcPr>
            <w:tcW w:w="0" w:type="auto"/>
            <w:tcBorders>
              <w:tl2br w:val="nil"/>
              <w:tr2bl w:val="nil"/>
            </w:tcBorders>
            <w:shd w:val="clear" w:color="auto" w:fill="auto"/>
            <w:vAlign w:val="center"/>
          </w:tcPr>
          <w:p w14:paraId="50A67F2B">
            <w:pPr>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110</w:t>
            </w:r>
          </w:p>
        </w:tc>
      </w:tr>
      <w:tr w14:paraId="6CD189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98" w:hRule="atLeast"/>
          <w:tblHeader/>
          <w:jc w:val="center"/>
        </w:trPr>
        <w:tc>
          <w:tcPr>
            <w:tcW w:w="433" w:type="pct"/>
            <w:vMerge w:val="continue"/>
            <w:tcBorders>
              <w:tl2br w:val="nil"/>
              <w:tr2bl w:val="nil"/>
            </w:tcBorders>
            <w:vAlign w:val="center"/>
          </w:tcPr>
          <w:p w14:paraId="4EBFF359">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restart"/>
            <w:tcBorders>
              <w:tl2br w:val="nil"/>
              <w:tr2bl w:val="nil"/>
            </w:tcBorders>
            <w:vAlign w:val="center"/>
          </w:tcPr>
          <w:p w14:paraId="132FA086">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六甲村</w:t>
            </w:r>
          </w:p>
        </w:tc>
        <w:tc>
          <w:tcPr>
            <w:tcW w:w="0" w:type="auto"/>
            <w:vMerge w:val="restart"/>
            <w:tcBorders>
              <w:tl2br w:val="nil"/>
              <w:tr2bl w:val="nil"/>
            </w:tcBorders>
            <w:vAlign w:val="center"/>
          </w:tcPr>
          <w:p w14:paraId="7FC82AED">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128.20916176</w:t>
            </w:r>
          </w:p>
        </w:tc>
        <w:tc>
          <w:tcPr>
            <w:tcW w:w="0" w:type="auto"/>
            <w:vMerge w:val="restart"/>
            <w:tcBorders>
              <w:tl2br w:val="nil"/>
              <w:tr2bl w:val="nil"/>
            </w:tcBorders>
            <w:vAlign w:val="center"/>
          </w:tcPr>
          <w:p w14:paraId="74471396">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45.23419274</w:t>
            </w:r>
          </w:p>
        </w:tc>
        <w:tc>
          <w:tcPr>
            <w:tcW w:w="289" w:type="pct"/>
            <w:vMerge w:val="continue"/>
            <w:tcBorders>
              <w:tl2br w:val="nil"/>
              <w:tr2bl w:val="nil"/>
            </w:tcBorders>
            <w:vAlign w:val="center"/>
          </w:tcPr>
          <w:p w14:paraId="1943E4D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19D1A404">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56DAA82C">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S</w:t>
            </w:r>
          </w:p>
        </w:tc>
        <w:tc>
          <w:tcPr>
            <w:tcW w:w="0" w:type="auto"/>
            <w:tcBorders>
              <w:tl2br w:val="nil"/>
              <w:tr2bl w:val="nil"/>
            </w:tcBorders>
            <w:shd w:val="clear" w:color="auto" w:fill="auto"/>
            <w:vAlign w:val="center"/>
          </w:tcPr>
          <w:p w14:paraId="495C2052">
            <w:pPr>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15</w:t>
            </w:r>
          </w:p>
        </w:tc>
      </w:tr>
      <w:tr w14:paraId="400A22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00" w:hRule="atLeast"/>
          <w:tblHeader/>
          <w:jc w:val="center"/>
        </w:trPr>
        <w:tc>
          <w:tcPr>
            <w:tcW w:w="433" w:type="pct"/>
            <w:vMerge w:val="continue"/>
            <w:tcBorders>
              <w:tl2br w:val="nil"/>
              <w:tr2bl w:val="nil"/>
            </w:tcBorders>
            <w:vAlign w:val="center"/>
          </w:tcPr>
          <w:p w14:paraId="315DE839">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4E453815">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0" w:type="auto"/>
            <w:vMerge w:val="continue"/>
            <w:tcBorders>
              <w:tl2br w:val="nil"/>
              <w:tr2bl w:val="nil"/>
            </w:tcBorders>
            <w:vAlign w:val="center"/>
          </w:tcPr>
          <w:p w14:paraId="474A1F1B">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0238CA26">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3DEA4946">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6E3131EF">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34FBEBED">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N</w:t>
            </w:r>
          </w:p>
        </w:tc>
        <w:tc>
          <w:tcPr>
            <w:tcW w:w="0" w:type="auto"/>
            <w:tcBorders>
              <w:tl2br w:val="nil"/>
              <w:tr2bl w:val="nil"/>
            </w:tcBorders>
            <w:shd w:val="clear" w:color="auto" w:fill="auto"/>
            <w:vAlign w:val="center"/>
          </w:tcPr>
          <w:p w14:paraId="51F6C35D">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15</w:t>
            </w:r>
          </w:p>
        </w:tc>
      </w:tr>
      <w:tr w14:paraId="54AC70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00" w:hRule="atLeast"/>
          <w:tblHeader/>
          <w:jc w:val="center"/>
        </w:trPr>
        <w:tc>
          <w:tcPr>
            <w:tcW w:w="433" w:type="pct"/>
            <w:vMerge w:val="continue"/>
            <w:tcBorders>
              <w:tl2br w:val="nil"/>
              <w:tr2bl w:val="nil"/>
            </w:tcBorders>
            <w:vAlign w:val="center"/>
          </w:tcPr>
          <w:p w14:paraId="593B815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vAlign w:val="center"/>
          </w:tcPr>
          <w:p w14:paraId="4E1BB5CA">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裕民村</w:t>
            </w:r>
          </w:p>
        </w:tc>
        <w:tc>
          <w:tcPr>
            <w:tcW w:w="0" w:type="auto"/>
            <w:tcBorders>
              <w:tl2br w:val="nil"/>
              <w:tr2bl w:val="nil"/>
            </w:tcBorders>
            <w:vAlign w:val="center"/>
          </w:tcPr>
          <w:p w14:paraId="54C13A6D">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128.22963238</w:t>
            </w:r>
          </w:p>
        </w:tc>
        <w:tc>
          <w:tcPr>
            <w:tcW w:w="0" w:type="auto"/>
            <w:tcBorders>
              <w:tl2br w:val="nil"/>
              <w:tr2bl w:val="nil"/>
            </w:tcBorders>
            <w:vAlign w:val="center"/>
          </w:tcPr>
          <w:p w14:paraId="08A1426D">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45.24204977</w:t>
            </w:r>
          </w:p>
        </w:tc>
        <w:tc>
          <w:tcPr>
            <w:tcW w:w="289" w:type="pct"/>
            <w:vMerge w:val="continue"/>
            <w:tcBorders>
              <w:tl2br w:val="nil"/>
              <w:tr2bl w:val="nil"/>
            </w:tcBorders>
            <w:vAlign w:val="center"/>
          </w:tcPr>
          <w:p w14:paraId="046295AC">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7F7FB3B8">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3CF41E0C">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N</w:t>
            </w:r>
          </w:p>
        </w:tc>
        <w:tc>
          <w:tcPr>
            <w:tcW w:w="0" w:type="auto"/>
            <w:tcBorders>
              <w:tl2br w:val="nil"/>
              <w:tr2bl w:val="nil"/>
            </w:tcBorders>
            <w:shd w:val="clear" w:color="auto" w:fill="auto"/>
            <w:vAlign w:val="center"/>
          </w:tcPr>
          <w:p w14:paraId="4E6DAF1A">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15</w:t>
            </w:r>
          </w:p>
        </w:tc>
      </w:tr>
      <w:tr w14:paraId="65BF89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00" w:hRule="atLeast"/>
          <w:tblHeader/>
          <w:jc w:val="center"/>
        </w:trPr>
        <w:tc>
          <w:tcPr>
            <w:tcW w:w="433" w:type="pct"/>
            <w:vMerge w:val="continue"/>
            <w:tcBorders>
              <w:tl2br w:val="nil"/>
              <w:tr2bl w:val="nil"/>
            </w:tcBorders>
            <w:vAlign w:val="center"/>
          </w:tcPr>
          <w:p w14:paraId="3CAAACE6">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vAlign w:val="center"/>
          </w:tcPr>
          <w:p w14:paraId="35C93F70">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七甲村</w:t>
            </w:r>
          </w:p>
        </w:tc>
        <w:tc>
          <w:tcPr>
            <w:tcW w:w="0" w:type="auto"/>
            <w:tcBorders>
              <w:tl2br w:val="nil"/>
              <w:tr2bl w:val="nil"/>
            </w:tcBorders>
            <w:vAlign w:val="center"/>
          </w:tcPr>
          <w:p w14:paraId="43BD0982">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128.24211001</w:t>
            </w:r>
          </w:p>
        </w:tc>
        <w:tc>
          <w:tcPr>
            <w:tcW w:w="0" w:type="auto"/>
            <w:tcBorders>
              <w:tl2br w:val="nil"/>
              <w:tr2bl w:val="nil"/>
            </w:tcBorders>
            <w:vAlign w:val="center"/>
          </w:tcPr>
          <w:p w14:paraId="46EACA4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45.24577392</w:t>
            </w:r>
          </w:p>
        </w:tc>
        <w:tc>
          <w:tcPr>
            <w:tcW w:w="289" w:type="pct"/>
            <w:vMerge w:val="continue"/>
            <w:tcBorders>
              <w:tl2br w:val="nil"/>
              <w:tr2bl w:val="nil"/>
            </w:tcBorders>
            <w:vAlign w:val="center"/>
          </w:tcPr>
          <w:p w14:paraId="36FBFDCE">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6034D548">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5E645710">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N</w:t>
            </w:r>
          </w:p>
        </w:tc>
        <w:tc>
          <w:tcPr>
            <w:tcW w:w="0" w:type="auto"/>
            <w:tcBorders>
              <w:tl2br w:val="nil"/>
              <w:tr2bl w:val="nil"/>
            </w:tcBorders>
            <w:shd w:val="clear" w:color="auto" w:fill="auto"/>
            <w:vAlign w:val="center"/>
          </w:tcPr>
          <w:p w14:paraId="11B7F837">
            <w:pPr>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40</w:t>
            </w:r>
          </w:p>
        </w:tc>
      </w:tr>
      <w:tr w14:paraId="37E4B8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25" w:hRule="atLeast"/>
          <w:tblHeader/>
          <w:jc w:val="center"/>
        </w:trPr>
        <w:tc>
          <w:tcPr>
            <w:tcW w:w="433" w:type="pct"/>
            <w:vMerge w:val="continue"/>
            <w:tcBorders>
              <w:tl2br w:val="nil"/>
              <w:tr2bl w:val="nil"/>
            </w:tcBorders>
            <w:vAlign w:val="center"/>
          </w:tcPr>
          <w:p w14:paraId="14FA3F2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restart"/>
            <w:tcBorders>
              <w:tl2br w:val="nil"/>
              <w:tr2bl w:val="nil"/>
            </w:tcBorders>
            <w:vAlign w:val="center"/>
          </w:tcPr>
          <w:p w14:paraId="1076882F">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元宝村</w:t>
            </w:r>
          </w:p>
        </w:tc>
        <w:tc>
          <w:tcPr>
            <w:tcW w:w="0" w:type="auto"/>
            <w:vMerge w:val="restart"/>
            <w:tcBorders>
              <w:tl2br w:val="nil"/>
              <w:tr2bl w:val="nil"/>
            </w:tcBorders>
            <w:vAlign w:val="center"/>
          </w:tcPr>
          <w:p w14:paraId="74C0C06A">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128.27653885</w:t>
            </w:r>
          </w:p>
        </w:tc>
        <w:tc>
          <w:tcPr>
            <w:tcW w:w="0" w:type="auto"/>
            <w:vMerge w:val="restart"/>
            <w:tcBorders>
              <w:tl2br w:val="nil"/>
              <w:tr2bl w:val="nil"/>
            </w:tcBorders>
            <w:vAlign w:val="center"/>
          </w:tcPr>
          <w:p w14:paraId="7D282968">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45.25748869</w:t>
            </w:r>
          </w:p>
        </w:tc>
        <w:tc>
          <w:tcPr>
            <w:tcW w:w="289" w:type="pct"/>
            <w:vMerge w:val="continue"/>
            <w:tcBorders>
              <w:tl2br w:val="nil"/>
              <w:tr2bl w:val="nil"/>
            </w:tcBorders>
            <w:vAlign w:val="center"/>
          </w:tcPr>
          <w:p w14:paraId="045BEAA9">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0C0D211B">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688C04E8">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S</w:t>
            </w:r>
          </w:p>
        </w:tc>
        <w:tc>
          <w:tcPr>
            <w:tcW w:w="0" w:type="auto"/>
            <w:tcBorders>
              <w:tl2br w:val="nil"/>
              <w:tr2bl w:val="nil"/>
            </w:tcBorders>
            <w:shd w:val="clear" w:color="auto" w:fill="auto"/>
            <w:vAlign w:val="center"/>
          </w:tcPr>
          <w:p w14:paraId="28E099FD">
            <w:pPr>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15</w:t>
            </w:r>
          </w:p>
        </w:tc>
      </w:tr>
      <w:tr w14:paraId="5AF84C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02" w:hRule="atLeast"/>
          <w:tblHeader/>
          <w:jc w:val="center"/>
        </w:trPr>
        <w:tc>
          <w:tcPr>
            <w:tcW w:w="433" w:type="pct"/>
            <w:vMerge w:val="continue"/>
            <w:tcBorders>
              <w:tl2br w:val="nil"/>
              <w:tr2bl w:val="nil"/>
            </w:tcBorders>
            <w:vAlign w:val="center"/>
          </w:tcPr>
          <w:p w14:paraId="67F16882">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296CF38C">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0" w:type="auto"/>
            <w:vMerge w:val="continue"/>
            <w:tcBorders>
              <w:tl2br w:val="nil"/>
              <w:tr2bl w:val="nil"/>
            </w:tcBorders>
            <w:vAlign w:val="center"/>
          </w:tcPr>
          <w:p w14:paraId="078AD762">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40814E6E">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3AB453C2">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26343654">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013F40C7">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N</w:t>
            </w:r>
          </w:p>
        </w:tc>
        <w:tc>
          <w:tcPr>
            <w:tcW w:w="0" w:type="auto"/>
            <w:tcBorders>
              <w:tl2br w:val="nil"/>
              <w:tr2bl w:val="nil"/>
            </w:tcBorders>
            <w:shd w:val="clear" w:color="auto" w:fill="auto"/>
            <w:vAlign w:val="center"/>
          </w:tcPr>
          <w:p w14:paraId="4384C92D">
            <w:pPr>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15</w:t>
            </w:r>
          </w:p>
        </w:tc>
      </w:tr>
      <w:tr w14:paraId="3CA4F7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blHeader/>
          <w:jc w:val="center"/>
        </w:trPr>
        <w:tc>
          <w:tcPr>
            <w:tcW w:w="433" w:type="pct"/>
            <w:vMerge w:val="continue"/>
            <w:tcBorders>
              <w:tl2br w:val="nil"/>
              <w:tr2bl w:val="nil"/>
            </w:tcBorders>
            <w:vAlign w:val="center"/>
          </w:tcPr>
          <w:p w14:paraId="009FA5E0">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3006596E">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0" w:type="auto"/>
            <w:vMerge w:val="continue"/>
            <w:tcBorders>
              <w:tl2br w:val="nil"/>
              <w:tr2bl w:val="nil"/>
            </w:tcBorders>
            <w:vAlign w:val="center"/>
          </w:tcPr>
          <w:p w14:paraId="0DD6116A">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33897C9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7650AB4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50077FFA">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719A9C62">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0" w:type="auto"/>
            <w:tcBorders>
              <w:tl2br w:val="nil"/>
              <w:tr2bl w:val="nil"/>
            </w:tcBorders>
            <w:shd w:val="clear" w:color="auto" w:fill="auto"/>
            <w:vAlign w:val="center"/>
          </w:tcPr>
          <w:p w14:paraId="23B9D99D">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26DD8C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33" w:hRule="atLeast"/>
          <w:tblHeader/>
          <w:jc w:val="center"/>
        </w:trPr>
        <w:tc>
          <w:tcPr>
            <w:tcW w:w="433" w:type="pct"/>
            <w:vMerge w:val="continue"/>
            <w:tcBorders>
              <w:tl2br w:val="nil"/>
              <w:tr2bl w:val="nil"/>
            </w:tcBorders>
            <w:vAlign w:val="center"/>
          </w:tcPr>
          <w:p w14:paraId="28EDD828">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6F79C9BB">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0" w:type="auto"/>
            <w:vMerge w:val="continue"/>
            <w:tcBorders>
              <w:tl2br w:val="nil"/>
              <w:tr2bl w:val="nil"/>
            </w:tcBorders>
            <w:vAlign w:val="center"/>
          </w:tcPr>
          <w:p w14:paraId="3890E00A">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52370B17">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06DE5E4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1BA1B2AE">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32B6CC88">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E</w:t>
            </w:r>
          </w:p>
        </w:tc>
        <w:tc>
          <w:tcPr>
            <w:tcW w:w="0" w:type="auto"/>
            <w:tcBorders>
              <w:tl2br w:val="nil"/>
              <w:tr2bl w:val="nil"/>
            </w:tcBorders>
            <w:shd w:val="clear" w:color="auto" w:fill="auto"/>
            <w:vAlign w:val="center"/>
          </w:tcPr>
          <w:p w14:paraId="0DBD7340">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0687C3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564" w:hRule="atLeast"/>
          <w:tblHeader/>
          <w:jc w:val="center"/>
        </w:trPr>
        <w:tc>
          <w:tcPr>
            <w:tcW w:w="433" w:type="pct"/>
            <w:vMerge w:val="continue"/>
            <w:tcBorders>
              <w:tl2br w:val="nil"/>
              <w:tr2bl w:val="nil"/>
            </w:tcBorders>
            <w:vAlign w:val="center"/>
          </w:tcPr>
          <w:p w14:paraId="2E253B2D">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restart"/>
            <w:tcBorders>
              <w:tl2br w:val="nil"/>
              <w:tr2bl w:val="nil"/>
            </w:tcBorders>
            <w:vAlign w:val="center"/>
          </w:tcPr>
          <w:p w14:paraId="213FCDF5">
            <w:pPr>
              <w:pStyle w:val="503"/>
              <w:keepNext w:val="0"/>
              <w:keepLines w:val="0"/>
              <w:widowControl w:val="0"/>
              <w:suppressLineNumbers w:val="0"/>
              <w:snapToGrid w:val="0"/>
              <w:spacing w:before="0" w:beforeAutospacing="0" w:after="0" w:afterAutospacing="0" w:line="240" w:lineRule="auto"/>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苇河镇</w:t>
            </w:r>
          </w:p>
        </w:tc>
        <w:tc>
          <w:tcPr>
            <w:tcW w:w="0" w:type="auto"/>
            <w:vMerge w:val="restart"/>
            <w:tcBorders>
              <w:tl2br w:val="nil"/>
              <w:tr2bl w:val="nil"/>
            </w:tcBorders>
            <w:vAlign w:val="center"/>
          </w:tcPr>
          <w:p w14:paraId="7594100E">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128.39245319</w:t>
            </w:r>
          </w:p>
        </w:tc>
        <w:tc>
          <w:tcPr>
            <w:tcW w:w="0" w:type="auto"/>
            <w:vMerge w:val="restart"/>
            <w:tcBorders>
              <w:tl2br w:val="nil"/>
              <w:tr2bl w:val="nil"/>
            </w:tcBorders>
            <w:vAlign w:val="center"/>
          </w:tcPr>
          <w:p w14:paraId="691CCAC2">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44.93937732</w:t>
            </w:r>
          </w:p>
        </w:tc>
        <w:tc>
          <w:tcPr>
            <w:tcW w:w="289" w:type="pct"/>
            <w:vMerge w:val="continue"/>
            <w:tcBorders>
              <w:tl2br w:val="nil"/>
              <w:tr2bl w:val="nil"/>
            </w:tcBorders>
            <w:vAlign w:val="center"/>
          </w:tcPr>
          <w:p w14:paraId="101E68AE">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6AEDDCE8">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664504B8">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S</w:t>
            </w:r>
          </w:p>
        </w:tc>
        <w:tc>
          <w:tcPr>
            <w:tcW w:w="0" w:type="auto"/>
            <w:tcBorders>
              <w:tl2br w:val="nil"/>
              <w:tr2bl w:val="nil"/>
            </w:tcBorders>
            <w:shd w:val="clear" w:color="auto" w:fill="auto"/>
            <w:vAlign w:val="center"/>
          </w:tcPr>
          <w:p w14:paraId="6D48CCB8">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15</w:t>
            </w:r>
          </w:p>
        </w:tc>
      </w:tr>
      <w:tr w14:paraId="557858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60" w:hRule="atLeast"/>
          <w:tblHeader/>
          <w:jc w:val="center"/>
        </w:trPr>
        <w:tc>
          <w:tcPr>
            <w:tcW w:w="433" w:type="pct"/>
            <w:vMerge w:val="continue"/>
            <w:tcBorders>
              <w:tl2br w:val="nil"/>
              <w:tr2bl w:val="nil"/>
            </w:tcBorders>
            <w:vAlign w:val="center"/>
          </w:tcPr>
          <w:p w14:paraId="544A63D7">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1A220EF1">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0" w:type="auto"/>
            <w:vMerge w:val="continue"/>
            <w:tcBorders>
              <w:tl2br w:val="nil"/>
              <w:tr2bl w:val="nil"/>
            </w:tcBorders>
            <w:vAlign w:val="center"/>
          </w:tcPr>
          <w:p w14:paraId="687651D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37977A8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01F894E9">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7059A000">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0867060A">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N</w:t>
            </w:r>
          </w:p>
        </w:tc>
        <w:tc>
          <w:tcPr>
            <w:tcW w:w="0" w:type="auto"/>
            <w:tcBorders>
              <w:tl2br w:val="nil"/>
              <w:tr2bl w:val="nil"/>
            </w:tcBorders>
            <w:shd w:val="clear" w:color="auto" w:fill="auto"/>
            <w:vAlign w:val="center"/>
          </w:tcPr>
          <w:p w14:paraId="44D42526">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15</w:t>
            </w:r>
          </w:p>
        </w:tc>
      </w:tr>
      <w:tr w14:paraId="09E1BA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50" w:hRule="atLeast"/>
          <w:tblHeader/>
          <w:jc w:val="center"/>
        </w:trPr>
        <w:tc>
          <w:tcPr>
            <w:tcW w:w="433" w:type="pct"/>
            <w:vMerge w:val="continue"/>
            <w:tcBorders>
              <w:tl2br w:val="nil"/>
              <w:tr2bl w:val="nil"/>
            </w:tcBorders>
            <w:vAlign w:val="center"/>
          </w:tcPr>
          <w:p w14:paraId="06E48A7C">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0DD0C21A">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0" w:type="auto"/>
            <w:vMerge w:val="continue"/>
            <w:tcBorders>
              <w:tl2br w:val="nil"/>
              <w:tr2bl w:val="nil"/>
            </w:tcBorders>
            <w:vAlign w:val="center"/>
          </w:tcPr>
          <w:p w14:paraId="36674415">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0126867B">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64B849FE">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5C230890">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47427FAD">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0" w:type="auto"/>
            <w:tcBorders>
              <w:tl2br w:val="nil"/>
              <w:tr2bl w:val="nil"/>
            </w:tcBorders>
            <w:shd w:val="clear" w:color="auto" w:fill="auto"/>
            <w:vAlign w:val="center"/>
          </w:tcPr>
          <w:p w14:paraId="4E8B0829">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06CDA9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06" w:hRule="atLeast"/>
          <w:tblHeader/>
          <w:jc w:val="center"/>
        </w:trPr>
        <w:tc>
          <w:tcPr>
            <w:tcW w:w="433" w:type="pct"/>
            <w:vMerge w:val="continue"/>
            <w:tcBorders>
              <w:tl2br w:val="nil"/>
              <w:tr2bl w:val="nil"/>
            </w:tcBorders>
            <w:vAlign w:val="center"/>
          </w:tcPr>
          <w:p w14:paraId="43B19AD0">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73B9945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0" w:type="auto"/>
            <w:vMerge w:val="continue"/>
            <w:tcBorders>
              <w:tl2br w:val="nil"/>
              <w:tr2bl w:val="nil"/>
            </w:tcBorders>
            <w:vAlign w:val="center"/>
          </w:tcPr>
          <w:p w14:paraId="7AB54D48">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vAlign w:val="center"/>
          </w:tcPr>
          <w:p w14:paraId="31843555">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3E44AEC9">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68B8374F">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78874706">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E</w:t>
            </w:r>
          </w:p>
        </w:tc>
        <w:tc>
          <w:tcPr>
            <w:tcW w:w="0" w:type="auto"/>
            <w:tcBorders>
              <w:tl2br w:val="nil"/>
              <w:tr2bl w:val="nil"/>
            </w:tcBorders>
            <w:shd w:val="clear" w:color="auto" w:fill="auto"/>
            <w:vAlign w:val="center"/>
          </w:tcPr>
          <w:p w14:paraId="18C301AD">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350CCF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00" w:hRule="atLeast"/>
          <w:tblHeader/>
          <w:jc w:val="center"/>
        </w:trPr>
        <w:tc>
          <w:tcPr>
            <w:tcW w:w="433" w:type="pct"/>
            <w:vMerge w:val="continue"/>
            <w:tcBorders>
              <w:tl2br w:val="nil"/>
              <w:tr2bl w:val="nil"/>
            </w:tcBorders>
            <w:vAlign w:val="center"/>
          </w:tcPr>
          <w:p w14:paraId="23636765">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2A66E4AF">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景洲村</w:t>
            </w:r>
          </w:p>
        </w:tc>
        <w:tc>
          <w:tcPr>
            <w:tcW w:w="0" w:type="auto"/>
            <w:tcBorders>
              <w:tl2br w:val="nil"/>
              <w:tr2bl w:val="nil"/>
            </w:tcBorders>
            <w:shd w:val="clear" w:color="auto" w:fill="auto"/>
            <w:vAlign w:val="center"/>
          </w:tcPr>
          <w:p w14:paraId="62C581B9">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128.42755795</w:t>
            </w:r>
          </w:p>
        </w:tc>
        <w:tc>
          <w:tcPr>
            <w:tcW w:w="0" w:type="auto"/>
            <w:tcBorders>
              <w:tl2br w:val="nil"/>
              <w:tr2bl w:val="nil"/>
            </w:tcBorders>
            <w:shd w:val="clear" w:color="auto" w:fill="auto"/>
            <w:vAlign w:val="center"/>
          </w:tcPr>
          <w:p w14:paraId="3373EBD6">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44.98022096</w:t>
            </w:r>
          </w:p>
        </w:tc>
        <w:tc>
          <w:tcPr>
            <w:tcW w:w="289" w:type="pct"/>
            <w:vMerge w:val="continue"/>
            <w:tcBorders>
              <w:tl2br w:val="nil"/>
              <w:tr2bl w:val="nil"/>
            </w:tcBorders>
            <w:vAlign w:val="center"/>
          </w:tcPr>
          <w:p w14:paraId="335C17F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3241092A">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26CC03A6">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0" w:type="auto"/>
            <w:tcBorders>
              <w:tl2br w:val="nil"/>
              <w:tr2bl w:val="nil"/>
            </w:tcBorders>
            <w:shd w:val="clear" w:color="auto" w:fill="auto"/>
            <w:vAlign w:val="center"/>
          </w:tcPr>
          <w:p w14:paraId="2D47B460">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50</w:t>
            </w:r>
          </w:p>
        </w:tc>
      </w:tr>
      <w:tr w14:paraId="324A74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00" w:hRule="atLeast"/>
          <w:tblHeader/>
          <w:jc w:val="center"/>
        </w:trPr>
        <w:tc>
          <w:tcPr>
            <w:tcW w:w="433" w:type="pct"/>
            <w:vMerge w:val="continue"/>
            <w:tcBorders>
              <w:tl2br w:val="nil"/>
              <w:tr2bl w:val="nil"/>
            </w:tcBorders>
            <w:vAlign w:val="center"/>
          </w:tcPr>
          <w:p w14:paraId="7A863E5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36C38484">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行政村</w:t>
            </w:r>
          </w:p>
        </w:tc>
        <w:tc>
          <w:tcPr>
            <w:tcW w:w="0" w:type="auto"/>
            <w:tcBorders>
              <w:tl2br w:val="nil"/>
              <w:tr2bl w:val="nil"/>
            </w:tcBorders>
            <w:shd w:val="clear" w:color="auto" w:fill="auto"/>
            <w:vAlign w:val="center"/>
          </w:tcPr>
          <w:p w14:paraId="659FECF6">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128.44684839</w:t>
            </w:r>
          </w:p>
        </w:tc>
        <w:tc>
          <w:tcPr>
            <w:tcW w:w="0" w:type="auto"/>
            <w:tcBorders>
              <w:tl2br w:val="nil"/>
              <w:tr2bl w:val="nil"/>
            </w:tcBorders>
            <w:shd w:val="clear" w:color="auto" w:fill="auto"/>
            <w:vAlign w:val="center"/>
          </w:tcPr>
          <w:p w14:paraId="714F97D9">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45.01862386</w:t>
            </w:r>
          </w:p>
        </w:tc>
        <w:tc>
          <w:tcPr>
            <w:tcW w:w="289" w:type="pct"/>
            <w:vMerge w:val="continue"/>
            <w:tcBorders>
              <w:tl2br w:val="nil"/>
              <w:tr2bl w:val="nil"/>
            </w:tcBorders>
            <w:vAlign w:val="center"/>
          </w:tcPr>
          <w:p w14:paraId="259E2B8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687927D2">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62812B73">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0" w:type="auto"/>
            <w:tcBorders>
              <w:tl2br w:val="nil"/>
              <w:tr2bl w:val="nil"/>
            </w:tcBorders>
            <w:shd w:val="clear" w:color="auto" w:fill="auto"/>
            <w:vAlign w:val="center"/>
          </w:tcPr>
          <w:p w14:paraId="02A297F3">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19E00F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86" w:hRule="atLeast"/>
          <w:tblHeader/>
          <w:jc w:val="center"/>
        </w:trPr>
        <w:tc>
          <w:tcPr>
            <w:tcW w:w="433" w:type="pct"/>
            <w:vMerge w:val="continue"/>
            <w:tcBorders>
              <w:tl2br w:val="nil"/>
              <w:tr2bl w:val="nil"/>
            </w:tcBorders>
            <w:vAlign w:val="center"/>
          </w:tcPr>
          <w:p w14:paraId="7DD15FAE">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restart"/>
            <w:tcBorders>
              <w:tl2br w:val="nil"/>
              <w:tr2bl w:val="nil"/>
            </w:tcBorders>
            <w:shd w:val="clear" w:color="auto" w:fill="auto"/>
            <w:vAlign w:val="center"/>
          </w:tcPr>
          <w:p w14:paraId="3BF414CE">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兴安村</w:t>
            </w:r>
          </w:p>
        </w:tc>
        <w:tc>
          <w:tcPr>
            <w:tcW w:w="0" w:type="auto"/>
            <w:vMerge w:val="restart"/>
            <w:tcBorders>
              <w:tl2br w:val="nil"/>
              <w:tr2bl w:val="nil"/>
            </w:tcBorders>
            <w:shd w:val="clear" w:color="auto" w:fill="auto"/>
            <w:vAlign w:val="center"/>
          </w:tcPr>
          <w:p w14:paraId="152705E2">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128.48459244</w:t>
            </w:r>
          </w:p>
        </w:tc>
        <w:tc>
          <w:tcPr>
            <w:tcW w:w="0" w:type="auto"/>
            <w:vMerge w:val="restart"/>
            <w:tcBorders>
              <w:tl2br w:val="nil"/>
              <w:tr2bl w:val="nil"/>
            </w:tcBorders>
            <w:shd w:val="clear" w:color="auto" w:fill="auto"/>
            <w:vAlign w:val="center"/>
          </w:tcPr>
          <w:p w14:paraId="0D2E9B6E">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45.04775405</w:t>
            </w:r>
          </w:p>
        </w:tc>
        <w:tc>
          <w:tcPr>
            <w:tcW w:w="289" w:type="pct"/>
            <w:vMerge w:val="continue"/>
            <w:tcBorders>
              <w:tl2br w:val="nil"/>
              <w:tr2bl w:val="nil"/>
            </w:tcBorders>
            <w:vAlign w:val="center"/>
          </w:tcPr>
          <w:p w14:paraId="2080608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255EF1FB">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00CE472A">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0" w:type="auto"/>
            <w:tcBorders>
              <w:tl2br w:val="nil"/>
              <w:tr2bl w:val="nil"/>
            </w:tcBorders>
            <w:shd w:val="clear" w:color="auto" w:fill="auto"/>
            <w:vAlign w:val="center"/>
          </w:tcPr>
          <w:p w14:paraId="15DC8862">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2A8C16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04" w:hRule="atLeast"/>
          <w:tblHeader/>
          <w:jc w:val="center"/>
        </w:trPr>
        <w:tc>
          <w:tcPr>
            <w:tcW w:w="433" w:type="pct"/>
            <w:vMerge w:val="continue"/>
            <w:tcBorders>
              <w:tl2br w:val="nil"/>
              <w:tr2bl w:val="nil"/>
            </w:tcBorders>
            <w:vAlign w:val="center"/>
          </w:tcPr>
          <w:p w14:paraId="114AC7F2">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shd w:val="clear" w:color="auto" w:fill="auto"/>
            <w:vAlign w:val="center"/>
          </w:tcPr>
          <w:p w14:paraId="5C395877">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0" w:type="auto"/>
            <w:vMerge w:val="continue"/>
            <w:tcBorders>
              <w:tl2br w:val="nil"/>
              <w:tr2bl w:val="nil"/>
            </w:tcBorders>
            <w:shd w:val="clear" w:color="auto" w:fill="auto"/>
            <w:vAlign w:val="center"/>
          </w:tcPr>
          <w:p w14:paraId="759CA11E">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shd w:val="clear" w:color="auto" w:fill="auto"/>
            <w:vAlign w:val="center"/>
          </w:tcPr>
          <w:p w14:paraId="3120F34D">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3253476B">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14B8DB0B">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0CC6E4CE">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E</w:t>
            </w:r>
          </w:p>
        </w:tc>
        <w:tc>
          <w:tcPr>
            <w:tcW w:w="0" w:type="auto"/>
            <w:tcBorders>
              <w:tl2br w:val="nil"/>
              <w:tr2bl w:val="nil"/>
            </w:tcBorders>
            <w:shd w:val="clear" w:color="auto" w:fill="auto"/>
            <w:vAlign w:val="center"/>
          </w:tcPr>
          <w:p w14:paraId="3C5756F6">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39E240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6" w:hRule="atLeast"/>
          <w:tblHeader/>
          <w:jc w:val="center"/>
        </w:trPr>
        <w:tc>
          <w:tcPr>
            <w:tcW w:w="433" w:type="pct"/>
            <w:vMerge w:val="continue"/>
            <w:tcBorders>
              <w:tl2br w:val="nil"/>
              <w:tr2bl w:val="nil"/>
            </w:tcBorders>
            <w:vAlign w:val="center"/>
          </w:tcPr>
          <w:p w14:paraId="7AB5069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restart"/>
            <w:tcBorders>
              <w:tl2br w:val="nil"/>
              <w:tr2bl w:val="nil"/>
            </w:tcBorders>
            <w:shd w:val="clear" w:color="auto" w:fill="auto"/>
            <w:vAlign w:val="center"/>
          </w:tcPr>
          <w:p w14:paraId="0DA7783F">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新兴林场</w:t>
            </w:r>
          </w:p>
        </w:tc>
        <w:tc>
          <w:tcPr>
            <w:tcW w:w="0" w:type="auto"/>
            <w:vMerge w:val="restart"/>
            <w:tcBorders>
              <w:tl2br w:val="nil"/>
              <w:tr2bl w:val="nil"/>
            </w:tcBorders>
            <w:shd w:val="clear" w:color="auto" w:fill="auto"/>
            <w:vAlign w:val="center"/>
          </w:tcPr>
          <w:p w14:paraId="13C0277A">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128.50568533</w:t>
            </w:r>
          </w:p>
        </w:tc>
        <w:tc>
          <w:tcPr>
            <w:tcW w:w="0" w:type="auto"/>
            <w:vMerge w:val="restart"/>
            <w:tcBorders>
              <w:tl2br w:val="nil"/>
              <w:tr2bl w:val="nil"/>
            </w:tcBorders>
            <w:shd w:val="clear" w:color="auto" w:fill="auto"/>
            <w:vAlign w:val="center"/>
          </w:tcPr>
          <w:p w14:paraId="4771ED39">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45.08321795</w:t>
            </w:r>
          </w:p>
        </w:tc>
        <w:tc>
          <w:tcPr>
            <w:tcW w:w="289" w:type="pct"/>
            <w:vMerge w:val="continue"/>
            <w:tcBorders>
              <w:tl2br w:val="nil"/>
              <w:tr2bl w:val="nil"/>
            </w:tcBorders>
            <w:vAlign w:val="center"/>
          </w:tcPr>
          <w:p w14:paraId="18AE6EDE">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4B757D0A">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5625C6CE">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0" w:type="auto"/>
            <w:tcBorders>
              <w:tl2br w:val="nil"/>
              <w:tr2bl w:val="nil"/>
            </w:tcBorders>
            <w:shd w:val="clear" w:color="auto" w:fill="auto"/>
            <w:vAlign w:val="center"/>
          </w:tcPr>
          <w:p w14:paraId="0A41DBFE">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57C9A2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8" w:hRule="atLeast"/>
          <w:tblHeader/>
          <w:jc w:val="center"/>
        </w:trPr>
        <w:tc>
          <w:tcPr>
            <w:tcW w:w="433" w:type="pct"/>
            <w:vMerge w:val="continue"/>
            <w:tcBorders>
              <w:tl2br w:val="nil"/>
              <w:tr2bl w:val="nil"/>
            </w:tcBorders>
            <w:vAlign w:val="center"/>
          </w:tcPr>
          <w:p w14:paraId="4B95BD72">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shd w:val="clear" w:color="auto" w:fill="auto"/>
            <w:vAlign w:val="center"/>
          </w:tcPr>
          <w:p w14:paraId="18310DE1">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0" w:type="auto"/>
            <w:vMerge w:val="continue"/>
            <w:tcBorders>
              <w:tl2br w:val="nil"/>
              <w:tr2bl w:val="nil"/>
            </w:tcBorders>
            <w:shd w:val="clear" w:color="auto" w:fill="auto"/>
            <w:vAlign w:val="center"/>
          </w:tcPr>
          <w:p w14:paraId="35DCA987">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shd w:val="clear" w:color="auto" w:fill="auto"/>
            <w:vAlign w:val="center"/>
          </w:tcPr>
          <w:p w14:paraId="6FDC3088">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712EE856">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62543AEB">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6CEAC45D">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E</w:t>
            </w:r>
          </w:p>
        </w:tc>
        <w:tc>
          <w:tcPr>
            <w:tcW w:w="0" w:type="auto"/>
            <w:tcBorders>
              <w:tl2br w:val="nil"/>
              <w:tr2bl w:val="nil"/>
            </w:tcBorders>
            <w:shd w:val="clear" w:color="auto" w:fill="auto"/>
            <w:vAlign w:val="center"/>
          </w:tcPr>
          <w:p w14:paraId="1A311F0E">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614834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22" w:hRule="atLeast"/>
          <w:tblHeader/>
          <w:jc w:val="center"/>
        </w:trPr>
        <w:tc>
          <w:tcPr>
            <w:tcW w:w="433" w:type="pct"/>
            <w:vMerge w:val="continue"/>
            <w:tcBorders>
              <w:tl2br w:val="nil"/>
              <w:tr2bl w:val="nil"/>
            </w:tcBorders>
            <w:vAlign w:val="center"/>
          </w:tcPr>
          <w:p w14:paraId="23109C39">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restart"/>
            <w:tcBorders>
              <w:tl2br w:val="nil"/>
              <w:tr2bl w:val="nil"/>
            </w:tcBorders>
            <w:shd w:val="clear" w:color="auto" w:fill="auto"/>
            <w:vAlign w:val="center"/>
          </w:tcPr>
          <w:p w14:paraId="462E0B2F">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新发村</w:t>
            </w:r>
          </w:p>
        </w:tc>
        <w:tc>
          <w:tcPr>
            <w:tcW w:w="0" w:type="auto"/>
            <w:vMerge w:val="restart"/>
            <w:tcBorders>
              <w:tl2br w:val="nil"/>
              <w:tr2bl w:val="nil"/>
            </w:tcBorders>
            <w:shd w:val="clear" w:color="auto" w:fill="auto"/>
            <w:vAlign w:val="center"/>
          </w:tcPr>
          <w:p w14:paraId="13D666B9">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128.34164143</w:t>
            </w:r>
          </w:p>
        </w:tc>
        <w:tc>
          <w:tcPr>
            <w:tcW w:w="0" w:type="auto"/>
            <w:vMerge w:val="restart"/>
            <w:tcBorders>
              <w:tl2br w:val="nil"/>
              <w:tr2bl w:val="nil"/>
            </w:tcBorders>
            <w:shd w:val="clear" w:color="auto" w:fill="auto"/>
            <w:vAlign w:val="center"/>
          </w:tcPr>
          <w:p w14:paraId="73DF7135">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45.19528443</w:t>
            </w:r>
          </w:p>
        </w:tc>
        <w:tc>
          <w:tcPr>
            <w:tcW w:w="289" w:type="pct"/>
            <w:vMerge w:val="continue"/>
            <w:tcBorders>
              <w:tl2br w:val="nil"/>
              <w:tr2bl w:val="nil"/>
            </w:tcBorders>
            <w:vAlign w:val="center"/>
          </w:tcPr>
          <w:p w14:paraId="045A5FC0">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0F41E90E">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3C7D5432">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0" w:type="auto"/>
            <w:tcBorders>
              <w:tl2br w:val="nil"/>
              <w:tr2bl w:val="nil"/>
            </w:tcBorders>
            <w:shd w:val="clear" w:color="auto" w:fill="auto"/>
            <w:vAlign w:val="center"/>
          </w:tcPr>
          <w:p w14:paraId="6070B991">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10A3E0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76" w:hRule="atLeast"/>
          <w:tblHeader/>
          <w:jc w:val="center"/>
        </w:trPr>
        <w:tc>
          <w:tcPr>
            <w:tcW w:w="433" w:type="pct"/>
            <w:vMerge w:val="continue"/>
            <w:tcBorders>
              <w:tl2br w:val="nil"/>
              <w:tr2bl w:val="nil"/>
            </w:tcBorders>
            <w:vAlign w:val="center"/>
          </w:tcPr>
          <w:p w14:paraId="7C3A2793">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shd w:val="clear" w:color="auto" w:fill="auto"/>
            <w:vAlign w:val="center"/>
          </w:tcPr>
          <w:p w14:paraId="66A4D77E">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lang w:val="en-US" w:eastAsia="zh-CN"/>
              </w:rPr>
            </w:pPr>
          </w:p>
        </w:tc>
        <w:tc>
          <w:tcPr>
            <w:tcW w:w="0" w:type="auto"/>
            <w:vMerge w:val="continue"/>
            <w:tcBorders>
              <w:tl2br w:val="nil"/>
              <w:tr2bl w:val="nil"/>
            </w:tcBorders>
            <w:shd w:val="clear" w:color="auto" w:fill="auto"/>
            <w:vAlign w:val="center"/>
          </w:tcPr>
          <w:p w14:paraId="450EC2C3">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p>
        </w:tc>
        <w:tc>
          <w:tcPr>
            <w:tcW w:w="0" w:type="auto"/>
            <w:vMerge w:val="continue"/>
            <w:tcBorders>
              <w:tl2br w:val="nil"/>
              <w:tr2bl w:val="nil"/>
            </w:tcBorders>
            <w:shd w:val="clear" w:color="auto" w:fill="auto"/>
            <w:vAlign w:val="center"/>
          </w:tcPr>
          <w:p w14:paraId="1EE43DFF">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p>
        </w:tc>
        <w:tc>
          <w:tcPr>
            <w:tcW w:w="289" w:type="pct"/>
            <w:vMerge w:val="continue"/>
            <w:tcBorders>
              <w:tl2br w:val="nil"/>
              <w:tr2bl w:val="nil"/>
            </w:tcBorders>
            <w:vAlign w:val="center"/>
          </w:tcPr>
          <w:p w14:paraId="55417164">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3C0953BA">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49016C01">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E</w:t>
            </w:r>
          </w:p>
        </w:tc>
        <w:tc>
          <w:tcPr>
            <w:tcW w:w="0" w:type="auto"/>
            <w:tcBorders>
              <w:tl2br w:val="nil"/>
              <w:tr2bl w:val="nil"/>
            </w:tcBorders>
            <w:shd w:val="clear" w:color="auto" w:fill="auto"/>
            <w:vAlign w:val="center"/>
          </w:tcPr>
          <w:p w14:paraId="26541FC6">
            <w:pPr>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15</w:t>
            </w:r>
          </w:p>
        </w:tc>
      </w:tr>
      <w:tr w14:paraId="3DBC4B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76" w:hRule="atLeast"/>
          <w:tblHeader/>
          <w:jc w:val="center"/>
        </w:trPr>
        <w:tc>
          <w:tcPr>
            <w:tcW w:w="433" w:type="pct"/>
            <w:vMerge w:val="continue"/>
            <w:tcBorders>
              <w:tl2br w:val="nil"/>
              <w:tr2bl w:val="nil"/>
            </w:tcBorders>
            <w:vAlign w:val="center"/>
          </w:tcPr>
          <w:p w14:paraId="6E3EF311">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0AB17F1D">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小三甲</w:t>
            </w:r>
          </w:p>
        </w:tc>
        <w:tc>
          <w:tcPr>
            <w:tcW w:w="0" w:type="auto"/>
            <w:tcBorders>
              <w:tl2br w:val="nil"/>
              <w:tr2bl w:val="nil"/>
            </w:tcBorders>
            <w:shd w:val="clear" w:color="auto" w:fill="auto"/>
            <w:vAlign w:val="center"/>
          </w:tcPr>
          <w:p w14:paraId="328788CC">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128.33807945</w:t>
            </w:r>
          </w:p>
        </w:tc>
        <w:tc>
          <w:tcPr>
            <w:tcW w:w="0" w:type="auto"/>
            <w:tcBorders>
              <w:tl2br w:val="nil"/>
              <w:tr2bl w:val="nil"/>
            </w:tcBorders>
            <w:shd w:val="clear" w:color="auto" w:fill="auto"/>
            <w:vAlign w:val="center"/>
          </w:tcPr>
          <w:p w14:paraId="433B690B">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45.21182447</w:t>
            </w:r>
          </w:p>
        </w:tc>
        <w:tc>
          <w:tcPr>
            <w:tcW w:w="289" w:type="pct"/>
            <w:vMerge w:val="continue"/>
            <w:tcBorders>
              <w:tl2br w:val="nil"/>
              <w:tr2bl w:val="nil"/>
            </w:tcBorders>
            <w:vAlign w:val="center"/>
          </w:tcPr>
          <w:p w14:paraId="3413C340">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321F1100">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3BE87B11">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E</w:t>
            </w:r>
          </w:p>
        </w:tc>
        <w:tc>
          <w:tcPr>
            <w:tcW w:w="0" w:type="auto"/>
            <w:tcBorders>
              <w:tl2br w:val="nil"/>
              <w:tr2bl w:val="nil"/>
            </w:tcBorders>
            <w:shd w:val="clear" w:color="auto" w:fill="auto"/>
            <w:vAlign w:val="center"/>
          </w:tcPr>
          <w:p w14:paraId="46DE54AE">
            <w:pPr>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100</w:t>
            </w:r>
          </w:p>
        </w:tc>
      </w:tr>
      <w:tr w14:paraId="6229B4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76" w:hRule="atLeast"/>
          <w:tblHeader/>
          <w:jc w:val="center"/>
        </w:trPr>
        <w:tc>
          <w:tcPr>
            <w:tcW w:w="433" w:type="pct"/>
            <w:vMerge w:val="continue"/>
            <w:tcBorders>
              <w:tl2br w:val="nil"/>
              <w:tr2bl w:val="nil"/>
            </w:tcBorders>
            <w:vAlign w:val="center"/>
          </w:tcPr>
          <w:p w14:paraId="314E0171">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538729F3">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新农村</w:t>
            </w:r>
          </w:p>
        </w:tc>
        <w:tc>
          <w:tcPr>
            <w:tcW w:w="0" w:type="auto"/>
            <w:tcBorders>
              <w:tl2br w:val="nil"/>
              <w:tr2bl w:val="nil"/>
            </w:tcBorders>
            <w:shd w:val="clear" w:color="auto" w:fill="auto"/>
            <w:vAlign w:val="center"/>
          </w:tcPr>
          <w:p w14:paraId="2D27DDDF">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128.32207203</w:t>
            </w:r>
          </w:p>
        </w:tc>
        <w:tc>
          <w:tcPr>
            <w:tcW w:w="0" w:type="auto"/>
            <w:tcBorders>
              <w:tl2br w:val="nil"/>
              <w:tr2bl w:val="nil"/>
            </w:tcBorders>
            <w:shd w:val="clear" w:color="auto" w:fill="auto"/>
            <w:vAlign w:val="center"/>
          </w:tcPr>
          <w:p w14:paraId="0E42591E">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45.21953345</w:t>
            </w:r>
          </w:p>
        </w:tc>
        <w:tc>
          <w:tcPr>
            <w:tcW w:w="289" w:type="pct"/>
            <w:vMerge w:val="continue"/>
            <w:tcBorders>
              <w:tl2br w:val="nil"/>
              <w:tr2bl w:val="nil"/>
            </w:tcBorders>
            <w:vAlign w:val="center"/>
          </w:tcPr>
          <w:p w14:paraId="02483C22">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4CE1DE5B">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68EAD2B8">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kern w:val="2"/>
                <w:sz w:val="21"/>
                <w:szCs w:val="21"/>
                <w:highlight w:val="none"/>
                <w:lang w:val="en-US" w:eastAsia="zh-CN" w:bidi="ar-SA"/>
              </w:rPr>
              <w:t>S</w:t>
            </w:r>
          </w:p>
        </w:tc>
        <w:tc>
          <w:tcPr>
            <w:tcW w:w="0" w:type="auto"/>
            <w:tcBorders>
              <w:tl2br w:val="nil"/>
              <w:tr2bl w:val="nil"/>
            </w:tcBorders>
            <w:shd w:val="clear" w:color="auto" w:fill="auto"/>
            <w:vAlign w:val="center"/>
          </w:tcPr>
          <w:p w14:paraId="7EB0D33D">
            <w:pPr>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20</w:t>
            </w:r>
          </w:p>
        </w:tc>
      </w:tr>
      <w:tr w14:paraId="46AD14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76" w:hRule="atLeast"/>
          <w:tblHeader/>
          <w:jc w:val="center"/>
        </w:trPr>
        <w:tc>
          <w:tcPr>
            <w:tcW w:w="433" w:type="pct"/>
            <w:vMerge w:val="continue"/>
            <w:tcBorders>
              <w:tl2br w:val="nil"/>
              <w:tr2bl w:val="nil"/>
            </w:tcBorders>
            <w:vAlign w:val="center"/>
          </w:tcPr>
          <w:p w14:paraId="34B3E805">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0C9ED607">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二龙山村</w:t>
            </w:r>
          </w:p>
        </w:tc>
        <w:tc>
          <w:tcPr>
            <w:tcW w:w="0" w:type="auto"/>
            <w:tcBorders>
              <w:tl2br w:val="nil"/>
              <w:tr2bl w:val="nil"/>
            </w:tcBorders>
            <w:shd w:val="clear" w:color="auto" w:fill="auto"/>
            <w:vAlign w:val="center"/>
          </w:tcPr>
          <w:p w14:paraId="1CFA3E2F">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128.29108715</w:t>
            </w:r>
          </w:p>
        </w:tc>
        <w:tc>
          <w:tcPr>
            <w:tcW w:w="0" w:type="auto"/>
            <w:tcBorders>
              <w:tl2br w:val="nil"/>
              <w:tr2bl w:val="nil"/>
            </w:tcBorders>
            <w:shd w:val="clear" w:color="auto" w:fill="auto"/>
            <w:vAlign w:val="center"/>
          </w:tcPr>
          <w:p w14:paraId="4F534FC9">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45.23401141</w:t>
            </w:r>
          </w:p>
        </w:tc>
        <w:tc>
          <w:tcPr>
            <w:tcW w:w="289" w:type="pct"/>
            <w:vMerge w:val="continue"/>
            <w:tcBorders>
              <w:tl2br w:val="nil"/>
              <w:tr2bl w:val="nil"/>
            </w:tcBorders>
            <w:vAlign w:val="center"/>
          </w:tcPr>
          <w:p w14:paraId="235B6BBF">
            <w:pPr>
              <w:pStyle w:val="503"/>
              <w:keepNext w:val="0"/>
              <w:keepLines w:val="0"/>
              <w:widowControl w:val="0"/>
              <w:suppressLineNumbers w:val="0"/>
              <w:snapToGrid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p>
        </w:tc>
        <w:tc>
          <w:tcPr>
            <w:tcW w:w="1135" w:type="pct"/>
            <w:vMerge w:val="continue"/>
            <w:tcBorders>
              <w:tl2br w:val="nil"/>
              <w:tr2bl w:val="nil"/>
            </w:tcBorders>
            <w:vAlign w:val="center"/>
          </w:tcPr>
          <w:p w14:paraId="771CB6F5">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0" w:type="auto"/>
            <w:tcBorders>
              <w:tl2br w:val="nil"/>
              <w:tr2bl w:val="nil"/>
            </w:tcBorders>
            <w:shd w:val="clear" w:color="auto" w:fill="auto"/>
            <w:vAlign w:val="center"/>
          </w:tcPr>
          <w:p w14:paraId="0CD21BE7">
            <w:pPr>
              <w:pStyle w:val="503"/>
              <w:keepNext w:val="0"/>
              <w:keepLines w:val="0"/>
              <w:widowControl w:val="0"/>
              <w:suppressLineNumbers w:val="0"/>
              <w:snapToGrid w:val="0"/>
              <w:spacing w:before="0" w:beforeAutospacing="0" w:after="0" w:afterAutospacing="0" w:line="240" w:lineRule="auto"/>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W</w:t>
            </w:r>
          </w:p>
        </w:tc>
        <w:tc>
          <w:tcPr>
            <w:tcW w:w="0" w:type="auto"/>
            <w:tcBorders>
              <w:tl2br w:val="nil"/>
              <w:tr2bl w:val="nil"/>
            </w:tcBorders>
            <w:shd w:val="clear" w:color="auto" w:fill="auto"/>
            <w:vAlign w:val="center"/>
          </w:tcPr>
          <w:p w14:paraId="4F428CB5">
            <w:pPr>
              <w:keepNext w:val="0"/>
              <w:keepLines w:val="0"/>
              <w:widowControl w:val="0"/>
              <w:suppressLineNumbers w:val="0"/>
              <w:snapToGrid w:val="0"/>
              <w:spacing w:before="0" w:beforeAutospacing="0" w:after="0" w:afterAutospacing="0" w:line="240" w:lineRule="auto"/>
              <w:ind w:left="0" w:leftChars="0" w:right="0" w:rightChars="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15</w:t>
            </w:r>
          </w:p>
        </w:tc>
      </w:tr>
    </w:tbl>
    <w:p w14:paraId="1FA58092">
      <w:pPr>
        <w:pStyle w:val="6"/>
        <w:widowControl w:val="0"/>
        <w:snapToGrid w:val="0"/>
        <w:spacing w:before="0" w:after="0" w:line="360" w:lineRule="auto"/>
        <w:rPr>
          <w:rFonts w:hint="eastAsia" w:asciiTheme="minorEastAsia" w:hAnsiTheme="minorEastAsia" w:eastAsiaTheme="minorEastAsia" w:cstheme="minorEastAsia"/>
          <w:color w:val="auto"/>
          <w:kern w:val="0"/>
          <w:highlight w:val="none"/>
        </w:rPr>
      </w:pPr>
      <w:bookmarkStart w:id="326" w:name="_Toc18563"/>
      <w:r>
        <w:rPr>
          <w:rFonts w:hint="eastAsia" w:asciiTheme="minorEastAsia" w:hAnsiTheme="minorEastAsia" w:eastAsiaTheme="minorEastAsia" w:cstheme="minorEastAsia"/>
          <w:color w:val="auto"/>
          <w:kern w:val="0"/>
          <w:highlight w:val="none"/>
        </w:rPr>
        <w:t>2.</w:t>
      </w:r>
      <w:r>
        <w:rPr>
          <w:rFonts w:hint="eastAsia" w:asciiTheme="minorEastAsia" w:hAnsiTheme="minorEastAsia" w:eastAsiaTheme="minorEastAsia" w:cstheme="minorEastAsia"/>
          <w:color w:val="auto"/>
          <w:kern w:val="0"/>
          <w:highlight w:val="none"/>
          <w:lang w:val="en-US" w:eastAsia="zh-CN"/>
        </w:rPr>
        <w:t>7</w:t>
      </w:r>
      <w:r>
        <w:rPr>
          <w:rFonts w:hint="eastAsia" w:asciiTheme="minorEastAsia" w:hAnsiTheme="minorEastAsia" w:eastAsiaTheme="minorEastAsia" w:cstheme="minorEastAsia"/>
          <w:color w:val="auto"/>
          <w:kern w:val="0"/>
          <w:highlight w:val="none"/>
        </w:rPr>
        <w:t>区域环境功能区划</w:t>
      </w:r>
      <w:bookmarkEnd w:id="283"/>
      <w:bookmarkEnd w:id="326"/>
    </w:p>
    <w:p w14:paraId="502B19AA">
      <w:pPr>
        <w:pStyle w:val="319"/>
        <w:widowControl w:val="0"/>
        <w:snapToGrid w:val="0"/>
        <w:ind w:firstLine="520"/>
        <w:jc w:val="both"/>
        <w:rPr>
          <w:rFonts w:hint="eastAsia" w:asciiTheme="minorEastAsia" w:hAnsiTheme="minorEastAsia" w:eastAsiaTheme="minorEastAsia" w:cstheme="minorEastAsia"/>
          <w:color w:val="auto"/>
          <w:kern w:val="0"/>
          <w:highlight w:val="none"/>
        </w:rPr>
      </w:pPr>
      <w:bookmarkStart w:id="327" w:name="_Hlk35721802"/>
      <w:r>
        <w:rPr>
          <w:rFonts w:hint="eastAsia" w:asciiTheme="minorEastAsia" w:hAnsiTheme="minorEastAsia" w:eastAsiaTheme="minorEastAsia" w:cstheme="minorEastAsia"/>
          <w:color w:val="auto"/>
          <w:kern w:val="0"/>
          <w:highlight w:val="none"/>
        </w:rPr>
        <w:t>（1）水环境：根据《全国重要江河湖泊水功能区划（2011-2030年）》，“</w:t>
      </w:r>
      <w:r>
        <w:rPr>
          <w:rFonts w:hint="eastAsia" w:ascii="Times New Roman" w:hAnsi="Times New Roman" w:eastAsia="宋体" w:cs="Times New Roman"/>
          <w:color w:val="auto"/>
          <w:kern w:val="2"/>
          <w:sz w:val="24"/>
          <w:highlight w:val="none"/>
          <w:lang w:val="en-US" w:eastAsia="zh-CN" w:bidi="ar-SA"/>
        </w:rPr>
        <w:t>蚂蚁河</w:t>
      </w:r>
      <w:r>
        <w:rPr>
          <w:rFonts w:hint="eastAsia" w:asciiTheme="minorEastAsia" w:hAnsiTheme="minorEastAsia" w:eastAsiaTheme="minorEastAsia" w:cstheme="minorEastAsia"/>
          <w:color w:val="auto"/>
          <w:kern w:val="0"/>
          <w:highlight w:val="none"/>
        </w:rPr>
        <w:t>”地表水环境功能区划为Ⅲ类，因此本项目水质功能区划执行《地表水环境质量标准》（GB3939-2002）Ⅲ类水质标准。</w:t>
      </w:r>
    </w:p>
    <w:p w14:paraId="6C285042">
      <w:pPr>
        <w:pStyle w:val="319"/>
        <w:widowControl w:val="0"/>
        <w:snapToGrid w:val="0"/>
        <w:ind w:firstLine="520"/>
        <w:jc w:val="both"/>
        <w:rPr>
          <w:rFonts w:hint="eastAsia" w:asciiTheme="minorEastAsia" w:hAnsiTheme="minorEastAsia" w:eastAsiaTheme="minorEastAsia" w:cstheme="minorEastAsia"/>
          <w:snapToGrid w:val="0"/>
          <w:color w:val="auto"/>
          <w:kern w:val="0"/>
          <w:highlight w:val="none"/>
        </w:rPr>
      </w:pPr>
      <w:r>
        <w:rPr>
          <w:rFonts w:hint="eastAsia" w:asciiTheme="minorEastAsia" w:hAnsiTheme="minorEastAsia" w:eastAsiaTheme="minorEastAsia" w:cstheme="minorEastAsia"/>
          <w:color w:val="auto"/>
          <w:kern w:val="0"/>
          <w:highlight w:val="none"/>
        </w:rPr>
        <w:t>（2）环境空气：本项目位于</w:t>
      </w:r>
      <w:r>
        <w:rPr>
          <w:rFonts w:hint="eastAsia" w:asciiTheme="minorEastAsia" w:hAnsiTheme="minorEastAsia" w:eastAsiaTheme="minorEastAsia" w:cstheme="minorEastAsia"/>
          <w:color w:val="auto"/>
          <w:kern w:val="0"/>
          <w:highlight w:val="none"/>
          <w:lang w:val="en-US" w:eastAsia="zh-CN"/>
        </w:rPr>
        <w:t>哈尔滨市尚志市</w:t>
      </w:r>
      <w:r>
        <w:rPr>
          <w:rFonts w:hint="eastAsia" w:asciiTheme="minorEastAsia" w:hAnsiTheme="minorEastAsia" w:eastAsiaTheme="minorEastAsia" w:cstheme="minorEastAsia"/>
          <w:color w:val="auto"/>
          <w:kern w:val="0"/>
          <w:szCs w:val="28"/>
          <w:highlight w:val="none"/>
        </w:rPr>
        <w:t>，</w:t>
      </w:r>
      <w:r>
        <w:rPr>
          <w:rFonts w:hint="eastAsia" w:asciiTheme="minorEastAsia" w:hAnsiTheme="minorEastAsia" w:eastAsiaTheme="minorEastAsia" w:cstheme="minorEastAsia"/>
          <w:color w:val="auto"/>
          <w:kern w:val="0"/>
          <w:highlight w:val="none"/>
        </w:rPr>
        <w:t>根据环境空气质量功能区划，本评价范围内环境空气质量功能均为二类区。评价区环境空气质量标准执行国家《环境空气质量标准》（GB3095-20</w:t>
      </w:r>
      <w:r>
        <w:rPr>
          <w:rFonts w:hint="eastAsia" w:asciiTheme="minorEastAsia" w:hAnsiTheme="minorEastAsia" w:eastAsiaTheme="minorEastAsia" w:cstheme="minorEastAsia"/>
          <w:color w:val="auto"/>
          <w:kern w:val="0"/>
          <w:highlight w:val="none"/>
          <w:lang w:val="en-US" w:eastAsia="zh-CN"/>
        </w:rPr>
        <w:t>26</w:t>
      </w:r>
      <w:r>
        <w:rPr>
          <w:rFonts w:hint="eastAsia" w:asciiTheme="minorEastAsia" w:hAnsiTheme="minorEastAsia" w:eastAsiaTheme="minorEastAsia" w:cstheme="minorEastAsia"/>
          <w:color w:val="auto"/>
          <w:kern w:val="0"/>
          <w:highlight w:val="none"/>
        </w:rPr>
        <w:t>）中二级标准</w:t>
      </w:r>
      <w:r>
        <w:rPr>
          <w:rFonts w:hint="eastAsia" w:asciiTheme="minorEastAsia" w:hAnsiTheme="minorEastAsia" w:eastAsiaTheme="minorEastAsia" w:cstheme="minorEastAsia"/>
          <w:color w:val="auto"/>
          <w:kern w:val="0"/>
          <w:highlight w:val="none"/>
          <w:lang w:eastAsia="zh-CN"/>
        </w:rPr>
        <w:t>（</w:t>
      </w:r>
      <w:r>
        <w:rPr>
          <w:rFonts w:hint="eastAsia" w:asciiTheme="minorEastAsia" w:hAnsiTheme="minorEastAsia" w:eastAsiaTheme="minorEastAsia" w:cstheme="minorEastAsia"/>
          <w:color w:val="auto"/>
          <w:kern w:val="0"/>
          <w:highlight w:val="none"/>
          <w:lang w:val="en-US" w:eastAsia="zh-CN"/>
        </w:rPr>
        <w:t>过渡阶段浓度限值</w:t>
      </w:r>
      <w:r>
        <w:rPr>
          <w:rFonts w:hint="eastAsia" w:asciiTheme="minorEastAsia" w:hAnsiTheme="minorEastAsia" w:eastAsiaTheme="minorEastAsia" w:cstheme="minorEastAsia"/>
          <w:color w:val="auto"/>
          <w:kern w:val="0"/>
          <w:highlight w:val="none"/>
          <w:lang w:eastAsia="zh-CN"/>
        </w:rPr>
        <w:t>）</w:t>
      </w:r>
      <w:r>
        <w:rPr>
          <w:rFonts w:hint="eastAsia" w:asciiTheme="minorEastAsia" w:hAnsiTheme="minorEastAsia" w:eastAsiaTheme="minorEastAsia" w:cstheme="minorEastAsia"/>
          <w:color w:val="auto"/>
          <w:kern w:val="0"/>
          <w:highlight w:val="none"/>
        </w:rPr>
        <w:t>。</w:t>
      </w:r>
    </w:p>
    <w:p w14:paraId="511B39FC">
      <w:pPr>
        <w:pStyle w:val="319"/>
        <w:widowControl w:val="0"/>
        <w:snapToGrid w:val="0"/>
        <w:ind w:firstLine="520"/>
        <w:jc w:val="both"/>
        <w:rPr>
          <w:rFonts w:hint="eastAsia" w:asciiTheme="minorEastAsia" w:hAnsiTheme="minorEastAsia" w:eastAsiaTheme="minorEastAsia" w:cstheme="minorEastAsia"/>
          <w:snapToGrid w:val="0"/>
          <w:color w:val="auto"/>
          <w:kern w:val="0"/>
          <w:highlight w:val="none"/>
        </w:rPr>
      </w:pPr>
      <w:r>
        <w:rPr>
          <w:rFonts w:hint="eastAsia" w:asciiTheme="minorEastAsia" w:hAnsiTheme="minorEastAsia" w:eastAsiaTheme="minorEastAsia" w:cstheme="minorEastAsia"/>
          <w:color w:val="auto"/>
          <w:kern w:val="0"/>
          <w:highlight w:val="none"/>
        </w:rPr>
        <w:t>（3）声环境：</w:t>
      </w:r>
      <w:r>
        <w:rPr>
          <w:rFonts w:hint="eastAsia" w:asciiTheme="minorEastAsia" w:hAnsiTheme="minorEastAsia" w:eastAsiaTheme="minorEastAsia" w:cstheme="minorEastAsia"/>
          <w:color w:val="auto"/>
          <w:kern w:val="0"/>
          <w:szCs w:val="22"/>
          <w:highlight w:val="none"/>
        </w:rPr>
        <w:t>根据《声环境质量标准》（GB3096-2008）相关内容，乡村区域一般不划分声环境功能区，原则上执行1类声环境功能区要求，工业活动较多的村庄可局部或全部执行2类声环境功能区要求</w:t>
      </w:r>
      <w:r>
        <w:rPr>
          <w:rFonts w:hint="eastAsia" w:asciiTheme="minorEastAsia" w:hAnsiTheme="minorEastAsia" w:eastAsiaTheme="minorEastAsia" w:cstheme="minorEastAsia"/>
          <w:color w:val="auto"/>
          <w:kern w:val="0"/>
          <w:szCs w:val="22"/>
          <w:highlight w:val="none"/>
          <w:lang w:val="en-US" w:eastAsia="zh-CN"/>
        </w:rPr>
        <w:t>。</w:t>
      </w:r>
      <w:r>
        <w:rPr>
          <w:rFonts w:hint="eastAsia" w:asciiTheme="minorEastAsia" w:hAnsiTheme="minorEastAsia" w:eastAsiaTheme="minorEastAsia" w:cstheme="minorEastAsia"/>
          <w:snapToGrid w:val="0"/>
          <w:color w:val="auto"/>
          <w:kern w:val="0"/>
          <w:sz w:val="24"/>
          <w:highlight w:val="none"/>
        </w:rPr>
        <w:t>本项目周边为农田和</w:t>
      </w:r>
      <w:r>
        <w:rPr>
          <w:rFonts w:hint="eastAsia" w:asciiTheme="minorEastAsia" w:hAnsiTheme="minorEastAsia" w:eastAsiaTheme="minorEastAsia" w:cstheme="minorEastAsia"/>
          <w:snapToGrid w:val="0"/>
          <w:color w:val="auto"/>
          <w:kern w:val="0"/>
          <w:sz w:val="24"/>
          <w:highlight w:val="none"/>
          <w:lang w:val="en-US" w:eastAsia="zh-CN"/>
        </w:rPr>
        <w:t>林地</w:t>
      </w:r>
      <w:r>
        <w:rPr>
          <w:rFonts w:hint="eastAsia" w:asciiTheme="minorEastAsia" w:hAnsiTheme="minorEastAsia" w:eastAsiaTheme="minorEastAsia" w:cstheme="minorEastAsia"/>
          <w:snapToGrid w:val="0"/>
          <w:color w:val="auto"/>
          <w:kern w:val="0"/>
          <w:sz w:val="24"/>
          <w:highlight w:val="none"/>
        </w:rPr>
        <w:t>，</w:t>
      </w:r>
      <w:r>
        <w:rPr>
          <w:rFonts w:hint="eastAsia" w:asciiTheme="minorEastAsia" w:hAnsiTheme="minorEastAsia" w:eastAsiaTheme="minorEastAsia" w:cstheme="minorEastAsia"/>
          <w:snapToGrid w:val="0"/>
          <w:color w:val="auto"/>
          <w:kern w:val="0"/>
          <w:sz w:val="24"/>
          <w:highlight w:val="none"/>
          <w:lang w:val="en-US" w:eastAsia="zh-CN"/>
        </w:rPr>
        <w:t>因此判定</w:t>
      </w:r>
      <w:r>
        <w:rPr>
          <w:rFonts w:hint="eastAsia" w:asciiTheme="minorEastAsia" w:hAnsiTheme="minorEastAsia" w:eastAsiaTheme="minorEastAsia" w:cstheme="minorEastAsia"/>
          <w:snapToGrid w:val="0"/>
          <w:color w:val="auto"/>
          <w:kern w:val="0"/>
          <w:sz w:val="24"/>
          <w:highlight w:val="none"/>
        </w:rPr>
        <w:t>声环境功能区为1类功能区</w:t>
      </w:r>
      <w:r>
        <w:rPr>
          <w:rFonts w:hint="eastAsia" w:asciiTheme="minorEastAsia" w:hAnsiTheme="minorEastAsia" w:eastAsiaTheme="minorEastAsia" w:cstheme="minorEastAsia"/>
          <w:color w:val="auto"/>
          <w:kern w:val="0"/>
          <w:szCs w:val="22"/>
          <w:highlight w:val="none"/>
        </w:rPr>
        <w:t>。</w:t>
      </w:r>
    </w:p>
    <w:p w14:paraId="1AEC704B">
      <w:pPr>
        <w:pStyle w:val="217"/>
        <w:widowControl w:val="0"/>
        <w:snapToGrid w:val="0"/>
        <w:spacing w:line="360" w:lineRule="auto"/>
        <w:ind w:firstLine="480"/>
        <w:jc w:val="both"/>
        <w:rPr>
          <w:rFonts w:hint="eastAsia" w:asciiTheme="minorEastAsia" w:hAnsiTheme="minorEastAsia" w:eastAsiaTheme="minorEastAsia" w:cstheme="minorEastAsia"/>
          <w:snapToGrid w:val="0"/>
          <w:color w:val="auto"/>
          <w:sz w:val="24"/>
          <w:highlight w:val="none"/>
        </w:rPr>
      </w:pPr>
      <w:r>
        <w:rPr>
          <w:rFonts w:hint="eastAsia" w:asciiTheme="minorEastAsia" w:hAnsiTheme="minorEastAsia" w:eastAsiaTheme="minorEastAsia" w:cstheme="minorEastAsia"/>
          <w:snapToGrid w:val="0"/>
          <w:color w:val="auto"/>
          <w:sz w:val="24"/>
          <w:highlight w:val="none"/>
        </w:rPr>
        <w:t>（4）地下水环境：本项目区域地下为《地下水质量标准》（GB/T14848-2017）中</w:t>
      </w:r>
      <w:r>
        <w:rPr>
          <w:rFonts w:hint="eastAsia" w:asciiTheme="minorEastAsia" w:hAnsiTheme="minorEastAsia" w:eastAsiaTheme="minorEastAsia" w:cstheme="minorEastAsia"/>
          <w:color w:val="auto"/>
          <w:kern w:val="0"/>
          <w:highlight w:val="none"/>
        </w:rPr>
        <w:t>Ⅲ</w:t>
      </w:r>
      <w:r>
        <w:rPr>
          <w:rFonts w:hint="eastAsia" w:asciiTheme="minorEastAsia" w:hAnsiTheme="minorEastAsia" w:eastAsiaTheme="minorEastAsia" w:cstheme="minorEastAsia"/>
          <w:snapToGrid w:val="0"/>
          <w:color w:val="auto"/>
          <w:sz w:val="24"/>
          <w:highlight w:val="none"/>
        </w:rPr>
        <w:t>类区域。</w:t>
      </w:r>
    </w:p>
    <w:p w14:paraId="67A2B8D0">
      <w:pPr>
        <w:pStyle w:val="374"/>
        <w:autoSpaceDE w:val="0"/>
        <w:autoSpaceDN w:val="0"/>
        <w:spacing w:line="360" w:lineRule="auto"/>
        <w:ind w:firstLine="460" w:firstLineChars="200"/>
        <w:jc w:val="both"/>
        <w:textAlignment w:val="bottom"/>
        <w:rPr>
          <w:rFonts w:hint="eastAsia" w:asciiTheme="minorEastAsia" w:hAnsiTheme="minorEastAsia" w:eastAsiaTheme="minorEastAsia" w:cstheme="minorEastAsia"/>
          <w:snapToGrid w:val="0"/>
          <w:color w:val="auto"/>
          <w:sz w:val="24"/>
          <w:highlight w:val="none"/>
        </w:rPr>
      </w:pPr>
      <w:r>
        <w:rPr>
          <w:rFonts w:hint="eastAsia" w:asciiTheme="minorEastAsia" w:hAnsiTheme="minorEastAsia" w:eastAsiaTheme="minorEastAsia" w:cstheme="minorEastAsia"/>
          <w:color w:val="auto"/>
          <w:spacing w:val="-5"/>
          <w:highlight w:val="none"/>
          <w:lang w:eastAsia="zh-CN"/>
        </w:rPr>
        <w:t>（</w:t>
      </w:r>
      <w:r>
        <w:rPr>
          <w:rFonts w:hint="eastAsia" w:asciiTheme="minorEastAsia" w:hAnsiTheme="minorEastAsia" w:eastAsiaTheme="minorEastAsia" w:cstheme="minorEastAsia"/>
          <w:color w:val="auto"/>
          <w:spacing w:val="-5"/>
          <w:highlight w:val="none"/>
          <w:lang w:val="en-US" w:eastAsia="zh-CN"/>
        </w:rPr>
        <w:t>5</w:t>
      </w:r>
      <w:r>
        <w:rPr>
          <w:rFonts w:hint="eastAsia" w:asciiTheme="minorEastAsia" w:hAnsiTheme="minorEastAsia" w:eastAsiaTheme="minorEastAsia" w:cstheme="minorEastAsia"/>
          <w:color w:val="auto"/>
          <w:spacing w:val="-5"/>
          <w:highlight w:val="none"/>
          <w:lang w:eastAsia="zh-CN"/>
        </w:rPr>
        <w:t>）</w:t>
      </w:r>
      <w:r>
        <w:rPr>
          <w:rFonts w:hint="eastAsia" w:asciiTheme="minorEastAsia" w:hAnsiTheme="minorEastAsia" w:eastAsiaTheme="minorEastAsia" w:cstheme="minorEastAsia"/>
          <w:color w:val="auto"/>
          <w:sz w:val="24"/>
          <w:highlight w:val="none"/>
          <w:lang w:val="en-US" w:eastAsia="zh-CN"/>
        </w:rPr>
        <w:t>占地范围内执行《土壤环境质量  建设用地土壤污染风险管控标准(试行)》(GB36600-2018)表1第二类用地土壤污染风险筛选值，占地范围外执行《土壤环境质量 农用地土壤污染风险管控标准（试行）》（GB15618-2018）表1 农用地土壤污染风险筛选值</w:t>
      </w:r>
      <w:r>
        <w:rPr>
          <w:rFonts w:hint="eastAsia" w:asciiTheme="minorEastAsia" w:hAnsiTheme="minorEastAsia" w:eastAsiaTheme="minorEastAsia" w:cstheme="minorEastAsia"/>
          <w:color w:val="auto"/>
          <w:spacing w:val="-5"/>
          <w:highlight w:val="none"/>
        </w:rPr>
        <w:t>。</w:t>
      </w:r>
    </w:p>
    <w:bookmarkEnd w:id="327"/>
    <w:p w14:paraId="20E45215">
      <w:pPr>
        <w:pStyle w:val="6"/>
        <w:widowControl w:val="0"/>
        <w:snapToGrid w:val="0"/>
        <w:spacing w:before="0" w:after="0" w:line="360" w:lineRule="auto"/>
        <w:rPr>
          <w:rFonts w:hint="eastAsia" w:asciiTheme="minorEastAsia" w:hAnsiTheme="minorEastAsia" w:eastAsiaTheme="minorEastAsia" w:cstheme="minorEastAsia"/>
          <w:color w:val="auto"/>
          <w:kern w:val="0"/>
          <w:highlight w:val="none"/>
        </w:rPr>
      </w:pPr>
      <w:bookmarkStart w:id="328" w:name="_Toc30976"/>
      <w:bookmarkStart w:id="329" w:name="_Toc20877"/>
      <w:bookmarkStart w:id="330" w:name="_Toc29887"/>
      <w:r>
        <w:rPr>
          <w:rFonts w:hint="eastAsia" w:asciiTheme="minorEastAsia" w:hAnsiTheme="minorEastAsia" w:eastAsiaTheme="minorEastAsia" w:cstheme="minorEastAsia"/>
          <w:color w:val="auto"/>
          <w:kern w:val="0"/>
          <w:highlight w:val="none"/>
        </w:rPr>
        <w:t>2.</w:t>
      </w:r>
      <w:r>
        <w:rPr>
          <w:rFonts w:hint="eastAsia" w:asciiTheme="minorEastAsia" w:hAnsiTheme="minorEastAsia" w:eastAsiaTheme="minorEastAsia" w:cstheme="minorEastAsia"/>
          <w:color w:val="auto"/>
          <w:kern w:val="0"/>
          <w:highlight w:val="none"/>
          <w:lang w:val="en-US" w:eastAsia="zh-CN"/>
        </w:rPr>
        <w:t>8</w:t>
      </w:r>
      <w:r>
        <w:rPr>
          <w:rFonts w:hint="eastAsia" w:asciiTheme="minorEastAsia" w:hAnsiTheme="minorEastAsia" w:eastAsiaTheme="minorEastAsia" w:cstheme="minorEastAsia"/>
          <w:color w:val="auto"/>
          <w:kern w:val="0"/>
          <w:highlight w:val="none"/>
        </w:rPr>
        <w:t>评价标准</w:t>
      </w:r>
      <w:bookmarkEnd w:id="328"/>
      <w:bookmarkEnd w:id="329"/>
      <w:bookmarkEnd w:id="330"/>
    </w:p>
    <w:p w14:paraId="483D0768">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bookmarkStart w:id="331" w:name="_Toc525827418"/>
      <w:bookmarkStart w:id="332" w:name="_Toc13910"/>
      <w:bookmarkStart w:id="333" w:name="_Toc532125218"/>
      <w:bookmarkStart w:id="334" w:name="_Toc531800099"/>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8</w:t>
      </w:r>
      <w:r>
        <w:rPr>
          <w:rFonts w:hint="eastAsia" w:asciiTheme="minorEastAsia" w:hAnsiTheme="minorEastAsia" w:eastAsiaTheme="minorEastAsia" w:cstheme="minorEastAsia"/>
          <w:color w:val="auto"/>
          <w:highlight w:val="none"/>
        </w:rPr>
        <w:t>.1环境质量标准</w:t>
      </w:r>
      <w:bookmarkEnd w:id="331"/>
      <w:bookmarkEnd w:id="332"/>
      <w:bookmarkEnd w:id="333"/>
      <w:bookmarkEnd w:id="334"/>
    </w:p>
    <w:p w14:paraId="2CBB2DD3">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8.1.1环境空气</w:t>
      </w:r>
    </w:p>
    <w:p w14:paraId="57D7F5AA">
      <w:pPr>
        <w:widowControl w:val="0"/>
        <w:snapToGrid w:val="0"/>
        <w:spacing w:line="360" w:lineRule="auto"/>
        <w:ind w:firstLine="480"/>
        <w:rPr>
          <w:rFonts w:hint="default" w:asciiTheme="minorEastAsia" w:hAnsiTheme="minorEastAsia" w:eastAsiaTheme="minorEastAsia" w:cstheme="minorEastAsia"/>
          <w:snapToGrid w:val="0"/>
          <w:color w:val="auto"/>
          <w:kern w:val="0"/>
          <w:sz w:val="24"/>
          <w:szCs w:val="20"/>
          <w:highlight w:val="none"/>
          <w:lang w:val="en-US" w:eastAsia="zh-CN" w:bidi="ar-SA"/>
        </w:rPr>
      </w:pPr>
      <w:r>
        <w:rPr>
          <w:rFonts w:hint="eastAsia" w:asciiTheme="minorEastAsia" w:hAnsiTheme="minorEastAsia" w:eastAsiaTheme="minorEastAsia" w:cstheme="minorEastAsia"/>
          <w:snapToGrid w:val="0"/>
          <w:color w:val="auto"/>
          <w:kern w:val="0"/>
          <w:sz w:val="24"/>
          <w:szCs w:val="20"/>
          <w:highlight w:val="none"/>
          <w:lang w:val="en-US" w:eastAsia="zh-CN" w:bidi="ar-SA"/>
        </w:rPr>
        <w:t>依据《环境空气质量标准》（GB3095-2026）中‘4.4条 自本标准实施之日起至2030年12月31日止。环境空气污染物基本项目（表1）实施过渡阶段浓度限值；自2031年1月1日起，在全国范围内实施基本项目（表1）浓度限值’，因此本项目环境质量执行过渡阶段二级浓度限值。</w:t>
      </w:r>
    </w:p>
    <w:p w14:paraId="5621088D">
      <w:pPr>
        <w:pStyle w:val="1331"/>
        <w:widowControl w:val="0"/>
        <w:snapToGrid w:val="0"/>
        <w:spacing w:line="240" w:lineRule="auto"/>
        <w:ind w:firstLine="482"/>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表2</w:t>
      </w:r>
      <w:r>
        <w:rPr>
          <w:rFonts w:hint="eastAsia" w:asciiTheme="minorEastAsia" w:hAnsiTheme="minorEastAsia" w:eastAsiaTheme="minorEastAsia" w:cstheme="minorEastAsia"/>
          <w:color w:val="auto"/>
          <w:sz w:val="24"/>
          <w:highlight w:val="none"/>
          <w:lang w:val="en-US" w:eastAsia="zh-CN"/>
        </w:rPr>
        <w:t>.8</w:t>
      </w:r>
      <w:r>
        <w:rPr>
          <w:rFonts w:hint="eastAsia" w:asciiTheme="minorEastAsia" w:hAnsiTheme="minorEastAsia" w:eastAsiaTheme="minorEastAsia" w:cstheme="minorEastAsia"/>
          <w:color w:val="auto"/>
          <w:sz w:val="24"/>
          <w:highlight w:val="none"/>
        </w:rPr>
        <w:t>-1</w:t>
      </w:r>
      <w:r>
        <w:rPr>
          <w:rFonts w:hint="eastAsia" w:asciiTheme="minorEastAsia" w:hAnsiTheme="minorEastAsia" w:eastAsiaTheme="minorEastAsia" w:cstheme="minorEastAsia"/>
          <w:color w:val="auto"/>
          <w:sz w:val="24"/>
          <w:highlight w:val="none"/>
          <w:lang w:val="en-US" w:eastAsia="zh-CN"/>
        </w:rPr>
        <w:t xml:space="preserve">  </w:t>
      </w:r>
      <w:r>
        <w:rPr>
          <w:rFonts w:hint="eastAsia" w:asciiTheme="minorEastAsia" w:hAnsiTheme="minorEastAsia" w:eastAsiaTheme="minorEastAsia" w:cstheme="minorEastAsia"/>
          <w:color w:val="auto"/>
          <w:sz w:val="24"/>
          <w:highlight w:val="none"/>
        </w:rPr>
        <w:t>环境质量标准一览表</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12"/>
        <w:gridCol w:w="1959"/>
        <w:gridCol w:w="1125"/>
        <w:gridCol w:w="856"/>
        <w:gridCol w:w="2116"/>
        <w:gridCol w:w="1454"/>
      </w:tblGrid>
      <w:tr w14:paraId="07AFF2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restart"/>
            <w:tcBorders>
              <w:tl2br w:val="nil"/>
              <w:tr2bl w:val="nil"/>
            </w:tcBorders>
            <w:vAlign w:val="center"/>
          </w:tcPr>
          <w:p w14:paraId="69F1818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环境</w:t>
            </w:r>
          </w:p>
          <w:p w14:paraId="6B79540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要素</w:t>
            </w:r>
          </w:p>
        </w:tc>
        <w:tc>
          <w:tcPr>
            <w:tcW w:w="1149" w:type="pct"/>
            <w:vMerge w:val="restart"/>
            <w:tcBorders>
              <w:tl2br w:val="nil"/>
              <w:tr2bl w:val="nil"/>
            </w:tcBorders>
            <w:vAlign w:val="center"/>
          </w:tcPr>
          <w:p w14:paraId="30F7260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标准名称及级别</w:t>
            </w:r>
          </w:p>
        </w:tc>
        <w:tc>
          <w:tcPr>
            <w:tcW w:w="660" w:type="pct"/>
            <w:vMerge w:val="restart"/>
            <w:tcBorders>
              <w:tl2br w:val="nil"/>
              <w:tr2bl w:val="nil"/>
            </w:tcBorders>
            <w:vAlign w:val="center"/>
          </w:tcPr>
          <w:p w14:paraId="11C2FFD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项目</w:t>
            </w:r>
          </w:p>
        </w:tc>
        <w:tc>
          <w:tcPr>
            <w:tcW w:w="2596" w:type="pct"/>
            <w:gridSpan w:val="3"/>
            <w:tcBorders>
              <w:tl2br w:val="nil"/>
              <w:tr2bl w:val="nil"/>
            </w:tcBorders>
            <w:vAlign w:val="center"/>
          </w:tcPr>
          <w:p w14:paraId="7A7FDE4A">
            <w:pPr>
              <w:keepNext w:val="0"/>
              <w:keepLines w:val="0"/>
              <w:suppressLineNumbers w:val="0"/>
              <w:bidi w:val="0"/>
              <w:spacing w:before="0" w:beforeAutospacing="0" w:after="0" w:afterAutospacing="0"/>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过渡阶段浓度限值</w:t>
            </w:r>
          </w:p>
        </w:tc>
      </w:tr>
      <w:tr w14:paraId="737E3F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5EB0B45A">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1878840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continue"/>
            <w:tcBorders>
              <w:tl2br w:val="nil"/>
              <w:tr2bl w:val="nil"/>
            </w:tcBorders>
            <w:vAlign w:val="center"/>
          </w:tcPr>
          <w:p w14:paraId="03A7B9C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502" w:type="pct"/>
            <w:tcBorders>
              <w:tl2br w:val="nil"/>
              <w:tr2bl w:val="nil"/>
            </w:tcBorders>
            <w:vAlign w:val="center"/>
          </w:tcPr>
          <w:p w14:paraId="03EBEB5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单位</w:t>
            </w:r>
          </w:p>
        </w:tc>
        <w:tc>
          <w:tcPr>
            <w:tcW w:w="2093" w:type="pct"/>
            <w:gridSpan w:val="2"/>
            <w:tcBorders>
              <w:tl2br w:val="nil"/>
              <w:tr2bl w:val="nil"/>
            </w:tcBorders>
            <w:vAlign w:val="center"/>
          </w:tcPr>
          <w:p w14:paraId="2B4FBF1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数值</w:t>
            </w:r>
          </w:p>
        </w:tc>
      </w:tr>
      <w:tr w14:paraId="2C990F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restart"/>
            <w:tcBorders>
              <w:tl2br w:val="nil"/>
              <w:tr2bl w:val="nil"/>
            </w:tcBorders>
            <w:vAlign w:val="center"/>
          </w:tcPr>
          <w:p w14:paraId="328B58E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环境</w:t>
            </w:r>
          </w:p>
          <w:p w14:paraId="5046FC1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空气</w:t>
            </w:r>
          </w:p>
        </w:tc>
        <w:tc>
          <w:tcPr>
            <w:tcW w:w="1149" w:type="pct"/>
            <w:vMerge w:val="restart"/>
            <w:tcBorders>
              <w:tl2br w:val="nil"/>
              <w:tr2bl w:val="nil"/>
            </w:tcBorders>
            <w:vAlign w:val="center"/>
          </w:tcPr>
          <w:p w14:paraId="5577467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《环境空气质量标准》（GB3095-2</w:t>
            </w:r>
            <w:r>
              <w:rPr>
                <w:rFonts w:hint="eastAsia" w:asciiTheme="minorEastAsia" w:hAnsiTheme="minorEastAsia" w:eastAsiaTheme="minorEastAsia" w:cstheme="minorEastAsia"/>
                <w:b w:val="0"/>
                <w:bCs w:val="0"/>
                <w:color w:val="auto"/>
                <w:sz w:val="21"/>
                <w:szCs w:val="21"/>
                <w:highlight w:val="none"/>
                <w:lang w:val="en-US" w:eastAsia="zh-CN"/>
              </w:rPr>
              <w:t>026</w:t>
            </w:r>
            <w:r>
              <w:rPr>
                <w:rFonts w:hint="eastAsia" w:asciiTheme="minorEastAsia" w:hAnsiTheme="minorEastAsia" w:eastAsiaTheme="minorEastAsia" w:cstheme="minorEastAsia"/>
                <w:b w:val="0"/>
                <w:bCs w:val="0"/>
                <w:color w:val="auto"/>
                <w:sz w:val="21"/>
                <w:szCs w:val="21"/>
                <w:highlight w:val="none"/>
              </w:rPr>
              <w:t>）中二级标准</w:t>
            </w:r>
          </w:p>
        </w:tc>
        <w:tc>
          <w:tcPr>
            <w:tcW w:w="660" w:type="pct"/>
            <w:vMerge w:val="restart"/>
            <w:tcBorders>
              <w:tl2br w:val="nil"/>
              <w:tr2bl w:val="nil"/>
            </w:tcBorders>
            <w:vAlign w:val="center"/>
          </w:tcPr>
          <w:p w14:paraId="2048F02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PM</w:t>
            </w:r>
            <w:r>
              <w:rPr>
                <w:rFonts w:hint="eastAsia" w:asciiTheme="minorEastAsia" w:hAnsiTheme="minorEastAsia" w:eastAsiaTheme="minorEastAsia" w:cstheme="minorEastAsia"/>
                <w:b w:val="0"/>
                <w:bCs w:val="0"/>
                <w:color w:val="auto"/>
                <w:sz w:val="21"/>
                <w:szCs w:val="21"/>
                <w:highlight w:val="none"/>
                <w:vertAlign w:val="subscript"/>
              </w:rPr>
              <w:t>10</w:t>
            </w:r>
          </w:p>
        </w:tc>
        <w:tc>
          <w:tcPr>
            <w:tcW w:w="502" w:type="pct"/>
            <w:vMerge w:val="restart"/>
            <w:tcBorders>
              <w:tl2br w:val="nil"/>
              <w:tr2bl w:val="nil"/>
            </w:tcBorders>
            <w:vAlign w:val="center"/>
          </w:tcPr>
          <w:p w14:paraId="70D690A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µg/m</w:t>
            </w:r>
            <w:r>
              <w:rPr>
                <w:rFonts w:hint="eastAsia" w:asciiTheme="minorEastAsia" w:hAnsiTheme="minorEastAsia" w:eastAsiaTheme="minorEastAsia" w:cstheme="minorEastAsia"/>
                <w:b w:val="0"/>
                <w:bCs w:val="0"/>
                <w:color w:val="auto"/>
                <w:sz w:val="21"/>
                <w:szCs w:val="21"/>
                <w:highlight w:val="none"/>
                <w:vertAlign w:val="superscript"/>
              </w:rPr>
              <w:t>3</w:t>
            </w:r>
          </w:p>
        </w:tc>
        <w:tc>
          <w:tcPr>
            <w:tcW w:w="1241" w:type="pct"/>
            <w:tcBorders>
              <w:tl2br w:val="nil"/>
              <w:tr2bl w:val="nil"/>
            </w:tcBorders>
            <w:vAlign w:val="center"/>
          </w:tcPr>
          <w:p w14:paraId="1C3E67D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日</w:t>
            </w:r>
            <w:r>
              <w:rPr>
                <w:rFonts w:hint="eastAsia" w:asciiTheme="minorEastAsia" w:hAnsiTheme="minorEastAsia" w:eastAsiaTheme="minorEastAsia" w:cstheme="minorEastAsia"/>
                <w:b w:val="0"/>
                <w:bCs w:val="0"/>
                <w:color w:val="auto"/>
                <w:sz w:val="21"/>
                <w:szCs w:val="21"/>
                <w:highlight w:val="none"/>
              </w:rPr>
              <w:t>平均</w:t>
            </w:r>
          </w:p>
        </w:tc>
        <w:tc>
          <w:tcPr>
            <w:tcW w:w="852" w:type="pct"/>
            <w:tcBorders>
              <w:tl2br w:val="nil"/>
              <w:tr2bl w:val="nil"/>
            </w:tcBorders>
            <w:vAlign w:val="center"/>
          </w:tcPr>
          <w:p w14:paraId="584395BC">
            <w:pPr>
              <w:keepNext w:val="0"/>
              <w:keepLines w:val="0"/>
              <w:suppressLineNumbers w:val="0"/>
              <w:bidi w:val="0"/>
              <w:spacing w:before="0" w:beforeAutospacing="0" w:after="0" w:afterAutospacing="0"/>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120</w:t>
            </w:r>
          </w:p>
        </w:tc>
      </w:tr>
      <w:tr w14:paraId="317BAF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02B7156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3CAB3CB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continue"/>
            <w:tcBorders>
              <w:tl2br w:val="nil"/>
              <w:tr2bl w:val="nil"/>
            </w:tcBorders>
            <w:vAlign w:val="center"/>
          </w:tcPr>
          <w:p w14:paraId="366FBE7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502" w:type="pct"/>
            <w:vMerge w:val="continue"/>
            <w:tcBorders>
              <w:tl2br w:val="nil"/>
              <w:tr2bl w:val="nil"/>
            </w:tcBorders>
            <w:vAlign w:val="center"/>
          </w:tcPr>
          <w:p w14:paraId="64E51F1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4D27D92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年平均</w:t>
            </w:r>
          </w:p>
        </w:tc>
        <w:tc>
          <w:tcPr>
            <w:tcW w:w="852" w:type="pct"/>
            <w:tcBorders>
              <w:tl2br w:val="nil"/>
              <w:tr2bl w:val="nil"/>
            </w:tcBorders>
            <w:vAlign w:val="center"/>
          </w:tcPr>
          <w:p w14:paraId="42661C35">
            <w:pPr>
              <w:keepNext w:val="0"/>
              <w:keepLines w:val="0"/>
              <w:suppressLineNumbers w:val="0"/>
              <w:bidi w:val="0"/>
              <w:spacing w:before="0" w:beforeAutospacing="0" w:after="0" w:afterAutospacing="0"/>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60</w:t>
            </w:r>
          </w:p>
        </w:tc>
      </w:tr>
      <w:tr w14:paraId="4E7702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7B826FF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2FAC105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restart"/>
            <w:tcBorders>
              <w:tl2br w:val="nil"/>
              <w:tr2bl w:val="nil"/>
            </w:tcBorders>
            <w:vAlign w:val="center"/>
          </w:tcPr>
          <w:p w14:paraId="0E4B907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PM</w:t>
            </w:r>
            <w:r>
              <w:rPr>
                <w:rFonts w:hint="eastAsia" w:asciiTheme="minorEastAsia" w:hAnsiTheme="minorEastAsia" w:eastAsiaTheme="minorEastAsia" w:cstheme="minorEastAsia"/>
                <w:b w:val="0"/>
                <w:bCs w:val="0"/>
                <w:color w:val="auto"/>
                <w:sz w:val="21"/>
                <w:szCs w:val="21"/>
                <w:highlight w:val="none"/>
                <w:vertAlign w:val="subscript"/>
              </w:rPr>
              <w:t>2.5</w:t>
            </w:r>
          </w:p>
        </w:tc>
        <w:tc>
          <w:tcPr>
            <w:tcW w:w="502" w:type="pct"/>
            <w:vMerge w:val="continue"/>
            <w:tcBorders>
              <w:tl2br w:val="nil"/>
              <w:tr2bl w:val="nil"/>
            </w:tcBorders>
            <w:vAlign w:val="center"/>
          </w:tcPr>
          <w:p w14:paraId="080DEAA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2517996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日</w:t>
            </w:r>
            <w:r>
              <w:rPr>
                <w:rFonts w:hint="eastAsia" w:asciiTheme="minorEastAsia" w:hAnsiTheme="minorEastAsia" w:eastAsiaTheme="minorEastAsia" w:cstheme="minorEastAsia"/>
                <w:b w:val="0"/>
                <w:bCs w:val="0"/>
                <w:color w:val="auto"/>
                <w:sz w:val="21"/>
                <w:szCs w:val="21"/>
                <w:highlight w:val="none"/>
              </w:rPr>
              <w:t>平均</w:t>
            </w:r>
          </w:p>
        </w:tc>
        <w:tc>
          <w:tcPr>
            <w:tcW w:w="852" w:type="pct"/>
            <w:tcBorders>
              <w:tl2br w:val="nil"/>
              <w:tr2bl w:val="nil"/>
            </w:tcBorders>
            <w:vAlign w:val="center"/>
          </w:tcPr>
          <w:p w14:paraId="69295EBB">
            <w:pPr>
              <w:keepNext w:val="0"/>
              <w:keepLines w:val="0"/>
              <w:suppressLineNumbers w:val="0"/>
              <w:bidi w:val="0"/>
              <w:spacing w:before="0" w:beforeAutospacing="0" w:after="0" w:afterAutospacing="0"/>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60</w:t>
            </w:r>
          </w:p>
        </w:tc>
      </w:tr>
      <w:tr w14:paraId="4A9423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3D2E39E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7766FF4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continue"/>
            <w:tcBorders>
              <w:tl2br w:val="nil"/>
              <w:tr2bl w:val="nil"/>
            </w:tcBorders>
            <w:vAlign w:val="center"/>
          </w:tcPr>
          <w:p w14:paraId="0BFE80F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502" w:type="pct"/>
            <w:vMerge w:val="continue"/>
            <w:tcBorders>
              <w:tl2br w:val="nil"/>
              <w:tr2bl w:val="nil"/>
            </w:tcBorders>
            <w:vAlign w:val="center"/>
          </w:tcPr>
          <w:p w14:paraId="59CAC97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39E2CFE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年平均</w:t>
            </w:r>
          </w:p>
        </w:tc>
        <w:tc>
          <w:tcPr>
            <w:tcW w:w="852" w:type="pct"/>
            <w:tcBorders>
              <w:tl2br w:val="nil"/>
              <w:tr2bl w:val="nil"/>
            </w:tcBorders>
            <w:vAlign w:val="center"/>
          </w:tcPr>
          <w:p w14:paraId="00207FB3">
            <w:pPr>
              <w:keepNext w:val="0"/>
              <w:keepLines w:val="0"/>
              <w:suppressLineNumbers w:val="0"/>
              <w:bidi w:val="0"/>
              <w:spacing w:before="0" w:beforeAutospacing="0" w:after="0" w:afterAutospacing="0"/>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30</w:t>
            </w:r>
          </w:p>
        </w:tc>
      </w:tr>
      <w:tr w14:paraId="727049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2FB62A7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0666E89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restart"/>
            <w:tcBorders>
              <w:tl2br w:val="nil"/>
              <w:tr2bl w:val="nil"/>
            </w:tcBorders>
            <w:vAlign w:val="center"/>
          </w:tcPr>
          <w:p w14:paraId="750D2EE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TSP</w:t>
            </w:r>
          </w:p>
        </w:tc>
        <w:tc>
          <w:tcPr>
            <w:tcW w:w="502" w:type="pct"/>
            <w:vMerge w:val="continue"/>
            <w:tcBorders>
              <w:tl2br w:val="nil"/>
              <w:tr2bl w:val="nil"/>
            </w:tcBorders>
            <w:vAlign w:val="center"/>
          </w:tcPr>
          <w:p w14:paraId="6429464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78F5B5D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日</w:t>
            </w:r>
            <w:r>
              <w:rPr>
                <w:rFonts w:hint="eastAsia" w:asciiTheme="minorEastAsia" w:hAnsiTheme="minorEastAsia" w:eastAsiaTheme="minorEastAsia" w:cstheme="minorEastAsia"/>
                <w:b w:val="0"/>
                <w:bCs w:val="0"/>
                <w:color w:val="auto"/>
                <w:sz w:val="21"/>
                <w:szCs w:val="21"/>
                <w:highlight w:val="none"/>
              </w:rPr>
              <w:t>平均</w:t>
            </w:r>
          </w:p>
        </w:tc>
        <w:tc>
          <w:tcPr>
            <w:tcW w:w="852" w:type="pct"/>
            <w:tcBorders>
              <w:tl2br w:val="nil"/>
              <w:tr2bl w:val="nil"/>
            </w:tcBorders>
            <w:vAlign w:val="center"/>
          </w:tcPr>
          <w:p w14:paraId="15D9122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300</w:t>
            </w:r>
          </w:p>
        </w:tc>
      </w:tr>
      <w:tr w14:paraId="39899F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5E4F167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29D11A7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continue"/>
            <w:tcBorders>
              <w:tl2br w:val="nil"/>
              <w:tr2bl w:val="nil"/>
            </w:tcBorders>
            <w:vAlign w:val="center"/>
          </w:tcPr>
          <w:p w14:paraId="2FCB0E6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502" w:type="pct"/>
            <w:vMerge w:val="continue"/>
            <w:tcBorders>
              <w:tl2br w:val="nil"/>
              <w:tr2bl w:val="nil"/>
            </w:tcBorders>
            <w:vAlign w:val="center"/>
          </w:tcPr>
          <w:p w14:paraId="5ADFC29A">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7CF54AF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年平均</w:t>
            </w:r>
          </w:p>
        </w:tc>
        <w:tc>
          <w:tcPr>
            <w:tcW w:w="852" w:type="pct"/>
            <w:tcBorders>
              <w:tl2br w:val="nil"/>
              <w:tr2bl w:val="nil"/>
            </w:tcBorders>
            <w:vAlign w:val="center"/>
          </w:tcPr>
          <w:p w14:paraId="3DF8AC6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200</w:t>
            </w:r>
          </w:p>
        </w:tc>
      </w:tr>
      <w:tr w14:paraId="7323E9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0A939B9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7D19A05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restart"/>
            <w:tcBorders>
              <w:tl2br w:val="nil"/>
              <w:tr2bl w:val="nil"/>
            </w:tcBorders>
            <w:vAlign w:val="center"/>
          </w:tcPr>
          <w:p w14:paraId="470318F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NO</w:t>
            </w:r>
            <w:r>
              <w:rPr>
                <w:rFonts w:hint="eastAsia" w:asciiTheme="minorEastAsia" w:hAnsiTheme="minorEastAsia" w:eastAsiaTheme="minorEastAsia" w:cstheme="minorEastAsia"/>
                <w:b w:val="0"/>
                <w:bCs w:val="0"/>
                <w:color w:val="auto"/>
                <w:sz w:val="21"/>
                <w:szCs w:val="21"/>
                <w:highlight w:val="none"/>
                <w:vertAlign w:val="subscript"/>
              </w:rPr>
              <w:t>2</w:t>
            </w:r>
          </w:p>
        </w:tc>
        <w:tc>
          <w:tcPr>
            <w:tcW w:w="502" w:type="pct"/>
            <w:vMerge w:val="continue"/>
            <w:tcBorders>
              <w:tl2br w:val="nil"/>
              <w:tr2bl w:val="nil"/>
            </w:tcBorders>
            <w:vAlign w:val="center"/>
          </w:tcPr>
          <w:p w14:paraId="4480CAB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4369740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1小时平均</w:t>
            </w:r>
          </w:p>
        </w:tc>
        <w:tc>
          <w:tcPr>
            <w:tcW w:w="852" w:type="pct"/>
            <w:tcBorders>
              <w:tl2br w:val="nil"/>
              <w:tr2bl w:val="nil"/>
            </w:tcBorders>
            <w:vAlign w:val="center"/>
          </w:tcPr>
          <w:p w14:paraId="2A0DB1D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200</w:t>
            </w:r>
          </w:p>
        </w:tc>
      </w:tr>
      <w:tr w14:paraId="3FFA52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629E665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65D3295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continue"/>
            <w:tcBorders>
              <w:tl2br w:val="nil"/>
              <w:tr2bl w:val="nil"/>
            </w:tcBorders>
            <w:vAlign w:val="center"/>
          </w:tcPr>
          <w:p w14:paraId="5B4A9A2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502" w:type="pct"/>
            <w:vMerge w:val="continue"/>
            <w:tcBorders>
              <w:tl2br w:val="nil"/>
              <w:tr2bl w:val="nil"/>
            </w:tcBorders>
            <w:vAlign w:val="center"/>
          </w:tcPr>
          <w:p w14:paraId="7B233C4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5D2D979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日</w:t>
            </w:r>
            <w:r>
              <w:rPr>
                <w:rFonts w:hint="eastAsia" w:asciiTheme="minorEastAsia" w:hAnsiTheme="minorEastAsia" w:eastAsiaTheme="minorEastAsia" w:cstheme="minorEastAsia"/>
                <w:b w:val="0"/>
                <w:bCs w:val="0"/>
                <w:color w:val="auto"/>
                <w:sz w:val="21"/>
                <w:szCs w:val="21"/>
                <w:highlight w:val="none"/>
              </w:rPr>
              <w:t>平均</w:t>
            </w:r>
          </w:p>
        </w:tc>
        <w:tc>
          <w:tcPr>
            <w:tcW w:w="852" w:type="pct"/>
            <w:tcBorders>
              <w:tl2br w:val="nil"/>
              <w:tr2bl w:val="nil"/>
            </w:tcBorders>
            <w:vAlign w:val="center"/>
          </w:tcPr>
          <w:p w14:paraId="13880FE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80</w:t>
            </w:r>
          </w:p>
        </w:tc>
      </w:tr>
      <w:tr w14:paraId="015499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63124D3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44E4370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continue"/>
            <w:tcBorders>
              <w:tl2br w:val="nil"/>
              <w:tr2bl w:val="nil"/>
            </w:tcBorders>
            <w:vAlign w:val="center"/>
          </w:tcPr>
          <w:p w14:paraId="75A4F43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502" w:type="pct"/>
            <w:vMerge w:val="continue"/>
            <w:tcBorders>
              <w:tl2br w:val="nil"/>
              <w:tr2bl w:val="nil"/>
            </w:tcBorders>
            <w:vAlign w:val="center"/>
          </w:tcPr>
          <w:p w14:paraId="47B39A1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34AFD93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年平均</w:t>
            </w:r>
          </w:p>
        </w:tc>
        <w:tc>
          <w:tcPr>
            <w:tcW w:w="852" w:type="pct"/>
            <w:tcBorders>
              <w:tl2br w:val="nil"/>
              <w:tr2bl w:val="nil"/>
            </w:tcBorders>
            <w:vAlign w:val="center"/>
          </w:tcPr>
          <w:p w14:paraId="42FBA10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40</w:t>
            </w:r>
          </w:p>
        </w:tc>
      </w:tr>
      <w:tr w14:paraId="38E164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55BA08E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7DA1053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restart"/>
            <w:tcBorders>
              <w:tl2br w:val="nil"/>
              <w:tr2bl w:val="nil"/>
            </w:tcBorders>
            <w:vAlign w:val="center"/>
          </w:tcPr>
          <w:p w14:paraId="59FDC06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SO</w:t>
            </w:r>
            <w:r>
              <w:rPr>
                <w:rFonts w:hint="eastAsia" w:asciiTheme="minorEastAsia" w:hAnsiTheme="minorEastAsia" w:eastAsiaTheme="minorEastAsia" w:cstheme="minorEastAsia"/>
                <w:b w:val="0"/>
                <w:bCs w:val="0"/>
                <w:color w:val="auto"/>
                <w:sz w:val="21"/>
                <w:szCs w:val="21"/>
                <w:highlight w:val="none"/>
                <w:vertAlign w:val="subscript"/>
              </w:rPr>
              <w:t>2</w:t>
            </w:r>
          </w:p>
        </w:tc>
        <w:tc>
          <w:tcPr>
            <w:tcW w:w="502" w:type="pct"/>
            <w:vMerge w:val="continue"/>
            <w:tcBorders>
              <w:tl2br w:val="nil"/>
              <w:tr2bl w:val="nil"/>
            </w:tcBorders>
            <w:vAlign w:val="center"/>
          </w:tcPr>
          <w:p w14:paraId="2D72B0A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2CB0D05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1小时平均</w:t>
            </w:r>
          </w:p>
        </w:tc>
        <w:tc>
          <w:tcPr>
            <w:tcW w:w="852" w:type="pct"/>
            <w:tcBorders>
              <w:tl2br w:val="nil"/>
              <w:tr2bl w:val="nil"/>
            </w:tcBorders>
            <w:vAlign w:val="center"/>
          </w:tcPr>
          <w:p w14:paraId="4645F7D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500</w:t>
            </w:r>
          </w:p>
        </w:tc>
      </w:tr>
      <w:tr w14:paraId="52CA38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655787E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363F088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continue"/>
            <w:tcBorders>
              <w:tl2br w:val="nil"/>
              <w:tr2bl w:val="nil"/>
            </w:tcBorders>
            <w:vAlign w:val="center"/>
          </w:tcPr>
          <w:p w14:paraId="42FA761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502" w:type="pct"/>
            <w:vMerge w:val="continue"/>
            <w:tcBorders>
              <w:tl2br w:val="nil"/>
              <w:tr2bl w:val="nil"/>
            </w:tcBorders>
            <w:vAlign w:val="center"/>
          </w:tcPr>
          <w:p w14:paraId="30C544D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2D8A70A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日</w:t>
            </w:r>
            <w:r>
              <w:rPr>
                <w:rFonts w:hint="eastAsia" w:asciiTheme="minorEastAsia" w:hAnsiTheme="minorEastAsia" w:eastAsiaTheme="minorEastAsia" w:cstheme="minorEastAsia"/>
                <w:b w:val="0"/>
                <w:bCs w:val="0"/>
                <w:color w:val="auto"/>
                <w:sz w:val="21"/>
                <w:szCs w:val="21"/>
                <w:highlight w:val="none"/>
              </w:rPr>
              <w:t>平均</w:t>
            </w:r>
          </w:p>
        </w:tc>
        <w:tc>
          <w:tcPr>
            <w:tcW w:w="852" w:type="pct"/>
            <w:tcBorders>
              <w:tl2br w:val="nil"/>
              <w:tr2bl w:val="nil"/>
            </w:tcBorders>
            <w:vAlign w:val="center"/>
          </w:tcPr>
          <w:p w14:paraId="62B9A19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150</w:t>
            </w:r>
          </w:p>
        </w:tc>
      </w:tr>
      <w:tr w14:paraId="328BA2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718269E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76EFA20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continue"/>
            <w:tcBorders>
              <w:tl2br w:val="nil"/>
              <w:tr2bl w:val="nil"/>
            </w:tcBorders>
            <w:vAlign w:val="center"/>
          </w:tcPr>
          <w:p w14:paraId="495A2DC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502" w:type="pct"/>
            <w:vMerge w:val="continue"/>
            <w:tcBorders>
              <w:tl2br w:val="nil"/>
              <w:tr2bl w:val="nil"/>
            </w:tcBorders>
            <w:vAlign w:val="center"/>
          </w:tcPr>
          <w:p w14:paraId="71ACA85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5986EB2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年平均</w:t>
            </w:r>
          </w:p>
        </w:tc>
        <w:tc>
          <w:tcPr>
            <w:tcW w:w="852" w:type="pct"/>
            <w:tcBorders>
              <w:tl2br w:val="nil"/>
              <w:tr2bl w:val="nil"/>
            </w:tcBorders>
            <w:vAlign w:val="center"/>
          </w:tcPr>
          <w:p w14:paraId="52C9EE7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60</w:t>
            </w:r>
          </w:p>
        </w:tc>
      </w:tr>
      <w:tr w14:paraId="7BF5E5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625764D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0BC18F6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restart"/>
            <w:tcBorders>
              <w:tl2br w:val="nil"/>
              <w:tr2bl w:val="nil"/>
            </w:tcBorders>
            <w:vAlign w:val="center"/>
          </w:tcPr>
          <w:p w14:paraId="7A9D2D2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CO</w:t>
            </w:r>
          </w:p>
        </w:tc>
        <w:tc>
          <w:tcPr>
            <w:tcW w:w="502" w:type="pct"/>
            <w:vMerge w:val="continue"/>
            <w:tcBorders>
              <w:tl2br w:val="nil"/>
              <w:tr2bl w:val="nil"/>
            </w:tcBorders>
            <w:vAlign w:val="center"/>
          </w:tcPr>
          <w:p w14:paraId="74DDAD1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469BFA0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1小时平均</w:t>
            </w:r>
          </w:p>
        </w:tc>
        <w:tc>
          <w:tcPr>
            <w:tcW w:w="852" w:type="pct"/>
            <w:tcBorders>
              <w:tl2br w:val="nil"/>
              <w:tr2bl w:val="nil"/>
            </w:tcBorders>
            <w:vAlign w:val="center"/>
          </w:tcPr>
          <w:p w14:paraId="62A8EDD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10000</w:t>
            </w:r>
          </w:p>
        </w:tc>
      </w:tr>
      <w:tr w14:paraId="7B591D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1CF235B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18BEFD8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continue"/>
            <w:tcBorders>
              <w:tl2br w:val="nil"/>
              <w:tr2bl w:val="nil"/>
            </w:tcBorders>
            <w:vAlign w:val="center"/>
          </w:tcPr>
          <w:p w14:paraId="630B72A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502" w:type="pct"/>
            <w:vMerge w:val="continue"/>
            <w:tcBorders>
              <w:tl2br w:val="nil"/>
              <w:tr2bl w:val="nil"/>
            </w:tcBorders>
            <w:vAlign w:val="center"/>
          </w:tcPr>
          <w:p w14:paraId="7046E7F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5BDBB89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日</w:t>
            </w:r>
            <w:r>
              <w:rPr>
                <w:rFonts w:hint="eastAsia" w:asciiTheme="minorEastAsia" w:hAnsiTheme="minorEastAsia" w:eastAsiaTheme="minorEastAsia" w:cstheme="minorEastAsia"/>
                <w:b w:val="0"/>
                <w:bCs w:val="0"/>
                <w:color w:val="auto"/>
                <w:sz w:val="21"/>
                <w:szCs w:val="21"/>
                <w:highlight w:val="none"/>
              </w:rPr>
              <w:t>平均</w:t>
            </w:r>
          </w:p>
        </w:tc>
        <w:tc>
          <w:tcPr>
            <w:tcW w:w="852" w:type="pct"/>
            <w:tcBorders>
              <w:tl2br w:val="nil"/>
              <w:tr2bl w:val="nil"/>
            </w:tcBorders>
            <w:vAlign w:val="center"/>
          </w:tcPr>
          <w:p w14:paraId="1C530EE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4000</w:t>
            </w:r>
          </w:p>
        </w:tc>
      </w:tr>
      <w:tr w14:paraId="6A9CD6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4537CC2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0D2AC0C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restart"/>
            <w:tcBorders>
              <w:tl2br w:val="nil"/>
              <w:tr2bl w:val="nil"/>
            </w:tcBorders>
            <w:vAlign w:val="center"/>
          </w:tcPr>
          <w:p w14:paraId="7C5AB5D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O</w:t>
            </w:r>
            <w:r>
              <w:rPr>
                <w:rFonts w:hint="eastAsia" w:asciiTheme="minorEastAsia" w:hAnsiTheme="minorEastAsia" w:eastAsiaTheme="minorEastAsia" w:cstheme="minorEastAsia"/>
                <w:b w:val="0"/>
                <w:bCs w:val="0"/>
                <w:color w:val="auto"/>
                <w:sz w:val="21"/>
                <w:szCs w:val="21"/>
                <w:highlight w:val="none"/>
                <w:vertAlign w:val="subscript"/>
              </w:rPr>
              <w:t>3</w:t>
            </w:r>
          </w:p>
        </w:tc>
        <w:tc>
          <w:tcPr>
            <w:tcW w:w="502" w:type="pct"/>
            <w:vMerge w:val="continue"/>
            <w:tcBorders>
              <w:tl2br w:val="nil"/>
              <w:tr2bl w:val="nil"/>
            </w:tcBorders>
            <w:vAlign w:val="center"/>
          </w:tcPr>
          <w:p w14:paraId="7C4C864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3B1D3A1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1小时平均</w:t>
            </w:r>
          </w:p>
        </w:tc>
        <w:tc>
          <w:tcPr>
            <w:tcW w:w="852" w:type="pct"/>
            <w:tcBorders>
              <w:tl2br w:val="nil"/>
              <w:tr2bl w:val="nil"/>
            </w:tcBorders>
            <w:vAlign w:val="center"/>
          </w:tcPr>
          <w:p w14:paraId="3555B2AA">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200</w:t>
            </w:r>
          </w:p>
        </w:tc>
      </w:tr>
      <w:tr w14:paraId="1BD797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4" w:type="pct"/>
            <w:vMerge w:val="continue"/>
            <w:tcBorders>
              <w:tl2br w:val="nil"/>
              <w:tr2bl w:val="nil"/>
            </w:tcBorders>
            <w:vAlign w:val="center"/>
          </w:tcPr>
          <w:p w14:paraId="7CF6987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149" w:type="pct"/>
            <w:vMerge w:val="continue"/>
            <w:tcBorders>
              <w:tl2br w:val="nil"/>
              <w:tr2bl w:val="nil"/>
            </w:tcBorders>
            <w:vAlign w:val="center"/>
          </w:tcPr>
          <w:p w14:paraId="1A825C6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660" w:type="pct"/>
            <w:vMerge w:val="continue"/>
            <w:tcBorders>
              <w:tl2br w:val="nil"/>
              <w:tr2bl w:val="nil"/>
            </w:tcBorders>
            <w:vAlign w:val="center"/>
          </w:tcPr>
          <w:p w14:paraId="7D83F92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502" w:type="pct"/>
            <w:vMerge w:val="continue"/>
            <w:tcBorders>
              <w:tl2br w:val="nil"/>
              <w:tr2bl w:val="nil"/>
            </w:tcBorders>
            <w:vAlign w:val="center"/>
          </w:tcPr>
          <w:p w14:paraId="76D3A3A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241" w:type="pct"/>
            <w:tcBorders>
              <w:tl2br w:val="nil"/>
              <w:tr2bl w:val="nil"/>
            </w:tcBorders>
            <w:vAlign w:val="center"/>
          </w:tcPr>
          <w:p w14:paraId="08625B1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日最大8小时平均</w:t>
            </w:r>
          </w:p>
        </w:tc>
        <w:tc>
          <w:tcPr>
            <w:tcW w:w="852" w:type="pct"/>
            <w:tcBorders>
              <w:tl2br w:val="nil"/>
              <w:tr2bl w:val="nil"/>
            </w:tcBorders>
            <w:vAlign w:val="center"/>
          </w:tcPr>
          <w:p w14:paraId="2AA1CA8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160</w:t>
            </w:r>
          </w:p>
        </w:tc>
      </w:tr>
    </w:tbl>
    <w:p w14:paraId="3F755BCB">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8.1.2 地表水</w:t>
      </w:r>
    </w:p>
    <w:p w14:paraId="1DD1A6EF">
      <w:pPr>
        <w:pStyle w:val="319"/>
        <w:widowControl w:val="0"/>
        <w:snapToGrid w:val="0"/>
        <w:ind w:firstLine="520"/>
        <w:jc w:val="both"/>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根据《全国重要江河湖泊水功能区划（2011-2030年）》，“</w:t>
      </w:r>
      <w:r>
        <w:rPr>
          <w:rFonts w:hint="eastAsia" w:asciiTheme="minorEastAsia" w:hAnsiTheme="minorEastAsia" w:eastAsiaTheme="minorEastAsia" w:cstheme="minorEastAsia"/>
          <w:color w:val="auto"/>
          <w:kern w:val="0"/>
          <w:highlight w:val="none"/>
          <w:lang w:val="en-US" w:eastAsia="zh-CN"/>
        </w:rPr>
        <w:t>蚂蚁河</w:t>
      </w:r>
      <w:r>
        <w:rPr>
          <w:rFonts w:hint="eastAsia" w:asciiTheme="minorEastAsia" w:hAnsiTheme="minorEastAsia" w:eastAsiaTheme="minorEastAsia" w:cstheme="minorEastAsia"/>
          <w:color w:val="auto"/>
          <w:kern w:val="0"/>
          <w:highlight w:val="none"/>
        </w:rPr>
        <w:t>”地表水环境功能区划为Ⅲ类，因此本项目水质功能区划执行《地表水环境质量标准》（GB3939-2002）Ⅲ类水质标准。</w:t>
      </w:r>
    </w:p>
    <w:p w14:paraId="54D28BB4">
      <w:pPr>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color w:val="auto"/>
          <w:sz w:val="24"/>
          <w:highlight w:val="none"/>
        </w:rPr>
        <w:t>表2.</w:t>
      </w:r>
      <w:r>
        <w:rPr>
          <w:rFonts w:hint="eastAsia" w:asciiTheme="minorEastAsia" w:hAnsiTheme="minorEastAsia" w:eastAsiaTheme="minorEastAsia" w:cstheme="minorEastAsia"/>
          <w:b/>
          <w:color w:val="auto"/>
          <w:sz w:val="24"/>
          <w:highlight w:val="none"/>
          <w:lang w:val="en-US" w:eastAsia="zh-CN"/>
        </w:rPr>
        <w:t>8</w:t>
      </w:r>
      <w:r>
        <w:rPr>
          <w:rFonts w:hint="eastAsia" w:asciiTheme="minorEastAsia" w:hAnsiTheme="minorEastAsia" w:eastAsiaTheme="minorEastAsia" w:cstheme="minorEastAsia"/>
          <w:b/>
          <w:color w:val="auto"/>
          <w:sz w:val="24"/>
          <w:highlight w:val="none"/>
        </w:rPr>
        <w:t>-2  《地表水环境质量标准》（GB3838-2002）</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21"/>
        <w:gridCol w:w="2508"/>
        <w:gridCol w:w="1835"/>
        <w:gridCol w:w="890"/>
        <w:gridCol w:w="2268"/>
      </w:tblGrid>
      <w:tr w14:paraId="40A43C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tcBorders>
              <w:tl2br w:val="nil"/>
              <w:tr2bl w:val="nil"/>
            </w:tcBorders>
            <w:shd w:val="clear" w:color="auto" w:fill="auto"/>
            <w:vAlign w:val="center"/>
          </w:tcPr>
          <w:p w14:paraId="36EF835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环境</w:t>
            </w:r>
          </w:p>
          <w:p w14:paraId="3796204A">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要素</w:t>
            </w:r>
          </w:p>
        </w:tc>
        <w:tc>
          <w:tcPr>
            <w:tcW w:w="1471" w:type="pct"/>
            <w:tcBorders>
              <w:tl2br w:val="nil"/>
              <w:tr2bl w:val="nil"/>
            </w:tcBorders>
            <w:shd w:val="clear" w:color="auto" w:fill="auto"/>
            <w:vAlign w:val="center"/>
          </w:tcPr>
          <w:p w14:paraId="63B7854C">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标准名称及级别</w:t>
            </w:r>
          </w:p>
        </w:tc>
        <w:tc>
          <w:tcPr>
            <w:tcW w:w="1076" w:type="pct"/>
            <w:tcBorders>
              <w:tl2br w:val="nil"/>
              <w:tr2bl w:val="nil"/>
            </w:tcBorders>
            <w:shd w:val="clear" w:color="auto" w:fill="auto"/>
            <w:vAlign w:val="center"/>
          </w:tcPr>
          <w:p w14:paraId="45792DF5">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项目</w:t>
            </w:r>
          </w:p>
        </w:tc>
        <w:tc>
          <w:tcPr>
            <w:tcW w:w="522" w:type="pct"/>
            <w:tcBorders>
              <w:tl2br w:val="nil"/>
              <w:tr2bl w:val="nil"/>
            </w:tcBorders>
            <w:vAlign w:val="center"/>
          </w:tcPr>
          <w:p w14:paraId="007F1F5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单位</w:t>
            </w:r>
          </w:p>
        </w:tc>
        <w:tc>
          <w:tcPr>
            <w:tcW w:w="1330" w:type="pct"/>
            <w:tcBorders>
              <w:tl2br w:val="nil"/>
              <w:tr2bl w:val="nil"/>
            </w:tcBorders>
            <w:vAlign w:val="center"/>
          </w:tcPr>
          <w:p w14:paraId="2474CF2A">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限值</w:t>
            </w:r>
          </w:p>
        </w:tc>
      </w:tr>
      <w:tr w14:paraId="28B5FE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restart"/>
            <w:tcBorders>
              <w:tl2br w:val="nil"/>
              <w:tr2bl w:val="nil"/>
            </w:tcBorders>
            <w:vAlign w:val="center"/>
          </w:tcPr>
          <w:p w14:paraId="547FAC4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地表水</w:t>
            </w:r>
          </w:p>
        </w:tc>
        <w:tc>
          <w:tcPr>
            <w:tcW w:w="1471" w:type="pct"/>
            <w:vMerge w:val="restart"/>
            <w:tcBorders>
              <w:tl2br w:val="nil"/>
              <w:tr2bl w:val="nil"/>
            </w:tcBorders>
            <w:vAlign w:val="center"/>
          </w:tcPr>
          <w:p w14:paraId="1C85C52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《地表水环境质量标准》（GB3838-2002）中Ⅲ类标准</w:t>
            </w:r>
          </w:p>
        </w:tc>
        <w:tc>
          <w:tcPr>
            <w:tcW w:w="1076" w:type="pct"/>
            <w:tcBorders>
              <w:tl2br w:val="nil"/>
              <w:tr2bl w:val="nil"/>
            </w:tcBorders>
            <w:shd w:val="clear" w:color="auto" w:fill="auto"/>
            <w:vAlign w:val="center"/>
          </w:tcPr>
          <w:p w14:paraId="35D04D54">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pH值（无量纲）</w:t>
            </w:r>
          </w:p>
        </w:tc>
        <w:tc>
          <w:tcPr>
            <w:tcW w:w="522" w:type="pct"/>
            <w:tcBorders>
              <w:tl2br w:val="nil"/>
              <w:tr2bl w:val="nil"/>
            </w:tcBorders>
            <w:shd w:val="clear" w:color="auto" w:fill="auto"/>
            <w:vAlign w:val="center"/>
          </w:tcPr>
          <w:p w14:paraId="34570CC5">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无量纲</w:t>
            </w:r>
          </w:p>
        </w:tc>
        <w:tc>
          <w:tcPr>
            <w:tcW w:w="1330" w:type="pct"/>
            <w:tcBorders>
              <w:tl2br w:val="nil"/>
              <w:tr2bl w:val="nil"/>
            </w:tcBorders>
            <w:shd w:val="clear" w:color="auto" w:fill="auto"/>
            <w:vAlign w:val="center"/>
          </w:tcPr>
          <w:p w14:paraId="7BAB3BA9">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6-9</w:t>
            </w:r>
          </w:p>
        </w:tc>
      </w:tr>
      <w:tr w14:paraId="70601D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7B36440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4FE873A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119E74D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DO</w:t>
            </w:r>
          </w:p>
        </w:tc>
        <w:tc>
          <w:tcPr>
            <w:tcW w:w="522" w:type="pct"/>
            <w:vMerge w:val="restart"/>
            <w:tcBorders>
              <w:tl2br w:val="nil"/>
              <w:tr2bl w:val="nil"/>
            </w:tcBorders>
            <w:vAlign w:val="center"/>
          </w:tcPr>
          <w:p w14:paraId="12595CC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mg/L</w:t>
            </w:r>
          </w:p>
        </w:tc>
        <w:tc>
          <w:tcPr>
            <w:tcW w:w="1330" w:type="pct"/>
            <w:tcBorders>
              <w:tl2br w:val="nil"/>
              <w:tr2bl w:val="nil"/>
            </w:tcBorders>
            <w:vAlign w:val="center"/>
          </w:tcPr>
          <w:p w14:paraId="525D0EE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≥5</w:t>
            </w:r>
          </w:p>
        </w:tc>
      </w:tr>
      <w:tr w14:paraId="65CAA6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2A1088C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7E44A75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32F264C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COD</w:t>
            </w:r>
          </w:p>
        </w:tc>
        <w:tc>
          <w:tcPr>
            <w:tcW w:w="522" w:type="pct"/>
            <w:vMerge w:val="continue"/>
            <w:tcBorders>
              <w:tl2br w:val="nil"/>
              <w:tr2bl w:val="nil"/>
            </w:tcBorders>
            <w:vAlign w:val="center"/>
          </w:tcPr>
          <w:p w14:paraId="6FA8946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686FB34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≤20</w:t>
            </w:r>
          </w:p>
        </w:tc>
      </w:tr>
      <w:tr w14:paraId="291837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0E4935A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72534CC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46B4A67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BOD</w:t>
            </w:r>
            <w:r>
              <w:rPr>
                <w:rFonts w:hint="eastAsia" w:asciiTheme="minorEastAsia" w:hAnsiTheme="minorEastAsia" w:eastAsiaTheme="minorEastAsia" w:cstheme="minorEastAsia"/>
                <w:b w:val="0"/>
                <w:bCs w:val="0"/>
                <w:color w:val="auto"/>
                <w:sz w:val="21"/>
                <w:szCs w:val="21"/>
                <w:highlight w:val="none"/>
                <w:vertAlign w:val="subscript"/>
              </w:rPr>
              <w:t>5</w:t>
            </w:r>
          </w:p>
        </w:tc>
        <w:tc>
          <w:tcPr>
            <w:tcW w:w="522" w:type="pct"/>
            <w:vMerge w:val="continue"/>
            <w:tcBorders>
              <w:tl2br w:val="nil"/>
              <w:tr2bl w:val="nil"/>
            </w:tcBorders>
            <w:vAlign w:val="center"/>
          </w:tcPr>
          <w:p w14:paraId="68D5FB6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2B341C3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w:t>
            </w:r>
          </w:p>
        </w:tc>
      </w:tr>
      <w:tr w14:paraId="3F34EA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702450B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2F730A6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189FD4E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氨氮</w:t>
            </w:r>
          </w:p>
        </w:tc>
        <w:tc>
          <w:tcPr>
            <w:tcW w:w="522" w:type="pct"/>
            <w:vMerge w:val="continue"/>
            <w:tcBorders>
              <w:tl2br w:val="nil"/>
              <w:tr2bl w:val="nil"/>
            </w:tcBorders>
            <w:vAlign w:val="center"/>
          </w:tcPr>
          <w:p w14:paraId="2D2D87C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7D93EDE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≤1.0</w:t>
            </w:r>
          </w:p>
        </w:tc>
      </w:tr>
      <w:tr w14:paraId="13FC60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2E1548E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259C638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2B0782A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总氮</w:t>
            </w:r>
          </w:p>
        </w:tc>
        <w:tc>
          <w:tcPr>
            <w:tcW w:w="522" w:type="pct"/>
            <w:vMerge w:val="continue"/>
            <w:tcBorders>
              <w:tl2br w:val="nil"/>
              <w:tr2bl w:val="nil"/>
            </w:tcBorders>
            <w:vAlign w:val="center"/>
          </w:tcPr>
          <w:p w14:paraId="2E70400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0148A9B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≤1.0</w:t>
            </w:r>
          </w:p>
        </w:tc>
      </w:tr>
      <w:tr w14:paraId="7C46CF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23ED681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1CD1DD9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7A94E14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总磷</w:t>
            </w:r>
          </w:p>
        </w:tc>
        <w:tc>
          <w:tcPr>
            <w:tcW w:w="522" w:type="pct"/>
            <w:vMerge w:val="continue"/>
            <w:tcBorders>
              <w:tl2br w:val="nil"/>
              <w:tr2bl w:val="nil"/>
            </w:tcBorders>
            <w:vAlign w:val="center"/>
          </w:tcPr>
          <w:p w14:paraId="09431D3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77EFB98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≤0.2</w:t>
            </w:r>
          </w:p>
        </w:tc>
      </w:tr>
    </w:tbl>
    <w:p w14:paraId="466597CA">
      <w:pPr>
        <w:rPr>
          <w:rFonts w:hint="eastAsia"/>
          <w:color w:val="auto"/>
          <w:highlight w:val="none"/>
        </w:rPr>
      </w:pPr>
    </w:p>
    <w:p w14:paraId="6AE771C9">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8.1.3地下水</w:t>
      </w:r>
    </w:p>
    <w:p w14:paraId="75F45823">
      <w:pPr>
        <w:spacing w:line="480" w:lineRule="exact"/>
        <w:ind w:firstLine="539"/>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地下水质量标准执行《地下水质量标准》（GB/T14848-</w:t>
      </w:r>
      <w:r>
        <w:rPr>
          <w:rFonts w:hint="eastAsia" w:asciiTheme="minorEastAsia" w:hAnsiTheme="minorEastAsia" w:eastAsiaTheme="minorEastAsia" w:cstheme="minorEastAsia"/>
          <w:color w:val="auto"/>
          <w:sz w:val="24"/>
          <w:highlight w:val="none"/>
          <w:lang w:val="en-US" w:eastAsia="zh-CN"/>
        </w:rPr>
        <w:t>2017</w:t>
      </w:r>
      <w:r>
        <w:rPr>
          <w:rFonts w:hint="eastAsia" w:asciiTheme="minorEastAsia" w:hAnsiTheme="minorEastAsia" w:eastAsiaTheme="minorEastAsia" w:cstheme="minorEastAsia"/>
          <w:color w:val="auto"/>
          <w:sz w:val="24"/>
          <w:highlight w:val="none"/>
        </w:rPr>
        <w:t>）中的Ⅲ类标准。</w:t>
      </w:r>
    </w:p>
    <w:p w14:paraId="2B789911">
      <w:pPr>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color w:val="auto"/>
          <w:sz w:val="24"/>
          <w:highlight w:val="none"/>
        </w:rPr>
        <w:t>表2.</w:t>
      </w:r>
      <w:r>
        <w:rPr>
          <w:rFonts w:hint="eastAsia" w:asciiTheme="minorEastAsia" w:hAnsiTheme="minorEastAsia" w:eastAsiaTheme="minorEastAsia" w:cstheme="minorEastAsia"/>
          <w:b/>
          <w:color w:val="auto"/>
          <w:sz w:val="24"/>
          <w:highlight w:val="none"/>
          <w:lang w:val="en-US" w:eastAsia="zh-CN"/>
        </w:rPr>
        <w:t>8</w:t>
      </w:r>
      <w:r>
        <w:rPr>
          <w:rFonts w:hint="eastAsia" w:asciiTheme="minorEastAsia" w:hAnsiTheme="minorEastAsia" w:eastAsiaTheme="minorEastAsia" w:cstheme="minorEastAsia"/>
          <w:b/>
          <w:color w:val="auto"/>
          <w:sz w:val="24"/>
          <w:highlight w:val="none"/>
        </w:rPr>
        <w:t>-</w:t>
      </w:r>
      <w:r>
        <w:rPr>
          <w:rFonts w:hint="eastAsia" w:asciiTheme="minorEastAsia" w:hAnsiTheme="minorEastAsia" w:eastAsiaTheme="minorEastAsia" w:cstheme="minorEastAsia"/>
          <w:b/>
          <w:color w:val="auto"/>
          <w:sz w:val="24"/>
          <w:highlight w:val="none"/>
          <w:lang w:val="en-US" w:eastAsia="zh-CN"/>
        </w:rPr>
        <w:t>3</w:t>
      </w:r>
      <w:r>
        <w:rPr>
          <w:rFonts w:hint="eastAsia" w:asciiTheme="minorEastAsia" w:hAnsiTheme="minorEastAsia" w:eastAsiaTheme="minorEastAsia" w:cstheme="minorEastAsia"/>
          <w:b/>
          <w:color w:val="auto"/>
          <w:sz w:val="24"/>
          <w:highlight w:val="none"/>
        </w:rPr>
        <w:t xml:space="preserve">  《地下水质量标准》（GB/T14848-2017）</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21"/>
        <w:gridCol w:w="2508"/>
        <w:gridCol w:w="1835"/>
        <w:gridCol w:w="890"/>
        <w:gridCol w:w="2268"/>
      </w:tblGrid>
      <w:tr w14:paraId="048AEA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tcBorders>
              <w:tl2br w:val="nil"/>
              <w:tr2bl w:val="nil"/>
            </w:tcBorders>
            <w:shd w:val="clear" w:color="auto" w:fill="auto"/>
            <w:vAlign w:val="center"/>
          </w:tcPr>
          <w:p w14:paraId="18C2A27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环境</w:t>
            </w:r>
          </w:p>
          <w:p w14:paraId="4B26DCC2">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要素</w:t>
            </w:r>
          </w:p>
        </w:tc>
        <w:tc>
          <w:tcPr>
            <w:tcW w:w="1471" w:type="pct"/>
            <w:tcBorders>
              <w:tl2br w:val="nil"/>
              <w:tr2bl w:val="nil"/>
            </w:tcBorders>
            <w:shd w:val="clear" w:color="auto" w:fill="auto"/>
            <w:vAlign w:val="center"/>
          </w:tcPr>
          <w:p w14:paraId="1D8E529C">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标准名称及级别</w:t>
            </w:r>
          </w:p>
        </w:tc>
        <w:tc>
          <w:tcPr>
            <w:tcW w:w="1076" w:type="pct"/>
            <w:tcBorders>
              <w:tl2br w:val="nil"/>
              <w:tr2bl w:val="nil"/>
            </w:tcBorders>
            <w:shd w:val="clear" w:color="auto" w:fill="auto"/>
            <w:vAlign w:val="center"/>
          </w:tcPr>
          <w:p w14:paraId="2DF33A33">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项目</w:t>
            </w:r>
          </w:p>
        </w:tc>
        <w:tc>
          <w:tcPr>
            <w:tcW w:w="522" w:type="pct"/>
            <w:tcBorders>
              <w:tl2br w:val="nil"/>
              <w:tr2bl w:val="nil"/>
            </w:tcBorders>
            <w:shd w:val="clear" w:color="auto" w:fill="auto"/>
            <w:vAlign w:val="center"/>
          </w:tcPr>
          <w:p w14:paraId="638E8182">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单位</w:t>
            </w:r>
          </w:p>
        </w:tc>
        <w:tc>
          <w:tcPr>
            <w:tcW w:w="1330" w:type="pct"/>
            <w:tcBorders>
              <w:tl2br w:val="nil"/>
              <w:tr2bl w:val="nil"/>
            </w:tcBorders>
            <w:shd w:val="clear" w:color="auto" w:fill="auto"/>
            <w:vAlign w:val="center"/>
          </w:tcPr>
          <w:p w14:paraId="27834415">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限值</w:t>
            </w:r>
          </w:p>
        </w:tc>
      </w:tr>
      <w:tr w14:paraId="0DDA31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restart"/>
            <w:tcBorders>
              <w:tl2br w:val="nil"/>
              <w:tr2bl w:val="nil"/>
            </w:tcBorders>
            <w:shd w:val="clear" w:color="auto" w:fill="auto"/>
            <w:vAlign w:val="center"/>
          </w:tcPr>
          <w:p w14:paraId="4445563D">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地下水</w:t>
            </w:r>
          </w:p>
        </w:tc>
        <w:tc>
          <w:tcPr>
            <w:tcW w:w="1471" w:type="pct"/>
            <w:vMerge w:val="restart"/>
            <w:tcBorders>
              <w:tl2br w:val="nil"/>
              <w:tr2bl w:val="nil"/>
            </w:tcBorders>
            <w:shd w:val="clear" w:color="auto" w:fill="auto"/>
            <w:vAlign w:val="center"/>
          </w:tcPr>
          <w:p w14:paraId="175B889E">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《地下水质量标准》（GB/T14848-2017）中Ⅲ类标准</w:t>
            </w:r>
          </w:p>
        </w:tc>
        <w:tc>
          <w:tcPr>
            <w:tcW w:w="1076" w:type="pct"/>
            <w:tcBorders>
              <w:tl2br w:val="nil"/>
              <w:tr2bl w:val="nil"/>
            </w:tcBorders>
            <w:shd w:val="clear" w:color="auto" w:fill="auto"/>
            <w:vAlign w:val="center"/>
          </w:tcPr>
          <w:p w14:paraId="177965FE">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pH</w:t>
            </w:r>
          </w:p>
        </w:tc>
        <w:tc>
          <w:tcPr>
            <w:tcW w:w="522" w:type="pct"/>
            <w:tcBorders>
              <w:tl2br w:val="nil"/>
              <w:tr2bl w:val="nil"/>
            </w:tcBorders>
            <w:shd w:val="clear" w:color="auto" w:fill="auto"/>
            <w:vAlign w:val="center"/>
          </w:tcPr>
          <w:p w14:paraId="21971E5B">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无量纲</w:t>
            </w:r>
          </w:p>
        </w:tc>
        <w:tc>
          <w:tcPr>
            <w:tcW w:w="1330" w:type="pct"/>
            <w:tcBorders>
              <w:tl2br w:val="nil"/>
              <w:tr2bl w:val="nil"/>
            </w:tcBorders>
            <w:shd w:val="clear" w:color="auto" w:fill="auto"/>
            <w:vAlign w:val="center"/>
          </w:tcPr>
          <w:p w14:paraId="45964C87">
            <w:pPr>
              <w:keepNext w:val="0"/>
              <w:keepLines w:val="0"/>
              <w:suppressLineNumbers w:val="0"/>
              <w:bidi w:val="0"/>
              <w:spacing w:before="0" w:beforeAutospacing="0" w:after="0" w:afterAutospacing="0"/>
              <w:ind w:left="0" w:leftChars="0" w:right="0"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6.5～8.5</w:t>
            </w:r>
          </w:p>
        </w:tc>
      </w:tr>
      <w:tr w14:paraId="40E43B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356EDE7A">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4D201D4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78C9378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硝酸盐</w:t>
            </w:r>
          </w:p>
        </w:tc>
        <w:tc>
          <w:tcPr>
            <w:tcW w:w="522" w:type="pct"/>
            <w:vMerge w:val="restart"/>
            <w:tcBorders>
              <w:tl2br w:val="nil"/>
              <w:tr2bl w:val="nil"/>
            </w:tcBorders>
            <w:vAlign w:val="center"/>
          </w:tcPr>
          <w:p w14:paraId="1191B2B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mg/L</w:t>
            </w:r>
          </w:p>
        </w:tc>
        <w:tc>
          <w:tcPr>
            <w:tcW w:w="1330" w:type="pct"/>
            <w:tcBorders>
              <w:tl2br w:val="nil"/>
              <w:tr2bl w:val="nil"/>
            </w:tcBorders>
            <w:vAlign w:val="center"/>
          </w:tcPr>
          <w:p w14:paraId="7422E6F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≤20.0</w:t>
            </w:r>
          </w:p>
        </w:tc>
      </w:tr>
      <w:tr w14:paraId="7DE52E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4B2D53D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1E27511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0C845B1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氰化物</w:t>
            </w:r>
          </w:p>
        </w:tc>
        <w:tc>
          <w:tcPr>
            <w:tcW w:w="522" w:type="pct"/>
            <w:vMerge w:val="continue"/>
            <w:tcBorders>
              <w:tl2br w:val="nil"/>
              <w:tr2bl w:val="nil"/>
            </w:tcBorders>
            <w:vAlign w:val="center"/>
          </w:tcPr>
          <w:p w14:paraId="2EC3A9A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1ACEA16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≤0.05</w:t>
            </w:r>
          </w:p>
        </w:tc>
      </w:tr>
      <w:tr w14:paraId="03AE7A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626F121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1AE7B14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03008AD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氨氮</w:t>
            </w:r>
          </w:p>
        </w:tc>
        <w:tc>
          <w:tcPr>
            <w:tcW w:w="522" w:type="pct"/>
            <w:vMerge w:val="continue"/>
            <w:tcBorders>
              <w:tl2br w:val="nil"/>
              <w:tr2bl w:val="nil"/>
            </w:tcBorders>
            <w:vAlign w:val="center"/>
          </w:tcPr>
          <w:p w14:paraId="1FDCD53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516430C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≤0.5</w:t>
            </w:r>
          </w:p>
        </w:tc>
      </w:tr>
      <w:tr w14:paraId="6F96A9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4230E81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4C2A983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38211DA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挥发性酚类</w:t>
            </w:r>
          </w:p>
        </w:tc>
        <w:tc>
          <w:tcPr>
            <w:tcW w:w="522" w:type="pct"/>
            <w:vMerge w:val="continue"/>
            <w:tcBorders>
              <w:tl2br w:val="nil"/>
              <w:tr2bl w:val="nil"/>
            </w:tcBorders>
            <w:vAlign w:val="center"/>
          </w:tcPr>
          <w:p w14:paraId="1676700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732225B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≤0.002</w:t>
            </w:r>
          </w:p>
        </w:tc>
      </w:tr>
      <w:tr w14:paraId="3F4B77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12BBB00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530C2D7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0494C91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汞</w:t>
            </w:r>
          </w:p>
        </w:tc>
        <w:tc>
          <w:tcPr>
            <w:tcW w:w="522" w:type="pct"/>
            <w:vMerge w:val="continue"/>
            <w:tcBorders>
              <w:tl2br w:val="nil"/>
              <w:tr2bl w:val="nil"/>
            </w:tcBorders>
            <w:vAlign w:val="center"/>
          </w:tcPr>
          <w:p w14:paraId="503157F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1694F26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≤0.001</w:t>
            </w:r>
          </w:p>
        </w:tc>
      </w:tr>
      <w:tr w14:paraId="570756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2A2E578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00CDCC4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1995B8B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锰</w:t>
            </w:r>
          </w:p>
        </w:tc>
        <w:tc>
          <w:tcPr>
            <w:tcW w:w="522" w:type="pct"/>
            <w:vMerge w:val="continue"/>
            <w:tcBorders>
              <w:tl2br w:val="nil"/>
              <w:tr2bl w:val="nil"/>
            </w:tcBorders>
            <w:vAlign w:val="center"/>
          </w:tcPr>
          <w:p w14:paraId="4A110D4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7B200A2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≤0.1</w:t>
            </w:r>
          </w:p>
        </w:tc>
      </w:tr>
      <w:tr w14:paraId="4C4F3A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529013B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19E480D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6B794B1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耗氧量</w:t>
            </w:r>
          </w:p>
        </w:tc>
        <w:tc>
          <w:tcPr>
            <w:tcW w:w="522" w:type="pct"/>
            <w:vMerge w:val="continue"/>
            <w:tcBorders>
              <w:tl2br w:val="nil"/>
              <w:tr2bl w:val="nil"/>
            </w:tcBorders>
            <w:vAlign w:val="center"/>
          </w:tcPr>
          <w:p w14:paraId="68C325D6">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7E40B13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≤3.0</w:t>
            </w:r>
          </w:p>
        </w:tc>
      </w:tr>
      <w:tr w14:paraId="61F68B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6C75C55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5F7A4B5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680D41DA">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砷</w:t>
            </w:r>
          </w:p>
        </w:tc>
        <w:tc>
          <w:tcPr>
            <w:tcW w:w="522" w:type="pct"/>
            <w:vMerge w:val="continue"/>
            <w:tcBorders>
              <w:tl2br w:val="nil"/>
              <w:tr2bl w:val="nil"/>
            </w:tcBorders>
            <w:vAlign w:val="center"/>
          </w:tcPr>
          <w:p w14:paraId="2C03ADA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2AAF3C2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≤0.01</w:t>
            </w:r>
          </w:p>
        </w:tc>
      </w:tr>
      <w:tr w14:paraId="7CB33E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39AD2EEA">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3487431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52AAC19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铁</w:t>
            </w:r>
          </w:p>
        </w:tc>
        <w:tc>
          <w:tcPr>
            <w:tcW w:w="522" w:type="pct"/>
            <w:vMerge w:val="continue"/>
            <w:tcBorders>
              <w:tl2br w:val="nil"/>
              <w:tr2bl w:val="nil"/>
            </w:tcBorders>
            <w:vAlign w:val="center"/>
          </w:tcPr>
          <w:p w14:paraId="556EF67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2EBBC23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≤0.3</w:t>
            </w:r>
          </w:p>
        </w:tc>
      </w:tr>
      <w:tr w14:paraId="6D0D84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78315A4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1EBC458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57CD13F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铬（六价）</w:t>
            </w:r>
          </w:p>
        </w:tc>
        <w:tc>
          <w:tcPr>
            <w:tcW w:w="522" w:type="pct"/>
            <w:vMerge w:val="continue"/>
            <w:tcBorders>
              <w:tl2br w:val="nil"/>
              <w:tr2bl w:val="nil"/>
            </w:tcBorders>
            <w:vAlign w:val="center"/>
          </w:tcPr>
          <w:p w14:paraId="16ECEEC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002D999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≤0.05</w:t>
            </w:r>
          </w:p>
        </w:tc>
      </w:tr>
      <w:tr w14:paraId="1F81E4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5182CD2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58DF816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0FADF2F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氯化物</w:t>
            </w:r>
          </w:p>
        </w:tc>
        <w:tc>
          <w:tcPr>
            <w:tcW w:w="522" w:type="pct"/>
            <w:vMerge w:val="continue"/>
            <w:tcBorders>
              <w:tl2br w:val="nil"/>
              <w:tr2bl w:val="nil"/>
            </w:tcBorders>
            <w:vAlign w:val="center"/>
          </w:tcPr>
          <w:p w14:paraId="4D0FB95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12B2A75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≤250</w:t>
            </w:r>
          </w:p>
        </w:tc>
      </w:tr>
      <w:tr w14:paraId="1327F1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2BAB107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0EFC47F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67EF053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硫酸盐</w:t>
            </w:r>
          </w:p>
        </w:tc>
        <w:tc>
          <w:tcPr>
            <w:tcW w:w="522" w:type="pct"/>
            <w:vMerge w:val="continue"/>
            <w:tcBorders>
              <w:tl2br w:val="nil"/>
              <w:tr2bl w:val="nil"/>
            </w:tcBorders>
            <w:vAlign w:val="center"/>
          </w:tcPr>
          <w:p w14:paraId="14ACBB2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6134137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≤250</w:t>
            </w:r>
          </w:p>
        </w:tc>
      </w:tr>
      <w:tr w14:paraId="4D8027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755784F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30F82C2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2F8BC3BA">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亚硝酸盐</w:t>
            </w:r>
          </w:p>
        </w:tc>
        <w:tc>
          <w:tcPr>
            <w:tcW w:w="522" w:type="pct"/>
            <w:vMerge w:val="continue"/>
            <w:tcBorders>
              <w:tl2br w:val="nil"/>
              <w:tr2bl w:val="nil"/>
            </w:tcBorders>
            <w:vAlign w:val="center"/>
          </w:tcPr>
          <w:p w14:paraId="500381A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38825B9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≤1.00</w:t>
            </w:r>
          </w:p>
        </w:tc>
      </w:tr>
      <w:tr w14:paraId="08151A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3B18771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38EC60F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26673AC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氟化物</w:t>
            </w:r>
          </w:p>
        </w:tc>
        <w:tc>
          <w:tcPr>
            <w:tcW w:w="522" w:type="pct"/>
            <w:vMerge w:val="continue"/>
            <w:tcBorders>
              <w:tl2br w:val="nil"/>
              <w:tr2bl w:val="nil"/>
            </w:tcBorders>
            <w:vAlign w:val="center"/>
          </w:tcPr>
          <w:p w14:paraId="7DF5C1B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78E0E72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≤1.0</w:t>
            </w:r>
          </w:p>
        </w:tc>
      </w:tr>
      <w:tr w14:paraId="23537E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62DB869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2DCC4C1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6E48B30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总硬度</w:t>
            </w:r>
          </w:p>
        </w:tc>
        <w:tc>
          <w:tcPr>
            <w:tcW w:w="522" w:type="pct"/>
            <w:vMerge w:val="continue"/>
            <w:tcBorders>
              <w:tl2br w:val="nil"/>
              <w:tr2bl w:val="nil"/>
            </w:tcBorders>
            <w:vAlign w:val="center"/>
          </w:tcPr>
          <w:p w14:paraId="748F577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528BCC5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≤450</w:t>
            </w:r>
          </w:p>
        </w:tc>
      </w:tr>
      <w:tr w14:paraId="79662B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4456428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7EA7176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6CEE643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溶解性总固体</w:t>
            </w:r>
          </w:p>
        </w:tc>
        <w:tc>
          <w:tcPr>
            <w:tcW w:w="522" w:type="pct"/>
            <w:vMerge w:val="continue"/>
            <w:tcBorders>
              <w:tl2br w:val="nil"/>
              <w:tr2bl w:val="nil"/>
            </w:tcBorders>
            <w:vAlign w:val="center"/>
          </w:tcPr>
          <w:p w14:paraId="0FB4913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6E960AB2">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≤1000</w:t>
            </w:r>
          </w:p>
        </w:tc>
      </w:tr>
      <w:tr w14:paraId="650EB1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177C704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64C0931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594B38A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菌落总数</w:t>
            </w:r>
          </w:p>
        </w:tc>
        <w:tc>
          <w:tcPr>
            <w:tcW w:w="522" w:type="pct"/>
            <w:vMerge w:val="continue"/>
            <w:tcBorders>
              <w:tl2br w:val="nil"/>
              <w:tr2bl w:val="nil"/>
            </w:tcBorders>
            <w:vAlign w:val="center"/>
          </w:tcPr>
          <w:p w14:paraId="72F83C4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797F561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≤100</w:t>
            </w:r>
          </w:p>
        </w:tc>
      </w:tr>
      <w:tr w14:paraId="77DAAD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79DC475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13CEE0BE">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47B3CEF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铅</w:t>
            </w:r>
          </w:p>
        </w:tc>
        <w:tc>
          <w:tcPr>
            <w:tcW w:w="522" w:type="pct"/>
            <w:vMerge w:val="continue"/>
            <w:tcBorders>
              <w:tl2br w:val="nil"/>
              <w:tr2bl w:val="nil"/>
            </w:tcBorders>
            <w:vAlign w:val="center"/>
          </w:tcPr>
          <w:p w14:paraId="4F738EB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7BD6032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≤0.01</w:t>
            </w:r>
          </w:p>
        </w:tc>
      </w:tr>
      <w:tr w14:paraId="00771A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6EAB8BB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58B19A6C">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3C18FC6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镉</w:t>
            </w:r>
          </w:p>
        </w:tc>
        <w:tc>
          <w:tcPr>
            <w:tcW w:w="522" w:type="pct"/>
            <w:vMerge w:val="continue"/>
            <w:tcBorders>
              <w:tl2br w:val="nil"/>
              <w:tr2bl w:val="nil"/>
            </w:tcBorders>
            <w:vAlign w:val="center"/>
          </w:tcPr>
          <w:p w14:paraId="144789E7">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vAlign w:val="center"/>
          </w:tcPr>
          <w:p w14:paraId="16B0C7F4">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≤0.005</w:t>
            </w:r>
          </w:p>
        </w:tc>
      </w:tr>
      <w:tr w14:paraId="4DE9E5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72CBA09D">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092B72A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shd w:val="clear" w:color="auto" w:fill="auto"/>
            <w:vAlign w:val="center"/>
          </w:tcPr>
          <w:p w14:paraId="3FC15062">
            <w:pPr>
              <w:pStyle w:val="806"/>
              <w:keepNext w:val="0"/>
              <w:keepLines w:val="0"/>
              <w:pageBreakBefore w:val="0"/>
              <w:suppressLineNumbers w:val="0"/>
              <w:kinsoku/>
              <w:wordWrap/>
              <w:overflowPunct/>
              <w:topLinePunct w:val="0"/>
              <w:autoSpaceDE/>
              <w:autoSpaceDN/>
              <w:bidi w:val="0"/>
              <w:adjustRightInd/>
              <w:snapToGrid/>
              <w:spacing w:before="56" w:beforeAutospacing="0" w:after="0" w:afterAutospacing="0" w:line="240" w:lineRule="auto"/>
              <w:ind w:left="108" w:leftChars="0" w:right="101" w:rightChars="0" w:firstLine="0" w:firstLineChars="0"/>
              <w:jc w:val="center"/>
              <w:rPr>
                <w:rFonts w:hint="eastAsia" w:ascii="宋体" w:hAnsi="宋体" w:eastAsia="宋体" w:cs="宋体"/>
                <w:color w:val="auto"/>
                <w:kern w:val="0"/>
                <w:sz w:val="21"/>
                <w:szCs w:val="21"/>
                <w:highlight w:val="none"/>
                <w:lang w:val="en-US" w:eastAsia="en-US" w:bidi="ar"/>
              </w:rPr>
            </w:pPr>
            <w:r>
              <w:rPr>
                <w:rFonts w:hint="eastAsia" w:hAnsi="宋体" w:cs="宋体"/>
                <w:color w:val="auto"/>
                <w:sz w:val="21"/>
                <w:szCs w:val="21"/>
                <w:highlight w:val="none"/>
              </w:rPr>
              <w:t>硒</w:t>
            </w:r>
          </w:p>
        </w:tc>
        <w:tc>
          <w:tcPr>
            <w:tcW w:w="522" w:type="pct"/>
            <w:vMerge w:val="continue"/>
            <w:tcBorders>
              <w:tl2br w:val="nil"/>
              <w:tr2bl w:val="nil"/>
            </w:tcBorders>
            <w:vAlign w:val="center"/>
          </w:tcPr>
          <w:p w14:paraId="1CFAB808">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shd w:val="clear" w:color="auto" w:fill="auto"/>
            <w:vAlign w:val="center"/>
          </w:tcPr>
          <w:p w14:paraId="7D83FD4A">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宋体" w:hAnsi="Times New Roman" w:eastAsia="仿宋" w:cs="Times New Roman"/>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≤0.01</w:t>
            </w:r>
          </w:p>
        </w:tc>
      </w:tr>
      <w:tr w14:paraId="54DC64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6B99A911">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5F881A4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shd w:val="clear" w:color="auto" w:fill="auto"/>
            <w:vAlign w:val="center"/>
          </w:tcPr>
          <w:p w14:paraId="394FDFC0">
            <w:pPr>
              <w:pStyle w:val="806"/>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宋体" w:hAnsi="宋体" w:eastAsia="宋体" w:cs="宋体"/>
                <w:color w:val="auto"/>
                <w:kern w:val="0"/>
                <w:sz w:val="21"/>
                <w:szCs w:val="21"/>
                <w:highlight w:val="none"/>
                <w:lang w:val="en-US" w:eastAsia="en-US" w:bidi="ar"/>
              </w:rPr>
            </w:pPr>
            <w:r>
              <w:rPr>
                <w:rFonts w:hint="eastAsia" w:hAnsi="宋体" w:cs="宋体"/>
                <w:color w:val="auto"/>
                <w:sz w:val="21"/>
                <w:szCs w:val="21"/>
                <w:highlight w:val="none"/>
              </w:rPr>
              <w:t>铜</w:t>
            </w:r>
          </w:p>
        </w:tc>
        <w:tc>
          <w:tcPr>
            <w:tcW w:w="522" w:type="pct"/>
            <w:vMerge w:val="continue"/>
            <w:tcBorders>
              <w:tl2br w:val="nil"/>
              <w:tr2bl w:val="nil"/>
            </w:tcBorders>
            <w:vAlign w:val="center"/>
          </w:tcPr>
          <w:p w14:paraId="21F6CE5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shd w:val="clear" w:color="auto" w:fill="auto"/>
            <w:vAlign w:val="center"/>
          </w:tcPr>
          <w:p w14:paraId="55C7069D">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宋体" w:hAnsi="Times New Roman" w:eastAsia="仿宋" w:cs="Times New Roman"/>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w:t>
            </w:r>
            <w:r>
              <w:rPr>
                <w:rFonts w:hint="eastAsia" w:eastAsia="仿宋"/>
                <w:color w:val="auto"/>
                <w:sz w:val="21"/>
                <w:szCs w:val="21"/>
                <w:highlight w:val="none"/>
                <w:lang w:val="en-US" w:eastAsia="zh-CN"/>
              </w:rPr>
              <w:t>1.00</w:t>
            </w:r>
          </w:p>
        </w:tc>
      </w:tr>
      <w:tr w14:paraId="2ECCDE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7D4AB29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719CA4B3">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shd w:val="clear" w:color="auto" w:fill="auto"/>
            <w:vAlign w:val="center"/>
          </w:tcPr>
          <w:p w14:paraId="26F0FF35">
            <w:pPr>
              <w:pStyle w:val="806"/>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eastAsia" w:ascii="宋体" w:hAnsi="宋体" w:eastAsia="宋体" w:cs="宋体"/>
                <w:color w:val="auto"/>
                <w:kern w:val="0"/>
                <w:sz w:val="21"/>
                <w:szCs w:val="21"/>
                <w:highlight w:val="none"/>
                <w:lang w:val="en-US" w:eastAsia="en-US" w:bidi="ar"/>
              </w:rPr>
            </w:pPr>
            <w:r>
              <w:rPr>
                <w:rFonts w:hint="eastAsia" w:hAnsi="宋体" w:cs="宋体"/>
                <w:color w:val="auto"/>
                <w:sz w:val="21"/>
                <w:szCs w:val="21"/>
                <w:highlight w:val="none"/>
              </w:rPr>
              <w:t>锌</w:t>
            </w:r>
          </w:p>
        </w:tc>
        <w:tc>
          <w:tcPr>
            <w:tcW w:w="522" w:type="pct"/>
            <w:vMerge w:val="continue"/>
            <w:tcBorders>
              <w:tl2br w:val="nil"/>
              <w:tr2bl w:val="nil"/>
            </w:tcBorders>
            <w:vAlign w:val="center"/>
          </w:tcPr>
          <w:p w14:paraId="3B2D0CA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330" w:type="pct"/>
            <w:tcBorders>
              <w:tl2br w:val="nil"/>
              <w:tr2bl w:val="nil"/>
            </w:tcBorders>
            <w:shd w:val="clear" w:color="auto" w:fill="auto"/>
            <w:vAlign w:val="center"/>
          </w:tcPr>
          <w:p w14:paraId="64697C66">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宋体" w:hAnsi="Times New Roman" w:eastAsia="仿宋" w:cs="Times New Roman"/>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w:t>
            </w:r>
            <w:r>
              <w:rPr>
                <w:rFonts w:hint="eastAsia" w:eastAsia="仿宋"/>
                <w:color w:val="auto"/>
                <w:sz w:val="21"/>
                <w:szCs w:val="21"/>
                <w:highlight w:val="none"/>
                <w:lang w:val="en-US" w:eastAsia="zh-CN"/>
              </w:rPr>
              <w:t>1.00</w:t>
            </w:r>
          </w:p>
        </w:tc>
      </w:tr>
      <w:tr w14:paraId="3847F6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99" w:type="pct"/>
            <w:vMerge w:val="continue"/>
            <w:tcBorders>
              <w:tl2br w:val="nil"/>
              <w:tr2bl w:val="nil"/>
            </w:tcBorders>
            <w:vAlign w:val="center"/>
          </w:tcPr>
          <w:p w14:paraId="586718B9">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471" w:type="pct"/>
            <w:vMerge w:val="continue"/>
            <w:tcBorders>
              <w:tl2br w:val="nil"/>
              <w:tr2bl w:val="nil"/>
            </w:tcBorders>
            <w:vAlign w:val="center"/>
          </w:tcPr>
          <w:p w14:paraId="3C350515">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p>
        </w:tc>
        <w:tc>
          <w:tcPr>
            <w:tcW w:w="1076" w:type="pct"/>
            <w:tcBorders>
              <w:tl2br w:val="nil"/>
              <w:tr2bl w:val="nil"/>
            </w:tcBorders>
            <w:vAlign w:val="center"/>
          </w:tcPr>
          <w:p w14:paraId="6BAB32CB">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大肠菌群数</w:t>
            </w:r>
          </w:p>
        </w:tc>
        <w:tc>
          <w:tcPr>
            <w:tcW w:w="522" w:type="pct"/>
            <w:tcBorders>
              <w:tl2br w:val="nil"/>
              <w:tr2bl w:val="nil"/>
            </w:tcBorders>
            <w:vAlign w:val="center"/>
          </w:tcPr>
          <w:p w14:paraId="1800CFFF">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个/L</w:t>
            </w:r>
          </w:p>
        </w:tc>
        <w:tc>
          <w:tcPr>
            <w:tcW w:w="1330" w:type="pct"/>
            <w:tcBorders>
              <w:tl2br w:val="nil"/>
              <w:tr2bl w:val="nil"/>
            </w:tcBorders>
            <w:vAlign w:val="center"/>
          </w:tcPr>
          <w:p w14:paraId="51B3C620">
            <w:pPr>
              <w:keepNext w:val="0"/>
              <w:keepLines w:val="0"/>
              <w:suppressLineNumbers w:val="0"/>
              <w:bidi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≤3.0</w:t>
            </w:r>
          </w:p>
        </w:tc>
      </w:tr>
    </w:tbl>
    <w:p w14:paraId="7BC186B3">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8.1.4 声环境</w:t>
      </w:r>
    </w:p>
    <w:p w14:paraId="3096F343">
      <w:pPr>
        <w:spacing w:line="360" w:lineRule="auto"/>
        <w:ind w:firstLine="539"/>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rPr>
        <w:t>评价区域内</w:t>
      </w:r>
      <w:r>
        <w:rPr>
          <w:rFonts w:hint="eastAsia" w:asciiTheme="minorEastAsia" w:hAnsiTheme="minorEastAsia" w:eastAsiaTheme="minorEastAsia" w:cstheme="minorEastAsia"/>
          <w:color w:val="auto"/>
          <w:sz w:val="24"/>
          <w:highlight w:val="none"/>
          <w:lang w:eastAsia="zh-CN"/>
        </w:rPr>
        <w:t>声环境质量</w:t>
      </w:r>
      <w:r>
        <w:rPr>
          <w:rFonts w:hint="eastAsia" w:asciiTheme="minorEastAsia" w:hAnsiTheme="minorEastAsia" w:eastAsiaTheme="minorEastAsia" w:cstheme="minorEastAsia"/>
          <w:color w:val="auto"/>
          <w:sz w:val="24"/>
          <w:highlight w:val="none"/>
        </w:rPr>
        <w:t>执行《声环境质量标准》（GB3096-2008）中的</w:t>
      </w:r>
      <w:r>
        <w:rPr>
          <w:rFonts w:hint="eastAsia" w:asciiTheme="minorEastAsia" w:hAnsiTheme="minorEastAsia" w:eastAsiaTheme="minorEastAsia" w:cstheme="minorEastAsia"/>
          <w:color w:val="auto"/>
          <w:sz w:val="24"/>
          <w:highlight w:val="none"/>
          <w:lang w:val="en-US" w:eastAsia="zh-CN"/>
        </w:rPr>
        <w:t>1</w:t>
      </w:r>
      <w:r>
        <w:rPr>
          <w:rFonts w:hint="eastAsia" w:asciiTheme="minorEastAsia" w:hAnsiTheme="minorEastAsia" w:eastAsiaTheme="minorEastAsia" w:cstheme="minorEastAsia"/>
          <w:color w:val="auto"/>
          <w:sz w:val="24"/>
          <w:highlight w:val="none"/>
        </w:rPr>
        <w:t>类标准</w:t>
      </w:r>
      <w:r>
        <w:rPr>
          <w:rFonts w:hint="eastAsia" w:asciiTheme="minorEastAsia" w:hAnsiTheme="minorEastAsia" w:eastAsiaTheme="minorEastAsia" w:cstheme="minorEastAsia"/>
          <w:color w:val="auto"/>
          <w:sz w:val="24"/>
          <w:highlight w:val="none"/>
          <w:lang w:eastAsia="zh-CN"/>
        </w:rPr>
        <w:t>。</w:t>
      </w:r>
    </w:p>
    <w:p w14:paraId="03C5686A">
      <w:pPr>
        <w:ind w:firstLine="602" w:firstLineChars="250"/>
        <w:jc w:val="center"/>
        <w:rPr>
          <w:rFonts w:hint="eastAsia"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表2.</w:t>
      </w:r>
      <w:r>
        <w:rPr>
          <w:rFonts w:hint="eastAsia" w:asciiTheme="minorEastAsia" w:hAnsiTheme="minorEastAsia" w:eastAsiaTheme="minorEastAsia" w:cstheme="minorEastAsia"/>
          <w:b/>
          <w:color w:val="auto"/>
          <w:sz w:val="24"/>
          <w:highlight w:val="none"/>
          <w:lang w:val="en-US" w:eastAsia="zh-CN"/>
        </w:rPr>
        <w:t>8</w:t>
      </w:r>
      <w:r>
        <w:rPr>
          <w:rFonts w:hint="eastAsia" w:asciiTheme="minorEastAsia" w:hAnsiTheme="minorEastAsia" w:eastAsiaTheme="minorEastAsia" w:cstheme="minorEastAsia"/>
          <w:b/>
          <w:color w:val="auto"/>
          <w:sz w:val="24"/>
          <w:highlight w:val="none"/>
        </w:rPr>
        <w:t>-4   《声环境质量标准》（GB3096-2008）中的</w:t>
      </w:r>
      <w:r>
        <w:rPr>
          <w:rFonts w:hint="eastAsia" w:asciiTheme="minorEastAsia" w:hAnsiTheme="minorEastAsia" w:eastAsiaTheme="minorEastAsia" w:cstheme="minorEastAsia"/>
          <w:b/>
          <w:color w:val="auto"/>
          <w:sz w:val="24"/>
          <w:highlight w:val="none"/>
          <w:lang w:val="en-US" w:eastAsia="zh-CN"/>
        </w:rPr>
        <w:t>1</w:t>
      </w:r>
      <w:r>
        <w:rPr>
          <w:rFonts w:hint="eastAsia" w:asciiTheme="minorEastAsia" w:hAnsiTheme="minorEastAsia" w:eastAsiaTheme="minorEastAsia" w:cstheme="minorEastAsia"/>
          <w:b/>
          <w:color w:val="auto"/>
          <w:sz w:val="24"/>
          <w:highlight w:val="none"/>
        </w:rPr>
        <w:t>类标准</w:t>
      </w:r>
    </w:p>
    <w:tbl>
      <w:tblPr>
        <w:tblStyle w:val="84"/>
        <w:tblW w:w="874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275"/>
        <w:gridCol w:w="1570"/>
        <w:gridCol w:w="2721"/>
        <w:gridCol w:w="2182"/>
      </w:tblGrid>
      <w:tr w14:paraId="2F587A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75" w:type="dxa"/>
            <w:vMerge w:val="restart"/>
            <w:noWrap w:val="0"/>
            <w:vAlign w:val="center"/>
          </w:tcPr>
          <w:p w14:paraId="227674A2">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声环境功能区类别</w:t>
            </w:r>
          </w:p>
        </w:tc>
        <w:tc>
          <w:tcPr>
            <w:tcW w:w="1570" w:type="dxa"/>
            <w:vMerge w:val="restart"/>
            <w:noWrap w:val="0"/>
            <w:vAlign w:val="center"/>
          </w:tcPr>
          <w:p w14:paraId="06BFD59F">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单位</w:t>
            </w:r>
          </w:p>
        </w:tc>
        <w:tc>
          <w:tcPr>
            <w:tcW w:w="4903" w:type="dxa"/>
            <w:gridSpan w:val="2"/>
            <w:noWrap w:val="0"/>
            <w:vAlign w:val="center"/>
          </w:tcPr>
          <w:p w14:paraId="744D9A4A">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时    段</w:t>
            </w:r>
          </w:p>
        </w:tc>
      </w:tr>
      <w:tr w14:paraId="5E3047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75" w:type="dxa"/>
            <w:vMerge w:val="continue"/>
            <w:noWrap w:val="0"/>
            <w:vAlign w:val="center"/>
          </w:tcPr>
          <w:p w14:paraId="744038DF">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1570" w:type="dxa"/>
            <w:vMerge w:val="continue"/>
            <w:noWrap w:val="0"/>
            <w:vAlign w:val="center"/>
          </w:tcPr>
          <w:p w14:paraId="6DCC1AD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2721" w:type="dxa"/>
            <w:noWrap w:val="0"/>
            <w:vAlign w:val="center"/>
          </w:tcPr>
          <w:p w14:paraId="0B061BC1">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昼间</w:t>
            </w:r>
          </w:p>
        </w:tc>
        <w:tc>
          <w:tcPr>
            <w:tcW w:w="2182" w:type="dxa"/>
            <w:noWrap w:val="0"/>
            <w:vAlign w:val="center"/>
          </w:tcPr>
          <w:p w14:paraId="5C06A960">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夜间</w:t>
            </w:r>
          </w:p>
        </w:tc>
      </w:tr>
      <w:tr w14:paraId="475064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75" w:type="dxa"/>
            <w:noWrap w:val="0"/>
            <w:vAlign w:val="center"/>
          </w:tcPr>
          <w:p w14:paraId="322EAFC6">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lang w:val="en-US" w:eastAsia="zh-CN"/>
              </w:rPr>
              <w:t>1</w:t>
            </w:r>
            <w:r>
              <w:rPr>
                <w:rFonts w:hint="eastAsia" w:asciiTheme="minorEastAsia" w:hAnsiTheme="minorEastAsia" w:eastAsiaTheme="minorEastAsia" w:cstheme="minorEastAsia"/>
                <w:bCs/>
                <w:color w:val="auto"/>
                <w:sz w:val="21"/>
                <w:szCs w:val="21"/>
                <w:highlight w:val="none"/>
              </w:rPr>
              <w:t>类</w:t>
            </w:r>
          </w:p>
        </w:tc>
        <w:tc>
          <w:tcPr>
            <w:tcW w:w="1570" w:type="dxa"/>
            <w:noWrap w:val="0"/>
            <w:vAlign w:val="center"/>
          </w:tcPr>
          <w:p w14:paraId="06EC4F6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color w:val="auto"/>
                <w:sz w:val="21"/>
                <w:szCs w:val="21"/>
                <w:highlight w:val="none"/>
              </w:rPr>
              <w:t>dB(A)</w:t>
            </w:r>
          </w:p>
        </w:tc>
        <w:tc>
          <w:tcPr>
            <w:tcW w:w="2721" w:type="dxa"/>
            <w:noWrap w:val="0"/>
            <w:vAlign w:val="center"/>
          </w:tcPr>
          <w:p w14:paraId="6B2BF2B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55</w:t>
            </w:r>
          </w:p>
        </w:tc>
        <w:tc>
          <w:tcPr>
            <w:tcW w:w="2182" w:type="dxa"/>
            <w:noWrap w:val="0"/>
            <w:vAlign w:val="center"/>
          </w:tcPr>
          <w:p w14:paraId="6703B6CF">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45</w:t>
            </w:r>
          </w:p>
        </w:tc>
      </w:tr>
    </w:tbl>
    <w:p w14:paraId="2B4D58EF">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8.1.5土壤环境</w:t>
      </w:r>
    </w:p>
    <w:p w14:paraId="4953F223">
      <w:pPr>
        <w:spacing w:line="360" w:lineRule="auto"/>
        <w:ind w:firstLine="539"/>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占地范围内执行《土壤环境质量  建设用地土壤污染风险管控标准(试行)》(GB36600-2018)表1第二类用地土壤污染风险筛选值，占地范围外执行《土壤环境质量 农用地土壤污染风险管控标准（试行）》（GB15618-2018）表1 农用地土壤污染风险筛选值。</w:t>
      </w:r>
    </w:p>
    <w:p w14:paraId="6B652802">
      <w:pPr>
        <w:ind w:firstLine="602" w:firstLineChars="250"/>
        <w:jc w:val="center"/>
        <w:rPr>
          <w:rFonts w:hint="eastAsia"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表2.</w:t>
      </w:r>
      <w:r>
        <w:rPr>
          <w:rFonts w:hint="eastAsia" w:asciiTheme="minorEastAsia" w:hAnsiTheme="minorEastAsia" w:eastAsiaTheme="minorEastAsia" w:cstheme="minorEastAsia"/>
          <w:b/>
          <w:color w:val="auto"/>
          <w:sz w:val="24"/>
          <w:highlight w:val="none"/>
          <w:lang w:val="en-US" w:eastAsia="zh-CN"/>
        </w:rPr>
        <w:t>8</w:t>
      </w:r>
      <w:r>
        <w:rPr>
          <w:rFonts w:hint="eastAsia" w:asciiTheme="minorEastAsia" w:hAnsiTheme="minorEastAsia" w:eastAsiaTheme="minorEastAsia" w:cstheme="minorEastAsia"/>
          <w:b/>
          <w:color w:val="auto"/>
          <w:sz w:val="24"/>
          <w:highlight w:val="none"/>
        </w:rPr>
        <w:t>-5   《土壤环境质量 建设用地土壤污染风险管控标准（试行）》</w:t>
      </w:r>
    </w:p>
    <w:tbl>
      <w:tblPr>
        <w:tblStyle w:val="84"/>
        <w:tblW w:w="9061"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207"/>
        <w:gridCol w:w="2322"/>
        <w:gridCol w:w="2323"/>
        <w:gridCol w:w="2209"/>
      </w:tblGrid>
      <w:tr w14:paraId="0A003C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vMerge w:val="restart"/>
            <w:noWrap w:val="0"/>
            <w:vAlign w:val="center"/>
          </w:tcPr>
          <w:p w14:paraId="212E0E4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序号</w:t>
            </w:r>
          </w:p>
        </w:tc>
        <w:tc>
          <w:tcPr>
            <w:tcW w:w="2322" w:type="dxa"/>
            <w:vMerge w:val="restart"/>
            <w:noWrap w:val="0"/>
            <w:vAlign w:val="center"/>
          </w:tcPr>
          <w:p w14:paraId="0E86AAC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污染物项目</w:t>
            </w:r>
          </w:p>
        </w:tc>
        <w:tc>
          <w:tcPr>
            <w:tcW w:w="4532" w:type="dxa"/>
            <w:gridSpan w:val="2"/>
            <w:noWrap w:val="0"/>
            <w:vAlign w:val="center"/>
          </w:tcPr>
          <w:p w14:paraId="516D6C4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第二类用地</w:t>
            </w:r>
          </w:p>
        </w:tc>
      </w:tr>
      <w:tr w14:paraId="59B575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vMerge w:val="continue"/>
            <w:noWrap w:val="0"/>
            <w:vAlign w:val="center"/>
          </w:tcPr>
          <w:p w14:paraId="2E72A61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p>
        </w:tc>
        <w:tc>
          <w:tcPr>
            <w:tcW w:w="2322" w:type="dxa"/>
            <w:vMerge w:val="continue"/>
            <w:noWrap w:val="0"/>
            <w:vAlign w:val="center"/>
          </w:tcPr>
          <w:p w14:paraId="75E0595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p>
        </w:tc>
        <w:tc>
          <w:tcPr>
            <w:tcW w:w="2323" w:type="dxa"/>
            <w:noWrap w:val="0"/>
            <w:vAlign w:val="center"/>
          </w:tcPr>
          <w:p w14:paraId="51F620A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筛选值（mg/kg）</w:t>
            </w:r>
          </w:p>
        </w:tc>
        <w:tc>
          <w:tcPr>
            <w:tcW w:w="2209" w:type="dxa"/>
            <w:noWrap w:val="0"/>
            <w:vAlign w:val="center"/>
          </w:tcPr>
          <w:p w14:paraId="535DF1B5">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管制值（mg/kg）</w:t>
            </w:r>
          </w:p>
        </w:tc>
      </w:tr>
      <w:tr w14:paraId="1F1C84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61" w:type="dxa"/>
            <w:gridSpan w:val="4"/>
            <w:noWrap w:val="0"/>
            <w:vAlign w:val="center"/>
          </w:tcPr>
          <w:p w14:paraId="3DCB0E33">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重金属和无机物</w:t>
            </w:r>
          </w:p>
        </w:tc>
      </w:tr>
      <w:tr w14:paraId="0FDF7B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1E684EF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w:t>
            </w:r>
          </w:p>
        </w:tc>
        <w:tc>
          <w:tcPr>
            <w:tcW w:w="2322" w:type="dxa"/>
            <w:noWrap w:val="0"/>
            <w:vAlign w:val="center"/>
          </w:tcPr>
          <w:p w14:paraId="5A137C2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砷</w:t>
            </w:r>
          </w:p>
        </w:tc>
        <w:tc>
          <w:tcPr>
            <w:tcW w:w="2323" w:type="dxa"/>
            <w:noWrap w:val="0"/>
            <w:vAlign w:val="center"/>
          </w:tcPr>
          <w:p w14:paraId="4FBD19C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60</w:t>
            </w:r>
          </w:p>
        </w:tc>
        <w:tc>
          <w:tcPr>
            <w:tcW w:w="2209" w:type="dxa"/>
            <w:noWrap w:val="0"/>
            <w:vAlign w:val="center"/>
          </w:tcPr>
          <w:p w14:paraId="4876D4AF">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140</w:t>
            </w:r>
          </w:p>
        </w:tc>
      </w:tr>
      <w:tr w14:paraId="283817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1D9717F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w:t>
            </w:r>
          </w:p>
        </w:tc>
        <w:tc>
          <w:tcPr>
            <w:tcW w:w="2322" w:type="dxa"/>
            <w:noWrap w:val="0"/>
            <w:vAlign w:val="center"/>
          </w:tcPr>
          <w:p w14:paraId="49032EE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镉</w:t>
            </w:r>
          </w:p>
        </w:tc>
        <w:tc>
          <w:tcPr>
            <w:tcW w:w="2323" w:type="dxa"/>
            <w:noWrap w:val="0"/>
            <w:vAlign w:val="center"/>
          </w:tcPr>
          <w:p w14:paraId="013D44D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65</w:t>
            </w:r>
          </w:p>
        </w:tc>
        <w:tc>
          <w:tcPr>
            <w:tcW w:w="2209" w:type="dxa"/>
            <w:noWrap w:val="0"/>
            <w:vAlign w:val="center"/>
          </w:tcPr>
          <w:p w14:paraId="7BEE2862">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172</w:t>
            </w:r>
          </w:p>
        </w:tc>
      </w:tr>
      <w:tr w14:paraId="755A26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57DE1445">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w:t>
            </w:r>
          </w:p>
        </w:tc>
        <w:tc>
          <w:tcPr>
            <w:tcW w:w="2322" w:type="dxa"/>
            <w:noWrap w:val="0"/>
            <w:vAlign w:val="center"/>
          </w:tcPr>
          <w:p w14:paraId="17AA98DC">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铬（六价）</w:t>
            </w:r>
          </w:p>
        </w:tc>
        <w:tc>
          <w:tcPr>
            <w:tcW w:w="2323" w:type="dxa"/>
            <w:noWrap w:val="0"/>
            <w:vAlign w:val="center"/>
          </w:tcPr>
          <w:p w14:paraId="40B3BE8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5.7</w:t>
            </w:r>
          </w:p>
        </w:tc>
        <w:tc>
          <w:tcPr>
            <w:tcW w:w="2209" w:type="dxa"/>
            <w:noWrap w:val="0"/>
            <w:vAlign w:val="center"/>
          </w:tcPr>
          <w:p w14:paraId="748F912C">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78</w:t>
            </w:r>
          </w:p>
        </w:tc>
      </w:tr>
      <w:tr w14:paraId="1DC7E1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06A783E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w:t>
            </w:r>
          </w:p>
        </w:tc>
        <w:tc>
          <w:tcPr>
            <w:tcW w:w="2322" w:type="dxa"/>
            <w:noWrap w:val="0"/>
            <w:vAlign w:val="center"/>
          </w:tcPr>
          <w:p w14:paraId="49F4146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铜</w:t>
            </w:r>
          </w:p>
        </w:tc>
        <w:tc>
          <w:tcPr>
            <w:tcW w:w="2323" w:type="dxa"/>
            <w:noWrap w:val="0"/>
            <w:vAlign w:val="center"/>
          </w:tcPr>
          <w:p w14:paraId="72CC8C1E">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18000</w:t>
            </w:r>
          </w:p>
        </w:tc>
        <w:tc>
          <w:tcPr>
            <w:tcW w:w="2209" w:type="dxa"/>
            <w:noWrap w:val="0"/>
            <w:vAlign w:val="center"/>
          </w:tcPr>
          <w:p w14:paraId="364CF9DC">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36000</w:t>
            </w:r>
          </w:p>
        </w:tc>
      </w:tr>
      <w:tr w14:paraId="0812BC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5F11F99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w:t>
            </w:r>
          </w:p>
        </w:tc>
        <w:tc>
          <w:tcPr>
            <w:tcW w:w="2322" w:type="dxa"/>
            <w:noWrap w:val="0"/>
            <w:vAlign w:val="center"/>
          </w:tcPr>
          <w:p w14:paraId="5515693F">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铅</w:t>
            </w:r>
          </w:p>
        </w:tc>
        <w:tc>
          <w:tcPr>
            <w:tcW w:w="2323" w:type="dxa"/>
            <w:noWrap w:val="0"/>
            <w:vAlign w:val="center"/>
          </w:tcPr>
          <w:p w14:paraId="0C82AA1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800</w:t>
            </w:r>
          </w:p>
        </w:tc>
        <w:tc>
          <w:tcPr>
            <w:tcW w:w="2209" w:type="dxa"/>
            <w:noWrap w:val="0"/>
            <w:vAlign w:val="center"/>
          </w:tcPr>
          <w:p w14:paraId="545A32FF">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2500</w:t>
            </w:r>
          </w:p>
        </w:tc>
      </w:tr>
      <w:tr w14:paraId="4DD9C6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3BA9B17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w:t>
            </w:r>
          </w:p>
        </w:tc>
        <w:tc>
          <w:tcPr>
            <w:tcW w:w="2322" w:type="dxa"/>
            <w:noWrap w:val="0"/>
            <w:vAlign w:val="center"/>
          </w:tcPr>
          <w:p w14:paraId="483260E0">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汞</w:t>
            </w:r>
          </w:p>
        </w:tc>
        <w:tc>
          <w:tcPr>
            <w:tcW w:w="2323" w:type="dxa"/>
            <w:noWrap w:val="0"/>
            <w:vAlign w:val="center"/>
          </w:tcPr>
          <w:p w14:paraId="634C041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38</w:t>
            </w:r>
          </w:p>
        </w:tc>
        <w:tc>
          <w:tcPr>
            <w:tcW w:w="2209" w:type="dxa"/>
            <w:noWrap w:val="0"/>
            <w:vAlign w:val="center"/>
          </w:tcPr>
          <w:p w14:paraId="2E0F8A1E">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82</w:t>
            </w:r>
          </w:p>
        </w:tc>
      </w:tr>
      <w:tr w14:paraId="45FF62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0980692B">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7</w:t>
            </w:r>
          </w:p>
        </w:tc>
        <w:tc>
          <w:tcPr>
            <w:tcW w:w="2322" w:type="dxa"/>
            <w:noWrap w:val="0"/>
            <w:vAlign w:val="center"/>
          </w:tcPr>
          <w:p w14:paraId="618827CF">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镍</w:t>
            </w:r>
          </w:p>
        </w:tc>
        <w:tc>
          <w:tcPr>
            <w:tcW w:w="2323" w:type="dxa"/>
            <w:noWrap w:val="0"/>
            <w:vAlign w:val="center"/>
          </w:tcPr>
          <w:p w14:paraId="695E16EE">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900</w:t>
            </w:r>
          </w:p>
        </w:tc>
        <w:tc>
          <w:tcPr>
            <w:tcW w:w="2209" w:type="dxa"/>
            <w:noWrap w:val="0"/>
            <w:vAlign w:val="center"/>
          </w:tcPr>
          <w:p w14:paraId="79BA0A8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2000</w:t>
            </w:r>
          </w:p>
        </w:tc>
      </w:tr>
      <w:tr w14:paraId="3105B5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61" w:type="dxa"/>
            <w:gridSpan w:val="4"/>
            <w:noWrap w:val="0"/>
            <w:vAlign w:val="center"/>
          </w:tcPr>
          <w:p w14:paraId="65740F84">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挥发性有机物</w:t>
            </w:r>
          </w:p>
        </w:tc>
      </w:tr>
      <w:tr w14:paraId="4D1BF0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1EA850A0">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8</w:t>
            </w:r>
          </w:p>
        </w:tc>
        <w:tc>
          <w:tcPr>
            <w:tcW w:w="2322" w:type="dxa"/>
            <w:noWrap w:val="0"/>
            <w:vAlign w:val="center"/>
          </w:tcPr>
          <w:p w14:paraId="0B75BFE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四氯化碳</w:t>
            </w:r>
          </w:p>
        </w:tc>
        <w:tc>
          <w:tcPr>
            <w:tcW w:w="2323" w:type="dxa"/>
            <w:noWrap w:val="0"/>
            <w:vAlign w:val="center"/>
          </w:tcPr>
          <w:p w14:paraId="45A717CE">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2.8</w:t>
            </w:r>
          </w:p>
        </w:tc>
        <w:tc>
          <w:tcPr>
            <w:tcW w:w="2209" w:type="dxa"/>
            <w:noWrap w:val="0"/>
            <w:vAlign w:val="center"/>
          </w:tcPr>
          <w:p w14:paraId="11A46AC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36</w:t>
            </w:r>
          </w:p>
        </w:tc>
      </w:tr>
      <w:tr w14:paraId="3CE645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7AD37DDC">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9</w:t>
            </w:r>
          </w:p>
        </w:tc>
        <w:tc>
          <w:tcPr>
            <w:tcW w:w="2322" w:type="dxa"/>
            <w:noWrap w:val="0"/>
            <w:vAlign w:val="center"/>
          </w:tcPr>
          <w:p w14:paraId="0C0A46D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氯仿</w:t>
            </w:r>
          </w:p>
        </w:tc>
        <w:tc>
          <w:tcPr>
            <w:tcW w:w="2323" w:type="dxa"/>
            <w:noWrap w:val="0"/>
            <w:vAlign w:val="center"/>
          </w:tcPr>
          <w:p w14:paraId="2471EC5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0.9</w:t>
            </w:r>
          </w:p>
        </w:tc>
        <w:tc>
          <w:tcPr>
            <w:tcW w:w="2209" w:type="dxa"/>
            <w:noWrap w:val="0"/>
            <w:vAlign w:val="center"/>
          </w:tcPr>
          <w:p w14:paraId="6303EB1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10</w:t>
            </w:r>
          </w:p>
        </w:tc>
      </w:tr>
      <w:tr w14:paraId="643437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6A2795E3">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10</w:t>
            </w:r>
          </w:p>
        </w:tc>
        <w:tc>
          <w:tcPr>
            <w:tcW w:w="2322" w:type="dxa"/>
            <w:noWrap w:val="0"/>
            <w:vAlign w:val="center"/>
          </w:tcPr>
          <w:p w14:paraId="12D01FCE">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氯甲烷</w:t>
            </w:r>
          </w:p>
        </w:tc>
        <w:tc>
          <w:tcPr>
            <w:tcW w:w="2323" w:type="dxa"/>
            <w:noWrap w:val="0"/>
            <w:vAlign w:val="center"/>
          </w:tcPr>
          <w:p w14:paraId="70A8951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37</w:t>
            </w:r>
          </w:p>
        </w:tc>
        <w:tc>
          <w:tcPr>
            <w:tcW w:w="2209" w:type="dxa"/>
            <w:noWrap w:val="0"/>
            <w:vAlign w:val="center"/>
          </w:tcPr>
          <w:p w14:paraId="6CC65CF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120</w:t>
            </w:r>
          </w:p>
        </w:tc>
      </w:tr>
      <w:tr w14:paraId="713F4C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26D63ACE">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11</w:t>
            </w:r>
          </w:p>
        </w:tc>
        <w:tc>
          <w:tcPr>
            <w:tcW w:w="2322" w:type="dxa"/>
            <w:noWrap w:val="0"/>
            <w:vAlign w:val="center"/>
          </w:tcPr>
          <w:p w14:paraId="52CE493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1,1-二氯乙烷</w:t>
            </w:r>
          </w:p>
        </w:tc>
        <w:tc>
          <w:tcPr>
            <w:tcW w:w="2323" w:type="dxa"/>
            <w:noWrap w:val="0"/>
            <w:vAlign w:val="center"/>
          </w:tcPr>
          <w:p w14:paraId="22B42913">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9</w:t>
            </w:r>
          </w:p>
        </w:tc>
        <w:tc>
          <w:tcPr>
            <w:tcW w:w="2209" w:type="dxa"/>
            <w:noWrap w:val="0"/>
            <w:vAlign w:val="center"/>
          </w:tcPr>
          <w:p w14:paraId="7815933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100</w:t>
            </w:r>
          </w:p>
        </w:tc>
      </w:tr>
      <w:tr w14:paraId="432173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648F7E5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w:t>
            </w:r>
          </w:p>
        </w:tc>
        <w:tc>
          <w:tcPr>
            <w:tcW w:w="2322" w:type="dxa"/>
            <w:noWrap w:val="0"/>
            <w:vAlign w:val="center"/>
          </w:tcPr>
          <w:p w14:paraId="2A4B998E">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1,2-二氯乙烷</w:t>
            </w:r>
          </w:p>
        </w:tc>
        <w:tc>
          <w:tcPr>
            <w:tcW w:w="2323" w:type="dxa"/>
            <w:noWrap w:val="0"/>
            <w:vAlign w:val="center"/>
          </w:tcPr>
          <w:p w14:paraId="73D5996F">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w:t>
            </w:r>
          </w:p>
        </w:tc>
        <w:tc>
          <w:tcPr>
            <w:tcW w:w="2209" w:type="dxa"/>
            <w:noWrap w:val="0"/>
            <w:vAlign w:val="center"/>
          </w:tcPr>
          <w:p w14:paraId="444A62F2">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21</w:t>
            </w:r>
          </w:p>
        </w:tc>
      </w:tr>
      <w:tr w14:paraId="770CB8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4C01DE2E">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13</w:t>
            </w:r>
          </w:p>
        </w:tc>
        <w:tc>
          <w:tcPr>
            <w:tcW w:w="2322" w:type="dxa"/>
            <w:noWrap w:val="0"/>
            <w:vAlign w:val="center"/>
          </w:tcPr>
          <w:p w14:paraId="7054F5F4">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1,1,-二氯乙烯</w:t>
            </w:r>
          </w:p>
        </w:tc>
        <w:tc>
          <w:tcPr>
            <w:tcW w:w="2323" w:type="dxa"/>
            <w:noWrap w:val="0"/>
            <w:vAlign w:val="center"/>
          </w:tcPr>
          <w:p w14:paraId="7A0ECCA0">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66</w:t>
            </w:r>
          </w:p>
        </w:tc>
        <w:tc>
          <w:tcPr>
            <w:tcW w:w="2209" w:type="dxa"/>
            <w:noWrap w:val="0"/>
            <w:vAlign w:val="center"/>
          </w:tcPr>
          <w:p w14:paraId="659631B4">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200</w:t>
            </w:r>
          </w:p>
        </w:tc>
      </w:tr>
      <w:tr w14:paraId="4848A2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0FE5D14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14</w:t>
            </w:r>
          </w:p>
        </w:tc>
        <w:tc>
          <w:tcPr>
            <w:tcW w:w="2322" w:type="dxa"/>
            <w:noWrap w:val="0"/>
            <w:vAlign w:val="center"/>
          </w:tcPr>
          <w:p w14:paraId="17692DF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顺-1,2-二氯乙烯</w:t>
            </w:r>
          </w:p>
        </w:tc>
        <w:tc>
          <w:tcPr>
            <w:tcW w:w="2323" w:type="dxa"/>
            <w:noWrap w:val="0"/>
            <w:vAlign w:val="center"/>
          </w:tcPr>
          <w:p w14:paraId="7A9D53F5">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596</w:t>
            </w:r>
          </w:p>
        </w:tc>
        <w:tc>
          <w:tcPr>
            <w:tcW w:w="2209" w:type="dxa"/>
            <w:noWrap w:val="0"/>
            <w:vAlign w:val="center"/>
          </w:tcPr>
          <w:p w14:paraId="54F0DD12">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2000</w:t>
            </w:r>
          </w:p>
        </w:tc>
      </w:tr>
      <w:tr w14:paraId="7F428F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45F226B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w:t>
            </w:r>
          </w:p>
        </w:tc>
        <w:tc>
          <w:tcPr>
            <w:tcW w:w="2322" w:type="dxa"/>
            <w:noWrap w:val="0"/>
            <w:vAlign w:val="center"/>
          </w:tcPr>
          <w:p w14:paraId="72E81035">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反-1,2-二氯乙烯</w:t>
            </w:r>
          </w:p>
        </w:tc>
        <w:tc>
          <w:tcPr>
            <w:tcW w:w="2323" w:type="dxa"/>
            <w:noWrap w:val="0"/>
            <w:vAlign w:val="center"/>
          </w:tcPr>
          <w:p w14:paraId="16DCD55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54</w:t>
            </w:r>
          </w:p>
        </w:tc>
        <w:tc>
          <w:tcPr>
            <w:tcW w:w="2209" w:type="dxa"/>
            <w:noWrap w:val="0"/>
            <w:vAlign w:val="center"/>
          </w:tcPr>
          <w:p w14:paraId="2182719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163</w:t>
            </w:r>
          </w:p>
        </w:tc>
      </w:tr>
      <w:tr w14:paraId="0DF177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6123D3B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16</w:t>
            </w:r>
          </w:p>
        </w:tc>
        <w:tc>
          <w:tcPr>
            <w:tcW w:w="2322" w:type="dxa"/>
            <w:noWrap w:val="0"/>
            <w:vAlign w:val="center"/>
          </w:tcPr>
          <w:p w14:paraId="7667CD0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二氯甲烷</w:t>
            </w:r>
          </w:p>
        </w:tc>
        <w:tc>
          <w:tcPr>
            <w:tcW w:w="2323" w:type="dxa"/>
            <w:noWrap w:val="0"/>
            <w:vAlign w:val="center"/>
          </w:tcPr>
          <w:p w14:paraId="60CDC42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616</w:t>
            </w:r>
          </w:p>
        </w:tc>
        <w:tc>
          <w:tcPr>
            <w:tcW w:w="2209" w:type="dxa"/>
            <w:noWrap w:val="0"/>
            <w:vAlign w:val="center"/>
          </w:tcPr>
          <w:p w14:paraId="5C5E4F12">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2000</w:t>
            </w:r>
          </w:p>
        </w:tc>
      </w:tr>
      <w:tr w14:paraId="540B01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7952C0B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17</w:t>
            </w:r>
          </w:p>
        </w:tc>
        <w:tc>
          <w:tcPr>
            <w:tcW w:w="2322" w:type="dxa"/>
            <w:noWrap w:val="0"/>
            <w:vAlign w:val="center"/>
          </w:tcPr>
          <w:p w14:paraId="4F542D3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1,2-二氯丙烷</w:t>
            </w:r>
          </w:p>
        </w:tc>
        <w:tc>
          <w:tcPr>
            <w:tcW w:w="2323" w:type="dxa"/>
            <w:noWrap w:val="0"/>
            <w:vAlign w:val="center"/>
          </w:tcPr>
          <w:p w14:paraId="421DE0E0">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w:t>
            </w:r>
          </w:p>
        </w:tc>
        <w:tc>
          <w:tcPr>
            <w:tcW w:w="2209" w:type="dxa"/>
            <w:noWrap w:val="0"/>
            <w:vAlign w:val="center"/>
          </w:tcPr>
          <w:p w14:paraId="72ECD9F2">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47</w:t>
            </w:r>
          </w:p>
        </w:tc>
      </w:tr>
      <w:tr w14:paraId="599BD1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4129E780">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18</w:t>
            </w:r>
          </w:p>
        </w:tc>
        <w:tc>
          <w:tcPr>
            <w:tcW w:w="2322" w:type="dxa"/>
            <w:noWrap w:val="0"/>
            <w:vAlign w:val="center"/>
          </w:tcPr>
          <w:p w14:paraId="0DDCD1C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1,1,1,2-四氯乙烷</w:t>
            </w:r>
          </w:p>
        </w:tc>
        <w:tc>
          <w:tcPr>
            <w:tcW w:w="2323" w:type="dxa"/>
            <w:noWrap w:val="0"/>
            <w:vAlign w:val="center"/>
          </w:tcPr>
          <w:p w14:paraId="3504A5A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10</w:t>
            </w:r>
          </w:p>
        </w:tc>
        <w:tc>
          <w:tcPr>
            <w:tcW w:w="2209" w:type="dxa"/>
            <w:noWrap w:val="0"/>
            <w:vAlign w:val="center"/>
          </w:tcPr>
          <w:p w14:paraId="57F63C3F">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100</w:t>
            </w:r>
          </w:p>
        </w:tc>
      </w:tr>
      <w:tr w14:paraId="27EDDB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70F616A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19</w:t>
            </w:r>
          </w:p>
        </w:tc>
        <w:tc>
          <w:tcPr>
            <w:tcW w:w="2322" w:type="dxa"/>
            <w:noWrap w:val="0"/>
            <w:vAlign w:val="center"/>
          </w:tcPr>
          <w:p w14:paraId="485D4E80">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1,1,2,2-四氯乙烷</w:t>
            </w:r>
          </w:p>
        </w:tc>
        <w:tc>
          <w:tcPr>
            <w:tcW w:w="2323" w:type="dxa"/>
            <w:noWrap w:val="0"/>
            <w:vAlign w:val="center"/>
          </w:tcPr>
          <w:p w14:paraId="08959E3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6.8</w:t>
            </w:r>
          </w:p>
        </w:tc>
        <w:tc>
          <w:tcPr>
            <w:tcW w:w="2209" w:type="dxa"/>
            <w:noWrap w:val="0"/>
            <w:vAlign w:val="center"/>
          </w:tcPr>
          <w:p w14:paraId="1F579D9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50</w:t>
            </w:r>
          </w:p>
        </w:tc>
      </w:tr>
      <w:tr w14:paraId="3D883B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0203A70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20</w:t>
            </w:r>
          </w:p>
        </w:tc>
        <w:tc>
          <w:tcPr>
            <w:tcW w:w="2322" w:type="dxa"/>
            <w:noWrap w:val="0"/>
            <w:vAlign w:val="center"/>
          </w:tcPr>
          <w:p w14:paraId="3B8F2D9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四氯乙烯</w:t>
            </w:r>
          </w:p>
        </w:tc>
        <w:tc>
          <w:tcPr>
            <w:tcW w:w="2323" w:type="dxa"/>
            <w:noWrap w:val="0"/>
            <w:vAlign w:val="center"/>
          </w:tcPr>
          <w:p w14:paraId="40A105CB">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53</w:t>
            </w:r>
          </w:p>
        </w:tc>
        <w:tc>
          <w:tcPr>
            <w:tcW w:w="2209" w:type="dxa"/>
            <w:noWrap w:val="0"/>
            <w:vAlign w:val="center"/>
          </w:tcPr>
          <w:p w14:paraId="08093F7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183</w:t>
            </w:r>
          </w:p>
        </w:tc>
      </w:tr>
      <w:tr w14:paraId="61B138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1CF1B380">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21</w:t>
            </w:r>
          </w:p>
        </w:tc>
        <w:tc>
          <w:tcPr>
            <w:tcW w:w="2322" w:type="dxa"/>
            <w:noWrap w:val="0"/>
            <w:vAlign w:val="center"/>
          </w:tcPr>
          <w:p w14:paraId="337E66BB">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1,1,1-三氯乙烷</w:t>
            </w:r>
          </w:p>
        </w:tc>
        <w:tc>
          <w:tcPr>
            <w:tcW w:w="2323" w:type="dxa"/>
            <w:noWrap w:val="0"/>
            <w:vAlign w:val="center"/>
          </w:tcPr>
          <w:p w14:paraId="1EF705D5">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840</w:t>
            </w:r>
          </w:p>
        </w:tc>
        <w:tc>
          <w:tcPr>
            <w:tcW w:w="2209" w:type="dxa"/>
            <w:noWrap w:val="0"/>
            <w:vAlign w:val="center"/>
          </w:tcPr>
          <w:p w14:paraId="38B4896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840</w:t>
            </w:r>
          </w:p>
        </w:tc>
      </w:tr>
      <w:tr w14:paraId="2F70D5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67360B7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22</w:t>
            </w:r>
          </w:p>
        </w:tc>
        <w:tc>
          <w:tcPr>
            <w:tcW w:w="2322" w:type="dxa"/>
            <w:noWrap w:val="0"/>
            <w:vAlign w:val="center"/>
          </w:tcPr>
          <w:p w14:paraId="0E5346E4">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1,1,2-三氯乙烷</w:t>
            </w:r>
          </w:p>
        </w:tc>
        <w:tc>
          <w:tcPr>
            <w:tcW w:w="2323" w:type="dxa"/>
            <w:noWrap w:val="0"/>
            <w:vAlign w:val="center"/>
          </w:tcPr>
          <w:p w14:paraId="659D3D9F">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2.8</w:t>
            </w:r>
          </w:p>
        </w:tc>
        <w:tc>
          <w:tcPr>
            <w:tcW w:w="2209" w:type="dxa"/>
            <w:noWrap w:val="0"/>
            <w:vAlign w:val="center"/>
          </w:tcPr>
          <w:p w14:paraId="02F4B58F">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w:t>
            </w:r>
          </w:p>
        </w:tc>
      </w:tr>
      <w:tr w14:paraId="2F893B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7309654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23</w:t>
            </w:r>
          </w:p>
        </w:tc>
        <w:tc>
          <w:tcPr>
            <w:tcW w:w="2322" w:type="dxa"/>
            <w:noWrap w:val="0"/>
            <w:vAlign w:val="center"/>
          </w:tcPr>
          <w:p w14:paraId="4E0B2DD4">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三氯乙烯</w:t>
            </w:r>
          </w:p>
        </w:tc>
        <w:tc>
          <w:tcPr>
            <w:tcW w:w="2323" w:type="dxa"/>
            <w:noWrap w:val="0"/>
            <w:vAlign w:val="center"/>
          </w:tcPr>
          <w:p w14:paraId="019293A0">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2.8</w:t>
            </w:r>
          </w:p>
        </w:tc>
        <w:tc>
          <w:tcPr>
            <w:tcW w:w="2209" w:type="dxa"/>
            <w:noWrap w:val="0"/>
            <w:vAlign w:val="center"/>
          </w:tcPr>
          <w:p w14:paraId="309B8D3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20</w:t>
            </w:r>
          </w:p>
        </w:tc>
      </w:tr>
      <w:tr w14:paraId="1F7DAD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0A3E3E6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24</w:t>
            </w:r>
          </w:p>
        </w:tc>
        <w:tc>
          <w:tcPr>
            <w:tcW w:w="2322" w:type="dxa"/>
            <w:noWrap w:val="0"/>
            <w:vAlign w:val="center"/>
          </w:tcPr>
          <w:p w14:paraId="39C0196C">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1,2,3-三氯丙烷</w:t>
            </w:r>
          </w:p>
        </w:tc>
        <w:tc>
          <w:tcPr>
            <w:tcW w:w="2323" w:type="dxa"/>
            <w:noWrap w:val="0"/>
            <w:vAlign w:val="center"/>
          </w:tcPr>
          <w:p w14:paraId="02668AB5">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0.5</w:t>
            </w:r>
          </w:p>
        </w:tc>
        <w:tc>
          <w:tcPr>
            <w:tcW w:w="2209" w:type="dxa"/>
            <w:noWrap w:val="0"/>
            <w:vAlign w:val="center"/>
          </w:tcPr>
          <w:p w14:paraId="6623C5CF">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w:t>
            </w:r>
          </w:p>
        </w:tc>
      </w:tr>
      <w:tr w14:paraId="0CCC73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52C5836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25</w:t>
            </w:r>
          </w:p>
        </w:tc>
        <w:tc>
          <w:tcPr>
            <w:tcW w:w="2322" w:type="dxa"/>
            <w:noWrap w:val="0"/>
            <w:vAlign w:val="center"/>
          </w:tcPr>
          <w:p w14:paraId="00B2DD0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氯乙烯</w:t>
            </w:r>
          </w:p>
        </w:tc>
        <w:tc>
          <w:tcPr>
            <w:tcW w:w="2323" w:type="dxa"/>
            <w:noWrap w:val="0"/>
            <w:vAlign w:val="center"/>
          </w:tcPr>
          <w:p w14:paraId="7F3A74D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0.43</w:t>
            </w:r>
          </w:p>
        </w:tc>
        <w:tc>
          <w:tcPr>
            <w:tcW w:w="2209" w:type="dxa"/>
            <w:noWrap w:val="0"/>
            <w:vAlign w:val="center"/>
          </w:tcPr>
          <w:p w14:paraId="39D9134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4.3</w:t>
            </w:r>
          </w:p>
        </w:tc>
      </w:tr>
      <w:tr w14:paraId="570043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2B13AAF5">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26</w:t>
            </w:r>
          </w:p>
        </w:tc>
        <w:tc>
          <w:tcPr>
            <w:tcW w:w="2322" w:type="dxa"/>
            <w:noWrap w:val="0"/>
            <w:vAlign w:val="center"/>
          </w:tcPr>
          <w:p w14:paraId="1E1A7E8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苯</w:t>
            </w:r>
          </w:p>
        </w:tc>
        <w:tc>
          <w:tcPr>
            <w:tcW w:w="2323" w:type="dxa"/>
            <w:noWrap w:val="0"/>
            <w:vAlign w:val="center"/>
          </w:tcPr>
          <w:p w14:paraId="0CB96D94">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w:t>
            </w:r>
          </w:p>
        </w:tc>
        <w:tc>
          <w:tcPr>
            <w:tcW w:w="2209" w:type="dxa"/>
            <w:noWrap w:val="0"/>
            <w:vAlign w:val="center"/>
          </w:tcPr>
          <w:p w14:paraId="3724B4B3">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40</w:t>
            </w:r>
          </w:p>
        </w:tc>
      </w:tr>
      <w:tr w14:paraId="57A920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15B97B4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27</w:t>
            </w:r>
          </w:p>
        </w:tc>
        <w:tc>
          <w:tcPr>
            <w:tcW w:w="2322" w:type="dxa"/>
            <w:noWrap w:val="0"/>
            <w:vAlign w:val="center"/>
          </w:tcPr>
          <w:p w14:paraId="187CE03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氯苯</w:t>
            </w:r>
          </w:p>
        </w:tc>
        <w:tc>
          <w:tcPr>
            <w:tcW w:w="2323" w:type="dxa"/>
            <w:noWrap w:val="0"/>
            <w:vAlign w:val="center"/>
          </w:tcPr>
          <w:p w14:paraId="24DF6862">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270</w:t>
            </w:r>
          </w:p>
        </w:tc>
        <w:tc>
          <w:tcPr>
            <w:tcW w:w="2209" w:type="dxa"/>
            <w:noWrap w:val="0"/>
            <w:vAlign w:val="center"/>
          </w:tcPr>
          <w:p w14:paraId="0A21F565">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1000</w:t>
            </w:r>
          </w:p>
        </w:tc>
      </w:tr>
      <w:tr w14:paraId="442400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5233AE8F">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28</w:t>
            </w:r>
          </w:p>
        </w:tc>
        <w:tc>
          <w:tcPr>
            <w:tcW w:w="2322" w:type="dxa"/>
            <w:noWrap w:val="0"/>
            <w:vAlign w:val="center"/>
          </w:tcPr>
          <w:p w14:paraId="3643C0D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1,2-二氯苯</w:t>
            </w:r>
          </w:p>
        </w:tc>
        <w:tc>
          <w:tcPr>
            <w:tcW w:w="2323" w:type="dxa"/>
            <w:noWrap w:val="0"/>
            <w:vAlign w:val="center"/>
          </w:tcPr>
          <w:p w14:paraId="7F401AD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560</w:t>
            </w:r>
          </w:p>
        </w:tc>
        <w:tc>
          <w:tcPr>
            <w:tcW w:w="2209" w:type="dxa"/>
            <w:noWrap w:val="0"/>
            <w:vAlign w:val="center"/>
          </w:tcPr>
          <w:p w14:paraId="07587B4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560</w:t>
            </w:r>
          </w:p>
        </w:tc>
      </w:tr>
      <w:tr w14:paraId="704C6E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76FCB534">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29</w:t>
            </w:r>
          </w:p>
        </w:tc>
        <w:tc>
          <w:tcPr>
            <w:tcW w:w="2322" w:type="dxa"/>
            <w:noWrap w:val="0"/>
            <w:vAlign w:val="center"/>
          </w:tcPr>
          <w:p w14:paraId="56A2EA52">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1,4-二氯苯</w:t>
            </w:r>
          </w:p>
        </w:tc>
        <w:tc>
          <w:tcPr>
            <w:tcW w:w="2323" w:type="dxa"/>
            <w:noWrap w:val="0"/>
            <w:vAlign w:val="center"/>
          </w:tcPr>
          <w:p w14:paraId="1467F5B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20</w:t>
            </w:r>
          </w:p>
        </w:tc>
        <w:tc>
          <w:tcPr>
            <w:tcW w:w="2209" w:type="dxa"/>
            <w:noWrap w:val="0"/>
            <w:vAlign w:val="center"/>
          </w:tcPr>
          <w:p w14:paraId="395B2912">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200</w:t>
            </w:r>
          </w:p>
        </w:tc>
      </w:tr>
      <w:tr w14:paraId="5F702C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009735F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30</w:t>
            </w:r>
          </w:p>
        </w:tc>
        <w:tc>
          <w:tcPr>
            <w:tcW w:w="2322" w:type="dxa"/>
            <w:noWrap w:val="0"/>
            <w:vAlign w:val="center"/>
          </w:tcPr>
          <w:p w14:paraId="1E4EEF5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乙苯</w:t>
            </w:r>
          </w:p>
        </w:tc>
        <w:tc>
          <w:tcPr>
            <w:tcW w:w="2323" w:type="dxa"/>
            <w:noWrap w:val="0"/>
            <w:vAlign w:val="center"/>
          </w:tcPr>
          <w:p w14:paraId="246D937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28</w:t>
            </w:r>
          </w:p>
        </w:tc>
        <w:tc>
          <w:tcPr>
            <w:tcW w:w="2209" w:type="dxa"/>
            <w:noWrap w:val="0"/>
            <w:vAlign w:val="center"/>
          </w:tcPr>
          <w:p w14:paraId="53CA168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280</w:t>
            </w:r>
          </w:p>
        </w:tc>
      </w:tr>
      <w:tr w14:paraId="4FCA49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1B9037D4">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31</w:t>
            </w:r>
          </w:p>
        </w:tc>
        <w:tc>
          <w:tcPr>
            <w:tcW w:w="2322" w:type="dxa"/>
            <w:noWrap w:val="0"/>
            <w:vAlign w:val="center"/>
          </w:tcPr>
          <w:p w14:paraId="3EC4CCB5">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苯乙烯</w:t>
            </w:r>
          </w:p>
        </w:tc>
        <w:tc>
          <w:tcPr>
            <w:tcW w:w="2323" w:type="dxa"/>
            <w:noWrap w:val="0"/>
            <w:vAlign w:val="center"/>
          </w:tcPr>
          <w:p w14:paraId="3D578800">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1290</w:t>
            </w:r>
          </w:p>
        </w:tc>
        <w:tc>
          <w:tcPr>
            <w:tcW w:w="2209" w:type="dxa"/>
            <w:noWrap w:val="0"/>
            <w:vAlign w:val="center"/>
          </w:tcPr>
          <w:p w14:paraId="32583D6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1290</w:t>
            </w:r>
          </w:p>
        </w:tc>
      </w:tr>
      <w:tr w14:paraId="6EEA79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017D9ACC">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32</w:t>
            </w:r>
          </w:p>
        </w:tc>
        <w:tc>
          <w:tcPr>
            <w:tcW w:w="2322" w:type="dxa"/>
            <w:noWrap w:val="0"/>
            <w:vAlign w:val="center"/>
          </w:tcPr>
          <w:p w14:paraId="173BC17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甲苯</w:t>
            </w:r>
          </w:p>
        </w:tc>
        <w:tc>
          <w:tcPr>
            <w:tcW w:w="2323" w:type="dxa"/>
            <w:noWrap w:val="0"/>
            <w:vAlign w:val="center"/>
          </w:tcPr>
          <w:p w14:paraId="0E6F64C0">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1200</w:t>
            </w:r>
          </w:p>
        </w:tc>
        <w:tc>
          <w:tcPr>
            <w:tcW w:w="2209" w:type="dxa"/>
            <w:noWrap w:val="0"/>
            <w:vAlign w:val="center"/>
          </w:tcPr>
          <w:p w14:paraId="1EBAE29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1200</w:t>
            </w:r>
          </w:p>
        </w:tc>
      </w:tr>
      <w:tr w14:paraId="15C276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45C43120">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33</w:t>
            </w:r>
          </w:p>
        </w:tc>
        <w:tc>
          <w:tcPr>
            <w:tcW w:w="2322" w:type="dxa"/>
            <w:noWrap w:val="0"/>
            <w:vAlign w:val="center"/>
          </w:tcPr>
          <w:p w14:paraId="52BAFA03">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间二甲苯+对二甲苯</w:t>
            </w:r>
          </w:p>
        </w:tc>
        <w:tc>
          <w:tcPr>
            <w:tcW w:w="2323" w:type="dxa"/>
            <w:noWrap w:val="0"/>
            <w:vAlign w:val="center"/>
          </w:tcPr>
          <w:p w14:paraId="2CD2768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570</w:t>
            </w:r>
          </w:p>
        </w:tc>
        <w:tc>
          <w:tcPr>
            <w:tcW w:w="2209" w:type="dxa"/>
            <w:noWrap w:val="0"/>
            <w:vAlign w:val="center"/>
          </w:tcPr>
          <w:p w14:paraId="0B7DF85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570</w:t>
            </w:r>
          </w:p>
        </w:tc>
      </w:tr>
      <w:tr w14:paraId="0E93D3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4739A3B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34</w:t>
            </w:r>
          </w:p>
        </w:tc>
        <w:tc>
          <w:tcPr>
            <w:tcW w:w="2322" w:type="dxa"/>
            <w:noWrap w:val="0"/>
            <w:vAlign w:val="center"/>
          </w:tcPr>
          <w:p w14:paraId="3EADEA04">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邻甲苯</w:t>
            </w:r>
          </w:p>
        </w:tc>
        <w:tc>
          <w:tcPr>
            <w:tcW w:w="2323" w:type="dxa"/>
            <w:noWrap w:val="0"/>
            <w:vAlign w:val="center"/>
          </w:tcPr>
          <w:p w14:paraId="4233C17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640</w:t>
            </w:r>
          </w:p>
        </w:tc>
        <w:tc>
          <w:tcPr>
            <w:tcW w:w="2209" w:type="dxa"/>
            <w:noWrap w:val="0"/>
            <w:vAlign w:val="center"/>
          </w:tcPr>
          <w:p w14:paraId="1473163F">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640</w:t>
            </w:r>
          </w:p>
        </w:tc>
      </w:tr>
      <w:tr w14:paraId="58CDA4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061" w:type="dxa"/>
            <w:gridSpan w:val="4"/>
            <w:noWrap w:val="0"/>
            <w:vAlign w:val="center"/>
          </w:tcPr>
          <w:p w14:paraId="386F5F83">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半挥发有机物</w:t>
            </w:r>
          </w:p>
        </w:tc>
      </w:tr>
      <w:tr w14:paraId="331D92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0BF37AA5">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35</w:t>
            </w:r>
          </w:p>
        </w:tc>
        <w:tc>
          <w:tcPr>
            <w:tcW w:w="2322" w:type="dxa"/>
            <w:noWrap w:val="0"/>
            <w:vAlign w:val="center"/>
          </w:tcPr>
          <w:p w14:paraId="6730BE0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硝基苯</w:t>
            </w:r>
          </w:p>
        </w:tc>
        <w:tc>
          <w:tcPr>
            <w:tcW w:w="2323" w:type="dxa"/>
            <w:noWrap w:val="0"/>
            <w:vAlign w:val="center"/>
          </w:tcPr>
          <w:p w14:paraId="10BE4EC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76</w:t>
            </w:r>
          </w:p>
        </w:tc>
        <w:tc>
          <w:tcPr>
            <w:tcW w:w="2209" w:type="dxa"/>
            <w:noWrap w:val="0"/>
            <w:vAlign w:val="center"/>
          </w:tcPr>
          <w:p w14:paraId="210DCAF5">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760</w:t>
            </w:r>
          </w:p>
        </w:tc>
      </w:tr>
      <w:tr w14:paraId="63DD7B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0C50783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36</w:t>
            </w:r>
          </w:p>
        </w:tc>
        <w:tc>
          <w:tcPr>
            <w:tcW w:w="2322" w:type="dxa"/>
            <w:noWrap w:val="0"/>
            <w:vAlign w:val="center"/>
          </w:tcPr>
          <w:p w14:paraId="275B10B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苯胺</w:t>
            </w:r>
          </w:p>
        </w:tc>
        <w:tc>
          <w:tcPr>
            <w:tcW w:w="2323" w:type="dxa"/>
            <w:noWrap w:val="0"/>
            <w:vAlign w:val="center"/>
          </w:tcPr>
          <w:p w14:paraId="70ED960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260</w:t>
            </w:r>
          </w:p>
        </w:tc>
        <w:tc>
          <w:tcPr>
            <w:tcW w:w="2209" w:type="dxa"/>
            <w:noWrap w:val="0"/>
            <w:vAlign w:val="center"/>
          </w:tcPr>
          <w:p w14:paraId="1CC5EDF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663</w:t>
            </w:r>
          </w:p>
        </w:tc>
      </w:tr>
      <w:tr w14:paraId="3E37A2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3023D3C0">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37</w:t>
            </w:r>
          </w:p>
        </w:tc>
        <w:tc>
          <w:tcPr>
            <w:tcW w:w="2322" w:type="dxa"/>
            <w:noWrap w:val="0"/>
            <w:vAlign w:val="center"/>
          </w:tcPr>
          <w:p w14:paraId="2979F8D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2-氯酚</w:t>
            </w:r>
          </w:p>
        </w:tc>
        <w:tc>
          <w:tcPr>
            <w:tcW w:w="2323" w:type="dxa"/>
            <w:noWrap w:val="0"/>
            <w:vAlign w:val="center"/>
          </w:tcPr>
          <w:p w14:paraId="3A66457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2256</w:t>
            </w:r>
          </w:p>
        </w:tc>
        <w:tc>
          <w:tcPr>
            <w:tcW w:w="2209" w:type="dxa"/>
            <w:noWrap w:val="0"/>
            <w:vAlign w:val="center"/>
          </w:tcPr>
          <w:p w14:paraId="46D5E5D4">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4500</w:t>
            </w:r>
          </w:p>
        </w:tc>
      </w:tr>
      <w:tr w14:paraId="53DFC9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79460CB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38</w:t>
            </w:r>
          </w:p>
        </w:tc>
        <w:tc>
          <w:tcPr>
            <w:tcW w:w="2322" w:type="dxa"/>
            <w:noWrap w:val="0"/>
            <w:vAlign w:val="center"/>
          </w:tcPr>
          <w:p w14:paraId="28DCD17B">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苯并[a]蒽</w:t>
            </w:r>
          </w:p>
        </w:tc>
        <w:tc>
          <w:tcPr>
            <w:tcW w:w="2323" w:type="dxa"/>
            <w:noWrap w:val="0"/>
            <w:vAlign w:val="center"/>
          </w:tcPr>
          <w:p w14:paraId="0436A214">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w:t>
            </w:r>
          </w:p>
        </w:tc>
        <w:tc>
          <w:tcPr>
            <w:tcW w:w="2209" w:type="dxa"/>
            <w:noWrap w:val="0"/>
            <w:vAlign w:val="center"/>
          </w:tcPr>
          <w:p w14:paraId="1801D7C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151</w:t>
            </w:r>
          </w:p>
        </w:tc>
      </w:tr>
      <w:tr w14:paraId="6F4832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7508A2C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39</w:t>
            </w:r>
          </w:p>
        </w:tc>
        <w:tc>
          <w:tcPr>
            <w:tcW w:w="2322" w:type="dxa"/>
            <w:noWrap w:val="0"/>
            <w:vAlign w:val="center"/>
          </w:tcPr>
          <w:p w14:paraId="384B004B">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苯并[a]芘</w:t>
            </w:r>
          </w:p>
        </w:tc>
        <w:tc>
          <w:tcPr>
            <w:tcW w:w="2323" w:type="dxa"/>
            <w:noWrap w:val="0"/>
            <w:vAlign w:val="center"/>
          </w:tcPr>
          <w:p w14:paraId="222D0613">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w:t>
            </w:r>
          </w:p>
        </w:tc>
        <w:tc>
          <w:tcPr>
            <w:tcW w:w="2209" w:type="dxa"/>
            <w:noWrap w:val="0"/>
            <w:vAlign w:val="center"/>
          </w:tcPr>
          <w:p w14:paraId="12D61BE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w:t>
            </w:r>
          </w:p>
        </w:tc>
      </w:tr>
      <w:tr w14:paraId="25A4DB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6679EC67">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40</w:t>
            </w:r>
          </w:p>
        </w:tc>
        <w:tc>
          <w:tcPr>
            <w:tcW w:w="2322" w:type="dxa"/>
            <w:noWrap w:val="0"/>
            <w:vAlign w:val="center"/>
          </w:tcPr>
          <w:p w14:paraId="1D47778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苯并[b]荧蒽</w:t>
            </w:r>
          </w:p>
        </w:tc>
        <w:tc>
          <w:tcPr>
            <w:tcW w:w="2323" w:type="dxa"/>
            <w:noWrap w:val="0"/>
            <w:vAlign w:val="center"/>
          </w:tcPr>
          <w:p w14:paraId="0604295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w:t>
            </w:r>
          </w:p>
        </w:tc>
        <w:tc>
          <w:tcPr>
            <w:tcW w:w="2209" w:type="dxa"/>
            <w:noWrap w:val="0"/>
            <w:vAlign w:val="center"/>
          </w:tcPr>
          <w:p w14:paraId="2B8AB4D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151</w:t>
            </w:r>
          </w:p>
        </w:tc>
      </w:tr>
      <w:tr w14:paraId="5D15B1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7489A5D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41</w:t>
            </w:r>
          </w:p>
        </w:tc>
        <w:tc>
          <w:tcPr>
            <w:tcW w:w="2322" w:type="dxa"/>
            <w:noWrap w:val="0"/>
            <w:vAlign w:val="center"/>
          </w:tcPr>
          <w:p w14:paraId="1BCA71B3">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苯并[k]荧蒽</w:t>
            </w:r>
          </w:p>
        </w:tc>
        <w:tc>
          <w:tcPr>
            <w:tcW w:w="2323" w:type="dxa"/>
            <w:noWrap w:val="0"/>
            <w:vAlign w:val="center"/>
          </w:tcPr>
          <w:p w14:paraId="58BFE902">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151</w:t>
            </w:r>
          </w:p>
        </w:tc>
        <w:tc>
          <w:tcPr>
            <w:tcW w:w="2209" w:type="dxa"/>
            <w:noWrap w:val="0"/>
            <w:vAlign w:val="center"/>
          </w:tcPr>
          <w:p w14:paraId="037F23B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1500</w:t>
            </w:r>
          </w:p>
        </w:tc>
      </w:tr>
      <w:tr w14:paraId="40DF76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0D0F60C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42</w:t>
            </w:r>
          </w:p>
        </w:tc>
        <w:tc>
          <w:tcPr>
            <w:tcW w:w="2322" w:type="dxa"/>
            <w:noWrap w:val="0"/>
            <w:vAlign w:val="center"/>
          </w:tcPr>
          <w:p w14:paraId="6C3D257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䓛</w:t>
            </w:r>
          </w:p>
        </w:tc>
        <w:tc>
          <w:tcPr>
            <w:tcW w:w="2323" w:type="dxa"/>
            <w:noWrap w:val="0"/>
            <w:vAlign w:val="center"/>
          </w:tcPr>
          <w:p w14:paraId="61B858D4">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1293</w:t>
            </w:r>
          </w:p>
        </w:tc>
        <w:tc>
          <w:tcPr>
            <w:tcW w:w="2209" w:type="dxa"/>
            <w:noWrap w:val="0"/>
            <w:vAlign w:val="center"/>
          </w:tcPr>
          <w:p w14:paraId="0815AFA3">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12900</w:t>
            </w:r>
          </w:p>
        </w:tc>
      </w:tr>
      <w:tr w14:paraId="43FE45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606B5B12">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43</w:t>
            </w:r>
          </w:p>
        </w:tc>
        <w:tc>
          <w:tcPr>
            <w:tcW w:w="2322" w:type="dxa"/>
            <w:noWrap w:val="0"/>
            <w:vAlign w:val="center"/>
          </w:tcPr>
          <w:p w14:paraId="5B184E8F">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二苯并[a,h]蒽</w:t>
            </w:r>
          </w:p>
        </w:tc>
        <w:tc>
          <w:tcPr>
            <w:tcW w:w="2323" w:type="dxa"/>
            <w:noWrap w:val="0"/>
            <w:vAlign w:val="center"/>
          </w:tcPr>
          <w:p w14:paraId="3E594BA6">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w:t>
            </w:r>
          </w:p>
        </w:tc>
        <w:tc>
          <w:tcPr>
            <w:tcW w:w="2209" w:type="dxa"/>
            <w:noWrap w:val="0"/>
            <w:vAlign w:val="center"/>
          </w:tcPr>
          <w:p w14:paraId="3A232B1B">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w:t>
            </w:r>
          </w:p>
        </w:tc>
      </w:tr>
      <w:tr w14:paraId="1F5F96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66FCF561">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44</w:t>
            </w:r>
          </w:p>
        </w:tc>
        <w:tc>
          <w:tcPr>
            <w:tcW w:w="2322" w:type="dxa"/>
            <w:noWrap w:val="0"/>
            <w:vAlign w:val="center"/>
          </w:tcPr>
          <w:p w14:paraId="06751F8D">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茚并[1,2,3-cd]芘</w:t>
            </w:r>
          </w:p>
        </w:tc>
        <w:tc>
          <w:tcPr>
            <w:tcW w:w="2323" w:type="dxa"/>
            <w:noWrap w:val="0"/>
            <w:vAlign w:val="center"/>
          </w:tcPr>
          <w:p w14:paraId="682131E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w:t>
            </w:r>
          </w:p>
        </w:tc>
        <w:tc>
          <w:tcPr>
            <w:tcW w:w="2209" w:type="dxa"/>
            <w:noWrap w:val="0"/>
            <w:vAlign w:val="center"/>
          </w:tcPr>
          <w:p w14:paraId="2993128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151</w:t>
            </w:r>
          </w:p>
        </w:tc>
      </w:tr>
      <w:tr w14:paraId="73B76D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07" w:type="dxa"/>
            <w:noWrap w:val="0"/>
            <w:vAlign w:val="center"/>
          </w:tcPr>
          <w:p w14:paraId="205A802A">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45</w:t>
            </w:r>
          </w:p>
        </w:tc>
        <w:tc>
          <w:tcPr>
            <w:tcW w:w="2322" w:type="dxa"/>
            <w:noWrap w:val="0"/>
            <w:vAlign w:val="center"/>
          </w:tcPr>
          <w:p w14:paraId="543E6F8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萘</w:t>
            </w:r>
          </w:p>
        </w:tc>
        <w:tc>
          <w:tcPr>
            <w:tcW w:w="2323" w:type="dxa"/>
            <w:noWrap w:val="0"/>
            <w:vAlign w:val="center"/>
          </w:tcPr>
          <w:p w14:paraId="7B131D48">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70</w:t>
            </w:r>
          </w:p>
        </w:tc>
        <w:tc>
          <w:tcPr>
            <w:tcW w:w="2209" w:type="dxa"/>
            <w:noWrap w:val="0"/>
            <w:vAlign w:val="center"/>
          </w:tcPr>
          <w:p w14:paraId="44A99AD9">
            <w:pPr>
              <w:pStyle w:val="481"/>
              <w:keepNext w:val="0"/>
              <w:keepLines w:val="0"/>
              <w:suppressLineNumbers w:val="0"/>
              <w:autoSpaceDE w:val="0"/>
              <w:autoSpaceDN w:val="0"/>
              <w:spacing w:before="0" w:beforeAutospacing="0" w:after="0" w:afterAutospacing="0" w:line="240" w:lineRule="auto"/>
              <w:ind w:left="0" w:right="0"/>
              <w:jc w:val="center"/>
              <w:textAlignment w:val="bottom"/>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700</w:t>
            </w:r>
          </w:p>
        </w:tc>
      </w:tr>
    </w:tbl>
    <w:p w14:paraId="57684B56">
      <w:pPr>
        <w:ind w:firstLine="602" w:firstLineChars="250"/>
        <w:jc w:val="center"/>
        <w:rPr>
          <w:rFonts w:hint="eastAsia" w:asciiTheme="minorEastAsia" w:hAnsiTheme="minorEastAsia" w:eastAsiaTheme="minorEastAsia" w:cstheme="minorEastAsia"/>
          <w:b/>
          <w:color w:val="auto"/>
          <w:sz w:val="24"/>
          <w:highlight w:val="none"/>
        </w:rPr>
      </w:pPr>
    </w:p>
    <w:p w14:paraId="024541C2">
      <w:pPr>
        <w:ind w:firstLine="602" w:firstLineChars="250"/>
        <w:jc w:val="center"/>
        <w:rPr>
          <w:rFonts w:hint="eastAsia"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表2.</w:t>
      </w:r>
      <w:r>
        <w:rPr>
          <w:rFonts w:hint="eastAsia" w:asciiTheme="minorEastAsia" w:hAnsiTheme="minorEastAsia" w:eastAsiaTheme="minorEastAsia" w:cstheme="minorEastAsia"/>
          <w:b/>
          <w:color w:val="auto"/>
          <w:sz w:val="24"/>
          <w:highlight w:val="none"/>
          <w:lang w:val="en-US" w:eastAsia="zh-CN"/>
        </w:rPr>
        <w:t>8</w:t>
      </w:r>
      <w:r>
        <w:rPr>
          <w:rFonts w:hint="eastAsia" w:asciiTheme="minorEastAsia" w:hAnsiTheme="minorEastAsia" w:eastAsiaTheme="minorEastAsia" w:cstheme="minorEastAsia"/>
          <w:b/>
          <w:color w:val="auto"/>
          <w:sz w:val="24"/>
          <w:highlight w:val="none"/>
        </w:rPr>
        <w:t>-6  《土壤环境质量 农用地土壤污染风险管控标准（试行）》（GB15618-2018）                  单位：mg/kg</w:t>
      </w:r>
    </w:p>
    <w:tbl>
      <w:tblPr>
        <w:tblStyle w:val="84"/>
        <w:tblW w:w="898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83"/>
        <w:gridCol w:w="867"/>
        <w:gridCol w:w="1096"/>
        <w:gridCol w:w="1434"/>
        <w:gridCol w:w="1434"/>
        <w:gridCol w:w="1434"/>
        <w:gridCol w:w="1434"/>
      </w:tblGrid>
      <w:tr w14:paraId="1A25CF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restart"/>
            <w:noWrap w:val="0"/>
            <w:vAlign w:val="center"/>
          </w:tcPr>
          <w:p w14:paraId="23E5BF0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序号</w:t>
            </w:r>
          </w:p>
        </w:tc>
        <w:tc>
          <w:tcPr>
            <w:tcW w:w="1963" w:type="dxa"/>
            <w:gridSpan w:val="2"/>
            <w:vMerge w:val="restart"/>
            <w:noWrap w:val="0"/>
            <w:vAlign w:val="center"/>
          </w:tcPr>
          <w:p w14:paraId="2514F3A1">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污染物项目</w:t>
            </w:r>
          </w:p>
        </w:tc>
        <w:tc>
          <w:tcPr>
            <w:tcW w:w="5736" w:type="dxa"/>
            <w:gridSpan w:val="4"/>
            <w:noWrap w:val="0"/>
            <w:vAlign w:val="center"/>
          </w:tcPr>
          <w:p w14:paraId="51609AF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风险筛选值</w:t>
            </w:r>
          </w:p>
        </w:tc>
      </w:tr>
      <w:tr w14:paraId="27104A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continue"/>
            <w:noWrap w:val="0"/>
            <w:vAlign w:val="center"/>
          </w:tcPr>
          <w:p w14:paraId="7870EA7C">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1963" w:type="dxa"/>
            <w:gridSpan w:val="2"/>
            <w:vMerge w:val="continue"/>
            <w:noWrap w:val="0"/>
            <w:vAlign w:val="center"/>
          </w:tcPr>
          <w:p w14:paraId="52966692">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1434" w:type="dxa"/>
            <w:noWrap w:val="0"/>
            <w:vAlign w:val="center"/>
          </w:tcPr>
          <w:p w14:paraId="4522FE4A">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pH≤5.5</w:t>
            </w:r>
          </w:p>
        </w:tc>
        <w:tc>
          <w:tcPr>
            <w:tcW w:w="1434" w:type="dxa"/>
            <w:noWrap w:val="0"/>
            <w:vAlign w:val="center"/>
          </w:tcPr>
          <w:p w14:paraId="79E6817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5.5&lt;pH≤6.5</w:t>
            </w:r>
          </w:p>
        </w:tc>
        <w:tc>
          <w:tcPr>
            <w:tcW w:w="1434" w:type="dxa"/>
            <w:noWrap w:val="0"/>
            <w:vAlign w:val="center"/>
          </w:tcPr>
          <w:p w14:paraId="2386FE0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6.5&lt;pH≤7.5</w:t>
            </w:r>
          </w:p>
        </w:tc>
        <w:tc>
          <w:tcPr>
            <w:tcW w:w="1434" w:type="dxa"/>
            <w:noWrap w:val="0"/>
            <w:vAlign w:val="center"/>
          </w:tcPr>
          <w:p w14:paraId="2D08012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pH&gt;7.5</w:t>
            </w:r>
          </w:p>
        </w:tc>
      </w:tr>
      <w:tr w14:paraId="4CCC26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restart"/>
            <w:noWrap w:val="0"/>
            <w:vAlign w:val="center"/>
          </w:tcPr>
          <w:p w14:paraId="2AD36DB0">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w:t>
            </w:r>
          </w:p>
        </w:tc>
        <w:tc>
          <w:tcPr>
            <w:tcW w:w="867" w:type="dxa"/>
            <w:vMerge w:val="restart"/>
            <w:noWrap w:val="0"/>
            <w:vAlign w:val="center"/>
          </w:tcPr>
          <w:p w14:paraId="5C419463">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镉</w:t>
            </w:r>
          </w:p>
        </w:tc>
        <w:tc>
          <w:tcPr>
            <w:tcW w:w="1096" w:type="dxa"/>
            <w:noWrap w:val="0"/>
            <w:vAlign w:val="center"/>
          </w:tcPr>
          <w:p w14:paraId="2F23A7F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水田</w:t>
            </w:r>
          </w:p>
        </w:tc>
        <w:tc>
          <w:tcPr>
            <w:tcW w:w="1434" w:type="dxa"/>
            <w:noWrap w:val="0"/>
            <w:vAlign w:val="center"/>
          </w:tcPr>
          <w:p w14:paraId="323B0B4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0.3</w:t>
            </w:r>
          </w:p>
        </w:tc>
        <w:tc>
          <w:tcPr>
            <w:tcW w:w="1434" w:type="dxa"/>
            <w:noWrap w:val="0"/>
            <w:vAlign w:val="center"/>
          </w:tcPr>
          <w:p w14:paraId="7501053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0.4</w:t>
            </w:r>
          </w:p>
        </w:tc>
        <w:tc>
          <w:tcPr>
            <w:tcW w:w="1434" w:type="dxa"/>
            <w:noWrap w:val="0"/>
            <w:vAlign w:val="center"/>
          </w:tcPr>
          <w:p w14:paraId="10CE3551">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0.6</w:t>
            </w:r>
          </w:p>
        </w:tc>
        <w:tc>
          <w:tcPr>
            <w:tcW w:w="1434" w:type="dxa"/>
            <w:noWrap w:val="0"/>
            <w:vAlign w:val="center"/>
          </w:tcPr>
          <w:p w14:paraId="270A70CF">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0.8</w:t>
            </w:r>
          </w:p>
        </w:tc>
      </w:tr>
      <w:tr w14:paraId="4E5A38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continue"/>
            <w:noWrap w:val="0"/>
            <w:vAlign w:val="center"/>
          </w:tcPr>
          <w:p w14:paraId="17536721">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867" w:type="dxa"/>
            <w:vMerge w:val="continue"/>
            <w:noWrap w:val="0"/>
            <w:vAlign w:val="center"/>
          </w:tcPr>
          <w:p w14:paraId="7DF6A356">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1096" w:type="dxa"/>
            <w:noWrap w:val="0"/>
            <w:vAlign w:val="center"/>
          </w:tcPr>
          <w:p w14:paraId="503B0A3C">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其他</w:t>
            </w:r>
          </w:p>
        </w:tc>
        <w:tc>
          <w:tcPr>
            <w:tcW w:w="1434" w:type="dxa"/>
            <w:noWrap w:val="0"/>
            <w:vAlign w:val="center"/>
          </w:tcPr>
          <w:p w14:paraId="675193B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0.3</w:t>
            </w:r>
          </w:p>
        </w:tc>
        <w:tc>
          <w:tcPr>
            <w:tcW w:w="1434" w:type="dxa"/>
            <w:noWrap w:val="0"/>
            <w:vAlign w:val="center"/>
          </w:tcPr>
          <w:p w14:paraId="7470BBD7">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0.3</w:t>
            </w:r>
          </w:p>
        </w:tc>
        <w:tc>
          <w:tcPr>
            <w:tcW w:w="1434" w:type="dxa"/>
            <w:noWrap w:val="0"/>
            <w:vAlign w:val="center"/>
          </w:tcPr>
          <w:p w14:paraId="5B2EA996">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0.3</w:t>
            </w:r>
          </w:p>
        </w:tc>
        <w:tc>
          <w:tcPr>
            <w:tcW w:w="1434" w:type="dxa"/>
            <w:noWrap w:val="0"/>
            <w:vAlign w:val="center"/>
          </w:tcPr>
          <w:p w14:paraId="299AAD12">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0.6</w:t>
            </w:r>
          </w:p>
        </w:tc>
      </w:tr>
      <w:tr w14:paraId="4EF9D3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restart"/>
            <w:noWrap w:val="0"/>
            <w:vAlign w:val="center"/>
          </w:tcPr>
          <w:p w14:paraId="511EDC40">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w:t>
            </w:r>
          </w:p>
        </w:tc>
        <w:tc>
          <w:tcPr>
            <w:tcW w:w="867" w:type="dxa"/>
            <w:vMerge w:val="restart"/>
            <w:noWrap w:val="0"/>
            <w:vAlign w:val="center"/>
          </w:tcPr>
          <w:p w14:paraId="7030871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lang w:eastAsia="zh-CN"/>
              </w:rPr>
            </w:pPr>
            <w:r>
              <w:rPr>
                <w:rFonts w:hint="eastAsia" w:asciiTheme="minorEastAsia" w:hAnsiTheme="minorEastAsia" w:eastAsiaTheme="minorEastAsia" w:cstheme="minorEastAsia"/>
                <w:bCs/>
                <w:color w:val="auto"/>
                <w:sz w:val="21"/>
                <w:szCs w:val="21"/>
                <w:highlight w:val="none"/>
                <w:lang w:val="en-US" w:eastAsia="zh-CN"/>
              </w:rPr>
              <w:t>汞</w:t>
            </w:r>
          </w:p>
        </w:tc>
        <w:tc>
          <w:tcPr>
            <w:tcW w:w="1096" w:type="dxa"/>
            <w:noWrap w:val="0"/>
            <w:vAlign w:val="center"/>
          </w:tcPr>
          <w:p w14:paraId="15E28C7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水田</w:t>
            </w:r>
          </w:p>
        </w:tc>
        <w:tc>
          <w:tcPr>
            <w:tcW w:w="1434" w:type="dxa"/>
            <w:noWrap w:val="0"/>
            <w:vAlign w:val="center"/>
          </w:tcPr>
          <w:p w14:paraId="6B3571BA">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0.5</w:t>
            </w:r>
          </w:p>
        </w:tc>
        <w:tc>
          <w:tcPr>
            <w:tcW w:w="1434" w:type="dxa"/>
            <w:noWrap w:val="0"/>
            <w:vAlign w:val="center"/>
          </w:tcPr>
          <w:p w14:paraId="35D4049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0.5</w:t>
            </w:r>
          </w:p>
        </w:tc>
        <w:tc>
          <w:tcPr>
            <w:tcW w:w="1434" w:type="dxa"/>
            <w:noWrap w:val="0"/>
            <w:vAlign w:val="center"/>
          </w:tcPr>
          <w:p w14:paraId="36CAD18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0.6</w:t>
            </w:r>
          </w:p>
        </w:tc>
        <w:tc>
          <w:tcPr>
            <w:tcW w:w="1434" w:type="dxa"/>
            <w:noWrap w:val="0"/>
            <w:vAlign w:val="center"/>
          </w:tcPr>
          <w:p w14:paraId="0FB65EDA">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1.0</w:t>
            </w:r>
          </w:p>
        </w:tc>
      </w:tr>
      <w:tr w14:paraId="09144A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continue"/>
            <w:noWrap w:val="0"/>
            <w:vAlign w:val="center"/>
          </w:tcPr>
          <w:p w14:paraId="6F56821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867" w:type="dxa"/>
            <w:vMerge w:val="continue"/>
            <w:noWrap w:val="0"/>
            <w:vAlign w:val="center"/>
          </w:tcPr>
          <w:p w14:paraId="48092BFF">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1096" w:type="dxa"/>
            <w:noWrap w:val="0"/>
            <w:vAlign w:val="center"/>
          </w:tcPr>
          <w:p w14:paraId="75AB8A5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其他</w:t>
            </w:r>
          </w:p>
        </w:tc>
        <w:tc>
          <w:tcPr>
            <w:tcW w:w="1434" w:type="dxa"/>
            <w:noWrap w:val="0"/>
            <w:vAlign w:val="center"/>
          </w:tcPr>
          <w:p w14:paraId="28177AF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1.3</w:t>
            </w:r>
          </w:p>
        </w:tc>
        <w:tc>
          <w:tcPr>
            <w:tcW w:w="1434" w:type="dxa"/>
            <w:noWrap w:val="0"/>
            <w:vAlign w:val="center"/>
          </w:tcPr>
          <w:p w14:paraId="22FC2F4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1.8</w:t>
            </w:r>
          </w:p>
        </w:tc>
        <w:tc>
          <w:tcPr>
            <w:tcW w:w="1434" w:type="dxa"/>
            <w:noWrap w:val="0"/>
            <w:vAlign w:val="center"/>
          </w:tcPr>
          <w:p w14:paraId="4B32695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2.4</w:t>
            </w:r>
          </w:p>
        </w:tc>
        <w:tc>
          <w:tcPr>
            <w:tcW w:w="1434" w:type="dxa"/>
            <w:noWrap w:val="0"/>
            <w:vAlign w:val="center"/>
          </w:tcPr>
          <w:p w14:paraId="39419CC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3.4</w:t>
            </w:r>
          </w:p>
        </w:tc>
      </w:tr>
      <w:tr w14:paraId="7A4B46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restart"/>
            <w:noWrap w:val="0"/>
            <w:vAlign w:val="center"/>
          </w:tcPr>
          <w:p w14:paraId="719D312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3</w:t>
            </w:r>
          </w:p>
        </w:tc>
        <w:tc>
          <w:tcPr>
            <w:tcW w:w="867" w:type="dxa"/>
            <w:vMerge w:val="restart"/>
            <w:noWrap w:val="0"/>
            <w:vAlign w:val="center"/>
          </w:tcPr>
          <w:p w14:paraId="656ADDB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砷</w:t>
            </w:r>
          </w:p>
        </w:tc>
        <w:tc>
          <w:tcPr>
            <w:tcW w:w="1096" w:type="dxa"/>
            <w:noWrap w:val="0"/>
            <w:vAlign w:val="center"/>
          </w:tcPr>
          <w:p w14:paraId="12C606EA">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水田</w:t>
            </w:r>
          </w:p>
        </w:tc>
        <w:tc>
          <w:tcPr>
            <w:tcW w:w="1434" w:type="dxa"/>
            <w:noWrap w:val="0"/>
            <w:vAlign w:val="center"/>
          </w:tcPr>
          <w:p w14:paraId="173D30E5">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30</w:t>
            </w:r>
          </w:p>
        </w:tc>
        <w:tc>
          <w:tcPr>
            <w:tcW w:w="1434" w:type="dxa"/>
            <w:noWrap w:val="0"/>
            <w:vAlign w:val="center"/>
          </w:tcPr>
          <w:p w14:paraId="20585FCA">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30</w:t>
            </w:r>
          </w:p>
        </w:tc>
        <w:tc>
          <w:tcPr>
            <w:tcW w:w="1434" w:type="dxa"/>
            <w:noWrap w:val="0"/>
            <w:vAlign w:val="center"/>
          </w:tcPr>
          <w:p w14:paraId="496CB82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25</w:t>
            </w:r>
          </w:p>
        </w:tc>
        <w:tc>
          <w:tcPr>
            <w:tcW w:w="1434" w:type="dxa"/>
            <w:noWrap w:val="0"/>
            <w:vAlign w:val="center"/>
          </w:tcPr>
          <w:p w14:paraId="31E7DDE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20</w:t>
            </w:r>
          </w:p>
        </w:tc>
      </w:tr>
      <w:tr w14:paraId="367D2A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continue"/>
            <w:noWrap w:val="0"/>
            <w:vAlign w:val="center"/>
          </w:tcPr>
          <w:p w14:paraId="1A262AB2">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867" w:type="dxa"/>
            <w:vMerge w:val="continue"/>
            <w:noWrap w:val="0"/>
            <w:vAlign w:val="center"/>
          </w:tcPr>
          <w:p w14:paraId="05597186">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1096" w:type="dxa"/>
            <w:noWrap w:val="0"/>
            <w:vAlign w:val="center"/>
          </w:tcPr>
          <w:p w14:paraId="675345B7">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其他</w:t>
            </w:r>
          </w:p>
        </w:tc>
        <w:tc>
          <w:tcPr>
            <w:tcW w:w="1434" w:type="dxa"/>
            <w:noWrap w:val="0"/>
            <w:vAlign w:val="center"/>
          </w:tcPr>
          <w:p w14:paraId="60B195BC">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40</w:t>
            </w:r>
          </w:p>
        </w:tc>
        <w:tc>
          <w:tcPr>
            <w:tcW w:w="1434" w:type="dxa"/>
            <w:noWrap w:val="0"/>
            <w:vAlign w:val="center"/>
          </w:tcPr>
          <w:p w14:paraId="39278039">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40</w:t>
            </w:r>
          </w:p>
        </w:tc>
        <w:tc>
          <w:tcPr>
            <w:tcW w:w="1434" w:type="dxa"/>
            <w:noWrap w:val="0"/>
            <w:vAlign w:val="center"/>
          </w:tcPr>
          <w:p w14:paraId="78E59789">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30</w:t>
            </w:r>
          </w:p>
        </w:tc>
        <w:tc>
          <w:tcPr>
            <w:tcW w:w="1434" w:type="dxa"/>
            <w:noWrap w:val="0"/>
            <w:vAlign w:val="center"/>
          </w:tcPr>
          <w:p w14:paraId="0BBFF08F">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25</w:t>
            </w:r>
          </w:p>
        </w:tc>
      </w:tr>
      <w:tr w14:paraId="5D1F07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restart"/>
            <w:noWrap w:val="0"/>
            <w:vAlign w:val="center"/>
          </w:tcPr>
          <w:p w14:paraId="691092F5">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4</w:t>
            </w:r>
          </w:p>
        </w:tc>
        <w:tc>
          <w:tcPr>
            <w:tcW w:w="867" w:type="dxa"/>
            <w:vMerge w:val="restart"/>
            <w:noWrap w:val="0"/>
            <w:vAlign w:val="center"/>
          </w:tcPr>
          <w:p w14:paraId="0EFA6C70">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铅</w:t>
            </w:r>
          </w:p>
        </w:tc>
        <w:tc>
          <w:tcPr>
            <w:tcW w:w="1096" w:type="dxa"/>
            <w:noWrap w:val="0"/>
            <w:vAlign w:val="center"/>
          </w:tcPr>
          <w:p w14:paraId="11E9B223">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水田</w:t>
            </w:r>
          </w:p>
        </w:tc>
        <w:tc>
          <w:tcPr>
            <w:tcW w:w="1434" w:type="dxa"/>
            <w:noWrap w:val="0"/>
            <w:vAlign w:val="center"/>
          </w:tcPr>
          <w:p w14:paraId="4152621F">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80</w:t>
            </w:r>
          </w:p>
        </w:tc>
        <w:tc>
          <w:tcPr>
            <w:tcW w:w="1434" w:type="dxa"/>
            <w:noWrap w:val="0"/>
            <w:vAlign w:val="center"/>
          </w:tcPr>
          <w:p w14:paraId="547519DA">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100</w:t>
            </w:r>
          </w:p>
        </w:tc>
        <w:tc>
          <w:tcPr>
            <w:tcW w:w="1434" w:type="dxa"/>
            <w:noWrap w:val="0"/>
            <w:vAlign w:val="center"/>
          </w:tcPr>
          <w:p w14:paraId="645ED56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140</w:t>
            </w:r>
          </w:p>
        </w:tc>
        <w:tc>
          <w:tcPr>
            <w:tcW w:w="1434" w:type="dxa"/>
            <w:noWrap w:val="0"/>
            <w:vAlign w:val="center"/>
          </w:tcPr>
          <w:p w14:paraId="4047478B">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240</w:t>
            </w:r>
          </w:p>
        </w:tc>
      </w:tr>
      <w:tr w14:paraId="18D622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continue"/>
            <w:noWrap w:val="0"/>
            <w:vAlign w:val="center"/>
          </w:tcPr>
          <w:p w14:paraId="7040831C">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867" w:type="dxa"/>
            <w:vMerge w:val="continue"/>
            <w:noWrap w:val="0"/>
            <w:vAlign w:val="center"/>
          </w:tcPr>
          <w:p w14:paraId="06F64BAB">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1096" w:type="dxa"/>
            <w:noWrap w:val="0"/>
            <w:vAlign w:val="center"/>
          </w:tcPr>
          <w:p w14:paraId="7FCC05ED">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其他</w:t>
            </w:r>
          </w:p>
        </w:tc>
        <w:tc>
          <w:tcPr>
            <w:tcW w:w="1434" w:type="dxa"/>
            <w:noWrap w:val="0"/>
            <w:vAlign w:val="center"/>
          </w:tcPr>
          <w:p w14:paraId="380B974B">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70</w:t>
            </w:r>
          </w:p>
        </w:tc>
        <w:tc>
          <w:tcPr>
            <w:tcW w:w="1434" w:type="dxa"/>
            <w:noWrap w:val="0"/>
            <w:vAlign w:val="center"/>
          </w:tcPr>
          <w:p w14:paraId="1537BC9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90</w:t>
            </w:r>
          </w:p>
        </w:tc>
        <w:tc>
          <w:tcPr>
            <w:tcW w:w="1434" w:type="dxa"/>
            <w:noWrap w:val="0"/>
            <w:vAlign w:val="center"/>
          </w:tcPr>
          <w:p w14:paraId="58F12FE6">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120</w:t>
            </w:r>
          </w:p>
        </w:tc>
        <w:tc>
          <w:tcPr>
            <w:tcW w:w="1434" w:type="dxa"/>
            <w:noWrap w:val="0"/>
            <w:vAlign w:val="center"/>
          </w:tcPr>
          <w:p w14:paraId="75A9766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170</w:t>
            </w:r>
          </w:p>
        </w:tc>
      </w:tr>
      <w:tr w14:paraId="0FC325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restart"/>
            <w:noWrap w:val="0"/>
            <w:vAlign w:val="center"/>
          </w:tcPr>
          <w:p w14:paraId="73E3E115">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5</w:t>
            </w:r>
          </w:p>
        </w:tc>
        <w:tc>
          <w:tcPr>
            <w:tcW w:w="867" w:type="dxa"/>
            <w:vMerge w:val="restart"/>
            <w:noWrap w:val="0"/>
            <w:vAlign w:val="center"/>
          </w:tcPr>
          <w:p w14:paraId="298E5A12">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铬</w:t>
            </w:r>
          </w:p>
        </w:tc>
        <w:tc>
          <w:tcPr>
            <w:tcW w:w="1096" w:type="dxa"/>
            <w:noWrap w:val="0"/>
            <w:vAlign w:val="center"/>
          </w:tcPr>
          <w:p w14:paraId="0A69386D">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水田</w:t>
            </w:r>
          </w:p>
        </w:tc>
        <w:tc>
          <w:tcPr>
            <w:tcW w:w="1434" w:type="dxa"/>
            <w:noWrap w:val="0"/>
            <w:vAlign w:val="center"/>
          </w:tcPr>
          <w:p w14:paraId="1E4C875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250</w:t>
            </w:r>
          </w:p>
        </w:tc>
        <w:tc>
          <w:tcPr>
            <w:tcW w:w="1434" w:type="dxa"/>
            <w:noWrap w:val="0"/>
            <w:vAlign w:val="center"/>
          </w:tcPr>
          <w:p w14:paraId="709CBFF7">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250</w:t>
            </w:r>
          </w:p>
        </w:tc>
        <w:tc>
          <w:tcPr>
            <w:tcW w:w="1434" w:type="dxa"/>
            <w:noWrap w:val="0"/>
            <w:vAlign w:val="center"/>
          </w:tcPr>
          <w:p w14:paraId="289958ED">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300</w:t>
            </w:r>
          </w:p>
        </w:tc>
        <w:tc>
          <w:tcPr>
            <w:tcW w:w="1434" w:type="dxa"/>
            <w:noWrap w:val="0"/>
            <w:vAlign w:val="center"/>
          </w:tcPr>
          <w:p w14:paraId="3F01CDB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350</w:t>
            </w:r>
          </w:p>
        </w:tc>
      </w:tr>
      <w:tr w14:paraId="607475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continue"/>
            <w:noWrap w:val="0"/>
            <w:vAlign w:val="center"/>
          </w:tcPr>
          <w:p w14:paraId="2C1C9A10">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867" w:type="dxa"/>
            <w:vMerge w:val="continue"/>
            <w:noWrap w:val="0"/>
            <w:vAlign w:val="center"/>
          </w:tcPr>
          <w:p w14:paraId="221D5319">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1096" w:type="dxa"/>
            <w:noWrap w:val="0"/>
            <w:vAlign w:val="center"/>
          </w:tcPr>
          <w:p w14:paraId="17C8139A">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其他</w:t>
            </w:r>
          </w:p>
        </w:tc>
        <w:tc>
          <w:tcPr>
            <w:tcW w:w="1434" w:type="dxa"/>
            <w:noWrap w:val="0"/>
            <w:vAlign w:val="center"/>
          </w:tcPr>
          <w:p w14:paraId="45471615">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150</w:t>
            </w:r>
          </w:p>
        </w:tc>
        <w:tc>
          <w:tcPr>
            <w:tcW w:w="1434" w:type="dxa"/>
            <w:noWrap w:val="0"/>
            <w:vAlign w:val="center"/>
          </w:tcPr>
          <w:p w14:paraId="56884B2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150</w:t>
            </w:r>
          </w:p>
        </w:tc>
        <w:tc>
          <w:tcPr>
            <w:tcW w:w="1434" w:type="dxa"/>
            <w:noWrap w:val="0"/>
            <w:vAlign w:val="center"/>
          </w:tcPr>
          <w:p w14:paraId="7332D14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200</w:t>
            </w:r>
          </w:p>
        </w:tc>
        <w:tc>
          <w:tcPr>
            <w:tcW w:w="1434" w:type="dxa"/>
            <w:noWrap w:val="0"/>
            <w:vAlign w:val="center"/>
          </w:tcPr>
          <w:p w14:paraId="43BA95E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250</w:t>
            </w:r>
          </w:p>
        </w:tc>
      </w:tr>
      <w:tr w14:paraId="543830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restart"/>
            <w:noWrap w:val="0"/>
            <w:vAlign w:val="center"/>
          </w:tcPr>
          <w:p w14:paraId="2817E909">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6</w:t>
            </w:r>
          </w:p>
        </w:tc>
        <w:tc>
          <w:tcPr>
            <w:tcW w:w="867" w:type="dxa"/>
            <w:vMerge w:val="restart"/>
            <w:noWrap w:val="0"/>
            <w:vAlign w:val="center"/>
          </w:tcPr>
          <w:p w14:paraId="5E049C67">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铜</w:t>
            </w:r>
          </w:p>
        </w:tc>
        <w:tc>
          <w:tcPr>
            <w:tcW w:w="1096" w:type="dxa"/>
            <w:noWrap w:val="0"/>
            <w:vAlign w:val="center"/>
          </w:tcPr>
          <w:p w14:paraId="7140535C">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水田</w:t>
            </w:r>
          </w:p>
        </w:tc>
        <w:tc>
          <w:tcPr>
            <w:tcW w:w="1434" w:type="dxa"/>
            <w:noWrap w:val="0"/>
            <w:vAlign w:val="center"/>
          </w:tcPr>
          <w:p w14:paraId="52A56D0A">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150</w:t>
            </w:r>
          </w:p>
        </w:tc>
        <w:tc>
          <w:tcPr>
            <w:tcW w:w="1434" w:type="dxa"/>
            <w:noWrap w:val="0"/>
            <w:vAlign w:val="center"/>
          </w:tcPr>
          <w:p w14:paraId="00A03534">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150</w:t>
            </w:r>
          </w:p>
        </w:tc>
        <w:tc>
          <w:tcPr>
            <w:tcW w:w="1434" w:type="dxa"/>
            <w:noWrap w:val="0"/>
            <w:vAlign w:val="center"/>
          </w:tcPr>
          <w:p w14:paraId="4289A021">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200</w:t>
            </w:r>
          </w:p>
        </w:tc>
        <w:tc>
          <w:tcPr>
            <w:tcW w:w="1434" w:type="dxa"/>
            <w:noWrap w:val="0"/>
            <w:vAlign w:val="center"/>
          </w:tcPr>
          <w:p w14:paraId="43E43E91">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200</w:t>
            </w:r>
          </w:p>
        </w:tc>
      </w:tr>
      <w:tr w14:paraId="2D89BA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vMerge w:val="continue"/>
            <w:noWrap w:val="0"/>
            <w:vAlign w:val="center"/>
          </w:tcPr>
          <w:p w14:paraId="6D81DDD7">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867" w:type="dxa"/>
            <w:vMerge w:val="continue"/>
            <w:noWrap w:val="0"/>
            <w:vAlign w:val="center"/>
          </w:tcPr>
          <w:p w14:paraId="073AE5CC">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p>
        </w:tc>
        <w:tc>
          <w:tcPr>
            <w:tcW w:w="1096" w:type="dxa"/>
            <w:noWrap w:val="0"/>
            <w:vAlign w:val="center"/>
          </w:tcPr>
          <w:p w14:paraId="536460E6">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其他</w:t>
            </w:r>
          </w:p>
        </w:tc>
        <w:tc>
          <w:tcPr>
            <w:tcW w:w="1434" w:type="dxa"/>
            <w:noWrap w:val="0"/>
            <w:vAlign w:val="center"/>
          </w:tcPr>
          <w:p w14:paraId="44FB2D3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50</w:t>
            </w:r>
          </w:p>
        </w:tc>
        <w:tc>
          <w:tcPr>
            <w:tcW w:w="1434" w:type="dxa"/>
            <w:noWrap w:val="0"/>
            <w:vAlign w:val="center"/>
          </w:tcPr>
          <w:p w14:paraId="396AC067">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50</w:t>
            </w:r>
          </w:p>
        </w:tc>
        <w:tc>
          <w:tcPr>
            <w:tcW w:w="1434" w:type="dxa"/>
            <w:noWrap w:val="0"/>
            <w:vAlign w:val="center"/>
          </w:tcPr>
          <w:p w14:paraId="77AB047A">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100</w:t>
            </w:r>
          </w:p>
        </w:tc>
        <w:tc>
          <w:tcPr>
            <w:tcW w:w="1434" w:type="dxa"/>
            <w:noWrap w:val="0"/>
            <w:vAlign w:val="center"/>
          </w:tcPr>
          <w:p w14:paraId="7E68211D">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100</w:t>
            </w:r>
          </w:p>
        </w:tc>
      </w:tr>
      <w:tr w14:paraId="630C15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noWrap w:val="0"/>
            <w:vAlign w:val="center"/>
          </w:tcPr>
          <w:p w14:paraId="5FEDAEF1">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7</w:t>
            </w:r>
          </w:p>
        </w:tc>
        <w:tc>
          <w:tcPr>
            <w:tcW w:w="1963" w:type="dxa"/>
            <w:gridSpan w:val="2"/>
            <w:noWrap w:val="0"/>
            <w:vAlign w:val="center"/>
          </w:tcPr>
          <w:p w14:paraId="331FF9C3">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镍</w:t>
            </w:r>
          </w:p>
        </w:tc>
        <w:tc>
          <w:tcPr>
            <w:tcW w:w="1434" w:type="dxa"/>
            <w:noWrap w:val="0"/>
            <w:vAlign w:val="center"/>
          </w:tcPr>
          <w:p w14:paraId="4B30C48F">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60</w:t>
            </w:r>
          </w:p>
        </w:tc>
        <w:tc>
          <w:tcPr>
            <w:tcW w:w="1434" w:type="dxa"/>
            <w:noWrap w:val="0"/>
            <w:vAlign w:val="center"/>
          </w:tcPr>
          <w:p w14:paraId="2EDB7B33">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70</w:t>
            </w:r>
          </w:p>
        </w:tc>
        <w:tc>
          <w:tcPr>
            <w:tcW w:w="1434" w:type="dxa"/>
            <w:noWrap w:val="0"/>
            <w:vAlign w:val="center"/>
          </w:tcPr>
          <w:p w14:paraId="5176F215">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100</w:t>
            </w:r>
          </w:p>
        </w:tc>
        <w:tc>
          <w:tcPr>
            <w:tcW w:w="1434" w:type="dxa"/>
            <w:noWrap w:val="0"/>
            <w:vAlign w:val="center"/>
          </w:tcPr>
          <w:p w14:paraId="5C06529C">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190</w:t>
            </w:r>
          </w:p>
        </w:tc>
      </w:tr>
      <w:tr w14:paraId="55E80E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3" w:type="dxa"/>
            <w:noWrap w:val="0"/>
            <w:vAlign w:val="center"/>
          </w:tcPr>
          <w:p w14:paraId="6F34393B">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8</w:t>
            </w:r>
          </w:p>
        </w:tc>
        <w:tc>
          <w:tcPr>
            <w:tcW w:w="1963" w:type="dxa"/>
            <w:gridSpan w:val="2"/>
            <w:noWrap w:val="0"/>
            <w:vAlign w:val="center"/>
          </w:tcPr>
          <w:p w14:paraId="77F1B965">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锌</w:t>
            </w:r>
          </w:p>
        </w:tc>
        <w:tc>
          <w:tcPr>
            <w:tcW w:w="1434" w:type="dxa"/>
            <w:noWrap w:val="0"/>
            <w:vAlign w:val="center"/>
          </w:tcPr>
          <w:p w14:paraId="0C506271">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200</w:t>
            </w:r>
          </w:p>
        </w:tc>
        <w:tc>
          <w:tcPr>
            <w:tcW w:w="1434" w:type="dxa"/>
            <w:noWrap w:val="0"/>
            <w:vAlign w:val="center"/>
          </w:tcPr>
          <w:p w14:paraId="7DABEC4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200</w:t>
            </w:r>
          </w:p>
        </w:tc>
        <w:tc>
          <w:tcPr>
            <w:tcW w:w="1434" w:type="dxa"/>
            <w:noWrap w:val="0"/>
            <w:vAlign w:val="center"/>
          </w:tcPr>
          <w:p w14:paraId="0D536F4D">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250</w:t>
            </w:r>
          </w:p>
        </w:tc>
        <w:tc>
          <w:tcPr>
            <w:tcW w:w="1434" w:type="dxa"/>
            <w:noWrap w:val="0"/>
            <w:vAlign w:val="center"/>
          </w:tcPr>
          <w:p w14:paraId="39EBA0A6">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300</w:t>
            </w:r>
          </w:p>
        </w:tc>
      </w:tr>
      <w:tr w14:paraId="0AE364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982" w:type="dxa"/>
            <w:gridSpan w:val="7"/>
            <w:noWrap w:val="0"/>
            <w:vAlign w:val="center"/>
          </w:tcPr>
          <w:p w14:paraId="29E5E06C">
            <w:pPr>
              <w:keepNext w:val="0"/>
              <w:keepLines w:val="0"/>
              <w:suppressLineNumbers w:val="0"/>
              <w:spacing w:before="0" w:beforeAutospacing="0" w:after="0" w:afterAutospacing="0"/>
              <w:ind w:left="0" w:right="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注：①重金属和类金属砷均按元素总量计。</w:t>
            </w:r>
          </w:p>
          <w:p w14:paraId="3A87B870">
            <w:pPr>
              <w:keepNext w:val="0"/>
              <w:keepLines w:val="0"/>
              <w:suppressLineNumbers w:val="0"/>
              <w:spacing w:before="0" w:beforeAutospacing="0" w:after="0" w:afterAutospacing="0"/>
              <w:ind w:left="0" w:right="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②对于水旱轮作地，采用其中较严格的风险筛选值。</w:t>
            </w:r>
          </w:p>
        </w:tc>
      </w:tr>
    </w:tbl>
    <w:p w14:paraId="36AD9008">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lang w:val="en-US" w:eastAsia="zh-CN"/>
        </w:rPr>
        <w:t>8</w:t>
      </w:r>
      <w:r>
        <w:rPr>
          <w:rFonts w:hint="eastAsia" w:asciiTheme="minorEastAsia" w:hAnsiTheme="minorEastAsia" w:eastAsiaTheme="minorEastAsia" w:cstheme="minorEastAsia"/>
          <w:color w:val="auto"/>
          <w:highlight w:val="none"/>
        </w:rPr>
        <w:t>.2污染物排放标准</w:t>
      </w:r>
    </w:p>
    <w:p w14:paraId="42692DD9">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8.2.1大气污染物排放标准</w:t>
      </w:r>
    </w:p>
    <w:p w14:paraId="022D894A">
      <w:pPr>
        <w:spacing w:line="360" w:lineRule="auto"/>
        <w:ind w:firstLine="539"/>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项目区扬尘排放执行《大气污染物综合排放标准》（GB16297-1996）表2中无组织排放监控浓度限值（周界外浓度最高点≤1.0mg/m</w:t>
      </w:r>
      <w:r>
        <w:rPr>
          <w:rFonts w:hint="eastAsia" w:asciiTheme="minorEastAsia" w:hAnsiTheme="minorEastAsia" w:eastAsiaTheme="minorEastAsia" w:cstheme="minorEastAsia"/>
          <w:color w:val="auto"/>
          <w:sz w:val="24"/>
          <w:highlight w:val="none"/>
          <w:vertAlign w:val="superscript"/>
          <w:lang w:val="en-US" w:eastAsia="zh-CN"/>
        </w:rPr>
        <w:t>3</w:t>
      </w:r>
      <w:r>
        <w:rPr>
          <w:rFonts w:hint="eastAsia" w:asciiTheme="minorEastAsia" w:hAnsiTheme="minorEastAsia" w:eastAsiaTheme="minorEastAsia" w:cstheme="minorEastAsia"/>
          <w:color w:val="auto"/>
          <w:sz w:val="24"/>
          <w:highlight w:val="none"/>
          <w:lang w:val="en-US" w:eastAsia="zh-CN"/>
        </w:rPr>
        <w:t>）。</w:t>
      </w:r>
    </w:p>
    <w:p w14:paraId="7E4BF572">
      <w:pPr>
        <w:ind w:firstLine="602" w:firstLineChars="250"/>
        <w:jc w:val="center"/>
        <w:rPr>
          <w:rFonts w:hint="eastAsia" w:asciiTheme="minorEastAsia" w:hAnsiTheme="minorEastAsia" w:eastAsiaTheme="minorEastAsia" w:cstheme="minorEastAsia"/>
          <w:b/>
          <w:color w:val="auto"/>
          <w:sz w:val="24"/>
          <w:highlight w:val="none"/>
          <w:lang w:val="zh-CN"/>
        </w:rPr>
      </w:pPr>
      <w:r>
        <w:rPr>
          <w:rFonts w:hint="eastAsia" w:asciiTheme="minorEastAsia" w:hAnsiTheme="minorEastAsia" w:eastAsiaTheme="minorEastAsia" w:cstheme="minorEastAsia"/>
          <w:b/>
          <w:color w:val="auto"/>
          <w:sz w:val="24"/>
          <w:highlight w:val="none"/>
          <w:lang w:val="zh-CN"/>
        </w:rPr>
        <w:t>表2</w:t>
      </w:r>
      <w:r>
        <w:rPr>
          <w:rFonts w:hint="eastAsia" w:asciiTheme="minorEastAsia" w:hAnsiTheme="minorEastAsia" w:eastAsiaTheme="minorEastAsia" w:cstheme="minorEastAsia"/>
          <w:b/>
          <w:color w:val="auto"/>
          <w:sz w:val="24"/>
          <w:highlight w:val="none"/>
          <w:lang w:val="en-US" w:eastAsia="zh-CN"/>
        </w:rPr>
        <w:t>.8</w:t>
      </w:r>
      <w:r>
        <w:rPr>
          <w:rFonts w:hint="eastAsia" w:asciiTheme="minorEastAsia" w:hAnsiTheme="minorEastAsia" w:eastAsiaTheme="minorEastAsia" w:cstheme="minorEastAsia"/>
          <w:b/>
          <w:color w:val="auto"/>
          <w:sz w:val="24"/>
          <w:highlight w:val="none"/>
          <w:lang w:val="zh-CN"/>
        </w:rPr>
        <w:t>-</w:t>
      </w:r>
      <w:r>
        <w:rPr>
          <w:rFonts w:hint="eastAsia" w:asciiTheme="minorEastAsia" w:hAnsiTheme="minorEastAsia" w:eastAsiaTheme="minorEastAsia" w:cstheme="minorEastAsia"/>
          <w:b/>
          <w:color w:val="auto"/>
          <w:sz w:val="24"/>
          <w:highlight w:val="none"/>
          <w:lang w:val="en-US" w:eastAsia="zh-CN"/>
        </w:rPr>
        <w:t xml:space="preserve">7  </w:t>
      </w:r>
      <w:r>
        <w:rPr>
          <w:rFonts w:hint="eastAsia" w:asciiTheme="minorEastAsia" w:hAnsiTheme="minorEastAsia" w:eastAsiaTheme="minorEastAsia" w:cstheme="minorEastAsia"/>
          <w:b/>
          <w:color w:val="auto"/>
          <w:sz w:val="24"/>
          <w:highlight w:val="none"/>
          <w:lang w:val="zh-CN"/>
        </w:rPr>
        <w:t>大气污染物综合排放标准</w:t>
      </w:r>
    </w:p>
    <w:tbl>
      <w:tblPr>
        <w:tblStyle w:val="84"/>
        <w:tblW w:w="4997" w:type="pct"/>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625"/>
        <w:gridCol w:w="3726"/>
        <w:gridCol w:w="2154"/>
        <w:gridCol w:w="12"/>
      </w:tblGrid>
      <w:tr w14:paraId="3CA5695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541" w:type="pct"/>
            <w:vMerge w:val="restart"/>
            <w:tcBorders>
              <w:tl2br w:val="nil"/>
              <w:tr2bl w:val="nil"/>
            </w:tcBorders>
            <w:noWrap w:val="0"/>
            <w:vAlign w:val="center"/>
          </w:tcPr>
          <w:p w14:paraId="50BB92F0">
            <w:pPr>
              <w:keepNext w:val="0"/>
              <w:keepLines w:val="0"/>
              <w:suppressLineNumbers w:val="0"/>
              <w:spacing w:before="0" w:beforeAutospacing="0" w:after="0" w:afterAutospacing="0" w:line="240" w:lineRule="auto"/>
              <w:ind w:left="0" w:right="0" w:firstLine="0" w:firstLineChars="0"/>
              <w:jc w:val="center"/>
              <w:rPr>
                <w:rFonts w:ascii="Times New Roman"/>
                <w:color w:val="auto"/>
                <w:sz w:val="21"/>
                <w:szCs w:val="21"/>
                <w:highlight w:val="none"/>
                <w:lang w:val="zh-CN"/>
              </w:rPr>
            </w:pPr>
            <w:r>
              <w:rPr>
                <w:rFonts w:ascii="Times New Roman"/>
                <w:color w:val="auto"/>
                <w:sz w:val="21"/>
                <w:szCs w:val="21"/>
                <w:highlight w:val="none"/>
                <w:lang w:val="zh-CN"/>
              </w:rPr>
              <w:t>污染物</w:t>
            </w:r>
          </w:p>
        </w:tc>
        <w:tc>
          <w:tcPr>
            <w:tcW w:w="3458" w:type="pct"/>
            <w:gridSpan w:val="3"/>
            <w:tcBorders>
              <w:tl2br w:val="nil"/>
              <w:tr2bl w:val="nil"/>
            </w:tcBorders>
            <w:noWrap w:val="0"/>
            <w:vAlign w:val="center"/>
          </w:tcPr>
          <w:p w14:paraId="5A2F1380">
            <w:pPr>
              <w:keepNext w:val="0"/>
              <w:keepLines w:val="0"/>
              <w:suppressLineNumbers w:val="0"/>
              <w:spacing w:before="0" w:beforeAutospacing="0" w:after="0" w:afterAutospacing="0" w:line="240" w:lineRule="auto"/>
              <w:ind w:left="0" w:right="0" w:firstLine="0" w:firstLineChars="0"/>
              <w:jc w:val="center"/>
              <w:rPr>
                <w:rFonts w:ascii="Times New Roman"/>
                <w:color w:val="auto"/>
                <w:sz w:val="21"/>
                <w:szCs w:val="21"/>
                <w:highlight w:val="none"/>
                <w:lang w:val="zh-CN"/>
              </w:rPr>
            </w:pPr>
            <w:r>
              <w:rPr>
                <w:rFonts w:ascii="Times New Roman"/>
                <w:color w:val="auto"/>
                <w:sz w:val="21"/>
                <w:szCs w:val="21"/>
                <w:highlight w:val="none"/>
                <w:lang w:val="zh-CN"/>
              </w:rPr>
              <w:t>无组织排放监控浓度限值</w:t>
            </w:r>
          </w:p>
        </w:tc>
      </w:tr>
      <w:tr w14:paraId="1E99686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90" w:hRule="atLeast"/>
          <w:jc w:val="center"/>
        </w:trPr>
        <w:tc>
          <w:tcPr>
            <w:tcW w:w="1541" w:type="pct"/>
            <w:vMerge w:val="continue"/>
            <w:tcBorders>
              <w:tl2br w:val="nil"/>
              <w:tr2bl w:val="nil"/>
            </w:tcBorders>
            <w:noWrap w:val="0"/>
            <w:vAlign w:val="center"/>
          </w:tcPr>
          <w:p w14:paraId="02233EC2">
            <w:pPr>
              <w:keepNext w:val="0"/>
              <w:keepLines w:val="0"/>
              <w:suppressLineNumbers w:val="0"/>
              <w:spacing w:before="0" w:beforeAutospacing="0" w:after="0" w:afterAutospacing="0" w:line="240" w:lineRule="auto"/>
              <w:ind w:left="0" w:right="0" w:firstLine="0" w:firstLineChars="0"/>
              <w:jc w:val="center"/>
              <w:rPr>
                <w:rFonts w:ascii="Times New Roman"/>
                <w:color w:val="auto"/>
                <w:sz w:val="21"/>
                <w:szCs w:val="21"/>
                <w:highlight w:val="none"/>
                <w:lang w:val="zh-CN"/>
              </w:rPr>
            </w:pPr>
          </w:p>
        </w:tc>
        <w:tc>
          <w:tcPr>
            <w:tcW w:w="2187" w:type="pct"/>
            <w:tcBorders>
              <w:tl2br w:val="nil"/>
              <w:tr2bl w:val="nil"/>
            </w:tcBorders>
            <w:noWrap w:val="0"/>
            <w:vAlign w:val="center"/>
          </w:tcPr>
          <w:p w14:paraId="684EEFB3">
            <w:pPr>
              <w:keepNext w:val="0"/>
              <w:keepLines w:val="0"/>
              <w:suppressLineNumbers w:val="0"/>
              <w:spacing w:before="0" w:beforeAutospacing="0" w:after="0" w:afterAutospacing="0" w:line="240" w:lineRule="auto"/>
              <w:ind w:left="0" w:right="0" w:firstLine="0" w:firstLineChars="0"/>
              <w:jc w:val="center"/>
              <w:rPr>
                <w:rFonts w:ascii="Times New Roman"/>
                <w:color w:val="auto"/>
                <w:sz w:val="21"/>
                <w:szCs w:val="21"/>
                <w:highlight w:val="none"/>
                <w:lang w:val="zh-CN"/>
              </w:rPr>
            </w:pPr>
            <w:r>
              <w:rPr>
                <w:rFonts w:ascii="Times New Roman"/>
                <w:color w:val="auto"/>
                <w:sz w:val="21"/>
                <w:szCs w:val="21"/>
                <w:highlight w:val="none"/>
                <w:lang w:val="zh-CN"/>
              </w:rPr>
              <w:t>监控点</w:t>
            </w:r>
          </w:p>
        </w:tc>
        <w:tc>
          <w:tcPr>
            <w:tcW w:w="1264" w:type="pct"/>
            <w:tcBorders>
              <w:tl2br w:val="nil"/>
              <w:tr2bl w:val="nil"/>
            </w:tcBorders>
            <w:noWrap w:val="0"/>
            <w:vAlign w:val="center"/>
          </w:tcPr>
          <w:p w14:paraId="37835CE2">
            <w:pPr>
              <w:keepNext w:val="0"/>
              <w:keepLines w:val="0"/>
              <w:suppressLineNumbers w:val="0"/>
              <w:spacing w:before="0" w:beforeAutospacing="0" w:after="0" w:afterAutospacing="0" w:line="240" w:lineRule="auto"/>
              <w:ind w:left="0" w:right="0" w:firstLine="0" w:firstLineChars="0"/>
              <w:jc w:val="center"/>
              <w:rPr>
                <w:rFonts w:ascii="Times New Roman"/>
                <w:color w:val="auto"/>
                <w:sz w:val="21"/>
                <w:szCs w:val="21"/>
                <w:highlight w:val="none"/>
                <w:lang w:val="zh-CN"/>
              </w:rPr>
            </w:pPr>
            <w:r>
              <w:rPr>
                <w:rFonts w:ascii="Times New Roman"/>
                <w:color w:val="auto"/>
                <w:sz w:val="21"/>
                <w:szCs w:val="21"/>
                <w:highlight w:val="none"/>
                <w:lang w:val="zh-CN"/>
              </w:rPr>
              <w:t>浓度</w:t>
            </w:r>
            <w:r>
              <w:rPr>
                <w:rFonts w:hint="default" w:ascii="Times New Roman" w:hAnsi="Times New Roman" w:cs="Times New Roman"/>
                <w:b w:val="0"/>
                <w:bCs w:val="0"/>
                <w:color w:val="auto"/>
                <w:sz w:val="21"/>
                <w:szCs w:val="21"/>
                <w:highlight w:val="none"/>
              </w:rPr>
              <w:t>mg/m</w:t>
            </w:r>
            <w:r>
              <w:rPr>
                <w:rFonts w:hint="default" w:ascii="Times New Roman" w:hAnsi="Times New Roman" w:cs="Times New Roman"/>
                <w:b w:val="0"/>
                <w:bCs w:val="0"/>
                <w:color w:val="auto"/>
                <w:sz w:val="21"/>
                <w:szCs w:val="21"/>
                <w:highlight w:val="none"/>
                <w:vertAlign w:val="superscript"/>
              </w:rPr>
              <w:t>3</w:t>
            </w:r>
          </w:p>
        </w:tc>
      </w:tr>
      <w:tr w14:paraId="173D55D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98" w:hRule="atLeast"/>
          <w:jc w:val="center"/>
        </w:trPr>
        <w:tc>
          <w:tcPr>
            <w:tcW w:w="1541" w:type="pct"/>
            <w:tcBorders>
              <w:tl2br w:val="nil"/>
              <w:tr2bl w:val="nil"/>
            </w:tcBorders>
            <w:noWrap w:val="0"/>
            <w:vAlign w:val="center"/>
          </w:tcPr>
          <w:p w14:paraId="12E28630">
            <w:pPr>
              <w:keepNext w:val="0"/>
              <w:keepLines w:val="0"/>
              <w:suppressLineNumbers w:val="0"/>
              <w:spacing w:before="0" w:beforeAutospacing="0" w:after="0" w:afterAutospacing="0" w:line="240" w:lineRule="auto"/>
              <w:ind w:left="0" w:right="0" w:firstLine="0" w:firstLineChars="0"/>
              <w:jc w:val="center"/>
              <w:rPr>
                <w:rFonts w:ascii="Times New Roman"/>
                <w:color w:val="auto"/>
                <w:sz w:val="21"/>
                <w:szCs w:val="21"/>
                <w:highlight w:val="none"/>
                <w:lang w:val="zh-CN"/>
              </w:rPr>
            </w:pPr>
            <w:r>
              <w:rPr>
                <w:rFonts w:ascii="Times New Roman"/>
                <w:color w:val="auto"/>
                <w:sz w:val="21"/>
                <w:szCs w:val="21"/>
                <w:highlight w:val="none"/>
                <w:lang w:val="zh-CN"/>
              </w:rPr>
              <w:t>颗粒物</w:t>
            </w:r>
          </w:p>
        </w:tc>
        <w:tc>
          <w:tcPr>
            <w:tcW w:w="2187" w:type="pct"/>
            <w:tcBorders>
              <w:tl2br w:val="nil"/>
              <w:tr2bl w:val="nil"/>
            </w:tcBorders>
            <w:noWrap w:val="0"/>
            <w:vAlign w:val="center"/>
          </w:tcPr>
          <w:p w14:paraId="120AF937">
            <w:pPr>
              <w:keepNext w:val="0"/>
              <w:keepLines w:val="0"/>
              <w:suppressLineNumbers w:val="0"/>
              <w:spacing w:before="0" w:beforeAutospacing="0" w:after="0" w:afterAutospacing="0" w:line="240" w:lineRule="auto"/>
              <w:ind w:left="0" w:right="0" w:firstLine="0" w:firstLineChars="0"/>
              <w:jc w:val="center"/>
              <w:rPr>
                <w:rFonts w:ascii="Times New Roman"/>
                <w:color w:val="auto"/>
                <w:sz w:val="21"/>
                <w:szCs w:val="21"/>
                <w:highlight w:val="none"/>
                <w:lang w:val="zh-CN"/>
              </w:rPr>
            </w:pPr>
            <w:r>
              <w:rPr>
                <w:rFonts w:ascii="Times New Roman"/>
                <w:color w:val="auto"/>
                <w:sz w:val="21"/>
                <w:szCs w:val="21"/>
                <w:highlight w:val="none"/>
                <w:lang w:val="zh-CN"/>
              </w:rPr>
              <w:t>周界外浓度最高点</w:t>
            </w:r>
          </w:p>
        </w:tc>
        <w:tc>
          <w:tcPr>
            <w:tcW w:w="1264" w:type="pct"/>
            <w:tcBorders>
              <w:tl2br w:val="nil"/>
              <w:tr2bl w:val="nil"/>
            </w:tcBorders>
            <w:noWrap w:val="0"/>
            <w:vAlign w:val="center"/>
          </w:tcPr>
          <w:p w14:paraId="070FB590">
            <w:pPr>
              <w:keepNext w:val="0"/>
              <w:keepLines w:val="0"/>
              <w:suppressLineNumbers w:val="0"/>
              <w:spacing w:before="0" w:beforeAutospacing="0" w:after="0" w:afterAutospacing="0" w:line="240" w:lineRule="auto"/>
              <w:ind w:left="0" w:right="0" w:firstLine="0" w:firstLineChars="0"/>
              <w:jc w:val="center"/>
              <w:rPr>
                <w:rFonts w:ascii="Times New Roman"/>
                <w:color w:val="auto"/>
                <w:sz w:val="21"/>
                <w:szCs w:val="21"/>
                <w:highlight w:val="none"/>
                <w:lang w:val="zh-CN"/>
              </w:rPr>
            </w:pPr>
            <w:r>
              <w:rPr>
                <w:rFonts w:ascii="Times New Roman"/>
                <w:color w:val="auto"/>
                <w:sz w:val="21"/>
                <w:szCs w:val="21"/>
                <w:highlight w:val="none"/>
                <w:lang w:val="zh-CN"/>
              </w:rPr>
              <w:t>1.0</w:t>
            </w:r>
          </w:p>
        </w:tc>
      </w:tr>
    </w:tbl>
    <w:p w14:paraId="05D7607F">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8.2.2噪声排放标准</w:t>
      </w:r>
    </w:p>
    <w:p w14:paraId="501816A5">
      <w:pPr>
        <w:autoSpaceDE w:val="0"/>
        <w:autoSpaceDN w:val="0"/>
        <w:adjustRightInd w:val="0"/>
        <w:spacing w:line="360" w:lineRule="auto"/>
        <w:ind w:firstLine="480"/>
        <w:rPr>
          <w:rFonts w:hint="default" w:ascii="Times New Roman" w:hAnsi="Times New Roman" w:cs="Times New Roman"/>
          <w:color w:val="auto"/>
          <w:highlight w:val="none"/>
          <w:lang w:val="zh-CN" w:eastAsia="zh-CN"/>
        </w:rPr>
      </w:pPr>
      <w:r>
        <w:rPr>
          <w:rFonts w:hint="default" w:ascii="Times New Roman" w:hAnsi="Times New Roman" w:cs="Times New Roman"/>
          <w:color w:val="auto"/>
          <w:highlight w:val="none"/>
          <w:lang w:val="zh-CN"/>
        </w:rPr>
        <w:t>本项目施工期噪声排放执行《建筑施工噪声排放标准》（GB12523-20</w:t>
      </w:r>
      <w:r>
        <w:rPr>
          <w:rFonts w:hint="default" w:ascii="Times New Roman" w:hAnsi="Times New Roman" w:cs="Times New Roman"/>
          <w:color w:val="auto"/>
          <w:highlight w:val="none"/>
          <w:lang w:val="en-US" w:eastAsia="zh-CN"/>
        </w:rPr>
        <w:t>25</w:t>
      </w:r>
      <w:r>
        <w:rPr>
          <w:rFonts w:hint="default" w:ascii="Times New Roman" w:hAnsi="Times New Roman" w:cs="Times New Roman"/>
          <w:color w:val="auto"/>
          <w:highlight w:val="none"/>
          <w:lang w:val="zh-CN"/>
        </w:rPr>
        <w:t>），</w:t>
      </w:r>
      <w:r>
        <w:rPr>
          <w:rFonts w:hint="default" w:ascii="Times New Roman" w:hAnsi="Times New Roman" w:cs="Times New Roman"/>
          <w:color w:val="auto"/>
          <w:highlight w:val="none"/>
          <w:lang w:val="en-US" w:eastAsia="zh-CN"/>
        </w:rPr>
        <w:t>回填期厂界噪声执行</w:t>
      </w:r>
      <w:r>
        <w:rPr>
          <w:rFonts w:hint="default" w:ascii="Times New Roman" w:hAnsi="Times New Roman" w:cs="Times New Roman"/>
          <w:color w:val="auto"/>
          <w:highlight w:val="none"/>
        </w:rPr>
        <w:t>《工业企业厂界环境噪声排放标准》（GB12348-2008）表1中的1类标准</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详</w:t>
      </w:r>
      <w:r>
        <w:rPr>
          <w:rFonts w:hint="default" w:ascii="Times New Roman" w:hAnsi="Times New Roman" w:cs="Times New Roman"/>
          <w:color w:val="auto"/>
          <w:highlight w:val="none"/>
          <w:lang w:val="zh-CN"/>
        </w:rPr>
        <w:t>见表2</w:t>
      </w:r>
      <w:r>
        <w:rPr>
          <w:rFonts w:hint="default" w:ascii="Times New Roman" w:hAnsi="Times New Roman" w:cs="Times New Roman"/>
          <w:color w:val="auto"/>
          <w:highlight w:val="none"/>
          <w:lang w:val="en-US" w:eastAsia="zh-CN"/>
        </w:rPr>
        <w:t>.</w:t>
      </w:r>
      <w:r>
        <w:rPr>
          <w:rFonts w:hint="eastAsia" w:ascii="Times New Roman" w:cs="Times New Roman"/>
          <w:color w:val="auto"/>
          <w:highlight w:val="none"/>
          <w:lang w:val="en-US" w:eastAsia="zh-CN"/>
        </w:rPr>
        <w:t>8.8</w:t>
      </w:r>
      <w:r>
        <w:rPr>
          <w:rFonts w:hint="default" w:ascii="Times New Roman" w:hAnsi="Times New Roman" w:cs="Times New Roman"/>
          <w:color w:val="auto"/>
          <w:highlight w:val="none"/>
          <w:lang w:val="zh-CN"/>
        </w:rPr>
        <w:t>。</w:t>
      </w:r>
    </w:p>
    <w:p w14:paraId="06E64651">
      <w:pPr>
        <w:spacing w:line="440" w:lineRule="exact"/>
        <w:ind w:firstLine="482"/>
        <w:jc w:val="center"/>
        <w:rPr>
          <w:rFonts w:hint="default" w:asciiTheme="minorEastAsia" w:hAnsiTheme="minorEastAsia" w:eastAsiaTheme="minorEastAsia" w:cstheme="minorEastAsia"/>
          <w:b/>
          <w:color w:val="auto"/>
          <w:sz w:val="24"/>
          <w:highlight w:val="none"/>
          <w:lang w:val="en-US" w:eastAsia="zh-CN"/>
        </w:rPr>
      </w:pPr>
      <w:r>
        <w:rPr>
          <w:rFonts w:hint="default" w:asciiTheme="minorEastAsia" w:hAnsiTheme="minorEastAsia" w:eastAsiaTheme="minorEastAsia" w:cstheme="minorEastAsia"/>
          <w:b/>
          <w:color w:val="auto"/>
          <w:sz w:val="24"/>
          <w:highlight w:val="none"/>
          <w:lang w:val="en-US" w:eastAsia="zh-CN"/>
        </w:rPr>
        <w:t>表2.</w:t>
      </w:r>
      <w:r>
        <w:rPr>
          <w:rFonts w:hint="eastAsia" w:asciiTheme="minorEastAsia" w:hAnsiTheme="minorEastAsia" w:eastAsiaTheme="minorEastAsia" w:cstheme="minorEastAsia"/>
          <w:b/>
          <w:color w:val="auto"/>
          <w:sz w:val="24"/>
          <w:highlight w:val="none"/>
          <w:lang w:val="en-US" w:eastAsia="zh-CN"/>
        </w:rPr>
        <w:t>8</w:t>
      </w:r>
      <w:r>
        <w:rPr>
          <w:rFonts w:hint="default" w:asciiTheme="minorEastAsia" w:hAnsiTheme="minorEastAsia" w:eastAsiaTheme="minorEastAsia" w:cstheme="minorEastAsia"/>
          <w:b/>
          <w:color w:val="auto"/>
          <w:sz w:val="24"/>
          <w:highlight w:val="none"/>
          <w:lang w:val="en-US" w:eastAsia="zh-CN"/>
        </w:rPr>
        <w:t>-</w:t>
      </w:r>
      <w:r>
        <w:rPr>
          <w:rFonts w:hint="eastAsia" w:asciiTheme="minorEastAsia" w:hAnsiTheme="minorEastAsia" w:eastAsiaTheme="minorEastAsia" w:cstheme="minorEastAsia"/>
          <w:b/>
          <w:color w:val="auto"/>
          <w:sz w:val="24"/>
          <w:highlight w:val="none"/>
          <w:lang w:val="en-US" w:eastAsia="zh-CN"/>
        </w:rPr>
        <w:t xml:space="preserve">8  </w:t>
      </w:r>
      <w:r>
        <w:rPr>
          <w:rFonts w:hint="default" w:asciiTheme="minorEastAsia" w:hAnsiTheme="minorEastAsia" w:eastAsiaTheme="minorEastAsia" w:cstheme="minorEastAsia"/>
          <w:b/>
          <w:color w:val="auto"/>
          <w:sz w:val="24"/>
          <w:highlight w:val="none"/>
          <w:lang w:val="en-US" w:eastAsia="zh-CN"/>
        </w:rPr>
        <w:t>噪声排放标准                 单位：dB（A）</w:t>
      </w:r>
    </w:p>
    <w:tbl>
      <w:tblPr>
        <w:tblStyle w:val="84"/>
        <w:tblW w:w="8797" w:type="dxa"/>
        <w:jc w:val="center"/>
        <w:tblBorders>
          <w:top w:val="single" w:color="000000" w:sz="8" w:space="0"/>
          <w:left w:val="none" w:color="auto" w:sz="0" w:space="0"/>
          <w:bottom w:val="single" w:color="000000" w:sz="8"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2122"/>
        <w:gridCol w:w="1071"/>
        <w:gridCol w:w="1104"/>
        <w:gridCol w:w="4500"/>
      </w:tblGrid>
      <w:tr w14:paraId="43ABB979">
        <w:tblPrEx>
          <w:tblBorders>
            <w:top w:val="single" w:color="000000" w:sz="8" w:space="0"/>
            <w:left w:val="none" w:color="auto" w:sz="0" w:space="0"/>
            <w:bottom w:val="single" w:color="000000" w:sz="8"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42" w:hRule="atLeast"/>
          <w:jc w:val="center"/>
        </w:trPr>
        <w:tc>
          <w:tcPr>
            <w:tcW w:w="2122" w:type="dxa"/>
            <w:tcBorders>
              <w:tl2br w:val="single" w:color="000000" w:sz="2" w:space="0"/>
            </w:tcBorders>
            <w:noWrap w:val="0"/>
            <w:vAlign w:val="center"/>
          </w:tcPr>
          <w:p w14:paraId="169FF609">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4"/>
                <w:highlight w:val="none"/>
                <w:lang w:val="en-US" w:eastAsia="zh-CN" w:bidi="ar"/>
              </w:rPr>
            </w:pPr>
            <w:r>
              <w:rPr>
                <w:rFonts w:hint="default" w:ascii="Times New Roman" w:hAnsi="Times New Roman" w:cs="Times New Roman"/>
                <w:color w:val="auto"/>
                <w:sz w:val="21"/>
                <w:szCs w:val="24"/>
                <w:highlight w:val="none"/>
                <w:lang w:val="en-US" w:eastAsia="zh-CN" w:bidi="ar"/>
              </w:rPr>
              <w:t xml:space="preserve">         时段  </w:t>
            </w:r>
          </w:p>
          <w:p w14:paraId="0ACD488D">
            <w:pPr>
              <w:keepNext w:val="0"/>
              <w:keepLines w:val="0"/>
              <w:suppressLineNumbers w:val="0"/>
              <w:adjustRightInd w:val="0"/>
              <w:snapToGrid w:val="0"/>
              <w:spacing w:before="0" w:beforeAutospacing="0" w:after="0" w:afterAutospacing="0" w:line="240" w:lineRule="auto"/>
              <w:ind w:left="0" w:right="0" w:firstLine="0" w:firstLineChars="0"/>
              <w:jc w:val="both"/>
              <w:rPr>
                <w:rFonts w:hint="default" w:ascii="Times New Roman" w:hAnsi="Times New Roman" w:eastAsia="宋体" w:cs="Times New Roman"/>
                <w:color w:val="auto"/>
                <w:sz w:val="21"/>
                <w:szCs w:val="24"/>
                <w:highlight w:val="none"/>
                <w:lang w:val="en-US" w:eastAsia="zh-CN" w:bidi="ar"/>
              </w:rPr>
            </w:pPr>
            <w:r>
              <w:rPr>
                <w:rFonts w:hint="default" w:ascii="Times New Roman" w:hAnsi="Times New Roman" w:cs="Times New Roman"/>
                <w:color w:val="auto"/>
                <w:sz w:val="21"/>
                <w:szCs w:val="24"/>
                <w:highlight w:val="none"/>
                <w:lang w:val="en-US" w:eastAsia="zh-CN" w:bidi="ar"/>
              </w:rPr>
              <w:t>时间</w:t>
            </w:r>
          </w:p>
        </w:tc>
        <w:tc>
          <w:tcPr>
            <w:tcW w:w="1071" w:type="dxa"/>
            <w:tcBorders>
              <w:tl2br w:val="nil"/>
              <w:tr2bl w:val="nil"/>
            </w:tcBorders>
            <w:noWrap w:val="0"/>
            <w:vAlign w:val="center"/>
          </w:tcPr>
          <w:p w14:paraId="2E62A722">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4"/>
                <w:highlight w:val="none"/>
                <w:lang w:bidi="ar"/>
              </w:rPr>
            </w:pPr>
            <w:r>
              <w:rPr>
                <w:rFonts w:hint="default" w:ascii="Times New Roman" w:hAnsi="Times New Roman" w:cs="Times New Roman"/>
                <w:color w:val="auto"/>
                <w:sz w:val="21"/>
                <w:szCs w:val="24"/>
                <w:highlight w:val="none"/>
                <w:lang w:bidi="ar"/>
              </w:rPr>
              <w:t>昼间</w:t>
            </w:r>
          </w:p>
        </w:tc>
        <w:tc>
          <w:tcPr>
            <w:tcW w:w="1104" w:type="dxa"/>
            <w:tcBorders>
              <w:tl2br w:val="nil"/>
              <w:tr2bl w:val="nil"/>
            </w:tcBorders>
            <w:noWrap w:val="0"/>
            <w:vAlign w:val="center"/>
          </w:tcPr>
          <w:p w14:paraId="17B2042F">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4"/>
                <w:highlight w:val="none"/>
                <w:lang w:bidi="ar"/>
              </w:rPr>
            </w:pPr>
            <w:r>
              <w:rPr>
                <w:rFonts w:hint="default" w:ascii="Times New Roman" w:hAnsi="Times New Roman" w:cs="Times New Roman"/>
                <w:color w:val="auto"/>
                <w:sz w:val="21"/>
                <w:szCs w:val="24"/>
                <w:highlight w:val="none"/>
                <w:lang w:bidi="ar"/>
              </w:rPr>
              <w:t>夜间</w:t>
            </w:r>
          </w:p>
        </w:tc>
        <w:tc>
          <w:tcPr>
            <w:tcW w:w="4500" w:type="dxa"/>
            <w:tcBorders>
              <w:tl2br w:val="nil"/>
              <w:tr2bl w:val="nil"/>
            </w:tcBorders>
            <w:noWrap w:val="0"/>
            <w:vAlign w:val="center"/>
          </w:tcPr>
          <w:p w14:paraId="71EB9B09">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4"/>
                <w:highlight w:val="none"/>
                <w:lang w:val="en-US" w:eastAsia="zh-CN" w:bidi="ar"/>
              </w:rPr>
            </w:pPr>
            <w:r>
              <w:rPr>
                <w:rFonts w:hint="default" w:ascii="Times New Roman" w:hAnsi="Times New Roman" w:cs="Times New Roman"/>
                <w:color w:val="auto"/>
                <w:sz w:val="21"/>
                <w:szCs w:val="24"/>
                <w:highlight w:val="none"/>
                <w:lang w:val="en-US" w:eastAsia="zh-CN" w:bidi="ar"/>
              </w:rPr>
              <w:t>标准</w:t>
            </w:r>
          </w:p>
        </w:tc>
      </w:tr>
      <w:tr w14:paraId="5572E793">
        <w:tblPrEx>
          <w:tblBorders>
            <w:top w:val="single" w:color="000000" w:sz="8" w:space="0"/>
            <w:left w:val="none" w:color="auto" w:sz="0" w:space="0"/>
            <w:bottom w:val="single" w:color="000000" w:sz="8"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9" w:hRule="atLeast"/>
          <w:jc w:val="center"/>
        </w:trPr>
        <w:tc>
          <w:tcPr>
            <w:tcW w:w="2122" w:type="dxa"/>
            <w:tcBorders>
              <w:tl2br w:val="nil"/>
              <w:tr2bl w:val="nil"/>
            </w:tcBorders>
            <w:noWrap w:val="0"/>
            <w:vAlign w:val="center"/>
          </w:tcPr>
          <w:p w14:paraId="74EEB789">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cs="Times New Roman"/>
                <w:color w:val="auto"/>
                <w:sz w:val="21"/>
                <w:szCs w:val="21"/>
                <w:highlight w:val="none"/>
                <w:lang w:val="en-US" w:eastAsia="zh-CN" w:bidi="ar"/>
              </w:rPr>
              <w:t>施工期</w:t>
            </w:r>
          </w:p>
        </w:tc>
        <w:tc>
          <w:tcPr>
            <w:tcW w:w="1071" w:type="dxa"/>
            <w:tcBorders>
              <w:tl2br w:val="nil"/>
              <w:tr2bl w:val="nil"/>
            </w:tcBorders>
            <w:noWrap w:val="0"/>
            <w:vAlign w:val="center"/>
          </w:tcPr>
          <w:p w14:paraId="60B776D7">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bidi="ar"/>
              </w:rPr>
            </w:pPr>
            <w:r>
              <w:rPr>
                <w:rFonts w:hint="default" w:ascii="Times New Roman" w:hAnsi="Times New Roman" w:cs="Times New Roman"/>
                <w:color w:val="auto"/>
                <w:sz w:val="21"/>
                <w:szCs w:val="21"/>
                <w:highlight w:val="none"/>
                <w:lang w:bidi="ar"/>
              </w:rPr>
              <w:t>70</w:t>
            </w:r>
          </w:p>
        </w:tc>
        <w:tc>
          <w:tcPr>
            <w:tcW w:w="1104" w:type="dxa"/>
            <w:tcBorders>
              <w:tl2br w:val="nil"/>
              <w:tr2bl w:val="nil"/>
            </w:tcBorders>
            <w:noWrap w:val="0"/>
            <w:vAlign w:val="center"/>
          </w:tcPr>
          <w:p w14:paraId="17AC71AF">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bidi="ar"/>
              </w:rPr>
            </w:pPr>
            <w:r>
              <w:rPr>
                <w:rFonts w:hint="default" w:ascii="Times New Roman" w:hAnsi="Times New Roman" w:cs="Times New Roman"/>
                <w:color w:val="auto"/>
                <w:sz w:val="21"/>
                <w:szCs w:val="21"/>
                <w:highlight w:val="none"/>
                <w:lang w:bidi="ar"/>
              </w:rPr>
              <w:t>55</w:t>
            </w:r>
          </w:p>
        </w:tc>
        <w:tc>
          <w:tcPr>
            <w:tcW w:w="4500" w:type="dxa"/>
            <w:tcBorders>
              <w:tl2br w:val="nil"/>
              <w:tr2bl w:val="nil"/>
            </w:tcBorders>
            <w:noWrap w:val="0"/>
            <w:vAlign w:val="center"/>
          </w:tcPr>
          <w:p w14:paraId="1A07537A">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bidi="ar"/>
              </w:rPr>
            </w:pPr>
            <w:r>
              <w:rPr>
                <w:rFonts w:hint="default" w:ascii="Times New Roman" w:hAnsi="Times New Roman" w:cs="Times New Roman"/>
                <w:color w:val="auto"/>
                <w:sz w:val="21"/>
                <w:szCs w:val="21"/>
                <w:highlight w:val="none"/>
                <w:lang w:val="zh-CN"/>
              </w:rPr>
              <w:t>《建筑施工噪声排放标准》（GB12523-20</w:t>
            </w:r>
            <w:r>
              <w:rPr>
                <w:rFonts w:hint="default" w:ascii="Times New Roman" w:hAnsi="Times New Roman" w:cs="Times New Roman"/>
                <w:color w:val="auto"/>
                <w:sz w:val="21"/>
                <w:szCs w:val="21"/>
                <w:highlight w:val="none"/>
                <w:lang w:val="en-US" w:eastAsia="zh-CN"/>
              </w:rPr>
              <w:t>25</w:t>
            </w:r>
            <w:r>
              <w:rPr>
                <w:rFonts w:hint="default" w:ascii="Times New Roman" w:hAnsi="Times New Roman" w:cs="Times New Roman"/>
                <w:color w:val="auto"/>
                <w:sz w:val="21"/>
                <w:szCs w:val="21"/>
                <w:highlight w:val="none"/>
                <w:lang w:val="zh-CN"/>
              </w:rPr>
              <w:t>）</w:t>
            </w:r>
          </w:p>
        </w:tc>
      </w:tr>
      <w:tr w14:paraId="39F73F19">
        <w:tblPrEx>
          <w:tblBorders>
            <w:top w:val="single" w:color="000000" w:sz="8" w:space="0"/>
            <w:left w:val="none" w:color="auto" w:sz="0" w:space="0"/>
            <w:bottom w:val="single" w:color="000000" w:sz="8"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09" w:hRule="atLeast"/>
          <w:jc w:val="center"/>
        </w:trPr>
        <w:tc>
          <w:tcPr>
            <w:tcW w:w="2122" w:type="dxa"/>
            <w:tcBorders>
              <w:tl2br w:val="nil"/>
              <w:tr2bl w:val="nil"/>
            </w:tcBorders>
            <w:noWrap w:val="0"/>
            <w:vAlign w:val="center"/>
          </w:tcPr>
          <w:p w14:paraId="5A5934B2">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bidi="ar"/>
              </w:rPr>
            </w:pPr>
            <w:r>
              <w:rPr>
                <w:rFonts w:hint="default" w:ascii="Times New Roman" w:hAnsi="Times New Roman" w:cs="Times New Roman"/>
                <w:color w:val="auto"/>
                <w:sz w:val="21"/>
                <w:szCs w:val="21"/>
                <w:highlight w:val="none"/>
                <w:lang w:val="en-US" w:eastAsia="zh-CN" w:bidi="ar"/>
              </w:rPr>
              <w:t>回填期</w:t>
            </w:r>
          </w:p>
        </w:tc>
        <w:tc>
          <w:tcPr>
            <w:tcW w:w="1071" w:type="dxa"/>
            <w:tcBorders>
              <w:tl2br w:val="nil"/>
              <w:tr2bl w:val="nil"/>
            </w:tcBorders>
            <w:noWrap w:val="0"/>
            <w:vAlign w:val="center"/>
          </w:tcPr>
          <w:p w14:paraId="48F926EC">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cs="Times New Roman"/>
                <w:color w:val="auto"/>
                <w:sz w:val="21"/>
                <w:szCs w:val="21"/>
                <w:highlight w:val="none"/>
                <w:lang w:val="en-US" w:eastAsia="zh-CN" w:bidi="ar"/>
              </w:rPr>
              <w:t>55</w:t>
            </w:r>
          </w:p>
        </w:tc>
        <w:tc>
          <w:tcPr>
            <w:tcW w:w="1104" w:type="dxa"/>
            <w:tcBorders>
              <w:tl2br w:val="nil"/>
              <w:tr2bl w:val="nil"/>
            </w:tcBorders>
            <w:noWrap w:val="0"/>
            <w:vAlign w:val="center"/>
          </w:tcPr>
          <w:p w14:paraId="4E0DCEC6">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cs="Times New Roman"/>
                <w:color w:val="auto"/>
                <w:sz w:val="21"/>
                <w:szCs w:val="21"/>
                <w:highlight w:val="none"/>
                <w:lang w:val="en-US" w:eastAsia="zh-CN" w:bidi="ar"/>
              </w:rPr>
              <w:t>45</w:t>
            </w:r>
          </w:p>
        </w:tc>
        <w:tc>
          <w:tcPr>
            <w:tcW w:w="4500" w:type="dxa"/>
            <w:tcBorders>
              <w:tl2br w:val="nil"/>
              <w:tr2bl w:val="nil"/>
            </w:tcBorders>
            <w:noWrap w:val="0"/>
            <w:vAlign w:val="center"/>
          </w:tcPr>
          <w:p w14:paraId="0C5A3F6C">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bidi="ar"/>
              </w:rPr>
            </w:pPr>
            <w:r>
              <w:rPr>
                <w:rFonts w:hint="default" w:ascii="Times New Roman" w:hAnsi="Times New Roman" w:cs="Times New Roman"/>
                <w:color w:val="auto"/>
                <w:sz w:val="21"/>
                <w:szCs w:val="21"/>
                <w:highlight w:val="none"/>
              </w:rPr>
              <w:t>《工业企业厂界环境噪声排放标准》（GB12348-2008）表1中的1类标准</w:t>
            </w:r>
          </w:p>
        </w:tc>
      </w:tr>
    </w:tbl>
    <w:p w14:paraId="45995C06">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lang w:val="en-US" w:eastAsia="zh-CN"/>
        </w:rPr>
      </w:pPr>
      <w:r>
        <w:rPr>
          <w:rFonts w:hint="eastAsia" w:asciiTheme="minorEastAsia" w:hAnsiTheme="minorEastAsia" w:eastAsiaTheme="minorEastAsia" w:cstheme="minorEastAsia"/>
          <w:b/>
          <w:snapToGrid w:val="0"/>
          <w:color w:val="auto"/>
          <w:highlight w:val="none"/>
        </w:rPr>
        <w:t>2.</w:t>
      </w:r>
      <w:r>
        <w:rPr>
          <w:rFonts w:hint="eastAsia" w:asciiTheme="minorEastAsia" w:hAnsiTheme="minorEastAsia" w:eastAsiaTheme="minorEastAsia" w:cstheme="minorEastAsia"/>
          <w:b/>
          <w:snapToGrid w:val="0"/>
          <w:color w:val="auto"/>
          <w:highlight w:val="none"/>
          <w:lang w:val="en-US" w:eastAsia="zh-CN"/>
        </w:rPr>
        <w:t>8.2.3固体废物</w:t>
      </w:r>
    </w:p>
    <w:p w14:paraId="5948BF71">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highlight w:val="none"/>
          <w:lang w:val="en-US" w:eastAsia="zh-CN"/>
        </w:rPr>
        <w:t>《一般工业固体废物贮存和填埋污染控制标准》（GB18599-2020）中的相关要求。</w:t>
      </w:r>
    </w:p>
    <w:p w14:paraId="3DD96A53">
      <w:pPr>
        <w:widowControl w:val="0"/>
        <w:snapToGrid w:val="0"/>
        <w:spacing w:line="240" w:lineRule="auto"/>
        <w:ind w:firstLine="482"/>
        <w:jc w:val="center"/>
        <w:rPr>
          <w:rFonts w:hint="eastAsia" w:asciiTheme="minorEastAsia" w:hAnsiTheme="minorEastAsia" w:eastAsiaTheme="minorEastAsia" w:cstheme="minorEastAsia"/>
          <w:b/>
          <w:color w:val="auto"/>
          <w:highlight w:val="none"/>
        </w:rPr>
      </w:pPr>
    </w:p>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14:paraId="0DAA4313">
      <w:pPr>
        <w:pStyle w:val="5"/>
        <w:bidi w:val="0"/>
        <w:rPr>
          <w:rFonts w:hint="eastAsia" w:asciiTheme="minorEastAsia" w:hAnsiTheme="minorEastAsia" w:eastAsiaTheme="minorEastAsia" w:cstheme="minorEastAsia"/>
          <w:color w:val="auto"/>
          <w:highlight w:val="none"/>
        </w:rPr>
        <w:sectPr>
          <w:headerReference r:id="rId8" w:type="default"/>
          <w:footerReference r:id="rId9" w:type="default"/>
          <w:pgSz w:w="11906" w:h="16838"/>
          <w:pgMar w:top="1440" w:right="1800" w:bottom="1440" w:left="1800" w:header="851" w:footer="992" w:gutter="0"/>
          <w:pgBorders>
            <w:top w:val="none" w:sz="0" w:space="0"/>
            <w:left w:val="none" w:sz="0" w:space="0"/>
            <w:bottom w:val="none" w:sz="0" w:space="0"/>
            <w:right w:val="none" w:sz="0" w:space="0"/>
          </w:pgBorders>
          <w:pgNumType w:fmt="numberInDash"/>
          <w:cols w:space="720" w:num="1"/>
          <w:docGrid w:linePitch="312" w:charSpace="-551"/>
        </w:sectPr>
      </w:pPr>
    </w:p>
    <w:p w14:paraId="53F7529D">
      <w:pPr>
        <w:pStyle w:val="5"/>
        <w:bidi w:val="0"/>
        <w:rPr>
          <w:rFonts w:hint="eastAsia" w:asciiTheme="minorEastAsia" w:hAnsiTheme="minorEastAsia" w:eastAsiaTheme="minorEastAsia" w:cstheme="minorEastAsia"/>
          <w:color w:val="auto"/>
          <w:highlight w:val="none"/>
        </w:rPr>
      </w:pPr>
      <w:bookmarkStart w:id="335" w:name="_Toc21581"/>
      <w:r>
        <w:rPr>
          <w:rFonts w:hint="eastAsia" w:asciiTheme="minorEastAsia" w:hAnsiTheme="minorEastAsia" w:eastAsiaTheme="minorEastAsia" w:cstheme="minorEastAsia"/>
          <w:color w:val="auto"/>
          <w:highlight w:val="none"/>
        </w:rPr>
        <w:t>3建设项目工程分析</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35"/>
    </w:p>
    <w:p w14:paraId="6B50A59E">
      <w:pPr>
        <w:pStyle w:val="6"/>
        <w:bidi w:val="0"/>
        <w:rPr>
          <w:rFonts w:hint="eastAsia" w:asciiTheme="minorEastAsia" w:hAnsiTheme="minorEastAsia" w:eastAsiaTheme="minorEastAsia" w:cstheme="minorEastAsia"/>
          <w:color w:val="auto"/>
          <w:highlight w:val="none"/>
        </w:rPr>
      </w:pPr>
      <w:bookmarkStart w:id="336" w:name="_Toc28445"/>
      <w:bookmarkStart w:id="337" w:name="_Toc31500"/>
      <w:bookmarkStart w:id="338" w:name="_Toc31030"/>
      <w:bookmarkStart w:id="339" w:name="_Toc19234"/>
      <w:bookmarkStart w:id="340" w:name="_Toc11245"/>
      <w:bookmarkStart w:id="341" w:name="_Toc25604"/>
      <w:bookmarkStart w:id="342" w:name="_Toc21639"/>
      <w:bookmarkStart w:id="343" w:name="_Toc30616"/>
      <w:bookmarkStart w:id="344" w:name="_Toc5471"/>
      <w:bookmarkStart w:id="345" w:name="_Toc19601"/>
      <w:bookmarkStart w:id="346" w:name="_Toc1741"/>
      <w:bookmarkStart w:id="347" w:name="_Toc8060"/>
      <w:bookmarkStart w:id="348" w:name="_Toc20490"/>
      <w:bookmarkStart w:id="349" w:name="_Toc26707"/>
      <w:bookmarkStart w:id="350" w:name="_Toc691"/>
      <w:bookmarkStart w:id="351" w:name="_Toc809"/>
      <w:bookmarkStart w:id="352" w:name="_Toc6743"/>
      <w:bookmarkStart w:id="353" w:name="_Toc12809"/>
      <w:bookmarkStart w:id="354" w:name="_Toc25726"/>
      <w:bookmarkStart w:id="355" w:name="_Toc17036"/>
      <w:r>
        <w:rPr>
          <w:rFonts w:hint="eastAsia" w:asciiTheme="minorEastAsia" w:hAnsiTheme="minorEastAsia" w:eastAsiaTheme="minorEastAsia" w:cstheme="minorEastAsia"/>
          <w:color w:val="auto"/>
          <w:highlight w:val="none"/>
          <w:lang w:val="en-US" w:eastAsia="zh-CN"/>
        </w:rPr>
        <w:t>3.1工程</w:t>
      </w:r>
      <w:r>
        <w:rPr>
          <w:rFonts w:hint="eastAsia" w:asciiTheme="minorEastAsia" w:hAnsiTheme="minorEastAsia" w:eastAsiaTheme="minorEastAsia" w:cstheme="minorEastAsia"/>
          <w:color w:val="auto"/>
          <w:highlight w:val="none"/>
        </w:rPr>
        <w:t>概况</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74709B57">
      <w:pPr>
        <w:pStyle w:val="7"/>
        <w:widowControl w:val="0"/>
        <w:numPr>
          <w:ilvl w:val="2"/>
          <w:numId w:val="0"/>
        </w:numPr>
        <w:adjustRightInd w:val="0"/>
        <w:snapToGrid w:val="0"/>
        <w:spacing w:before="0" w:after="0" w:line="360" w:lineRule="auto"/>
        <w:ind w:leftChars="0"/>
        <w:rPr>
          <w:rFonts w:hint="eastAsia" w:asciiTheme="minorEastAsia" w:hAnsiTheme="minorEastAsia" w:eastAsiaTheme="minorEastAsia" w:cstheme="minorEastAsia"/>
          <w:color w:val="auto"/>
          <w:highlight w:val="none"/>
        </w:rPr>
      </w:pPr>
      <w:bookmarkStart w:id="356" w:name="_Toc531800111"/>
      <w:bookmarkStart w:id="357" w:name="_Toc525827432"/>
      <w:bookmarkStart w:id="358" w:name="_Toc532125230"/>
      <w:bookmarkStart w:id="359" w:name="_Toc8618"/>
      <w:bookmarkStart w:id="360" w:name="_Toc13779"/>
      <w:bookmarkStart w:id="361" w:name="_Toc24633"/>
      <w:bookmarkStart w:id="362" w:name="_Toc476129208"/>
      <w:bookmarkStart w:id="363" w:name="_Toc19509"/>
      <w:bookmarkStart w:id="364" w:name="_Toc14150"/>
      <w:bookmarkStart w:id="365" w:name="_Toc477358377"/>
      <w:bookmarkStart w:id="366" w:name="_Toc6016"/>
      <w:r>
        <w:rPr>
          <w:rFonts w:hint="eastAsia" w:asciiTheme="minorEastAsia" w:hAnsiTheme="minorEastAsia" w:eastAsiaTheme="minorEastAsia" w:cstheme="minorEastAsia"/>
          <w:color w:val="auto"/>
          <w:highlight w:val="none"/>
        </w:rPr>
        <w:t>3.1.</w:t>
      </w:r>
      <w:r>
        <w:rPr>
          <w:rFonts w:hint="eastAsia" w:asciiTheme="minorEastAsia" w:hAnsiTheme="minorEastAsia" w:eastAsiaTheme="minorEastAsia" w:cstheme="minorEastAsia"/>
          <w:color w:val="auto"/>
          <w:highlight w:val="none"/>
          <w:lang w:val="en-US" w:eastAsia="zh-CN"/>
        </w:rPr>
        <w:t>1</w:t>
      </w:r>
      <w:r>
        <w:rPr>
          <w:rFonts w:hint="eastAsia" w:asciiTheme="minorEastAsia" w:hAnsiTheme="minorEastAsia" w:eastAsiaTheme="minorEastAsia" w:cstheme="minorEastAsia"/>
          <w:color w:val="auto"/>
          <w:highlight w:val="none"/>
        </w:rPr>
        <w:t>现有</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rPr>
        <w:t>现状</w:t>
      </w:r>
    </w:p>
    <w:p w14:paraId="4B7BED2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本次拟回填复垦</w:t>
      </w:r>
      <w:r>
        <w:rPr>
          <w:rFonts w:hint="eastAsia" w:asciiTheme="minorEastAsia" w:hAnsiTheme="minorEastAsia" w:eastAsiaTheme="minorEastAsia" w:cstheme="minorEastAsia"/>
          <w:color w:val="auto"/>
          <w:highlight w:val="none"/>
          <w:lang w:val="en-US" w:eastAsia="zh-CN"/>
        </w:rPr>
        <w:t>的</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rPr>
        <w:t>位于</w:t>
      </w:r>
      <w:r>
        <w:rPr>
          <w:rFonts w:hint="eastAsia" w:asciiTheme="minorEastAsia" w:hAnsiTheme="minorEastAsia" w:eastAsiaTheme="minorEastAsia" w:cstheme="minorEastAsia"/>
          <w:color w:val="auto"/>
          <w:sz w:val="24"/>
          <w:szCs w:val="24"/>
          <w:highlight w:val="none"/>
          <w:lang w:val="en-US" w:eastAsia="zh-CN"/>
        </w:rPr>
        <w:t>尚志市元宝镇元宝村新村北侧252米</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szCs w:val="24"/>
          <w:highlight w:val="none"/>
        </w:rPr>
        <w:t>该露天采坑</w:t>
      </w:r>
      <w:r>
        <w:rPr>
          <w:rFonts w:hint="eastAsia" w:asciiTheme="minorEastAsia" w:hAnsiTheme="minorEastAsia" w:eastAsiaTheme="minorEastAsia" w:cstheme="minorEastAsia"/>
          <w:color w:val="auto"/>
          <w:sz w:val="24"/>
          <w:szCs w:val="24"/>
          <w:highlight w:val="none"/>
          <w:lang w:val="en-US" w:eastAsia="zh-CN"/>
        </w:rPr>
        <w:t>由附近村民修建建筑物盗采所形成</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kern w:val="0"/>
          <w:sz w:val="24"/>
          <w:szCs w:val="24"/>
          <w:highlight w:val="none"/>
          <w:lang w:val="en-US" w:eastAsia="zh-CN" w:bidi="ar"/>
        </w:rPr>
        <w:t>面积约11296.10m</w:t>
      </w:r>
      <w:r>
        <w:rPr>
          <w:rFonts w:hint="eastAsia" w:asciiTheme="minorEastAsia" w:hAnsiTheme="minorEastAsia" w:eastAsiaTheme="minorEastAsia" w:cstheme="minorEastAsia"/>
          <w:color w:val="auto"/>
          <w:kern w:val="0"/>
          <w:sz w:val="24"/>
          <w:szCs w:val="24"/>
          <w:highlight w:val="none"/>
          <w:vertAlign w:val="superscript"/>
          <w:lang w:val="en-US" w:eastAsia="zh-CN" w:bidi="ar"/>
        </w:rPr>
        <w:t>2</w:t>
      </w:r>
      <w:r>
        <w:rPr>
          <w:rFonts w:hint="eastAsia" w:asciiTheme="minorEastAsia" w:hAnsiTheme="minorEastAsia" w:eastAsiaTheme="minorEastAsia" w:cstheme="minorEastAsia"/>
          <w:color w:val="auto"/>
          <w:kern w:val="0"/>
          <w:sz w:val="24"/>
          <w:szCs w:val="24"/>
          <w:highlight w:val="none"/>
          <w:lang w:val="en-US" w:eastAsia="zh-CN" w:bidi="ar"/>
        </w:rPr>
        <w:t>，</w:t>
      </w:r>
      <w:r>
        <w:rPr>
          <w:rFonts w:hint="eastAsia" w:asciiTheme="minorEastAsia" w:hAnsiTheme="minorEastAsia" w:eastAsiaTheme="minorEastAsia" w:cstheme="minorEastAsia"/>
          <w:color w:val="auto"/>
          <w:szCs w:val="24"/>
          <w:highlight w:val="none"/>
        </w:rPr>
        <w:t>坑</w:t>
      </w:r>
      <w:r>
        <w:rPr>
          <w:rFonts w:hint="eastAsia" w:asciiTheme="minorEastAsia" w:hAnsiTheme="minorEastAsia" w:eastAsiaTheme="minorEastAsia" w:cstheme="minorEastAsia"/>
          <w:color w:val="auto"/>
          <w:kern w:val="0"/>
          <w:sz w:val="24"/>
          <w:szCs w:val="24"/>
          <w:highlight w:val="none"/>
          <w:lang w:val="en-US" w:eastAsia="zh-CN" w:bidi="ar"/>
        </w:rPr>
        <w:t>深约0.5-8.5m不等，</w:t>
      </w:r>
      <w:r>
        <w:rPr>
          <w:rFonts w:ascii="Times New Roman" w:hAnsi="Times New Roman" w:eastAsia="宋体" w:cs="Times New Roman"/>
          <w:color w:val="auto"/>
          <w:sz w:val="24"/>
          <w:szCs w:val="24"/>
          <w:highlight w:val="none"/>
        </w:rPr>
        <w:t>回填采坑为不规则圆形，采坑</w:t>
      </w:r>
      <w:r>
        <w:rPr>
          <w:rFonts w:hint="eastAsia" w:ascii="Times New Roman" w:hAnsi="Times New Roman" w:eastAsia="宋体" w:cs="Times New Roman"/>
          <w:color w:val="auto"/>
          <w:sz w:val="24"/>
          <w:szCs w:val="24"/>
          <w:highlight w:val="none"/>
          <w:lang w:val="en-US" w:eastAsia="zh-CN"/>
        </w:rPr>
        <w:t>西</w:t>
      </w:r>
      <w:r>
        <w:rPr>
          <w:rFonts w:ascii="Times New Roman" w:hAnsi="Times New Roman" w:eastAsia="宋体" w:cs="Times New Roman"/>
          <w:color w:val="auto"/>
          <w:sz w:val="24"/>
          <w:szCs w:val="24"/>
          <w:highlight w:val="none"/>
        </w:rPr>
        <w:t>高</w:t>
      </w:r>
      <w:r>
        <w:rPr>
          <w:rFonts w:hint="eastAsia" w:ascii="Times New Roman" w:hAnsi="Times New Roman" w:eastAsia="宋体" w:cs="Times New Roman"/>
          <w:color w:val="auto"/>
          <w:sz w:val="24"/>
          <w:szCs w:val="24"/>
          <w:highlight w:val="none"/>
          <w:lang w:val="en-US" w:eastAsia="zh-CN"/>
        </w:rPr>
        <w:t>东</w:t>
      </w:r>
      <w:r>
        <w:rPr>
          <w:rFonts w:ascii="Times New Roman" w:hAnsi="Times New Roman" w:eastAsia="宋体" w:cs="Times New Roman"/>
          <w:color w:val="auto"/>
          <w:sz w:val="24"/>
          <w:szCs w:val="24"/>
          <w:highlight w:val="none"/>
        </w:rPr>
        <w:t>低、北高南低</w:t>
      </w:r>
      <w:r>
        <w:rPr>
          <w:rFonts w:hint="eastAsia" w:ascii="Times New Roman" w:hAnsi="Times New Roman" w:eastAsia="宋体" w:cs="Times New Roman"/>
          <w:color w:val="auto"/>
          <w:sz w:val="24"/>
          <w:szCs w:val="24"/>
          <w:highlight w:val="none"/>
          <w:lang w:eastAsia="zh-CN"/>
        </w:rPr>
        <w:t>，</w:t>
      </w:r>
      <w:r>
        <w:rPr>
          <w:rFonts w:hint="eastAsia" w:asciiTheme="minorEastAsia" w:hAnsiTheme="minorEastAsia" w:eastAsiaTheme="minorEastAsia" w:cstheme="minorEastAsia"/>
          <w:color w:val="auto"/>
          <w:kern w:val="0"/>
          <w:sz w:val="24"/>
          <w:szCs w:val="24"/>
          <w:highlight w:val="none"/>
          <w:lang w:val="en-US" w:eastAsia="zh-CN" w:bidi="ar"/>
        </w:rPr>
        <w:t>长期以来处于无法利用的废弃状态，目前坑内主要为杂草，无积水，</w:t>
      </w:r>
      <w:r>
        <w:rPr>
          <w:rFonts w:hint="eastAsia" w:asciiTheme="minorEastAsia" w:hAnsiTheme="minorEastAsia" w:eastAsiaTheme="minorEastAsia" w:cstheme="minorEastAsia"/>
          <w:color w:val="auto"/>
          <w:szCs w:val="24"/>
          <w:highlight w:val="none"/>
          <w:lang w:val="en-US" w:eastAsia="zh-CN"/>
        </w:rPr>
        <w:t>无尚未利用的废石堆存，</w:t>
      </w:r>
      <w:r>
        <w:rPr>
          <w:rFonts w:hint="eastAsia" w:asciiTheme="minorEastAsia" w:hAnsiTheme="minorEastAsia" w:eastAsiaTheme="minorEastAsia" w:cstheme="minorEastAsia"/>
          <w:color w:val="auto"/>
          <w:kern w:val="0"/>
          <w:sz w:val="24"/>
          <w:szCs w:val="24"/>
          <w:highlight w:val="none"/>
          <w:lang w:val="en-US" w:eastAsia="zh-CN" w:bidi="ar"/>
        </w:rPr>
        <w:t>没有形成开采台阶，没有发现残留化学品以及异常气味、表面金属析出等污染痕迹，现场无崩塌、滑坡、地面沉陷等地质环境问题</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szCs w:val="24"/>
          <w:highlight w:val="none"/>
        </w:rPr>
        <w:t>采砂坑周围无大型工业企业，因此采砂坑周边不存在土壤和地下水潜在污染源。采砂坑</w:t>
      </w:r>
      <w:r>
        <w:rPr>
          <w:rFonts w:hint="eastAsia" w:asciiTheme="minorEastAsia" w:hAnsiTheme="minorEastAsia" w:eastAsiaTheme="minorEastAsia" w:cstheme="minorEastAsia"/>
          <w:color w:val="auto"/>
          <w:kern w:val="0"/>
          <w:sz w:val="24"/>
          <w:szCs w:val="24"/>
          <w:highlight w:val="none"/>
          <w:lang w:val="en-US" w:eastAsia="zh-CN" w:bidi="ar"/>
        </w:rPr>
        <w:t>中心坐标东经128°16'39.19"，北纬45°16'18.86"</w:t>
      </w:r>
      <w:r>
        <w:rPr>
          <w:rFonts w:hint="eastAsia" w:asciiTheme="minorEastAsia" w:hAnsiTheme="minorEastAsia" w:eastAsiaTheme="minorEastAsia" w:cstheme="minorEastAsia"/>
          <w:color w:val="auto"/>
          <w:szCs w:val="24"/>
          <w:highlight w:val="none"/>
        </w:rPr>
        <w:t>，边界坐标详见表3</w:t>
      </w:r>
      <w:r>
        <w:rPr>
          <w:rFonts w:hint="eastAsia" w:asciiTheme="minorEastAsia" w:hAnsiTheme="minorEastAsia" w:eastAsiaTheme="minorEastAsia" w:cstheme="minorEastAsia"/>
          <w:color w:val="auto"/>
          <w:szCs w:val="24"/>
          <w:highlight w:val="none"/>
          <w:lang w:val="en-US" w:eastAsia="zh-CN"/>
        </w:rPr>
        <w:t>.</w:t>
      </w:r>
      <w:r>
        <w:rPr>
          <w:rFonts w:hint="eastAsia" w:asciiTheme="minorEastAsia" w:hAnsiTheme="minorEastAsia" w:eastAsiaTheme="minorEastAsia" w:cstheme="minorEastAsia"/>
          <w:color w:val="auto"/>
          <w:szCs w:val="24"/>
          <w:highlight w:val="none"/>
        </w:rPr>
        <w:t>1-1。</w:t>
      </w:r>
    </w:p>
    <w:tbl>
      <w:tblPr>
        <w:tblStyle w:val="8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94"/>
        <w:gridCol w:w="4234"/>
      </w:tblGrid>
      <w:tr w14:paraId="45D1A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93" w:type="dxa"/>
            <w:noWrap w:val="0"/>
            <w:vAlign w:val="top"/>
          </w:tcPr>
          <w:p w14:paraId="32A043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drawing>
                <wp:inline distT="0" distB="0" distL="114300" distR="114300">
                  <wp:extent cx="2548890" cy="1911985"/>
                  <wp:effectExtent l="0" t="0" r="3810" b="5715"/>
                  <wp:docPr id="9" name="图片 9" descr="c71dabf5cf6de1c8b9819c924a2a58a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71dabf5cf6de1c8b9819c924a2a58a3_"/>
                          <pic:cNvPicPr>
                            <a:picLocks noChangeAspect="1"/>
                          </pic:cNvPicPr>
                        </pic:nvPicPr>
                        <pic:blipFill>
                          <a:blip r:embed="rId16"/>
                          <a:stretch>
                            <a:fillRect/>
                          </a:stretch>
                        </pic:blipFill>
                        <pic:spPr>
                          <a:xfrm>
                            <a:off x="0" y="0"/>
                            <a:ext cx="2548890" cy="1911985"/>
                          </a:xfrm>
                          <a:prstGeom prst="rect">
                            <a:avLst/>
                          </a:prstGeom>
                        </pic:spPr>
                      </pic:pic>
                    </a:graphicData>
                  </a:graphic>
                </wp:inline>
              </w:drawing>
            </w:r>
          </w:p>
        </w:tc>
        <w:tc>
          <w:tcPr>
            <w:tcW w:w="4736" w:type="dxa"/>
            <w:noWrap w:val="0"/>
            <w:vAlign w:val="top"/>
          </w:tcPr>
          <w:p w14:paraId="233B18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textAlignment w:val="auto"/>
              <w:rPr>
                <w:rFonts w:hint="default" w:ascii="Times New Roman" w:hAnsi="Times New Roman" w:eastAsia="宋体" w:cs="Times New Roman"/>
                <w:color w:val="auto"/>
                <w:highlight w:val="none"/>
                <w:vertAlign w:val="baseline"/>
                <w:lang w:val="en-US" w:eastAsia="zh-CN"/>
              </w:rPr>
            </w:pPr>
            <w:r>
              <w:rPr>
                <w:rFonts w:hint="default" w:ascii="Times New Roman" w:hAnsi="Times New Roman" w:eastAsia="宋体" w:cs="Times New Roman"/>
                <w:color w:val="auto"/>
                <w:highlight w:val="none"/>
                <w:vertAlign w:val="baseline"/>
                <w:lang w:val="en-US" w:eastAsia="zh-CN"/>
              </w:rPr>
              <w:drawing>
                <wp:inline distT="0" distB="0" distL="114300" distR="114300">
                  <wp:extent cx="2509520" cy="1882140"/>
                  <wp:effectExtent l="0" t="0" r="5080" b="10160"/>
                  <wp:docPr id="14" name="图片 14" descr="240c653f34eb3b568064203cbac7a32b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40c653f34eb3b568064203cbac7a32b_"/>
                          <pic:cNvPicPr>
                            <a:picLocks noChangeAspect="1"/>
                          </pic:cNvPicPr>
                        </pic:nvPicPr>
                        <pic:blipFill>
                          <a:blip r:embed="rId17"/>
                          <a:stretch>
                            <a:fillRect/>
                          </a:stretch>
                        </pic:blipFill>
                        <pic:spPr>
                          <a:xfrm>
                            <a:off x="0" y="0"/>
                            <a:ext cx="2509520" cy="1882140"/>
                          </a:xfrm>
                          <a:prstGeom prst="rect">
                            <a:avLst/>
                          </a:prstGeom>
                        </pic:spPr>
                      </pic:pic>
                    </a:graphicData>
                  </a:graphic>
                </wp:inline>
              </w:drawing>
            </w:r>
          </w:p>
        </w:tc>
      </w:tr>
      <w:tr w14:paraId="7BC04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29" w:type="dxa"/>
            <w:gridSpan w:val="2"/>
            <w:noWrap w:val="0"/>
            <w:vAlign w:val="top"/>
          </w:tcPr>
          <w:p w14:paraId="2528AB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highlight w:val="none"/>
                <w:vertAlign w:val="baseline"/>
                <w:lang w:val="en-US" w:eastAsia="zh-CN"/>
              </w:rPr>
            </w:pPr>
            <w:r>
              <w:rPr>
                <w:rFonts w:hint="eastAsia" w:ascii="Times New Roman" w:hAnsi="Times New Roman" w:eastAsia="宋体" w:cs="Times New Roman"/>
                <w:color w:val="auto"/>
                <w:highlight w:val="none"/>
                <w:vertAlign w:val="baseline"/>
                <w:lang w:val="en-US" w:eastAsia="zh-CN"/>
              </w:rPr>
              <w:t>现状照片</w:t>
            </w:r>
          </w:p>
        </w:tc>
      </w:tr>
    </w:tbl>
    <w:p w14:paraId="351B82DC">
      <w:pPr>
        <w:pStyle w:val="2"/>
        <w:rPr>
          <w:rFonts w:hint="eastAsia"/>
          <w:color w:val="auto"/>
          <w:highlight w:val="none"/>
        </w:rPr>
      </w:pPr>
    </w:p>
    <w:p w14:paraId="093FC2E4">
      <w:pPr>
        <w:spacing w:line="440" w:lineRule="exact"/>
        <w:ind w:firstLine="482"/>
        <w:jc w:val="center"/>
        <w:rPr>
          <w:rFonts w:hint="default" w:asciiTheme="minorEastAsia" w:hAnsiTheme="minorEastAsia" w:eastAsiaTheme="minorEastAsia" w:cstheme="minorEastAsia"/>
          <w:b/>
          <w:color w:val="auto"/>
          <w:sz w:val="24"/>
          <w:highlight w:val="none"/>
          <w:lang w:val="en-US" w:eastAsia="zh-CN"/>
        </w:rPr>
      </w:pPr>
      <w:r>
        <w:rPr>
          <w:rFonts w:hint="default" w:asciiTheme="minorEastAsia" w:hAnsiTheme="minorEastAsia" w:eastAsiaTheme="minorEastAsia" w:cstheme="minorEastAsia"/>
          <w:b/>
          <w:color w:val="auto"/>
          <w:sz w:val="24"/>
          <w:highlight w:val="none"/>
          <w:lang w:val="en-US" w:eastAsia="zh-CN"/>
        </w:rPr>
        <w:t>表</w:t>
      </w:r>
      <w:r>
        <w:rPr>
          <w:rFonts w:hint="eastAsia" w:asciiTheme="minorEastAsia" w:hAnsiTheme="minorEastAsia" w:eastAsiaTheme="minorEastAsia" w:cstheme="minorEastAsia"/>
          <w:b/>
          <w:color w:val="auto"/>
          <w:sz w:val="24"/>
          <w:highlight w:val="none"/>
          <w:lang w:val="en-US" w:eastAsia="zh-CN"/>
        </w:rPr>
        <w:t xml:space="preserve">3.1-1  </w:t>
      </w:r>
      <w:r>
        <w:rPr>
          <w:rFonts w:hint="default" w:asciiTheme="minorEastAsia" w:hAnsiTheme="minorEastAsia" w:eastAsiaTheme="minorEastAsia" w:cstheme="minorEastAsia"/>
          <w:b/>
          <w:color w:val="auto"/>
          <w:sz w:val="24"/>
          <w:highlight w:val="none"/>
          <w:lang w:val="en-US" w:eastAsia="zh-CN"/>
        </w:rPr>
        <w:t>复垦区（复垦责任范围）拐点坐标表（2000 国家大地坐标系）</w:t>
      </w:r>
    </w:p>
    <w:tbl>
      <w:tblPr>
        <w:tblStyle w:val="1316"/>
        <w:tblW w:w="8525" w:type="dxa"/>
        <w:tblInd w:w="2"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858"/>
        <w:gridCol w:w="3325"/>
        <w:gridCol w:w="3342"/>
      </w:tblGrid>
      <w:tr w14:paraId="3B39DF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37" w:hRule="atLeast"/>
        </w:trPr>
        <w:tc>
          <w:tcPr>
            <w:tcW w:w="8525" w:type="dxa"/>
            <w:gridSpan w:val="3"/>
            <w:tcBorders>
              <w:tl2br w:val="nil"/>
              <w:tr2bl w:val="nil"/>
            </w:tcBorders>
            <w:vAlign w:val="center"/>
          </w:tcPr>
          <w:p w14:paraId="79F0FD9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地块一</w:t>
            </w:r>
          </w:p>
        </w:tc>
      </w:tr>
      <w:tr w14:paraId="0EF49D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12EF091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序号</w:t>
            </w:r>
          </w:p>
        </w:tc>
        <w:tc>
          <w:tcPr>
            <w:tcW w:w="3325" w:type="dxa"/>
            <w:tcBorders>
              <w:tl2br w:val="nil"/>
              <w:tr2bl w:val="nil"/>
            </w:tcBorders>
            <w:vAlign w:val="center"/>
          </w:tcPr>
          <w:p w14:paraId="09D81D2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X 坐标</w:t>
            </w:r>
          </w:p>
        </w:tc>
        <w:tc>
          <w:tcPr>
            <w:tcW w:w="3342" w:type="dxa"/>
            <w:tcBorders>
              <w:tl2br w:val="nil"/>
              <w:tr2bl w:val="nil"/>
            </w:tcBorders>
            <w:vAlign w:val="center"/>
          </w:tcPr>
          <w:p w14:paraId="60006D4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Y 坐标</w:t>
            </w:r>
          </w:p>
        </w:tc>
      </w:tr>
      <w:tr w14:paraId="64C535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5232D8E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w:t>
            </w:r>
          </w:p>
        </w:tc>
        <w:tc>
          <w:tcPr>
            <w:tcW w:w="3325" w:type="dxa"/>
            <w:tcBorders>
              <w:tl2br w:val="nil"/>
              <w:tr2bl w:val="nil"/>
            </w:tcBorders>
            <w:vAlign w:val="center"/>
          </w:tcPr>
          <w:p w14:paraId="0172965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43442761.258</w:t>
            </w:r>
          </w:p>
        </w:tc>
        <w:tc>
          <w:tcPr>
            <w:tcW w:w="3342" w:type="dxa"/>
            <w:tcBorders>
              <w:tl2br w:val="nil"/>
              <w:tr2bl w:val="nil"/>
            </w:tcBorders>
            <w:vAlign w:val="center"/>
          </w:tcPr>
          <w:p w14:paraId="5A5FB8C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5015252.177</w:t>
            </w:r>
          </w:p>
        </w:tc>
      </w:tr>
      <w:tr w14:paraId="612123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88" w:hRule="atLeast"/>
        </w:trPr>
        <w:tc>
          <w:tcPr>
            <w:tcW w:w="1858" w:type="dxa"/>
            <w:tcBorders>
              <w:tl2br w:val="nil"/>
              <w:tr2bl w:val="nil"/>
            </w:tcBorders>
            <w:vAlign w:val="center"/>
          </w:tcPr>
          <w:p w14:paraId="310416C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J2</w:t>
            </w:r>
          </w:p>
        </w:tc>
        <w:tc>
          <w:tcPr>
            <w:tcW w:w="3325" w:type="dxa"/>
            <w:tcBorders>
              <w:tl2br w:val="nil"/>
              <w:tr2bl w:val="nil"/>
            </w:tcBorders>
            <w:vAlign w:val="center"/>
          </w:tcPr>
          <w:p w14:paraId="655592A8">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43442766.744</w:t>
            </w:r>
          </w:p>
        </w:tc>
        <w:tc>
          <w:tcPr>
            <w:tcW w:w="3342" w:type="dxa"/>
            <w:tcBorders>
              <w:tl2br w:val="nil"/>
              <w:tr2bl w:val="nil"/>
            </w:tcBorders>
            <w:vAlign w:val="center"/>
          </w:tcPr>
          <w:p w14:paraId="1C2725D8">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5015246.212</w:t>
            </w:r>
          </w:p>
        </w:tc>
      </w:tr>
      <w:tr w14:paraId="0C62B1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332D8E7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J3</w:t>
            </w:r>
          </w:p>
        </w:tc>
        <w:tc>
          <w:tcPr>
            <w:tcW w:w="3325" w:type="dxa"/>
            <w:tcBorders>
              <w:tl2br w:val="nil"/>
              <w:tr2bl w:val="nil"/>
            </w:tcBorders>
            <w:vAlign w:val="center"/>
          </w:tcPr>
          <w:p w14:paraId="62FD270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43442768.302</w:t>
            </w:r>
          </w:p>
        </w:tc>
        <w:tc>
          <w:tcPr>
            <w:tcW w:w="3342" w:type="dxa"/>
            <w:tcBorders>
              <w:tl2br w:val="nil"/>
              <w:tr2bl w:val="nil"/>
            </w:tcBorders>
            <w:vAlign w:val="center"/>
          </w:tcPr>
          <w:p w14:paraId="4209B22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5015246.425</w:t>
            </w:r>
          </w:p>
        </w:tc>
      </w:tr>
      <w:tr w14:paraId="5582E6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3E5F2B4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J4</w:t>
            </w:r>
          </w:p>
        </w:tc>
        <w:tc>
          <w:tcPr>
            <w:tcW w:w="3325" w:type="dxa"/>
            <w:tcBorders>
              <w:tl2br w:val="nil"/>
              <w:tr2bl w:val="nil"/>
            </w:tcBorders>
            <w:vAlign w:val="center"/>
          </w:tcPr>
          <w:p w14:paraId="1B6870D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43442769.919</w:t>
            </w:r>
          </w:p>
        </w:tc>
        <w:tc>
          <w:tcPr>
            <w:tcW w:w="3342" w:type="dxa"/>
            <w:tcBorders>
              <w:tl2br w:val="nil"/>
              <w:tr2bl w:val="nil"/>
            </w:tcBorders>
            <w:vAlign w:val="center"/>
          </w:tcPr>
          <w:p w14:paraId="33BD47A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5015246.639</w:t>
            </w:r>
          </w:p>
        </w:tc>
      </w:tr>
      <w:tr w14:paraId="5B8E70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4D6CAB7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J5</w:t>
            </w:r>
          </w:p>
        </w:tc>
        <w:tc>
          <w:tcPr>
            <w:tcW w:w="3325" w:type="dxa"/>
            <w:tcBorders>
              <w:tl2br w:val="nil"/>
              <w:tr2bl w:val="nil"/>
            </w:tcBorders>
            <w:vAlign w:val="center"/>
          </w:tcPr>
          <w:p w14:paraId="3826E1D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43442771.324</w:t>
            </w:r>
          </w:p>
        </w:tc>
        <w:tc>
          <w:tcPr>
            <w:tcW w:w="3342" w:type="dxa"/>
            <w:tcBorders>
              <w:tl2br w:val="nil"/>
              <w:tr2bl w:val="nil"/>
            </w:tcBorders>
            <w:vAlign w:val="center"/>
          </w:tcPr>
          <w:p w14:paraId="17CF34C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5015246.463</w:t>
            </w:r>
          </w:p>
        </w:tc>
      </w:tr>
      <w:tr w14:paraId="1E472B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0A792CE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J6</w:t>
            </w:r>
          </w:p>
        </w:tc>
        <w:tc>
          <w:tcPr>
            <w:tcW w:w="3325" w:type="dxa"/>
            <w:tcBorders>
              <w:tl2br w:val="nil"/>
              <w:tr2bl w:val="nil"/>
            </w:tcBorders>
            <w:vAlign w:val="center"/>
          </w:tcPr>
          <w:p w14:paraId="5E19CF1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43442772.393</w:t>
            </w:r>
          </w:p>
        </w:tc>
        <w:tc>
          <w:tcPr>
            <w:tcW w:w="3342" w:type="dxa"/>
            <w:tcBorders>
              <w:tl2br w:val="nil"/>
              <w:tr2bl w:val="nil"/>
            </w:tcBorders>
            <w:vAlign w:val="center"/>
          </w:tcPr>
          <w:p w14:paraId="24A9801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5015249.124</w:t>
            </w:r>
          </w:p>
        </w:tc>
      </w:tr>
      <w:tr w14:paraId="0D4120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473EF99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J7</w:t>
            </w:r>
          </w:p>
        </w:tc>
        <w:tc>
          <w:tcPr>
            <w:tcW w:w="3325" w:type="dxa"/>
            <w:tcBorders>
              <w:tl2br w:val="nil"/>
              <w:tr2bl w:val="nil"/>
            </w:tcBorders>
            <w:vAlign w:val="center"/>
          </w:tcPr>
          <w:p w14:paraId="6978530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43442774.201</w:t>
            </w:r>
          </w:p>
        </w:tc>
        <w:tc>
          <w:tcPr>
            <w:tcW w:w="3342" w:type="dxa"/>
            <w:tcBorders>
              <w:tl2br w:val="nil"/>
              <w:tr2bl w:val="nil"/>
            </w:tcBorders>
            <w:vAlign w:val="center"/>
          </w:tcPr>
          <w:p w14:paraId="712230F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5015250.391</w:t>
            </w:r>
          </w:p>
        </w:tc>
      </w:tr>
      <w:tr w14:paraId="319EB9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14E5CB7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J8</w:t>
            </w:r>
          </w:p>
        </w:tc>
        <w:tc>
          <w:tcPr>
            <w:tcW w:w="3325" w:type="dxa"/>
            <w:tcBorders>
              <w:tl2br w:val="nil"/>
              <w:tr2bl w:val="nil"/>
            </w:tcBorders>
            <w:vAlign w:val="center"/>
          </w:tcPr>
          <w:p w14:paraId="0F2FE0B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43442777.416</w:t>
            </w:r>
          </w:p>
        </w:tc>
        <w:tc>
          <w:tcPr>
            <w:tcW w:w="3342" w:type="dxa"/>
            <w:tcBorders>
              <w:tl2br w:val="nil"/>
              <w:tr2bl w:val="nil"/>
            </w:tcBorders>
            <w:vAlign w:val="center"/>
          </w:tcPr>
          <w:p w14:paraId="7B46B47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5015250.936</w:t>
            </w:r>
          </w:p>
        </w:tc>
      </w:tr>
      <w:tr w14:paraId="41CD0C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50666B4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J9</w:t>
            </w:r>
          </w:p>
        </w:tc>
        <w:tc>
          <w:tcPr>
            <w:tcW w:w="3325" w:type="dxa"/>
            <w:tcBorders>
              <w:tl2br w:val="nil"/>
              <w:tr2bl w:val="nil"/>
            </w:tcBorders>
            <w:vAlign w:val="center"/>
          </w:tcPr>
          <w:p w14:paraId="59458EF8">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43442778.386</w:t>
            </w:r>
          </w:p>
        </w:tc>
        <w:tc>
          <w:tcPr>
            <w:tcW w:w="3342" w:type="dxa"/>
            <w:tcBorders>
              <w:tl2br w:val="nil"/>
              <w:tr2bl w:val="nil"/>
            </w:tcBorders>
            <w:vAlign w:val="center"/>
          </w:tcPr>
          <w:p w14:paraId="04DEE71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5015252.255</w:t>
            </w:r>
          </w:p>
        </w:tc>
      </w:tr>
      <w:tr w14:paraId="10EF2C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0DE1A71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J10</w:t>
            </w:r>
          </w:p>
        </w:tc>
        <w:tc>
          <w:tcPr>
            <w:tcW w:w="3325" w:type="dxa"/>
            <w:tcBorders>
              <w:tl2br w:val="nil"/>
              <w:tr2bl w:val="nil"/>
            </w:tcBorders>
            <w:vAlign w:val="center"/>
          </w:tcPr>
          <w:p w14:paraId="30CB8E8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43442780.361</w:t>
            </w:r>
          </w:p>
        </w:tc>
        <w:tc>
          <w:tcPr>
            <w:tcW w:w="3342" w:type="dxa"/>
            <w:tcBorders>
              <w:tl2br w:val="nil"/>
              <w:tr2bl w:val="nil"/>
            </w:tcBorders>
            <w:vAlign w:val="center"/>
          </w:tcPr>
          <w:p w14:paraId="183017D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5015250.771</w:t>
            </w:r>
          </w:p>
        </w:tc>
      </w:tr>
      <w:tr w14:paraId="6FDF56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1E588C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J11</w:t>
            </w:r>
          </w:p>
        </w:tc>
        <w:tc>
          <w:tcPr>
            <w:tcW w:w="3325" w:type="dxa"/>
            <w:tcBorders>
              <w:tl2br w:val="nil"/>
              <w:tr2bl w:val="nil"/>
            </w:tcBorders>
            <w:vAlign w:val="center"/>
          </w:tcPr>
          <w:p w14:paraId="2230B44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43442781.566</w:t>
            </w:r>
          </w:p>
        </w:tc>
        <w:tc>
          <w:tcPr>
            <w:tcW w:w="3342" w:type="dxa"/>
            <w:tcBorders>
              <w:tl2br w:val="nil"/>
              <w:tr2bl w:val="nil"/>
            </w:tcBorders>
            <w:vAlign w:val="center"/>
          </w:tcPr>
          <w:p w14:paraId="597E68D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5015251.977</w:t>
            </w:r>
          </w:p>
        </w:tc>
      </w:tr>
      <w:tr w14:paraId="482323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5D02F08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J12</w:t>
            </w:r>
          </w:p>
        </w:tc>
        <w:tc>
          <w:tcPr>
            <w:tcW w:w="3325" w:type="dxa"/>
            <w:tcBorders>
              <w:tl2br w:val="nil"/>
              <w:tr2bl w:val="nil"/>
            </w:tcBorders>
            <w:vAlign w:val="center"/>
          </w:tcPr>
          <w:p w14:paraId="29F575B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43442787.653</w:t>
            </w:r>
          </w:p>
        </w:tc>
        <w:tc>
          <w:tcPr>
            <w:tcW w:w="3342" w:type="dxa"/>
            <w:tcBorders>
              <w:tl2br w:val="nil"/>
              <w:tr2bl w:val="nil"/>
            </w:tcBorders>
            <w:vAlign w:val="center"/>
          </w:tcPr>
          <w:p w14:paraId="41239F1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5015248.435</w:t>
            </w:r>
          </w:p>
        </w:tc>
      </w:tr>
      <w:tr w14:paraId="6BBC73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39E709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J13</w:t>
            </w:r>
          </w:p>
        </w:tc>
        <w:tc>
          <w:tcPr>
            <w:tcW w:w="3325" w:type="dxa"/>
            <w:tcBorders>
              <w:tl2br w:val="nil"/>
              <w:tr2bl w:val="nil"/>
            </w:tcBorders>
            <w:vAlign w:val="center"/>
          </w:tcPr>
          <w:p w14:paraId="5378524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43442789.541</w:t>
            </w:r>
          </w:p>
        </w:tc>
        <w:tc>
          <w:tcPr>
            <w:tcW w:w="3342" w:type="dxa"/>
            <w:tcBorders>
              <w:tl2br w:val="nil"/>
              <w:tr2bl w:val="nil"/>
            </w:tcBorders>
            <w:vAlign w:val="center"/>
          </w:tcPr>
          <w:p w14:paraId="109FA5A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5015248.152</w:t>
            </w:r>
          </w:p>
        </w:tc>
      </w:tr>
      <w:tr w14:paraId="67D419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9080DE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J14</w:t>
            </w:r>
          </w:p>
        </w:tc>
        <w:tc>
          <w:tcPr>
            <w:tcW w:w="3325" w:type="dxa"/>
            <w:tcBorders>
              <w:tl2br w:val="nil"/>
              <w:tr2bl w:val="nil"/>
            </w:tcBorders>
            <w:vAlign w:val="center"/>
          </w:tcPr>
          <w:p w14:paraId="6C96011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43442791.364</w:t>
            </w:r>
          </w:p>
        </w:tc>
        <w:tc>
          <w:tcPr>
            <w:tcW w:w="3342" w:type="dxa"/>
            <w:tcBorders>
              <w:tl2br w:val="nil"/>
              <w:tr2bl w:val="nil"/>
            </w:tcBorders>
            <w:vAlign w:val="center"/>
          </w:tcPr>
          <w:p w14:paraId="4A72D9C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5015244.322</w:t>
            </w:r>
          </w:p>
        </w:tc>
      </w:tr>
      <w:tr w14:paraId="7011ED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2418594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J15</w:t>
            </w:r>
          </w:p>
        </w:tc>
        <w:tc>
          <w:tcPr>
            <w:tcW w:w="3325" w:type="dxa"/>
            <w:tcBorders>
              <w:tl2br w:val="nil"/>
              <w:tr2bl w:val="nil"/>
            </w:tcBorders>
            <w:vAlign w:val="center"/>
          </w:tcPr>
          <w:p w14:paraId="31F61A7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43442793.710</w:t>
            </w:r>
          </w:p>
        </w:tc>
        <w:tc>
          <w:tcPr>
            <w:tcW w:w="3342" w:type="dxa"/>
            <w:tcBorders>
              <w:tl2br w:val="nil"/>
              <w:tr2bl w:val="nil"/>
            </w:tcBorders>
            <w:vAlign w:val="center"/>
          </w:tcPr>
          <w:p w14:paraId="4254C88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5015243.262</w:t>
            </w:r>
          </w:p>
        </w:tc>
      </w:tr>
      <w:tr w14:paraId="6078C1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6E3910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J16</w:t>
            </w:r>
          </w:p>
        </w:tc>
        <w:tc>
          <w:tcPr>
            <w:tcW w:w="3325" w:type="dxa"/>
            <w:tcBorders>
              <w:tl2br w:val="nil"/>
              <w:tr2bl w:val="nil"/>
            </w:tcBorders>
            <w:vAlign w:val="center"/>
          </w:tcPr>
          <w:p w14:paraId="43E60D2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43442795.900</w:t>
            </w:r>
          </w:p>
        </w:tc>
        <w:tc>
          <w:tcPr>
            <w:tcW w:w="3342" w:type="dxa"/>
            <w:tcBorders>
              <w:tl2br w:val="nil"/>
              <w:tr2bl w:val="nil"/>
            </w:tcBorders>
            <w:vAlign w:val="center"/>
          </w:tcPr>
          <w:p w14:paraId="6BBA4D5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5015240.805</w:t>
            </w:r>
          </w:p>
        </w:tc>
      </w:tr>
      <w:tr w14:paraId="2F338B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084AAB4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J17</w:t>
            </w:r>
          </w:p>
        </w:tc>
        <w:tc>
          <w:tcPr>
            <w:tcW w:w="3325" w:type="dxa"/>
            <w:tcBorders>
              <w:tl2br w:val="nil"/>
              <w:tr2bl w:val="nil"/>
            </w:tcBorders>
            <w:vAlign w:val="center"/>
          </w:tcPr>
          <w:p w14:paraId="78522CB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43442798.056</w:t>
            </w:r>
          </w:p>
        </w:tc>
        <w:tc>
          <w:tcPr>
            <w:tcW w:w="3342" w:type="dxa"/>
            <w:tcBorders>
              <w:tl2br w:val="nil"/>
              <w:tr2bl w:val="nil"/>
            </w:tcBorders>
            <w:vAlign w:val="center"/>
          </w:tcPr>
          <w:p w14:paraId="0C74F7D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5015244.924</w:t>
            </w:r>
          </w:p>
        </w:tc>
      </w:tr>
      <w:tr w14:paraId="77419E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237A926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J18</w:t>
            </w:r>
          </w:p>
        </w:tc>
        <w:tc>
          <w:tcPr>
            <w:tcW w:w="3325" w:type="dxa"/>
            <w:tcBorders>
              <w:tl2br w:val="nil"/>
              <w:tr2bl w:val="nil"/>
            </w:tcBorders>
            <w:vAlign w:val="center"/>
          </w:tcPr>
          <w:p w14:paraId="7E769C7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43442800.586</w:t>
            </w:r>
          </w:p>
        </w:tc>
        <w:tc>
          <w:tcPr>
            <w:tcW w:w="3342" w:type="dxa"/>
            <w:tcBorders>
              <w:tl2br w:val="nil"/>
              <w:tr2bl w:val="nil"/>
            </w:tcBorders>
            <w:vAlign w:val="center"/>
          </w:tcPr>
          <w:p w14:paraId="33F34CE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5015247.198</w:t>
            </w:r>
          </w:p>
        </w:tc>
      </w:tr>
      <w:tr w14:paraId="2207CD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3FFA19A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J19</w:t>
            </w:r>
          </w:p>
        </w:tc>
        <w:tc>
          <w:tcPr>
            <w:tcW w:w="3325" w:type="dxa"/>
            <w:tcBorders>
              <w:tl2br w:val="nil"/>
              <w:tr2bl w:val="nil"/>
            </w:tcBorders>
            <w:vAlign w:val="center"/>
          </w:tcPr>
          <w:p w14:paraId="41D183C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43442804.864</w:t>
            </w:r>
          </w:p>
        </w:tc>
        <w:tc>
          <w:tcPr>
            <w:tcW w:w="3342" w:type="dxa"/>
            <w:tcBorders>
              <w:tl2br w:val="nil"/>
              <w:tr2bl w:val="nil"/>
            </w:tcBorders>
            <w:vAlign w:val="center"/>
          </w:tcPr>
          <w:p w14:paraId="19294C1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5015247.858</w:t>
            </w:r>
          </w:p>
        </w:tc>
      </w:tr>
      <w:tr w14:paraId="0761F8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07347AE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J20</w:t>
            </w:r>
          </w:p>
        </w:tc>
        <w:tc>
          <w:tcPr>
            <w:tcW w:w="3325" w:type="dxa"/>
            <w:tcBorders>
              <w:tl2br w:val="nil"/>
              <w:tr2bl w:val="nil"/>
            </w:tcBorders>
            <w:vAlign w:val="center"/>
          </w:tcPr>
          <w:p w14:paraId="7A571A1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43442810.069</w:t>
            </w:r>
          </w:p>
        </w:tc>
        <w:tc>
          <w:tcPr>
            <w:tcW w:w="3342" w:type="dxa"/>
            <w:tcBorders>
              <w:tl2br w:val="nil"/>
              <w:tr2bl w:val="nil"/>
            </w:tcBorders>
            <w:vAlign w:val="center"/>
          </w:tcPr>
          <w:p w14:paraId="7270D01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5015244.686</w:t>
            </w:r>
          </w:p>
        </w:tc>
      </w:tr>
      <w:tr w14:paraId="7F3ABA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0D324E7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J21</w:t>
            </w:r>
          </w:p>
        </w:tc>
        <w:tc>
          <w:tcPr>
            <w:tcW w:w="3325" w:type="dxa"/>
            <w:tcBorders>
              <w:tl2br w:val="nil"/>
              <w:tr2bl w:val="nil"/>
            </w:tcBorders>
            <w:vAlign w:val="center"/>
          </w:tcPr>
          <w:p w14:paraId="504284A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43442820.523</w:t>
            </w:r>
          </w:p>
        </w:tc>
        <w:tc>
          <w:tcPr>
            <w:tcW w:w="3342" w:type="dxa"/>
            <w:tcBorders>
              <w:tl2br w:val="nil"/>
              <w:tr2bl w:val="nil"/>
            </w:tcBorders>
            <w:vAlign w:val="center"/>
          </w:tcPr>
          <w:p w14:paraId="4510226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5015241.034</w:t>
            </w:r>
          </w:p>
        </w:tc>
      </w:tr>
      <w:tr w14:paraId="0F2F08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7" w:hRule="atLeast"/>
        </w:trPr>
        <w:tc>
          <w:tcPr>
            <w:tcW w:w="1858" w:type="dxa"/>
            <w:tcBorders>
              <w:tl2br w:val="nil"/>
              <w:tr2bl w:val="nil"/>
            </w:tcBorders>
            <w:vAlign w:val="center"/>
          </w:tcPr>
          <w:p w14:paraId="14218F6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J22</w:t>
            </w:r>
          </w:p>
        </w:tc>
        <w:tc>
          <w:tcPr>
            <w:tcW w:w="3325" w:type="dxa"/>
            <w:tcBorders>
              <w:tl2br w:val="nil"/>
              <w:tr2bl w:val="nil"/>
            </w:tcBorders>
            <w:vAlign w:val="center"/>
          </w:tcPr>
          <w:p w14:paraId="4362FAE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43442826.649</w:t>
            </w:r>
          </w:p>
        </w:tc>
        <w:tc>
          <w:tcPr>
            <w:tcW w:w="3342" w:type="dxa"/>
            <w:tcBorders>
              <w:tl2br w:val="nil"/>
              <w:tr2bl w:val="nil"/>
            </w:tcBorders>
            <w:vAlign w:val="center"/>
          </w:tcPr>
          <w:p w14:paraId="0DA210E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5015237.696</w:t>
            </w:r>
          </w:p>
        </w:tc>
      </w:tr>
      <w:tr w14:paraId="0CCE18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2074CCC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J23</w:t>
            </w:r>
          </w:p>
        </w:tc>
        <w:tc>
          <w:tcPr>
            <w:tcW w:w="3325" w:type="dxa"/>
            <w:tcBorders>
              <w:tl2br w:val="nil"/>
              <w:tr2bl w:val="nil"/>
            </w:tcBorders>
            <w:vAlign w:val="center"/>
          </w:tcPr>
          <w:p w14:paraId="22F2E90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43442830.261</w:t>
            </w:r>
          </w:p>
        </w:tc>
        <w:tc>
          <w:tcPr>
            <w:tcW w:w="3342" w:type="dxa"/>
            <w:tcBorders>
              <w:tl2br w:val="nil"/>
              <w:tr2bl w:val="nil"/>
            </w:tcBorders>
            <w:vAlign w:val="center"/>
          </w:tcPr>
          <w:p w14:paraId="3B82F818">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5015236.364</w:t>
            </w:r>
          </w:p>
        </w:tc>
      </w:tr>
      <w:tr w14:paraId="6CFD2B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5E42D9C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J24</w:t>
            </w:r>
          </w:p>
        </w:tc>
        <w:tc>
          <w:tcPr>
            <w:tcW w:w="3325" w:type="dxa"/>
            <w:tcBorders>
              <w:tl2br w:val="nil"/>
              <w:tr2bl w:val="nil"/>
            </w:tcBorders>
            <w:vAlign w:val="center"/>
          </w:tcPr>
          <w:p w14:paraId="3C5F353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43442829.983</w:t>
            </w:r>
          </w:p>
        </w:tc>
        <w:tc>
          <w:tcPr>
            <w:tcW w:w="3342" w:type="dxa"/>
            <w:tcBorders>
              <w:tl2br w:val="nil"/>
              <w:tr2bl w:val="nil"/>
            </w:tcBorders>
            <w:vAlign w:val="center"/>
          </w:tcPr>
          <w:p w14:paraId="15B2436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5015224.399</w:t>
            </w:r>
          </w:p>
        </w:tc>
      </w:tr>
      <w:tr w14:paraId="67EBAE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49A84DC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J25</w:t>
            </w:r>
          </w:p>
        </w:tc>
        <w:tc>
          <w:tcPr>
            <w:tcW w:w="3325" w:type="dxa"/>
            <w:tcBorders>
              <w:tl2br w:val="nil"/>
              <w:tr2bl w:val="nil"/>
            </w:tcBorders>
            <w:vAlign w:val="center"/>
          </w:tcPr>
          <w:p w14:paraId="124E628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43442829.981</w:t>
            </w:r>
          </w:p>
        </w:tc>
        <w:tc>
          <w:tcPr>
            <w:tcW w:w="3342" w:type="dxa"/>
            <w:tcBorders>
              <w:tl2br w:val="nil"/>
              <w:tr2bl w:val="nil"/>
            </w:tcBorders>
            <w:vAlign w:val="center"/>
          </w:tcPr>
          <w:p w14:paraId="71AAAB7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5015216.369</w:t>
            </w:r>
          </w:p>
        </w:tc>
      </w:tr>
      <w:tr w14:paraId="577794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05C7BE5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J26</w:t>
            </w:r>
          </w:p>
        </w:tc>
        <w:tc>
          <w:tcPr>
            <w:tcW w:w="3325" w:type="dxa"/>
            <w:tcBorders>
              <w:tl2br w:val="nil"/>
              <w:tr2bl w:val="nil"/>
            </w:tcBorders>
            <w:vAlign w:val="center"/>
          </w:tcPr>
          <w:p w14:paraId="1EDE313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43442828.945</w:t>
            </w:r>
          </w:p>
        </w:tc>
        <w:tc>
          <w:tcPr>
            <w:tcW w:w="3342" w:type="dxa"/>
            <w:tcBorders>
              <w:tl2br w:val="nil"/>
              <w:tr2bl w:val="nil"/>
            </w:tcBorders>
            <w:vAlign w:val="center"/>
          </w:tcPr>
          <w:p w14:paraId="5497B2E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5015211.991</w:t>
            </w:r>
          </w:p>
        </w:tc>
      </w:tr>
      <w:tr w14:paraId="36D8E0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46831BE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J27</w:t>
            </w:r>
          </w:p>
        </w:tc>
        <w:tc>
          <w:tcPr>
            <w:tcW w:w="3325" w:type="dxa"/>
            <w:tcBorders>
              <w:tl2br w:val="nil"/>
              <w:tr2bl w:val="nil"/>
            </w:tcBorders>
            <w:vAlign w:val="center"/>
          </w:tcPr>
          <w:p w14:paraId="3093D6C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43442827.969</w:t>
            </w:r>
          </w:p>
        </w:tc>
        <w:tc>
          <w:tcPr>
            <w:tcW w:w="3342" w:type="dxa"/>
            <w:tcBorders>
              <w:tl2br w:val="nil"/>
              <w:tr2bl w:val="nil"/>
            </w:tcBorders>
            <w:vAlign w:val="center"/>
          </w:tcPr>
          <w:p w14:paraId="4F1BACB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5015208.366</w:t>
            </w:r>
          </w:p>
        </w:tc>
      </w:tr>
      <w:tr w14:paraId="30E536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57BA7BB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J28</w:t>
            </w:r>
          </w:p>
        </w:tc>
        <w:tc>
          <w:tcPr>
            <w:tcW w:w="3325" w:type="dxa"/>
            <w:tcBorders>
              <w:tl2br w:val="nil"/>
              <w:tr2bl w:val="nil"/>
            </w:tcBorders>
            <w:vAlign w:val="center"/>
          </w:tcPr>
          <w:p w14:paraId="63E2AF18">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43442825.069</w:t>
            </w:r>
          </w:p>
        </w:tc>
        <w:tc>
          <w:tcPr>
            <w:tcW w:w="3342" w:type="dxa"/>
            <w:tcBorders>
              <w:tl2br w:val="nil"/>
              <w:tr2bl w:val="nil"/>
            </w:tcBorders>
            <w:vAlign w:val="center"/>
          </w:tcPr>
          <w:p w14:paraId="0C2DE5D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5015206.589</w:t>
            </w:r>
          </w:p>
        </w:tc>
      </w:tr>
      <w:tr w14:paraId="1C5D27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6626911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J29</w:t>
            </w:r>
          </w:p>
        </w:tc>
        <w:tc>
          <w:tcPr>
            <w:tcW w:w="3325" w:type="dxa"/>
            <w:tcBorders>
              <w:tl2br w:val="nil"/>
              <w:tr2bl w:val="nil"/>
            </w:tcBorders>
            <w:vAlign w:val="center"/>
          </w:tcPr>
          <w:p w14:paraId="1CFF82E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43442825.177</w:t>
            </w:r>
          </w:p>
        </w:tc>
        <w:tc>
          <w:tcPr>
            <w:tcW w:w="3342" w:type="dxa"/>
            <w:tcBorders>
              <w:tl2br w:val="nil"/>
              <w:tr2bl w:val="nil"/>
            </w:tcBorders>
            <w:vAlign w:val="center"/>
          </w:tcPr>
          <w:p w14:paraId="434862B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5015203.379</w:t>
            </w:r>
          </w:p>
        </w:tc>
      </w:tr>
      <w:tr w14:paraId="1BCF28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BB68BB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J30</w:t>
            </w:r>
          </w:p>
        </w:tc>
        <w:tc>
          <w:tcPr>
            <w:tcW w:w="3325" w:type="dxa"/>
            <w:tcBorders>
              <w:tl2br w:val="nil"/>
              <w:tr2bl w:val="nil"/>
            </w:tcBorders>
            <w:vAlign w:val="center"/>
          </w:tcPr>
          <w:p w14:paraId="4EE249D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43442826.820</w:t>
            </w:r>
          </w:p>
        </w:tc>
        <w:tc>
          <w:tcPr>
            <w:tcW w:w="3342" w:type="dxa"/>
            <w:tcBorders>
              <w:tl2br w:val="nil"/>
              <w:tr2bl w:val="nil"/>
            </w:tcBorders>
            <w:vAlign w:val="center"/>
          </w:tcPr>
          <w:p w14:paraId="70EF69F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5015199.490</w:t>
            </w:r>
          </w:p>
        </w:tc>
      </w:tr>
      <w:tr w14:paraId="7F8122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2359B6D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J31</w:t>
            </w:r>
          </w:p>
        </w:tc>
        <w:tc>
          <w:tcPr>
            <w:tcW w:w="3325" w:type="dxa"/>
            <w:tcBorders>
              <w:tl2br w:val="nil"/>
              <w:tr2bl w:val="nil"/>
            </w:tcBorders>
            <w:vAlign w:val="center"/>
          </w:tcPr>
          <w:p w14:paraId="7E883D9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43442832.944</w:t>
            </w:r>
          </w:p>
        </w:tc>
        <w:tc>
          <w:tcPr>
            <w:tcW w:w="3342" w:type="dxa"/>
            <w:tcBorders>
              <w:tl2br w:val="nil"/>
              <w:tr2bl w:val="nil"/>
            </w:tcBorders>
            <w:vAlign w:val="center"/>
          </w:tcPr>
          <w:p w14:paraId="016A24D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5015169.277</w:t>
            </w:r>
          </w:p>
        </w:tc>
      </w:tr>
      <w:tr w14:paraId="1AC7BF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670E3E3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J32</w:t>
            </w:r>
          </w:p>
        </w:tc>
        <w:tc>
          <w:tcPr>
            <w:tcW w:w="3325" w:type="dxa"/>
            <w:tcBorders>
              <w:tl2br w:val="nil"/>
              <w:tr2bl w:val="nil"/>
            </w:tcBorders>
            <w:vAlign w:val="center"/>
          </w:tcPr>
          <w:p w14:paraId="78B4A7E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43442833.610</w:t>
            </w:r>
          </w:p>
        </w:tc>
        <w:tc>
          <w:tcPr>
            <w:tcW w:w="3342" w:type="dxa"/>
            <w:tcBorders>
              <w:tl2br w:val="nil"/>
              <w:tr2bl w:val="nil"/>
            </w:tcBorders>
            <w:vAlign w:val="center"/>
          </w:tcPr>
          <w:p w14:paraId="67940D6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5015136.894</w:t>
            </w:r>
          </w:p>
        </w:tc>
      </w:tr>
      <w:tr w14:paraId="4746A3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41A7A50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J33</w:t>
            </w:r>
          </w:p>
        </w:tc>
        <w:tc>
          <w:tcPr>
            <w:tcW w:w="3325" w:type="dxa"/>
            <w:tcBorders>
              <w:tl2br w:val="nil"/>
              <w:tr2bl w:val="nil"/>
            </w:tcBorders>
            <w:vAlign w:val="center"/>
          </w:tcPr>
          <w:p w14:paraId="11306DB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43442878.495</w:t>
            </w:r>
          </w:p>
        </w:tc>
        <w:tc>
          <w:tcPr>
            <w:tcW w:w="3342" w:type="dxa"/>
            <w:tcBorders>
              <w:tl2br w:val="nil"/>
              <w:tr2bl w:val="nil"/>
            </w:tcBorders>
            <w:vAlign w:val="center"/>
          </w:tcPr>
          <w:p w14:paraId="23085B8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5015134.883</w:t>
            </w:r>
          </w:p>
        </w:tc>
      </w:tr>
      <w:tr w14:paraId="6F2882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0FF7047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J34</w:t>
            </w:r>
          </w:p>
        </w:tc>
        <w:tc>
          <w:tcPr>
            <w:tcW w:w="3325" w:type="dxa"/>
            <w:tcBorders>
              <w:tl2br w:val="nil"/>
              <w:tr2bl w:val="nil"/>
            </w:tcBorders>
            <w:vAlign w:val="center"/>
          </w:tcPr>
          <w:p w14:paraId="41BB197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43442894.321</w:t>
            </w:r>
          </w:p>
        </w:tc>
        <w:tc>
          <w:tcPr>
            <w:tcW w:w="3342" w:type="dxa"/>
            <w:tcBorders>
              <w:tl2br w:val="nil"/>
              <w:tr2bl w:val="nil"/>
            </w:tcBorders>
            <w:vAlign w:val="center"/>
          </w:tcPr>
          <w:p w14:paraId="06DE120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5015138.934</w:t>
            </w:r>
          </w:p>
        </w:tc>
      </w:tr>
      <w:tr w14:paraId="5874F4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28DC1C5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J35</w:t>
            </w:r>
          </w:p>
        </w:tc>
        <w:tc>
          <w:tcPr>
            <w:tcW w:w="3325" w:type="dxa"/>
            <w:tcBorders>
              <w:tl2br w:val="nil"/>
              <w:tr2bl w:val="nil"/>
            </w:tcBorders>
            <w:vAlign w:val="center"/>
          </w:tcPr>
          <w:p w14:paraId="1172FE9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43442892.609</w:t>
            </w:r>
          </w:p>
        </w:tc>
        <w:tc>
          <w:tcPr>
            <w:tcW w:w="3342" w:type="dxa"/>
            <w:tcBorders>
              <w:tl2br w:val="nil"/>
              <w:tr2bl w:val="nil"/>
            </w:tcBorders>
            <w:vAlign w:val="center"/>
          </w:tcPr>
          <w:p w14:paraId="33DF069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5015128.637</w:t>
            </w:r>
          </w:p>
        </w:tc>
      </w:tr>
      <w:tr w14:paraId="2CE092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0946D55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J36</w:t>
            </w:r>
          </w:p>
        </w:tc>
        <w:tc>
          <w:tcPr>
            <w:tcW w:w="3325" w:type="dxa"/>
            <w:tcBorders>
              <w:tl2br w:val="nil"/>
              <w:tr2bl w:val="nil"/>
            </w:tcBorders>
            <w:vAlign w:val="center"/>
          </w:tcPr>
          <w:p w14:paraId="2A5F852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43442887.808</w:t>
            </w:r>
          </w:p>
        </w:tc>
        <w:tc>
          <w:tcPr>
            <w:tcW w:w="3342" w:type="dxa"/>
            <w:tcBorders>
              <w:tl2br w:val="nil"/>
              <w:tr2bl w:val="nil"/>
            </w:tcBorders>
            <w:vAlign w:val="center"/>
          </w:tcPr>
          <w:p w14:paraId="2DF2395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5015126.600</w:t>
            </w:r>
          </w:p>
        </w:tc>
      </w:tr>
      <w:tr w14:paraId="6A29DF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0709B84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J37</w:t>
            </w:r>
          </w:p>
        </w:tc>
        <w:tc>
          <w:tcPr>
            <w:tcW w:w="3325" w:type="dxa"/>
            <w:tcBorders>
              <w:tl2br w:val="nil"/>
              <w:tr2bl w:val="nil"/>
            </w:tcBorders>
            <w:vAlign w:val="center"/>
          </w:tcPr>
          <w:p w14:paraId="0F487D4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43442873.900</w:t>
            </w:r>
          </w:p>
        </w:tc>
        <w:tc>
          <w:tcPr>
            <w:tcW w:w="3342" w:type="dxa"/>
            <w:tcBorders>
              <w:tl2br w:val="nil"/>
              <w:tr2bl w:val="nil"/>
            </w:tcBorders>
            <w:vAlign w:val="center"/>
          </w:tcPr>
          <w:p w14:paraId="411224C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5015125.380</w:t>
            </w:r>
          </w:p>
        </w:tc>
      </w:tr>
      <w:tr w14:paraId="3B1C0E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15C5CF0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J38</w:t>
            </w:r>
          </w:p>
        </w:tc>
        <w:tc>
          <w:tcPr>
            <w:tcW w:w="3325" w:type="dxa"/>
            <w:tcBorders>
              <w:tl2br w:val="nil"/>
              <w:tr2bl w:val="nil"/>
            </w:tcBorders>
            <w:vAlign w:val="center"/>
          </w:tcPr>
          <w:p w14:paraId="2169351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43442870.992</w:t>
            </w:r>
          </w:p>
        </w:tc>
        <w:tc>
          <w:tcPr>
            <w:tcW w:w="3342" w:type="dxa"/>
            <w:tcBorders>
              <w:tl2br w:val="nil"/>
              <w:tr2bl w:val="nil"/>
            </w:tcBorders>
            <w:vAlign w:val="center"/>
          </w:tcPr>
          <w:p w14:paraId="2D40A55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5015122.704</w:t>
            </w:r>
          </w:p>
        </w:tc>
      </w:tr>
      <w:tr w14:paraId="4FDC63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461D2B6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J39</w:t>
            </w:r>
          </w:p>
        </w:tc>
        <w:tc>
          <w:tcPr>
            <w:tcW w:w="3325" w:type="dxa"/>
            <w:tcBorders>
              <w:tl2br w:val="nil"/>
              <w:tr2bl w:val="nil"/>
            </w:tcBorders>
            <w:vAlign w:val="center"/>
          </w:tcPr>
          <w:p w14:paraId="7524DD8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43442868.831</w:t>
            </w:r>
          </w:p>
        </w:tc>
        <w:tc>
          <w:tcPr>
            <w:tcW w:w="3342" w:type="dxa"/>
            <w:tcBorders>
              <w:tl2br w:val="nil"/>
              <w:tr2bl w:val="nil"/>
            </w:tcBorders>
            <w:vAlign w:val="center"/>
          </w:tcPr>
          <w:p w14:paraId="6B58A08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5015122.589</w:t>
            </w:r>
          </w:p>
        </w:tc>
      </w:tr>
      <w:tr w14:paraId="44D841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34DDB5A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J40</w:t>
            </w:r>
          </w:p>
        </w:tc>
        <w:tc>
          <w:tcPr>
            <w:tcW w:w="3325" w:type="dxa"/>
            <w:tcBorders>
              <w:tl2br w:val="nil"/>
              <w:tr2bl w:val="nil"/>
            </w:tcBorders>
            <w:vAlign w:val="center"/>
          </w:tcPr>
          <w:p w14:paraId="66E516A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43442864.115</w:t>
            </w:r>
          </w:p>
        </w:tc>
        <w:tc>
          <w:tcPr>
            <w:tcW w:w="3342" w:type="dxa"/>
            <w:tcBorders>
              <w:tl2br w:val="nil"/>
              <w:tr2bl w:val="nil"/>
            </w:tcBorders>
            <w:vAlign w:val="center"/>
          </w:tcPr>
          <w:p w14:paraId="18A180E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5015113.851</w:t>
            </w:r>
          </w:p>
        </w:tc>
      </w:tr>
      <w:tr w14:paraId="57B90B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68F47EE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J41</w:t>
            </w:r>
          </w:p>
        </w:tc>
        <w:tc>
          <w:tcPr>
            <w:tcW w:w="3325" w:type="dxa"/>
            <w:tcBorders>
              <w:tl2br w:val="nil"/>
              <w:tr2bl w:val="nil"/>
            </w:tcBorders>
            <w:vAlign w:val="center"/>
          </w:tcPr>
          <w:p w14:paraId="0B379C8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43442862.853</w:t>
            </w:r>
          </w:p>
        </w:tc>
        <w:tc>
          <w:tcPr>
            <w:tcW w:w="3342" w:type="dxa"/>
            <w:tcBorders>
              <w:tl2br w:val="nil"/>
              <w:tr2bl w:val="nil"/>
            </w:tcBorders>
            <w:vAlign w:val="center"/>
          </w:tcPr>
          <w:p w14:paraId="53AFF78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5015107.709</w:t>
            </w:r>
          </w:p>
        </w:tc>
      </w:tr>
      <w:tr w14:paraId="1FC564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055D1E2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J42</w:t>
            </w:r>
          </w:p>
        </w:tc>
        <w:tc>
          <w:tcPr>
            <w:tcW w:w="3325" w:type="dxa"/>
            <w:tcBorders>
              <w:tl2br w:val="nil"/>
              <w:tr2bl w:val="nil"/>
            </w:tcBorders>
            <w:vAlign w:val="center"/>
          </w:tcPr>
          <w:p w14:paraId="53A7BDB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43442859.079</w:t>
            </w:r>
          </w:p>
        </w:tc>
        <w:tc>
          <w:tcPr>
            <w:tcW w:w="3342" w:type="dxa"/>
            <w:tcBorders>
              <w:tl2br w:val="nil"/>
              <w:tr2bl w:val="nil"/>
            </w:tcBorders>
            <w:vAlign w:val="center"/>
          </w:tcPr>
          <w:p w14:paraId="6D33563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5015102.684</w:t>
            </w:r>
          </w:p>
        </w:tc>
      </w:tr>
      <w:tr w14:paraId="530D3B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3AB9415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J43</w:t>
            </w:r>
          </w:p>
        </w:tc>
        <w:tc>
          <w:tcPr>
            <w:tcW w:w="3325" w:type="dxa"/>
            <w:tcBorders>
              <w:tl2br w:val="nil"/>
              <w:tr2bl w:val="nil"/>
            </w:tcBorders>
            <w:vAlign w:val="center"/>
          </w:tcPr>
          <w:p w14:paraId="4A7467D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43442854.650</w:t>
            </w:r>
          </w:p>
        </w:tc>
        <w:tc>
          <w:tcPr>
            <w:tcW w:w="3342" w:type="dxa"/>
            <w:tcBorders>
              <w:tl2br w:val="nil"/>
              <w:tr2bl w:val="nil"/>
            </w:tcBorders>
            <w:vAlign w:val="center"/>
          </w:tcPr>
          <w:p w14:paraId="67F3D08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5015096.709</w:t>
            </w:r>
          </w:p>
        </w:tc>
      </w:tr>
      <w:tr w14:paraId="1E5E44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DA0711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J44</w:t>
            </w:r>
          </w:p>
        </w:tc>
        <w:tc>
          <w:tcPr>
            <w:tcW w:w="3325" w:type="dxa"/>
            <w:tcBorders>
              <w:tl2br w:val="nil"/>
              <w:tr2bl w:val="nil"/>
            </w:tcBorders>
            <w:vAlign w:val="center"/>
          </w:tcPr>
          <w:p w14:paraId="351C12F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43442848.710</w:t>
            </w:r>
          </w:p>
        </w:tc>
        <w:tc>
          <w:tcPr>
            <w:tcW w:w="3342" w:type="dxa"/>
            <w:tcBorders>
              <w:tl2br w:val="nil"/>
              <w:tr2bl w:val="nil"/>
            </w:tcBorders>
            <w:vAlign w:val="center"/>
          </w:tcPr>
          <w:p w14:paraId="123378D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5015093.572</w:t>
            </w:r>
          </w:p>
        </w:tc>
      </w:tr>
      <w:tr w14:paraId="793170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1CCE344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J45</w:t>
            </w:r>
          </w:p>
        </w:tc>
        <w:tc>
          <w:tcPr>
            <w:tcW w:w="3325" w:type="dxa"/>
            <w:tcBorders>
              <w:tl2br w:val="nil"/>
              <w:tr2bl w:val="nil"/>
            </w:tcBorders>
            <w:vAlign w:val="center"/>
          </w:tcPr>
          <w:p w14:paraId="3C58AD9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43442841.270</w:t>
            </w:r>
          </w:p>
        </w:tc>
        <w:tc>
          <w:tcPr>
            <w:tcW w:w="3342" w:type="dxa"/>
            <w:tcBorders>
              <w:tl2br w:val="nil"/>
              <w:tr2bl w:val="nil"/>
            </w:tcBorders>
            <w:vAlign w:val="center"/>
          </w:tcPr>
          <w:p w14:paraId="790809F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5015092.988</w:t>
            </w:r>
          </w:p>
        </w:tc>
      </w:tr>
      <w:tr w14:paraId="762FDC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5E341F2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J46</w:t>
            </w:r>
          </w:p>
        </w:tc>
        <w:tc>
          <w:tcPr>
            <w:tcW w:w="3325" w:type="dxa"/>
            <w:tcBorders>
              <w:tl2br w:val="nil"/>
              <w:tr2bl w:val="nil"/>
            </w:tcBorders>
            <w:vAlign w:val="center"/>
          </w:tcPr>
          <w:p w14:paraId="4D98DB6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43442836.689</w:t>
            </w:r>
          </w:p>
        </w:tc>
        <w:tc>
          <w:tcPr>
            <w:tcW w:w="3342" w:type="dxa"/>
            <w:tcBorders>
              <w:tl2br w:val="nil"/>
              <w:tr2bl w:val="nil"/>
            </w:tcBorders>
            <w:vAlign w:val="center"/>
          </w:tcPr>
          <w:p w14:paraId="787B8E1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5015094.641</w:t>
            </w:r>
          </w:p>
        </w:tc>
      </w:tr>
      <w:tr w14:paraId="5766E0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52FCB91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J47</w:t>
            </w:r>
          </w:p>
        </w:tc>
        <w:tc>
          <w:tcPr>
            <w:tcW w:w="3325" w:type="dxa"/>
            <w:tcBorders>
              <w:tl2br w:val="nil"/>
              <w:tr2bl w:val="nil"/>
            </w:tcBorders>
            <w:vAlign w:val="center"/>
          </w:tcPr>
          <w:p w14:paraId="0F6425D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43442835.179</w:t>
            </w:r>
          </w:p>
        </w:tc>
        <w:tc>
          <w:tcPr>
            <w:tcW w:w="3342" w:type="dxa"/>
            <w:tcBorders>
              <w:tl2br w:val="nil"/>
              <w:tr2bl w:val="nil"/>
            </w:tcBorders>
            <w:vAlign w:val="center"/>
          </w:tcPr>
          <w:p w14:paraId="42F9DB7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5015093.747</w:t>
            </w:r>
          </w:p>
        </w:tc>
      </w:tr>
      <w:tr w14:paraId="7735D1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67472F4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J48</w:t>
            </w:r>
          </w:p>
        </w:tc>
        <w:tc>
          <w:tcPr>
            <w:tcW w:w="3325" w:type="dxa"/>
            <w:tcBorders>
              <w:tl2br w:val="nil"/>
              <w:tr2bl w:val="nil"/>
            </w:tcBorders>
            <w:vAlign w:val="center"/>
          </w:tcPr>
          <w:p w14:paraId="4DE80FC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43442832.041</w:t>
            </w:r>
          </w:p>
        </w:tc>
        <w:tc>
          <w:tcPr>
            <w:tcW w:w="3342" w:type="dxa"/>
            <w:tcBorders>
              <w:tl2br w:val="nil"/>
              <w:tr2bl w:val="nil"/>
            </w:tcBorders>
            <w:vAlign w:val="center"/>
          </w:tcPr>
          <w:p w14:paraId="5603002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5015093.842</w:t>
            </w:r>
          </w:p>
        </w:tc>
      </w:tr>
      <w:tr w14:paraId="2D2F07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025644E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J49</w:t>
            </w:r>
          </w:p>
        </w:tc>
        <w:tc>
          <w:tcPr>
            <w:tcW w:w="3325" w:type="dxa"/>
            <w:tcBorders>
              <w:tl2br w:val="nil"/>
              <w:tr2bl w:val="nil"/>
            </w:tcBorders>
            <w:vAlign w:val="center"/>
          </w:tcPr>
          <w:p w14:paraId="54ADBD2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43442831.739</w:t>
            </w:r>
          </w:p>
        </w:tc>
        <w:tc>
          <w:tcPr>
            <w:tcW w:w="3342" w:type="dxa"/>
            <w:tcBorders>
              <w:tl2br w:val="nil"/>
              <w:tr2bl w:val="nil"/>
            </w:tcBorders>
            <w:vAlign w:val="center"/>
          </w:tcPr>
          <w:p w14:paraId="655E3E6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5015094.560</w:t>
            </w:r>
          </w:p>
        </w:tc>
      </w:tr>
      <w:tr w14:paraId="69F0D5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159283C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J50</w:t>
            </w:r>
          </w:p>
        </w:tc>
        <w:tc>
          <w:tcPr>
            <w:tcW w:w="3325" w:type="dxa"/>
            <w:tcBorders>
              <w:tl2br w:val="nil"/>
              <w:tr2bl w:val="nil"/>
            </w:tcBorders>
            <w:vAlign w:val="center"/>
          </w:tcPr>
          <w:p w14:paraId="364B42B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43442827.298</w:t>
            </w:r>
          </w:p>
        </w:tc>
        <w:tc>
          <w:tcPr>
            <w:tcW w:w="3342" w:type="dxa"/>
            <w:tcBorders>
              <w:tl2br w:val="nil"/>
              <w:tr2bl w:val="nil"/>
            </w:tcBorders>
            <w:vAlign w:val="center"/>
          </w:tcPr>
          <w:p w14:paraId="0D33247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5015095.060</w:t>
            </w:r>
          </w:p>
        </w:tc>
      </w:tr>
      <w:tr w14:paraId="7CFA9C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77956B8">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J51</w:t>
            </w:r>
          </w:p>
        </w:tc>
        <w:tc>
          <w:tcPr>
            <w:tcW w:w="3325" w:type="dxa"/>
            <w:tcBorders>
              <w:tl2br w:val="nil"/>
              <w:tr2bl w:val="nil"/>
            </w:tcBorders>
            <w:vAlign w:val="center"/>
          </w:tcPr>
          <w:p w14:paraId="0D3CBE8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43442825.742</w:t>
            </w:r>
          </w:p>
        </w:tc>
        <w:tc>
          <w:tcPr>
            <w:tcW w:w="3342" w:type="dxa"/>
            <w:tcBorders>
              <w:tl2br w:val="nil"/>
              <w:tr2bl w:val="nil"/>
            </w:tcBorders>
            <w:vAlign w:val="center"/>
          </w:tcPr>
          <w:p w14:paraId="637EDD2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5015095.860</w:t>
            </w:r>
          </w:p>
        </w:tc>
      </w:tr>
      <w:tr w14:paraId="432C63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25BCFA5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J52</w:t>
            </w:r>
          </w:p>
        </w:tc>
        <w:tc>
          <w:tcPr>
            <w:tcW w:w="3325" w:type="dxa"/>
            <w:tcBorders>
              <w:tl2br w:val="nil"/>
              <w:tr2bl w:val="nil"/>
            </w:tcBorders>
            <w:vAlign w:val="center"/>
          </w:tcPr>
          <w:p w14:paraId="2518C4D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43442820.629</w:t>
            </w:r>
          </w:p>
        </w:tc>
        <w:tc>
          <w:tcPr>
            <w:tcW w:w="3342" w:type="dxa"/>
            <w:tcBorders>
              <w:tl2br w:val="nil"/>
              <w:tr2bl w:val="nil"/>
            </w:tcBorders>
            <w:vAlign w:val="center"/>
          </w:tcPr>
          <w:p w14:paraId="78664F9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5015095.664</w:t>
            </w:r>
          </w:p>
        </w:tc>
      </w:tr>
      <w:tr w14:paraId="4A8F43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1E36D2E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J53</w:t>
            </w:r>
          </w:p>
        </w:tc>
        <w:tc>
          <w:tcPr>
            <w:tcW w:w="3325" w:type="dxa"/>
            <w:tcBorders>
              <w:tl2br w:val="nil"/>
              <w:tr2bl w:val="nil"/>
            </w:tcBorders>
            <w:vAlign w:val="center"/>
          </w:tcPr>
          <w:p w14:paraId="766187F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43442816.597</w:t>
            </w:r>
          </w:p>
        </w:tc>
        <w:tc>
          <w:tcPr>
            <w:tcW w:w="3342" w:type="dxa"/>
            <w:tcBorders>
              <w:tl2br w:val="nil"/>
              <w:tr2bl w:val="nil"/>
            </w:tcBorders>
            <w:vAlign w:val="center"/>
          </w:tcPr>
          <w:p w14:paraId="7F86D0A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5015094.077</w:t>
            </w:r>
          </w:p>
        </w:tc>
      </w:tr>
      <w:tr w14:paraId="69EC27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73468E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J54</w:t>
            </w:r>
          </w:p>
        </w:tc>
        <w:tc>
          <w:tcPr>
            <w:tcW w:w="3325" w:type="dxa"/>
            <w:tcBorders>
              <w:tl2br w:val="nil"/>
              <w:tr2bl w:val="nil"/>
            </w:tcBorders>
            <w:vAlign w:val="center"/>
          </w:tcPr>
          <w:p w14:paraId="22AAE55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43442812.184</w:t>
            </w:r>
          </w:p>
        </w:tc>
        <w:tc>
          <w:tcPr>
            <w:tcW w:w="3342" w:type="dxa"/>
            <w:tcBorders>
              <w:tl2br w:val="nil"/>
              <w:tr2bl w:val="nil"/>
            </w:tcBorders>
            <w:vAlign w:val="center"/>
          </w:tcPr>
          <w:p w14:paraId="5E48C2A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5015096.251</w:t>
            </w:r>
          </w:p>
        </w:tc>
      </w:tr>
      <w:tr w14:paraId="401D4A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8FD31E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J55</w:t>
            </w:r>
          </w:p>
        </w:tc>
        <w:tc>
          <w:tcPr>
            <w:tcW w:w="3325" w:type="dxa"/>
            <w:tcBorders>
              <w:tl2br w:val="nil"/>
              <w:tr2bl w:val="nil"/>
            </w:tcBorders>
            <w:vAlign w:val="center"/>
          </w:tcPr>
          <w:p w14:paraId="6B02982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43442804.144</w:t>
            </w:r>
          </w:p>
        </w:tc>
        <w:tc>
          <w:tcPr>
            <w:tcW w:w="3342" w:type="dxa"/>
            <w:tcBorders>
              <w:tl2br w:val="nil"/>
              <w:tr2bl w:val="nil"/>
            </w:tcBorders>
            <w:vAlign w:val="center"/>
          </w:tcPr>
          <w:p w14:paraId="53F158A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5015101.606</w:t>
            </w:r>
          </w:p>
        </w:tc>
      </w:tr>
      <w:tr w14:paraId="421E64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4216B42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J56</w:t>
            </w:r>
          </w:p>
        </w:tc>
        <w:tc>
          <w:tcPr>
            <w:tcW w:w="3325" w:type="dxa"/>
            <w:tcBorders>
              <w:tl2br w:val="nil"/>
              <w:tr2bl w:val="nil"/>
            </w:tcBorders>
            <w:vAlign w:val="center"/>
          </w:tcPr>
          <w:p w14:paraId="7018BDD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43442802.968</w:t>
            </w:r>
          </w:p>
        </w:tc>
        <w:tc>
          <w:tcPr>
            <w:tcW w:w="3342" w:type="dxa"/>
            <w:tcBorders>
              <w:tl2br w:val="nil"/>
              <w:tr2bl w:val="nil"/>
            </w:tcBorders>
            <w:vAlign w:val="center"/>
          </w:tcPr>
          <w:p w14:paraId="40931E7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5015114.741</w:t>
            </w:r>
          </w:p>
        </w:tc>
      </w:tr>
      <w:tr w14:paraId="5CA34E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5F91450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J57</w:t>
            </w:r>
          </w:p>
        </w:tc>
        <w:tc>
          <w:tcPr>
            <w:tcW w:w="3325" w:type="dxa"/>
            <w:tcBorders>
              <w:tl2br w:val="nil"/>
              <w:tr2bl w:val="nil"/>
            </w:tcBorders>
            <w:vAlign w:val="center"/>
          </w:tcPr>
          <w:p w14:paraId="014A4C6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43442795.883</w:t>
            </w:r>
          </w:p>
        </w:tc>
        <w:tc>
          <w:tcPr>
            <w:tcW w:w="3342" w:type="dxa"/>
            <w:tcBorders>
              <w:tl2br w:val="nil"/>
              <w:tr2bl w:val="nil"/>
            </w:tcBorders>
            <w:vAlign w:val="center"/>
          </w:tcPr>
          <w:p w14:paraId="2B6ABEA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5015125.229</w:t>
            </w:r>
          </w:p>
        </w:tc>
      </w:tr>
      <w:tr w14:paraId="01F892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6F2D6FF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J58</w:t>
            </w:r>
          </w:p>
        </w:tc>
        <w:tc>
          <w:tcPr>
            <w:tcW w:w="3325" w:type="dxa"/>
            <w:tcBorders>
              <w:tl2br w:val="nil"/>
              <w:tr2bl w:val="nil"/>
            </w:tcBorders>
            <w:vAlign w:val="center"/>
          </w:tcPr>
          <w:p w14:paraId="6F14FF6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43442786.567</w:t>
            </w:r>
          </w:p>
        </w:tc>
        <w:tc>
          <w:tcPr>
            <w:tcW w:w="3342" w:type="dxa"/>
            <w:tcBorders>
              <w:tl2br w:val="nil"/>
              <w:tr2bl w:val="nil"/>
            </w:tcBorders>
            <w:vAlign w:val="center"/>
          </w:tcPr>
          <w:p w14:paraId="7761883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5015129.119</w:t>
            </w:r>
          </w:p>
        </w:tc>
      </w:tr>
      <w:tr w14:paraId="024FF3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6CC3F9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J59</w:t>
            </w:r>
          </w:p>
        </w:tc>
        <w:tc>
          <w:tcPr>
            <w:tcW w:w="3325" w:type="dxa"/>
            <w:tcBorders>
              <w:tl2br w:val="nil"/>
              <w:tr2bl w:val="nil"/>
            </w:tcBorders>
            <w:vAlign w:val="center"/>
          </w:tcPr>
          <w:p w14:paraId="437DBAF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43442783.016</w:t>
            </w:r>
          </w:p>
        </w:tc>
        <w:tc>
          <w:tcPr>
            <w:tcW w:w="3342" w:type="dxa"/>
            <w:tcBorders>
              <w:tl2br w:val="nil"/>
              <w:tr2bl w:val="nil"/>
            </w:tcBorders>
            <w:vAlign w:val="center"/>
          </w:tcPr>
          <w:p w14:paraId="5C365B7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5015132.332</w:t>
            </w:r>
          </w:p>
        </w:tc>
      </w:tr>
      <w:tr w14:paraId="39157A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559E897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J60</w:t>
            </w:r>
          </w:p>
        </w:tc>
        <w:tc>
          <w:tcPr>
            <w:tcW w:w="3325" w:type="dxa"/>
            <w:tcBorders>
              <w:tl2br w:val="nil"/>
              <w:tr2bl w:val="nil"/>
            </w:tcBorders>
            <w:vAlign w:val="center"/>
          </w:tcPr>
          <w:p w14:paraId="2A31ECC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43442779.219</w:t>
            </w:r>
          </w:p>
        </w:tc>
        <w:tc>
          <w:tcPr>
            <w:tcW w:w="3342" w:type="dxa"/>
            <w:tcBorders>
              <w:tl2br w:val="nil"/>
              <w:tr2bl w:val="nil"/>
            </w:tcBorders>
            <w:vAlign w:val="center"/>
          </w:tcPr>
          <w:p w14:paraId="15B954F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5015135.345</w:t>
            </w:r>
          </w:p>
        </w:tc>
      </w:tr>
      <w:tr w14:paraId="3408AE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16DE3A1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J61</w:t>
            </w:r>
          </w:p>
        </w:tc>
        <w:tc>
          <w:tcPr>
            <w:tcW w:w="3325" w:type="dxa"/>
            <w:tcBorders>
              <w:tl2br w:val="nil"/>
              <w:tr2bl w:val="nil"/>
            </w:tcBorders>
            <w:vAlign w:val="center"/>
          </w:tcPr>
          <w:p w14:paraId="34504DE8">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43442777.441</w:t>
            </w:r>
          </w:p>
        </w:tc>
        <w:tc>
          <w:tcPr>
            <w:tcW w:w="3342" w:type="dxa"/>
            <w:tcBorders>
              <w:tl2br w:val="nil"/>
              <w:tr2bl w:val="nil"/>
            </w:tcBorders>
            <w:vAlign w:val="center"/>
          </w:tcPr>
          <w:p w14:paraId="5F03ECE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5015140.390</w:t>
            </w:r>
          </w:p>
        </w:tc>
      </w:tr>
      <w:tr w14:paraId="7EB749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0CC95A4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J62</w:t>
            </w:r>
          </w:p>
        </w:tc>
        <w:tc>
          <w:tcPr>
            <w:tcW w:w="3325" w:type="dxa"/>
            <w:tcBorders>
              <w:tl2br w:val="nil"/>
              <w:tr2bl w:val="nil"/>
            </w:tcBorders>
            <w:vAlign w:val="center"/>
          </w:tcPr>
          <w:p w14:paraId="11653C6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43442776.653</w:t>
            </w:r>
          </w:p>
        </w:tc>
        <w:tc>
          <w:tcPr>
            <w:tcW w:w="3342" w:type="dxa"/>
            <w:tcBorders>
              <w:tl2br w:val="nil"/>
              <w:tr2bl w:val="nil"/>
            </w:tcBorders>
            <w:vAlign w:val="center"/>
          </w:tcPr>
          <w:p w14:paraId="3E9BE54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5015146.066</w:t>
            </w:r>
          </w:p>
        </w:tc>
      </w:tr>
      <w:tr w14:paraId="7FA238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7" w:hRule="atLeast"/>
        </w:trPr>
        <w:tc>
          <w:tcPr>
            <w:tcW w:w="1858" w:type="dxa"/>
            <w:tcBorders>
              <w:tl2br w:val="nil"/>
              <w:tr2bl w:val="nil"/>
            </w:tcBorders>
            <w:vAlign w:val="center"/>
          </w:tcPr>
          <w:p w14:paraId="033FCD6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J63</w:t>
            </w:r>
          </w:p>
        </w:tc>
        <w:tc>
          <w:tcPr>
            <w:tcW w:w="3325" w:type="dxa"/>
            <w:tcBorders>
              <w:tl2br w:val="nil"/>
              <w:tr2bl w:val="nil"/>
            </w:tcBorders>
            <w:vAlign w:val="center"/>
          </w:tcPr>
          <w:p w14:paraId="780A7D3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43442774.482</w:t>
            </w:r>
          </w:p>
        </w:tc>
        <w:tc>
          <w:tcPr>
            <w:tcW w:w="3342" w:type="dxa"/>
            <w:tcBorders>
              <w:tl2br w:val="nil"/>
              <w:tr2bl w:val="nil"/>
            </w:tcBorders>
            <w:vAlign w:val="center"/>
          </w:tcPr>
          <w:p w14:paraId="7EF38C1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5015148.141</w:t>
            </w:r>
          </w:p>
        </w:tc>
      </w:tr>
      <w:tr w14:paraId="710355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6E58361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J64</w:t>
            </w:r>
          </w:p>
        </w:tc>
        <w:tc>
          <w:tcPr>
            <w:tcW w:w="3325" w:type="dxa"/>
            <w:tcBorders>
              <w:tl2br w:val="nil"/>
              <w:tr2bl w:val="nil"/>
            </w:tcBorders>
            <w:vAlign w:val="center"/>
          </w:tcPr>
          <w:p w14:paraId="14C5385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43442773.220</w:t>
            </w:r>
          </w:p>
        </w:tc>
        <w:tc>
          <w:tcPr>
            <w:tcW w:w="3342" w:type="dxa"/>
            <w:tcBorders>
              <w:tl2br w:val="nil"/>
              <w:tr2bl w:val="nil"/>
            </w:tcBorders>
            <w:vAlign w:val="center"/>
          </w:tcPr>
          <w:p w14:paraId="4639303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5015156.360</w:t>
            </w:r>
          </w:p>
        </w:tc>
      </w:tr>
      <w:tr w14:paraId="6D1DFB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5FA6D30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J65</w:t>
            </w:r>
          </w:p>
        </w:tc>
        <w:tc>
          <w:tcPr>
            <w:tcW w:w="3325" w:type="dxa"/>
            <w:tcBorders>
              <w:tl2br w:val="nil"/>
              <w:tr2bl w:val="nil"/>
            </w:tcBorders>
            <w:vAlign w:val="center"/>
          </w:tcPr>
          <w:p w14:paraId="759165A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43442774.845</w:t>
            </w:r>
          </w:p>
        </w:tc>
        <w:tc>
          <w:tcPr>
            <w:tcW w:w="3342" w:type="dxa"/>
            <w:tcBorders>
              <w:tl2br w:val="nil"/>
              <w:tr2bl w:val="nil"/>
            </w:tcBorders>
            <w:vAlign w:val="center"/>
          </w:tcPr>
          <w:p w14:paraId="78FF858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5015158.701</w:t>
            </w:r>
          </w:p>
        </w:tc>
      </w:tr>
      <w:tr w14:paraId="2BEA2C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6072533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J66</w:t>
            </w:r>
          </w:p>
        </w:tc>
        <w:tc>
          <w:tcPr>
            <w:tcW w:w="3325" w:type="dxa"/>
            <w:tcBorders>
              <w:tl2br w:val="nil"/>
              <w:tr2bl w:val="nil"/>
            </w:tcBorders>
            <w:vAlign w:val="center"/>
          </w:tcPr>
          <w:p w14:paraId="32D5E85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43442770.286</w:t>
            </w:r>
          </w:p>
        </w:tc>
        <w:tc>
          <w:tcPr>
            <w:tcW w:w="3342" w:type="dxa"/>
            <w:tcBorders>
              <w:tl2br w:val="nil"/>
              <w:tr2bl w:val="nil"/>
            </w:tcBorders>
            <w:vAlign w:val="center"/>
          </w:tcPr>
          <w:p w14:paraId="6888CDD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5015164.883</w:t>
            </w:r>
          </w:p>
        </w:tc>
      </w:tr>
      <w:tr w14:paraId="429350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5DB4FBC8">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J67</w:t>
            </w:r>
          </w:p>
        </w:tc>
        <w:tc>
          <w:tcPr>
            <w:tcW w:w="3325" w:type="dxa"/>
            <w:tcBorders>
              <w:tl2br w:val="nil"/>
              <w:tr2bl w:val="nil"/>
            </w:tcBorders>
            <w:vAlign w:val="center"/>
          </w:tcPr>
          <w:p w14:paraId="036309A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43442770.273</w:t>
            </w:r>
          </w:p>
        </w:tc>
        <w:tc>
          <w:tcPr>
            <w:tcW w:w="3342" w:type="dxa"/>
            <w:tcBorders>
              <w:tl2br w:val="nil"/>
              <w:tr2bl w:val="nil"/>
            </w:tcBorders>
            <w:vAlign w:val="center"/>
          </w:tcPr>
          <w:p w14:paraId="373D86D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5015166.857</w:t>
            </w:r>
          </w:p>
        </w:tc>
      </w:tr>
      <w:tr w14:paraId="1D757A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7364E6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J68</w:t>
            </w:r>
          </w:p>
        </w:tc>
        <w:tc>
          <w:tcPr>
            <w:tcW w:w="3325" w:type="dxa"/>
            <w:tcBorders>
              <w:tl2br w:val="nil"/>
              <w:tr2bl w:val="nil"/>
            </w:tcBorders>
            <w:vAlign w:val="center"/>
          </w:tcPr>
          <w:p w14:paraId="4041080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43442767.247</w:t>
            </w:r>
          </w:p>
        </w:tc>
        <w:tc>
          <w:tcPr>
            <w:tcW w:w="3342" w:type="dxa"/>
            <w:tcBorders>
              <w:tl2br w:val="nil"/>
              <w:tr2bl w:val="nil"/>
            </w:tcBorders>
            <w:vAlign w:val="center"/>
          </w:tcPr>
          <w:p w14:paraId="7AC5F95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5015169.092</w:t>
            </w:r>
          </w:p>
        </w:tc>
      </w:tr>
      <w:tr w14:paraId="2A92CB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6B17C19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J69</w:t>
            </w:r>
          </w:p>
        </w:tc>
        <w:tc>
          <w:tcPr>
            <w:tcW w:w="3325" w:type="dxa"/>
            <w:tcBorders>
              <w:tl2br w:val="nil"/>
              <w:tr2bl w:val="nil"/>
            </w:tcBorders>
            <w:vAlign w:val="center"/>
          </w:tcPr>
          <w:p w14:paraId="15F82A0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43442767.469</w:t>
            </w:r>
          </w:p>
        </w:tc>
        <w:tc>
          <w:tcPr>
            <w:tcW w:w="3342" w:type="dxa"/>
            <w:tcBorders>
              <w:tl2br w:val="nil"/>
              <w:tr2bl w:val="nil"/>
            </w:tcBorders>
            <w:vAlign w:val="center"/>
          </w:tcPr>
          <w:p w14:paraId="1057014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5015170.455</w:t>
            </w:r>
          </w:p>
        </w:tc>
      </w:tr>
      <w:tr w14:paraId="60A361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00DA996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J70</w:t>
            </w:r>
          </w:p>
        </w:tc>
        <w:tc>
          <w:tcPr>
            <w:tcW w:w="3325" w:type="dxa"/>
            <w:tcBorders>
              <w:tl2br w:val="nil"/>
              <w:tr2bl w:val="nil"/>
            </w:tcBorders>
            <w:vAlign w:val="center"/>
          </w:tcPr>
          <w:p w14:paraId="520D339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43442766.247</w:t>
            </w:r>
          </w:p>
        </w:tc>
        <w:tc>
          <w:tcPr>
            <w:tcW w:w="3342" w:type="dxa"/>
            <w:tcBorders>
              <w:tl2br w:val="nil"/>
              <w:tr2bl w:val="nil"/>
            </w:tcBorders>
            <w:vAlign w:val="center"/>
          </w:tcPr>
          <w:p w14:paraId="5BBB065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5015171.886</w:t>
            </w:r>
          </w:p>
        </w:tc>
      </w:tr>
      <w:tr w14:paraId="00F31E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6698100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J71</w:t>
            </w:r>
          </w:p>
        </w:tc>
        <w:tc>
          <w:tcPr>
            <w:tcW w:w="3325" w:type="dxa"/>
            <w:tcBorders>
              <w:tl2br w:val="nil"/>
              <w:tr2bl w:val="nil"/>
            </w:tcBorders>
            <w:vAlign w:val="center"/>
          </w:tcPr>
          <w:p w14:paraId="5A02867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43442762.997</w:t>
            </w:r>
          </w:p>
        </w:tc>
        <w:tc>
          <w:tcPr>
            <w:tcW w:w="3342" w:type="dxa"/>
            <w:tcBorders>
              <w:tl2br w:val="nil"/>
              <w:tr2bl w:val="nil"/>
            </w:tcBorders>
            <w:vAlign w:val="center"/>
          </w:tcPr>
          <w:p w14:paraId="211AC1D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5015178.363</w:t>
            </w:r>
          </w:p>
        </w:tc>
      </w:tr>
      <w:tr w14:paraId="624094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363EC71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J72</w:t>
            </w:r>
          </w:p>
        </w:tc>
        <w:tc>
          <w:tcPr>
            <w:tcW w:w="3325" w:type="dxa"/>
            <w:tcBorders>
              <w:tl2br w:val="nil"/>
              <w:tr2bl w:val="nil"/>
            </w:tcBorders>
            <w:vAlign w:val="center"/>
          </w:tcPr>
          <w:p w14:paraId="3CB1357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43442762.750</w:t>
            </w:r>
          </w:p>
        </w:tc>
        <w:tc>
          <w:tcPr>
            <w:tcW w:w="3342" w:type="dxa"/>
            <w:tcBorders>
              <w:tl2br w:val="nil"/>
              <w:tr2bl w:val="nil"/>
            </w:tcBorders>
            <w:vAlign w:val="center"/>
          </w:tcPr>
          <w:p w14:paraId="5204FF9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5015180.497</w:t>
            </w:r>
          </w:p>
        </w:tc>
      </w:tr>
      <w:tr w14:paraId="48CA08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35A0136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J73</w:t>
            </w:r>
          </w:p>
        </w:tc>
        <w:tc>
          <w:tcPr>
            <w:tcW w:w="3325" w:type="dxa"/>
            <w:tcBorders>
              <w:tl2br w:val="nil"/>
              <w:tr2bl w:val="nil"/>
            </w:tcBorders>
            <w:vAlign w:val="center"/>
          </w:tcPr>
          <w:p w14:paraId="72C068C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43442759.199</w:t>
            </w:r>
          </w:p>
        </w:tc>
        <w:tc>
          <w:tcPr>
            <w:tcW w:w="3342" w:type="dxa"/>
            <w:tcBorders>
              <w:tl2br w:val="nil"/>
              <w:tr2bl w:val="nil"/>
            </w:tcBorders>
            <w:vAlign w:val="center"/>
          </w:tcPr>
          <w:p w14:paraId="13F6468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5015182.037</w:t>
            </w:r>
          </w:p>
        </w:tc>
      </w:tr>
      <w:tr w14:paraId="25EB2E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C72181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J74</w:t>
            </w:r>
          </w:p>
        </w:tc>
        <w:tc>
          <w:tcPr>
            <w:tcW w:w="3325" w:type="dxa"/>
            <w:tcBorders>
              <w:tl2br w:val="nil"/>
              <w:tr2bl w:val="nil"/>
            </w:tcBorders>
            <w:vAlign w:val="center"/>
          </w:tcPr>
          <w:p w14:paraId="6E520F3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43442756.218</w:t>
            </w:r>
          </w:p>
        </w:tc>
        <w:tc>
          <w:tcPr>
            <w:tcW w:w="3342" w:type="dxa"/>
            <w:tcBorders>
              <w:tl2br w:val="nil"/>
              <w:tr2bl w:val="nil"/>
            </w:tcBorders>
            <w:vAlign w:val="center"/>
          </w:tcPr>
          <w:p w14:paraId="3A4FEEE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5015181.281</w:t>
            </w:r>
          </w:p>
        </w:tc>
      </w:tr>
      <w:tr w14:paraId="24866A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B287CC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J75</w:t>
            </w:r>
          </w:p>
        </w:tc>
        <w:tc>
          <w:tcPr>
            <w:tcW w:w="3325" w:type="dxa"/>
            <w:tcBorders>
              <w:tl2br w:val="nil"/>
              <w:tr2bl w:val="nil"/>
            </w:tcBorders>
            <w:vAlign w:val="center"/>
          </w:tcPr>
          <w:p w14:paraId="6C3DDD5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43442754.144</w:t>
            </w:r>
          </w:p>
        </w:tc>
        <w:tc>
          <w:tcPr>
            <w:tcW w:w="3342" w:type="dxa"/>
            <w:tcBorders>
              <w:tl2br w:val="nil"/>
              <w:tr2bl w:val="nil"/>
            </w:tcBorders>
            <w:vAlign w:val="center"/>
          </w:tcPr>
          <w:p w14:paraId="4611253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5015181.741</w:t>
            </w:r>
          </w:p>
        </w:tc>
      </w:tr>
      <w:tr w14:paraId="5513BE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504D9BD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J76</w:t>
            </w:r>
          </w:p>
        </w:tc>
        <w:tc>
          <w:tcPr>
            <w:tcW w:w="3325" w:type="dxa"/>
            <w:tcBorders>
              <w:tl2br w:val="nil"/>
              <w:tr2bl w:val="nil"/>
            </w:tcBorders>
            <w:vAlign w:val="center"/>
          </w:tcPr>
          <w:p w14:paraId="7BBABF7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43442751.915</w:t>
            </w:r>
          </w:p>
        </w:tc>
        <w:tc>
          <w:tcPr>
            <w:tcW w:w="3342" w:type="dxa"/>
            <w:tcBorders>
              <w:tl2br w:val="nil"/>
              <w:tr2bl w:val="nil"/>
            </w:tcBorders>
            <w:vAlign w:val="center"/>
          </w:tcPr>
          <w:p w14:paraId="37F120F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5015182.956</w:t>
            </w:r>
          </w:p>
        </w:tc>
      </w:tr>
      <w:tr w14:paraId="03E00A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4F0322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J77</w:t>
            </w:r>
          </w:p>
        </w:tc>
        <w:tc>
          <w:tcPr>
            <w:tcW w:w="3325" w:type="dxa"/>
            <w:tcBorders>
              <w:tl2br w:val="nil"/>
              <w:tr2bl w:val="nil"/>
            </w:tcBorders>
            <w:vAlign w:val="center"/>
          </w:tcPr>
          <w:p w14:paraId="3487216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43442752.542</w:t>
            </w:r>
          </w:p>
        </w:tc>
        <w:tc>
          <w:tcPr>
            <w:tcW w:w="3342" w:type="dxa"/>
            <w:tcBorders>
              <w:tl2br w:val="nil"/>
              <w:tr2bl w:val="nil"/>
            </w:tcBorders>
            <w:vAlign w:val="center"/>
          </w:tcPr>
          <w:p w14:paraId="600DE97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5015184.399</w:t>
            </w:r>
          </w:p>
        </w:tc>
      </w:tr>
      <w:tr w14:paraId="2C849E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6E8EAEE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J78</w:t>
            </w:r>
          </w:p>
        </w:tc>
        <w:tc>
          <w:tcPr>
            <w:tcW w:w="3325" w:type="dxa"/>
            <w:tcBorders>
              <w:tl2br w:val="nil"/>
              <w:tr2bl w:val="nil"/>
            </w:tcBorders>
            <w:vAlign w:val="center"/>
          </w:tcPr>
          <w:p w14:paraId="59E6789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43442751.814</w:t>
            </w:r>
          </w:p>
        </w:tc>
        <w:tc>
          <w:tcPr>
            <w:tcW w:w="3342" w:type="dxa"/>
            <w:tcBorders>
              <w:tl2br w:val="nil"/>
              <w:tr2bl w:val="nil"/>
            </w:tcBorders>
            <w:vAlign w:val="center"/>
          </w:tcPr>
          <w:p w14:paraId="5FA0B99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5015186.454</w:t>
            </w:r>
          </w:p>
        </w:tc>
      </w:tr>
      <w:tr w14:paraId="3EF05B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6B84BF4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J79</w:t>
            </w:r>
          </w:p>
        </w:tc>
        <w:tc>
          <w:tcPr>
            <w:tcW w:w="3325" w:type="dxa"/>
            <w:tcBorders>
              <w:tl2br w:val="nil"/>
              <w:tr2bl w:val="nil"/>
            </w:tcBorders>
            <w:vAlign w:val="center"/>
          </w:tcPr>
          <w:p w14:paraId="27C46FE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43442750.557</w:t>
            </w:r>
          </w:p>
        </w:tc>
        <w:tc>
          <w:tcPr>
            <w:tcW w:w="3342" w:type="dxa"/>
            <w:tcBorders>
              <w:tl2br w:val="nil"/>
              <w:tr2bl w:val="nil"/>
            </w:tcBorders>
            <w:vAlign w:val="center"/>
          </w:tcPr>
          <w:p w14:paraId="43C4ABC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5015187.177</w:t>
            </w:r>
          </w:p>
        </w:tc>
      </w:tr>
      <w:tr w14:paraId="65B9AE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2F86D0D8">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J80</w:t>
            </w:r>
          </w:p>
        </w:tc>
        <w:tc>
          <w:tcPr>
            <w:tcW w:w="3325" w:type="dxa"/>
            <w:tcBorders>
              <w:tl2br w:val="nil"/>
              <w:tr2bl w:val="nil"/>
            </w:tcBorders>
            <w:vAlign w:val="center"/>
          </w:tcPr>
          <w:p w14:paraId="7F85900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43442750.609</w:t>
            </w:r>
          </w:p>
        </w:tc>
        <w:tc>
          <w:tcPr>
            <w:tcW w:w="3342" w:type="dxa"/>
            <w:tcBorders>
              <w:tl2br w:val="nil"/>
              <w:tr2bl w:val="nil"/>
            </w:tcBorders>
            <w:vAlign w:val="center"/>
          </w:tcPr>
          <w:p w14:paraId="509ABB4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5015189.361</w:t>
            </w:r>
          </w:p>
        </w:tc>
      </w:tr>
      <w:tr w14:paraId="7EE4C9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46006FA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J81</w:t>
            </w:r>
          </w:p>
        </w:tc>
        <w:tc>
          <w:tcPr>
            <w:tcW w:w="3325" w:type="dxa"/>
            <w:tcBorders>
              <w:tl2br w:val="nil"/>
              <w:tr2bl w:val="nil"/>
            </w:tcBorders>
            <w:vAlign w:val="center"/>
          </w:tcPr>
          <w:p w14:paraId="724588E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43442745.727</w:t>
            </w:r>
          </w:p>
        </w:tc>
        <w:tc>
          <w:tcPr>
            <w:tcW w:w="3342" w:type="dxa"/>
            <w:tcBorders>
              <w:tl2br w:val="nil"/>
              <w:tr2bl w:val="nil"/>
            </w:tcBorders>
            <w:vAlign w:val="center"/>
          </w:tcPr>
          <w:p w14:paraId="4735A62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5015192.188</w:t>
            </w:r>
          </w:p>
        </w:tc>
      </w:tr>
      <w:tr w14:paraId="7FC1B3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15C6D88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J82</w:t>
            </w:r>
          </w:p>
        </w:tc>
        <w:tc>
          <w:tcPr>
            <w:tcW w:w="3325" w:type="dxa"/>
            <w:tcBorders>
              <w:tl2br w:val="nil"/>
              <w:tr2bl w:val="nil"/>
            </w:tcBorders>
            <w:vAlign w:val="center"/>
          </w:tcPr>
          <w:p w14:paraId="336492C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43442745.363</w:t>
            </w:r>
          </w:p>
        </w:tc>
        <w:tc>
          <w:tcPr>
            <w:tcW w:w="3342" w:type="dxa"/>
            <w:tcBorders>
              <w:tl2br w:val="nil"/>
              <w:tr2bl w:val="nil"/>
            </w:tcBorders>
            <w:vAlign w:val="center"/>
          </w:tcPr>
          <w:p w14:paraId="687F417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5015193.821</w:t>
            </w:r>
          </w:p>
        </w:tc>
      </w:tr>
      <w:tr w14:paraId="5340A9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4AFBE46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J83</w:t>
            </w:r>
          </w:p>
        </w:tc>
        <w:tc>
          <w:tcPr>
            <w:tcW w:w="3325" w:type="dxa"/>
            <w:tcBorders>
              <w:tl2br w:val="nil"/>
              <w:tr2bl w:val="nil"/>
            </w:tcBorders>
            <w:vAlign w:val="center"/>
          </w:tcPr>
          <w:p w14:paraId="22FC236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43442743.817</w:t>
            </w:r>
          </w:p>
        </w:tc>
        <w:tc>
          <w:tcPr>
            <w:tcW w:w="3342" w:type="dxa"/>
            <w:tcBorders>
              <w:tl2br w:val="nil"/>
              <w:tr2bl w:val="nil"/>
            </w:tcBorders>
            <w:vAlign w:val="center"/>
          </w:tcPr>
          <w:p w14:paraId="54456B7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5015193.948</w:t>
            </w:r>
          </w:p>
        </w:tc>
      </w:tr>
      <w:tr w14:paraId="637038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4C44C14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J84</w:t>
            </w:r>
          </w:p>
        </w:tc>
        <w:tc>
          <w:tcPr>
            <w:tcW w:w="3325" w:type="dxa"/>
            <w:tcBorders>
              <w:tl2br w:val="nil"/>
              <w:tr2bl w:val="nil"/>
            </w:tcBorders>
            <w:vAlign w:val="center"/>
          </w:tcPr>
          <w:p w14:paraId="19E6851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43442742.998</w:t>
            </w:r>
          </w:p>
        </w:tc>
        <w:tc>
          <w:tcPr>
            <w:tcW w:w="3342" w:type="dxa"/>
            <w:tcBorders>
              <w:tl2br w:val="nil"/>
              <w:tr2bl w:val="nil"/>
            </w:tcBorders>
            <w:vAlign w:val="center"/>
          </w:tcPr>
          <w:p w14:paraId="2518143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5015194.657</w:t>
            </w:r>
          </w:p>
        </w:tc>
      </w:tr>
      <w:tr w14:paraId="6F1382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4267D8D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J85</w:t>
            </w:r>
          </w:p>
        </w:tc>
        <w:tc>
          <w:tcPr>
            <w:tcW w:w="3325" w:type="dxa"/>
            <w:tcBorders>
              <w:tl2br w:val="nil"/>
              <w:tr2bl w:val="nil"/>
            </w:tcBorders>
            <w:vAlign w:val="center"/>
          </w:tcPr>
          <w:p w14:paraId="0EAB556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43442740.006</w:t>
            </w:r>
          </w:p>
        </w:tc>
        <w:tc>
          <w:tcPr>
            <w:tcW w:w="3342" w:type="dxa"/>
            <w:tcBorders>
              <w:tl2br w:val="nil"/>
              <w:tr2bl w:val="nil"/>
            </w:tcBorders>
            <w:vAlign w:val="center"/>
          </w:tcPr>
          <w:p w14:paraId="4582450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5015194.655</w:t>
            </w:r>
          </w:p>
        </w:tc>
      </w:tr>
      <w:tr w14:paraId="03F20A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6AE861C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J86</w:t>
            </w:r>
          </w:p>
        </w:tc>
        <w:tc>
          <w:tcPr>
            <w:tcW w:w="3325" w:type="dxa"/>
            <w:tcBorders>
              <w:tl2br w:val="nil"/>
              <w:tr2bl w:val="nil"/>
            </w:tcBorders>
            <w:vAlign w:val="center"/>
          </w:tcPr>
          <w:p w14:paraId="4EED7E2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43442736.519</w:t>
            </w:r>
          </w:p>
        </w:tc>
        <w:tc>
          <w:tcPr>
            <w:tcW w:w="3342" w:type="dxa"/>
            <w:tcBorders>
              <w:tl2br w:val="nil"/>
              <w:tr2bl w:val="nil"/>
            </w:tcBorders>
            <w:vAlign w:val="center"/>
          </w:tcPr>
          <w:p w14:paraId="0BD1C5E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5015197.117</w:t>
            </w:r>
          </w:p>
        </w:tc>
      </w:tr>
      <w:tr w14:paraId="50B397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2962D28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J87</w:t>
            </w:r>
          </w:p>
        </w:tc>
        <w:tc>
          <w:tcPr>
            <w:tcW w:w="3325" w:type="dxa"/>
            <w:tcBorders>
              <w:tl2br w:val="nil"/>
              <w:tr2bl w:val="nil"/>
            </w:tcBorders>
            <w:vAlign w:val="center"/>
          </w:tcPr>
          <w:p w14:paraId="2963567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43442734.988</w:t>
            </w:r>
          </w:p>
        </w:tc>
        <w:tc>
          <w:tcPr>
            <w:tcW w:w="3342" w:type="dxa"/>
            <w:tcBorders>
              <w:tl2br w:val="nil"/>
              <w:tr2bl w:val="nil"/>
            </w:tcBorders>
            <w:vAlign w:val="center"/>
          </w:tcPr>
          <w:p w14:paraId="25D7875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5015199.870</w:t>
            </w:r>
          </w:p>
        </w:tc>
      </w:tr>
      <w:tr w14:paraId="76CB11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5FC8B62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J88</w:t>
            </w:r>
          </w:p>
        </w:tc>
        <w:tc>
          <w:tcPr>
            <w:tcW w:w="3325" w:type="dxa"/>
            <w:tcBorders>
              <w:tl2br w:val="nil"/>
              <w:tr2bl w:val="nil"/>
            </w:tcBorders>
            <w:vAlign w:val="center"/>
          </w:tcPr>
          <w:p w14:paraId="20DC2E8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43442734.569</w:t>
            </w:r>
          </w:p>
        </w:tc>
        <w:tc>
          <w:tcPr>
            <w:tcW w:w="3342" w:type="dxa"/>
            <w:tcBorders>
              <w:tl2br w:val="nil"/>
              <w:tr2bl w:val="nil"/>
            </w:tcBorders>
            <w:vAlign w:val="center"/>
          </w:tcPr>
          <w:p w14:paraId="681D76C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5015202.688</w:t>
            </w:r>
          </w:p>
        </w:tc>
      </w:tr>
      <w:tr w14:paraId="0DFBC9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C94344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J89</w:t>
            </w:r>
          </w:p>
        </w:tc>
        <w:tc>
          <w:tcPr>
            <w:tcW w:w="3325" w:type="dxa"/>
            <w:tcBorders>
              <w:tl2br w:val="nil"/>
              <w:tr2bl w:val="nil"/>
            </w:tcBorders>
            <w:vAlign w:val="center"/>
          </w:tcPr>
          <w:p w14:paraId="25AB009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43442734.280</w:t>
            </w:r>
          </w:p>
        </w:tc>
        <w:tc>
          <w:tcPr>
            <w:tcW w:w="3342" w:type="dxa"/>
            <w:tcBorders>
              <w:tl2br w:val="nil"/>
              <w:tr2bl w:val="nil"/>
            </w:tcBorders>
            <w:vAlign w:val="center"/>
          </w:tcPr>
          <w:p w14:paraId="3A49972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5015205.101</w:t>
            </w:r>
          </w:p>
        </w:tc>
      </w:tr>
      <w:tr w14:paraId="55ACBB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15E4489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J90</w:t>
            </w:r>
          </w:p>
        </w:tc>
        <w:tc>
          <w:tcPr>
            <w:tcW w:w="3325" w:type="dxa"/>
            <w:tcBorders>
              <w:tl2br w:val="nil"/>
              <w:tr2bl w:val="nil"/>
            </w:tcBorders>
            <w:vAlign w:val="center"/>
          </w:tcPr>
          <w:p w14:paraId="7A58B5A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43442733.899</w:t>
            </w:r>
          </w:p>
        </w:tc>
        <w:tc>
          <w:tcPr>
            <w:tcW w:w="3342" w:type="dxa"/>
            <w:tcBorders>
              <w:tl2br w:val="nil"/>
              <w:tr2bl w:val="nil"/>
            </w:tcBorders>
            <w:vAlign w:val="center"/>
          </w:tcPr>
          <w:p w14:paraId="12506B1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5015207.595</w:t>
            </w:r>
          </w:p>
        </w:tc>
      </w:tr>
      <w:tr w14:paraId="235C72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3C3DFA7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J91</w:t>
            </w:r>
          </w:p>
        </w:tc>
        <w:tc>
          <w:tcPr>
            <w:tcW w:w="3325" w:type="dxa"/>
            <w:tcBorders>
              <w:tl2br w:val="nil"/>
              <w:tr2bl w:val="nil"/>
            </w:tcBorders>
            <w:vAlign w:val="center"/>
          </w:tcPr>
          <w:p w14:paraId="14CD343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43442733.501</w:t>
            </w:r>
          </w:p>
        </w:tc>
        <w:tc>
          <w:tcPr>
            <w:tcW w:w="3342" w:type="dxa"/>
            <w:tcBorders>
              <w:tl2br w:val="nil"/>
              <w:tr2bl w:val="nil"/>
            </w:tcBorders>
            <w:vAlign w:val="center"/>
          </w:tcPr>
          <w:p w14:paraId="6E9A044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5015209.471</w:t>
            </w:r>
          </w:p>
        </w:tc>
      </w:tr>
      <w:tr w14:paraId="56B5FE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7542E26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J92</w:t>
            </w:r>
          </w:p>
        </w:tc>
        <w:tc>
          <w:tcPr>
            <w:tcW w:w="3325" w:type="dxa"/>
            <w:tcBorders>
              <w:tl2br w:val="nil"/>
              <w:tr2bl w:val="nil"/>
            </w:tcBorders>
            <w:vAlign w:val="center"/>
          </w:tcPr>
          <w:p w14:paraId="7653DDE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43442735.095</w:t>
            </w:r>
          </w:p>
        </w:tc>
        <w:tc>
          <w:tcPr>
            <w:tcW w:w="3342" w:type="dxa"/>
            <w:tcBorders>
              <w:tl2br w:val="nil"/>
              <w:tr2bl w:val="nil"/>
            </w:tcBorders>
            <w:vAlign w:val="center"/>
          </w:tcPr>
          <w:p w14:paraId="3F8E2C7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5015212.619</w:t>
            </w:r>
          </w:p>
        </w:tc>
      </w:tr>
      <w:tr w14:paraId="21E746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5D0B8E9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J93</w:t>
            </w:r>
          </w:p>
        </w:tc>
        <w:tc>
          <w:tcPr>
            <w:tcW w:w="3325" w:type="dxa"/>
            <w:tcBorders>
              <w:tl2br w:val="nil"/>
              <w:tr2bl w:val="nil"/>
            </w:tcBorders>
            <w:vAlign w:val="center"/>
          </w:tcPr>
          <w:p w14:paraId="606A418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43442737.256</w:t>
            </w:r>
          </w:p>
        </w:tc>
        <w:tc>
          <w:tcPr>
            <w:tcW w:w="3342" w:type="dxa"/>
            <w:tcBorders>
              <w:tl2br w:val="nil"/>
              <w:tr2bl w:val="nil"/>
            </w:tcBorders>
            <w:vAlign w:val="center"/>
          </w:tcPr>
          <w:p w14:paraId="59061EF0">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5015213.874</w:t>
            </w:r>
          </w:p>
        </w:tc>
      </w:tr>
      <w:tr w14:paraId="1013E0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18FBCCA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J94</w:t>
            </w:r>
          </w:p>
        </w:tc>
        <w:tc>
          <w:tcPr>
            <w:tcW w:w="3325" w:type="dxa"/>
            <w:tcBorders>
              <w:tl2br w:val="nil"/>
              <w:tr2bl w:val="nil"/>
            </w:tcBorders>
            <w:vAlign w:val="center"/>
          </w:tcPr>
          <w:p w14:paraId="355E53E2">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43442738.080</w:t>
            </w:r>
          </w:p>
        </w:tc>
        <w:tc>
          <w:tcPr>
            <w:tcW w:w="3342" w:type="dxa"/>
            <w:tcBorders>
              <w:tl2br w:val="nil"/>
              <w:tr2bl w:val="nil"/>
            </w:tcBorders>
            <w:vAlign w:val="center"/>
          </w:tcPr>
          <w:p w14:paraId="55DA833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5015213.003</w:t>
            </w:r>
          </w:p>
        </w:tc>
      </w:tr>
      <w:tr w14:paraId="56B90E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4D3C993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J95</w:t>
            </w:r>
          </w:p>
        </w:tc>
        <w:tc>
          <w:tcPr>
            <w:tcW w:w="3325" w:type="dxa"/>
            <w:tcBorders>
              <w:tl2br w:val="nil"/>
              <w:tr2bl w:val="nil"/>
            </w:tcBorders>
            <w:vAlign w:val="center"/>
          </w:tcPr>
          <w:p w14:paraId="4755AB3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43442739.146</w:t>
            </w:r>
          </w:p>
        </w:tc>
        <w:tc>
          <w:tcPr>
            <w:tcW w:w="3342" w:type="dxa"/>
            <w:tcBorders>
              <w:tl2br w:val="nil"/>
              <w:tr2bl w:val="nil"/>
            </w:tcBorders>
            <w:vAlign w:val="center"/>
          </w:tcPr>
          <w:p w14:paraId="64284B1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5015213.086</w:t>
            </w:r>
          </w:p>
        </w:tc>
      </w:tr>
      <w:tr w14:paraId="312523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684030E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J96</w:t>
            </w:r>
          </w:p>
        </w:tc>
        <w:tc>
          <w:tcPr>
            <w:tcW w:w="3325" w:type="dxa"/>
            <w:tcBorders>
              <w:tl2br w:val="nil"/>
              <w:tr2bl w:val="nil"/>
            </w:tcBorders>
            <w:vAlign w:val="center"/>
          </w:tcPr>
          <w:p w14:paraId="56F32E8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43442739.974</w:t>
            </w:r>
          </w:p>
        </w:tc>
        <w:tc>
          <w:tcPr>
            <w:tcW w:w="3342" w:type="dxa"/>
            <w:tcBorders>
              <w:tl2br w:val="nil"/>
              <w:tr2bl w:val="nil"/>
            </w:tcBorders>
            <w:vAlign w:val="center"/>
          </w:tcPr>
          <w:p w14:paraId="518D4B0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5015215.403</w:t>
            </w:r>
          </w:p>
        </w:tc>
      </w:tr>
      <w:tr w14:paraId="380766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5FB9BD4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J97</w:t>
            </w:r>
          </w:p>
        </w:tc>
        <w:tc>
          <w:tcPr>
            <w:tcW w:w="3325" w:type="dxa"/>
            <w:tcBorders>
              <w:tl2br w:val="nil"/>
              <w:tr2bl w:val="nil"/>
            </w:tcBorders>
            <w:vAlign w:val="center"/>
          </w:tcPr>
          <w:p w14:paraId="22B1147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43442741.491</w:t>
            </w:r>
          </w:p>
        </w:tc>
        <w:tc>
          <w:tcPr>
            <w:tcW w:w="3342" w:type="dxa"/>
            <w:tcBorders>
              <w:tl2br w:val="nil"/>
              <w:tr2bl w:val="nil"/>
            </w:tcBorders>
            <w:vAlign w:val="center"/>
          </w:tcPr>
          <w:p w14:paraId="6FDF4CD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5015216.758</w:t>
            </w:r>
          </w:p>
        </w:tc>
      </w:tr>
      <w:tr w14:paraId="6E6362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11CB7FB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J98</w:t>
            </w:r>
          </w:p>
        </w:tc>
        <w:tc>
          <w:tcPr>
            <w:tcW w:w="3325" w:type="dxa"/>
            <w:tcBorders>
              <w:tl2br w:val="nil"/>
              <w:tr2bl w:val="nil"/>
            </w:tcBorders>
            <w:vAlign w:val="center"/>
          </w:tcPr>
          <w:p w14:paraId="0482D74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43442749.223</w:t>
            </w:r>
          </w:p>
        </w:tc>
        <w:tc>
          <w:tcPr>
            <w:tcW w:w="3342" w:type="dxa"/>
            <w:tcBorders>
              <w:tl2br w:val="nil"/>
              <w:tr2bl w:val="nil"/>
            </w:tcBorders>
            <w:vAlign w:val="center"/>
          </w:tcPr>
          <w:p w14:paraId="716A8C48">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5015221.675</w:t>
            </w:r>
          </w:p>
        </w:tc>
      </w:tr>
      <w:tr w14:paraId="4C4FBD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5ADA25B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J99</w:t>
            </w:r>
          </w:p>
        </w:tc>
        <w:tc>
          <w:tcPr>
            <w:tcW w:w="3325" w:type="dxa"/>
            <w:tcBorders>
              <w:tl2br w:val="nil"/>
              <w:tr2bl w:val="nil"/>
            </w:tcBorders>
            <w:vAlign w:val="center"/>
          </w:tcPr>
          <w:p w14:paraId="26C31C9C">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43442745.741</w:t>
            </w:r>
          </w:p>
        </w:tc>
        <w:tc>
          <w:tcPr>
            <w:tcW w:w="3342" w:type="dxa"/>
            <w:tcBorders>
              <w:tl2br w:val="nil"/>
              <w:tr2bl w:val="nil"/>
            </w:tcBorders>
            <w:vAlign w:val="center"/>
          </w:tcPr>
          <w:p w14:paraId="30F29CA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5015232.084</w:t>
            </w:r>
          </w:p>
        </w:tc>
      </w:tr>
      <w:tr w14:paraId="025152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6D4F02E7">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J100</w:t>
            </w:r>
          </w:p>
        </w:tc>
        <w:tc>
          <w:tcPr>
            <w:tcW w:w="3325" w:type="dxa"/>
            <w:tcBorders>
              <w:tl2br w:val="nil"/>
              <w:tr2bl w:val="nil"/>
            </w:tcBorders>
            <w:vAlign w:val="center"/>
          </w:tcPr>
          <w:p w14:paraId="48E318FF">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43442744.757</w:t>
            </w:r>
          </w:p>
        </w:tc>
        <w:tc>
          <w:tcPr>
            <w:tcW w:w="3342" w:type="dxa"/>
            <w:tcBorders>
              <w:tl2br w:val="nil"/>
              <w:tr2bl w:val="nil"/>
            </w:tcBorders>
            <w:vAlign w:val="center"/>
          </w:tcPr>
          <w:p w14:paraId="2D0578C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5015233.420</w:t>
            </w:r>
          </w:p>
        </w:tc>
      </w:tr>
      <w:tr w14:paraId="50C52B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55B2EFB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J101</w:t>
            </w:r>
          </w:p>
        </w:tc>
        <w:tc>
          <w:tcPr>
            <w:tcW w:w="3325" w:type="dxa"/>
            <w:tcBorders>
              <w:tl2br w:val="nil"/>
              <w:tr2bl w:val="nil"/>
            </w:tcBorders>
            <w:vAlign w:val="center"/>
          </w:tcPr>
          <w:p w14:paraId="1E56351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43442744.060</w:t>
            </w:r>
          </w:p>
        </w:tc>
        <w:tc>
          <w:tcPr>
            <w:tcW w:w="3342" w:type="dxa"/>
            <w:tcBorders>
              <w:tl2br w:val="nil"/>
              <w:tr2bl w:val="nil"/>
            </w:tcBorders>
            <w:vAlign w:val="center"/>
          </w:tcPr>
          <w:p w14:paraId="0781F70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5015237.225</w:t>
            </w:r>
          </w:p>
        </w:tc>
      </w:tr>
      <w:tr w14:paraId="20D47C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2221E45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J102</w:t>
            </w:r>
          </w:p>
        </w:tc>
        <w:tc>
          <w:tcPr>
            <w:tcW w:w="3325" w:type="dxa"/>
            <w:tcBorders>
              <w:tl2br w:val="nil"/>
              <w:tr2bl w:val="nil"/>
            </w:tcBorders>
            <w:vAlign w:val="center"/>
          </w:tcPr>
          <w:p w14:paraId="0087621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43442746.224</w:t>
            </w:r>
          </w:p>
        </w:tc>
        <w:tc>
          <w:tcPr>
            <w:tcW w:w="3342" w:type="dxa"/>
            <w:tcBorders>
              <w:tl2br w:val="nil"/>
              <w:tr2bl w:val="nil"/>
            </w:tcBorders>
            <w:vAlign w:val="center"/>
          </w:tcPr>
          <w:p w14:paraId="77F8F56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5015242.322</w:t>
            </w:r>
          </w:p>
        </w:tc>
      </w:tr>
      <w:tr w14:paraId="6EF37E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1858" w:type="dxa"/>
            <w:tcBorders>
              <w:tl2br w:val="nil"/>
              <w:tr2bl w:val="nil"/>
            </w:tcBorders>
            <w:vAlign w:val="center"/>
          </w:tcPr>
          <w:p w14:paraId="28BB2FB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J103</w:t>
            </w:r>
          </w:p>
        </w:tc>
        <w:tc>
          <w:tcPr>
            <w:tcW w:w="3325" w:type="dxa"/>
            <w:tcBorders>
              <w:tl2br w:val="nil"/>
              <w:tr2bl w:val="nil"/>
            </w:tcBorders>
            <w:vAlign w:val="center"/>
          </w:tcPr>
          <w:p w14:paraId="434D5AFA">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43442748.389</w:t>
            </w:r>
          </w:p>
        </w:tc>
        <w:tc>
          <w:tcPr>
            <w:tcW w:w="3342" w:type="dxa"/>
            <w:tcBorders>
              <w:tl2br w:val="nil"/>
              <w:tr2bl w:val="nil"/>
            </w:tcBorders>
            <w:vAlign w:val="center"/>
          </w:tcPr>
          <w:p w14:paraId="12E320A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5015242.042</w:t>
            </w:r>
          </w:p>
        </w:tc>
      </w:tr>
      <w:tr w14:paraId="599044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6" w:hRule="atLeast"/>
        </w:trPr>
        <w:tc>
          <w:tcPr>
            <w:tcW w:w="1858" w:type="dxa"/>
            <w:tcBorders>
              <w:tl2br w:val="nil"/>
              <w:tr2bl w:val="nil"/>
            </w:tcBorders>
            <w:vAlign w:val="center"/>
          </w:tcPr>
          <w:p w14:paraId="7CC8634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J104</w:t>
            </w:r>
          </w:p>
        </w:tc>
        <w:tc>
          <w:tcPr>
            <w:tcW w:w="3325" w:type="dxa"/>
            <w:tcBorders>
              <w:tl2br w:val="nil"/>
              <w:tr2bl w:val="nil"/>
            </w:tcBorders>
            <w:vAlign w:val="center"/>
          </w:tcPr>
          <w:p w14:paraId="4F931E2E">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43442751.491</w:t>
            </w:r>
          </w:p>
        </w:tc>
        <w:tc>
          <w:tcPr>
            <w:tcW w:w="3342" w:type="dxa"/>
            <w:tcBorders>
              <w:tl2br w:val="nil"/>
              <w:tr2bl w:val="nil"/>
            </w:tcBorders>
            <w:vAlign w:val="center"/>
          </w:tcPr>
          <w:p w14:paraId="7C941F0D">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5015249.693</w:t>
            </w:r>
          </w:p>
        </w:tc>
      </w:tr>
      <w:tr w14:paraId="00905D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0E59F1F4">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J105</w:t>
            </w:r>
          </w:p>
        </w:tc>
        <w:tc>
          <w:tcPr>
            <w:tcW w:w="3325" w:type="dxa"/>
            <w:tcBorders>
              <w:tl2br w:val="nil"/>
              <w:tr2bl w:val="nil"/>
            </w:tcBorders>
            <w:vAlign w:val="center"/>
          </w:tcPr>
          <w:p w14:paraId="5775AFC8">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43442752.558</w:t>
            </w:r>
          </w:p>
        </w:tc>
        <w:tc>
          <w:tcPr>
            <w:tcW w:w="3342" w:type="dxa"/>
            <w:tcBorders>
              <w:tl2br w:val="nil"/>
              <w:tr2bl w:val="nil"/>
            </w:tcBorders>
            <w:vAlign w:val="center"/>
          </w:tcPr>
          <w:p w14:paraId="2CEDFC85">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5015249.936</w:t>
            </w:r>
          </w:p>
        </w:tc>
      </w:tr>
      <w:tr w14:paraId="3D7B85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6C8078E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J106</w:t>
            </w:r>
          </w:p>
        </w:tc>
        <w:tc>
          <w:tcPr>
            <w:tcW w:w="3325" w:type="dxa"/>
            <w:tcBorders>
              <w:tl2br w:val="nil"/>
              <w:tr2bl w:val="nil"/>
            </w:tcBorders>
            <w:vAlign w:val="center"/>
          </w:tcPr>
          <w:p w14:paraId="716464C3">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43442754.760</w:t>
            </w:r>
          </w:p>
        </w:tc>
        <w:tc>
          <w:tcPr>
            <w:tcW w:w="3342" w:type="dxa"/>
            <w:tcBorders>
              <w:tl2br w:val="nil"/>
              <w:tr2bl w:val="nil"/>
            </w:tcBorders>
            <w:vAlign w:val="center"/>
          </w:tcPr>
          <w:p w14:paraId="0100FE59">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5015251.504</w:t>
            </w:r>
          </w:p>
        </w:tc>
      </w:tr>
      <w:tr w14:paraId="59078D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1858" w:type="dxa"/>
            <w:tcBorders>
              <w:tl2br w:val="nil"/>
              <w:tr2bl w:val="nil"/>
            </w:tcBorders>
            <w:vAlign w:val="center"/>
          </w:tcPr>
          <w:p w14:paraId="5C530CE1">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J107</w:t>
            </w:r>
          </w:p>
        </w:tc>
        <w:tc>
          <w:tcPr>
            <w:tcW w:w="3325" w:type="dxa"/>
            <w:tcBorders>
              <w:tl2br w:val="nil"/>
              <w:tr2bl w:val="nil"/>
            </w:tcBorders>
            <w:vAlign w:val="center"/>
          </w:tcPr>
          <w:p w14:paraId="5F177476">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43442758.208</w:t>
            </w:r>
          </w:p>
        </w:tc>
        <w:tc>
          <w:tcPr>
            <w:tcW w:w="3342" w:type="dxa"/>
            <w:tcBorders>
              <w:tl2br w:val="nil"/>
              <w:tr2bl w:val="nil"/>
            </w:tcBorders>
            <w:vAlign w:val="center"/>
          </w:tcPr>
          <w:p w14:paraId="1172541B">
            <w:pPr>
              <w:pStyle w:val="1053"/>
              <w:keepNext w:val="0"/>
              <w:keepLines w:val="0"/>
              <w:pageBreakBefore w:val="0"/>
              <w:widowControl/>
              <w:kinsoku/>
              <w:wordWrap/>
              <w:overflowPunct/>
              <w:topLinePunct w:val="0"/>
              <w:autoSpaceDE/>
              <w:autoSpaceDN/>
              <w:bidi w:val="0"/>
              <w:adjustRightInd/>
              <w:snapToGrid/>
              <w:spacing w:line="240" w:lineRule="auto"/>
              <w:ind w:left="0"/>
              <w:jc w:val="center"/>
              <w:textAlignment w:val="auto"/>
              <w:rPr>
                <w:rFonts w:hint="default" w:ascii="Times New Roman" w:hAnsi="Times New Roman" w:eastAsia="宋体" w:cs="Times New Roman"/>
                <w:color w:val="auto"/>
                <w:spacing w:val="7"/>
                <w:sz w:val="21"/>
                <w:szCs w:val="21"/>
                <w:highlight w:val="none"/>
                <w:lang w:val="en-US" w:eastAsia="en-US" w:bidi="ar-SA"/>
              </w:rPr>
            </w:pPr>
            <w:r>
              <w:rPr>
                <w:rFonts w:hint="default" w:ascii="Times New Roman" w:hAnsi="Times New Roman" w:eastAsia="宋体" w:cs="Times New Roman"/>
                <w:color w:val="auto"/>
                <w:spacing w:val="7"/>
                <w:sz w:val="21"/>
                <w:szCs w:val="21"/>
                <w:highlight w:val="none"/>
                <w:lang w:val="en-US" w:eastAsia="en-US" w:bidi="ar-SA"/>
              </w:rPr>
              <w:t>5015252.827</w:t>
            </w:r>
          </w:p>
        </w:tc>
      </w:tr>
    </w:tbl>
    <w:p w14:paraId="71979BFC">
      <w:pPr>
        <w:pStyle w:val="7"/>
        <w:numPr>
          <w:ilvl w:val="0"/>
          <w:numId w:val="0"/>
        </w:numPr>
        <w:bidi w:val="0"/>
        <w:ind w:leftChars="0"/>
        <w:rPr>
          <w:rFonts w:hint="eastAsia" w:asciiTheme="minorEastAsia" w:hAnsiTheme="minorEastAsia" w:eastAsiaTheme="minorEastAsia" w:cstheme="minorEastAsia"/>
          <w:b w:val="0"/>
          <w:bCs w:val="0"/>
          <w:color w:val="auto"/>
          <w:szCs w:val="32"/>
          <w:highlight w:val="none"/>
        </w:rPr>
      </w:pPr>
      <w:bookmarkStart w:id="367" w:name="_Toc1468"/>
      <w:bookmarkStart w:id="368" w:name="_Toc16335"/>
      <w:r>
        <w:rPr>
          <w:rFonts w:hint="eastAsia" w:asciiTheme="minorEastAsia" w:hAnsiTheme="minorEastAsia" w:eastAsiaTheme="minorEastAsia" w:cstheme="minorEastAsia"/>
          <w:color w:val="auto"/>
          <w:highlight w:val="none"/>
        </w:rPr>
        <w:t>3.</w:t>
      </w:r>
      <w:r>
        <w:rPr>
          <w:rFonts w:hint="eastAsia" w:asciiTheme="minorEastAsia" w:hAnsiTheme="minorEastAsia" w:eastAsiaTheme="minorEastAsia" w:cstheme="minorEastAsia"/>
          <w:color w:val="auto"/>
          <w:highlight w:val="none"/>
          <w:lang w:val="en-US" w:eastAsia="zh-CN"/>
        </w:rPr>
        <w:t>1</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rPr>
        <w:t>项目名称、建设单位、建设性质及建设地点</w:t>
      </w:r>
      <w:bookmarkEnd w:id="367"/>
      <w:bookmarkEnd w:id="368"/>
    </w:p>
    <w:p w14:paraId="5552328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宋体" w:eastAsia="宋体" w:cs="Times New Roman"/>
          <w:color w:val="auto"/>
          <w:kern w:val="0"/>
          <w:sz w:val="24"/>
          <w:szCs w:val="24"/>
          <w:highlight w:val="none"/>
          <w:lang w:val="en-US" w:eastAsia="zh-CN"/>
        </w:rPr>
      </w:pPr>
      <w:bookmarkStart w:id="369" w:name="_Toc5316"/>
      <w:r>
        <w:rPr>
          <w:rFonts w:hint="eastAsia" w:ascii="Times New Roman" w:hAnsi="宋体" w:eastAsia="宋体" w:cs="Times New Roman"/>
          <w:color w:val="auto"/>
          <w:kern w:val="0"/>
          <w:sz w:val="24"/>
          <w:szCs w:val="24"/>
          <w:highlight w:val="none"/>
          <w:lang w:val="en-US" w:eastAsia="zh-CN"/>
        </w:rPr>
        <w:t>项目名称：黑龙江嘉龙环保科技有限公司灰渣回填复垦利用项目</w:t>
      </w:r>
    </w:p>
    <w:p w14:paraId="3EE7DDD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宋体" w:eastAsia="宋体" w:cs="Times New Roman"/>
          <w:color w:val="auto"/>
          <w:kern w:val="0"/>
          <w:sz w:val="24"/>
          <w:szCs w:val="24"/>
          <w:highlight w:val="none"/>
          <w:lang w:val="en-US" w:eastAsia="zh-CN"/>
        </w:rPr>
      </w:pPr>
      <w:r>
        <w:rPr>
          <w:rFonts w:hint="eastAsia" w:ascii="Times New Roman" w:hAnsi="宋体" w:eastAsia="宋体" w:cs="Times New Roman"/>
          <w:color w:val="auto"/>
          <w:kern w:val="0"/>
          <w:sz w:val="24"/>
          <w:szCs w:val="24"/>
          <w:highlight w:val="none"/>
          <w:lang w:val="en-US" w:eastAsia="zh-CN"/>
        </w:rPr>
        <w:t>建设单位：黑龙江嘉龙环保科技有限公司</w:t>
      </w:r>
    </w:p>
    <w:p w14:paraId="12E0DD8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宋体" w:eastAsia="宋体" w:cs="Times New Roman"/>
          <w:color w:val="auto"/>
          <w:kern w:val="0"/>
          <w:sz w:val="24"/>
          <w:szCs w:val="24"/>
          <w:highlight w:val="none"/>
          <w:lang w:val="en-US" w:eastAsia="zh-CN"/>
        </w:rPr>
      </w:pPr>
      <w:r>
        <w:rPr>
          <w:rFonts w:hint="eastAsia" w:ascii="Times New Roman" w:hAnsi="宋体" w:eastAsia="宋体" w:cs="Times New Roman"/>
          <w:color w:val="auto"/>
          <w:kern w:val="0"/>
          <w:sz w:val="24"/>
          <w:szCs w:val="24"/>
          <w:highlight w:val="none"/>
          <w:lang w:val="en-US" w:eastAsia="zh-CN"/>
        </w:rPr>
        <w:t>建设性质：新建</w:t>
      </w:r>
    </w:p>
    <w:p w14:paraId="21D98E7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宋体" w:eastAsia="宋体" w:cs="Times New Roman"/>
          <w:color w:val="auto"/>
          <w:kern w:val="0"/>
          <w:sz w:val="24"/>
          <w:szCs w:val="24"/>
          <w:highlight w:val="none"/>
          <w:lang w:val="en-US" w:eastAsia="zh-CN"/>
        </w:rPr>
      </w:pPr>
      <w:r>
        <w:rPr>
          <w:rFonts w:hint="eastAsia" w:ascii="Times New Roman" w:hAnsi="宋体" w:eastAsia="宋体" w:cs="Times New Roman"/>
          <w:color w:val="auto"/>
          <w:kern w:val="0"/>
          <w:sz w:val="24"/>
          <w:szCs w:val="24"/>
          <w:highlight w:val="none"/>
          <w:lang w:val="en-US" w:eastAsia="zh-CN"/>
        </w:rPr>
        <w:t>占地面积：占地面积为11296.10m</w:t>
      </w:r>
      <w:r>
        <w:rPr>
          <w:rFonts w:hint="eastAsia" w:ascii="Times New Roman" w:hAnsi="宋体" w:eastAsia="宋体" w:cs="Times New Roman"/>
          <w:color w:val="auto"/>
          <w:kern w:val="0"/>
          <w:sz w:val="24"/>
          <w:szCs w:val="24"/>
          <w:highlight w:val="none"/>
          <w:vertAlign w:val="superscript"/>
          <w:lang w:val="en-US" w:eastAsia="zh-CN"/>
        </w:rPr>
        <w:t>2</w:t>
      </w:r>
    </w:p>
    <w:p w14:paraId="5454ECA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宋体" w:eastAsia="宋体" w:cs="Times New Roman"/>
          <w:color w:val="auto"/>
          <w:kern w:val="0"/>
          <w:sz w:val="24"/>
          <w:szCs w:val="24"/>
          <w:highlight w:val="none"/>
          <w:lang w:val="en-US" w:eastAsia="zh-CN"/>
        </w:rPr>
      </w:pPr>
      <w:r>
        <w:rPr>
          <w:rFonts w:hint="eastAsia" w:ascii="Times New Roman" w:hAnsi="宋体" w:eastAsia="宋体" w:cs="Times New Roman"/>
          <w:color w:val="auto"/>
          <w:kern w:val="0"/>
          <w:sz w:val="24"/>
          <w:szCs w:val="24"/>
          <w:highlight w:val="none"/>
          <w:lang w:val="en-US" w:eastAsia="zh-CN"/>
        </w:rPr>
        <w:t>建设地点：黑龙江省哈尔滨市</w:t>
      </w:r>
      <w:r>
        <w:rPr>
          <w:rFonts w:hint="default" w:ascii="Times New Roman" w:hAnsi="宋体" w:eastAsia="宋体" w:cs="Times New Roman"/>
          <w:color w:val="auto"/>
          <w:kern w:val="0"/>
          <w:sz w:val="24"/>
          <w:szCs w:val="24"/>
          <w:highlight w:val="none"/>
          <w:lang w:val="en-US" w:eastAsia="zh-CN"/>
        </w:rPr>
        <w:t>尚志市元宝镇元宝村新村北侧</w:t>
      </w:r>
    </w:p>
    <w:p w14:paraId="56B7920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宋体" w:eastAsia="宋体" w:cs="Times New Roman"/>
          <w:color w:val="auto"/>
          <w:kern w:val="0"/>
          <w:sz w:val="24"/>
          <w:szCs w:val="24"/>
          <w:highlight w:val="none"/>
          <w:lang w:val="en-US" w:eastAsia="zh-CN"/>
        </w:rPr>
      </w:pPr>
      <w:r>
        <w:rPr>
          <w:rFonts w:hint="eastAsia" w:ascii="Times New Roman" w:hAnsi="宋体" w:eastAsia="宋体" w:cs="Times New Roman"/>
          <w:color w:val="auto"/>
          <w:kern w:val="0"/>
          <w:sz w:val="24"/>
          <w:szCs w:val="24"/>
          <w:highlight w:val="none"/>
          <w:lang w:val="en-US" w:eastAsia="zh-CN"/>
        </w:rPr>
        <w:t>建设周期：2026年12月~2029年11月</w:t>
      </w:r>
    </w:p>
    <w:p w14:paraId="6C70657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宋体" w:eastAsia="宋体" w:cs="Times New Roman"/>
          <w:color w:val="auto"/>
          <w:kern w:val="0"/>
          <w:sz w:val="24"/>
          <w:szCs w:val="24"/>
          <w:highlight w:val="none"/>
          <w:lang w:val="en-US" w:eastAsia="zh-CN"/>
        </w:rPr>
      </w:pPr>
      <w:r>
        <w:rPr>
          <w:rFonts w:hint="eastAsia" w:ascii="Times New Roman" w:hAnsi="宋体" w:eastAsia="宋体" w:cs="Times New Roman"/>
          <w:color w:val="auto"/>
          <w:kern w:val="0"/>
          <w:sz w:val="24"/>
          <w:szCs w:val="24"/>
          <w:highlight w:val="none"/>
          <w:lang w:val="en-US" w:eastAsia="zh-CN"/>
        </w:rPr>
        <w:t>投资规模：2000</w:t>
      </w:r>
      <w:r>
        <w:rPr>
          <w:rFonts w:hint="default" w:ascii="Times New Roman" w:hAnsi="宋体" w:eastAsia="宋体" w:cs="Times New Roman"/>
          <w:color w:val="auto"/>
          <w:kern w:val="0"/>
          <w:sz w:val="24"/>
          <w:szCs w:val="24"/>
          <w:highlight w:val="none"/>
          <w:lang w:val="en-US" w:eastAsia="zh-CN"/>
        </w:rPr>
        <w:t>万元</w:t>
      </w:r>
    </w:p>
    <w:p w14:paraId="06DC0F5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宋体" w:eastAsia="宋体" w:cs="Times New Roman"/>
          <w:color w:val="auto"/>
          <w:kern w:val="0"/>
          <w:sz w:val="24"/>
          <w:szCs w:val="24"/>
          <w:highlight w:val="none"/>
          <w:lang w:val="en-US" w:eastAsia="zh-CN"/>
        </w:rPr>
      </w:pPr>
      <w:r>
        <w:rPr>
          <w:rFonts w:hint="eastAsia" w:ascii="Times New Roman" w:hAnsi="宋体" w:eastAsia="宋体" w:cs="Times New Roman"/>
          <w:color w:val="auto"/>
          <w:kern w:val="0"/>
          <w:sz w:val="24"/>
          <w:szCs w:val="24"/>
          <w:highlight w:val="none"/>
          <w:lang w:val="en-US" w:eastAsia="zh-CN"/>
        </w:rPr>
        <w:t>劳动定员及工作制度：员工</w:t>
      </w:r>
      <w:r>
        <w:rPr>
          <w:rFonts w:hint="eastAsia" w:ascii="Times New Roman" w:hAnsi="宋体" w:cs="Times New Roman"/>
          <w:color w:val="auto"/>
          <w:kern w:val="0"/>
          <w:sz w:val="24"/>
          <w:szCs w:val="24"/>
          <w:highlight w:val="none"/>
          <w:lang w:val="en-US" w:eastAsia="zh-CN"/>
        </w:rPr>
        <w:t>10</w:t>
      </w:r>
      <w:r>
        <w:rPr>
          <w:rFonts w:hint="eastAsia" w:ascii="Times New Roman" w:hAnsi="宋体" w:eastAsia="宋体" w:cs="Times New Roman"/>
          <w:color w:val="auto"/>
          <w:kern w:val="0"/>
          <w:sz w:val="24"/>
          <w:szCs w:val="24"/>
          <w:highlight w:val="none"/>
          <w:lang w:val="en-US" w:eastAsia="zh-CN"/>
        </w:rPr>
        <w:t>人，不提供食宿。每日作业8小时，全年工作300天</w:t>
      </w:r>
      <w:r>
        <w:rPr>
          <w:rFonts w:hint="eastAsia" w:ascii="Times New Roman" w:hAnsi="宋体" w:cs="Times New Roman"/>
          <w:color w:val="auto"/>
          <w:kern w:val="0"/>
          <w:sz w:val="24"/>
          <w:szCs w:val="24"/>
          <w:highlight w:val="none"/>
          <w:lang w:val="en-US" w:eastAsia="zh-CN"/>
        </w:rPr>
        <w:t>。</w:t>
      </w:r>
    </w:p>
    <w:bookmarkEnd w:id="369"/>
    <w:p w14:paraId="52FB145E">
      <w:pPr>
        <w:pStyle w:val="7"/>
        <w:pageBreakBefore w:val="0"/>
        <w:widowControl w:val="0"/>
        <w:numPr>
          <w:ilvl w:val="2"/>
          <w:numId w:val="0"/>
        </w:numPr>
        <w:kinsoku/>
        <w:wordWrap/>
        <w:overflowPunct/>
        <w:topLinePunct w:val="0"/>
        <w:autoSpaceDE/>
        <w:autoSpaceDN/>
        <w:bidi w:val="0"/>
        <w:adjustRightInd w:val="0"/>
        <w:snapToGrid w:val="0"/>
        <w:spacing w:before="0" w:after="0" w:line="360" w:lineRule="auto"/>
        <w:ind w:leftChars="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3.1.3主要建设</w:t>
      </w:r>
      <w:bookmarkEnd w:id="356"/>
      <w:bookmarkEnd w:id="357"/>
      <w:bookmarkEnd w:id="358"/>
      <w:bookmarkEnd w:id="359"/>
      <w:r>
        <w:rPr>
          <w:rFonts w:hint="eastAsia" w:asciiTheme="minorEastAsia" w:hAnsiTheme="minorEastAsia" w:eastAsiaTheme="minorEastAsia" w:cstheme="minorEastAsia"/>
          <w:color w:val="auto"/>
          <w:highlight w:val="none"/>
        </w:rPr>
        <w:t>内容及工程组成</w:t>
      </w:r>
    </w:p>
    <w:p w14:paraId="38D5315B">
      <w:pPr>
        <w:pStyle w:val="28"/>
        <w:spacing w:line="360" w:lineRule="auto"/>
        <w:ind w:firstLine="480" w:firstLineChars="200"/>
        <w:rPr>
          <w:rFonts w:hint="default" w:ascii="Times New Roman" w:hAnsi="Times New Roman" w:eastAsia="宋体"/>
          <w:color w:val="auto"/>
          <w:sz w:val="24"/>
          <w:highlight w:val="none"/>
          <w:lang w:val="en-US" w:eastAsia="zh-CN"/>
        </w:rPr>
      </w:pPr>
      <w:r>
        <w:rPr>
          <w:rFonts w:ascii="Times New Roman"/>
          <w:color w:val="auto"/>
          <w:highlight w:val="none"/>
        </w:rPr>
        <w:t>建设内容及规模：</w:t>
      </w:r>
      <w:r>
        <w:rPr>
          <w:rFonts w:hint="eastAsia" w:ascii="Times New Roman"/>
          <w:color w:val="auto"/>
          <w:highlight w:val="none"/>
          <w:lang w:val="en-US" w:eastAsia="zh-CN"/>
        </w:rPr>
        <w:t>本</w:t>
      </w:r>
      <w:r>
        <w:rPr>
          <w:rFonts w:hint="default" w:ascii="Times New Roman" w:hAnsi="Times New Roman" w:eastAsia="宋体"/>
          <w:color w:val="auto"/>
          <w:sz w:val="24"/>
          <w:highlight w:val="none"/>
          <w:lang w:val="en-US" w:eastAsia="zh-CN"/>
        </w:rPr>
        <w:t>项目</w:t>
      </w:r>
      <w:r>
        <w:rPr>
          <w:rFonts w:hint="eastAsia" w:ascii="Times New Roman" w:hAnsi="Times New Roman" w:eastAsia="宋体"/>
          <w:color w:val="auto"/>
          <w:sz w:val="24"/>
          <w:highlight w:val="none"/>
          <w:lang w:val="en-US" w:eastAsia="zh-CN"/>
        </w:rPr>
        <w:t>拟修复</w:t>
      </w:r>
      <w:r>
        <w:rPr>
          <w:rFonts w:hint="default" w:ascii="Times New Roman" w:hAnsi="Times New Roman" w:eastAsia="宋体"/>
          <w:color w:val="auto"/>
          <w:sz w:val="24"/>
          <w:highlight w:val="none"/>
          <w:lang w:val="en-US" w:eastAsia="zh-CN"/>
        </w:rPr>
        <w:t>区总面积为</w:t>
      </w:r>
      <w:r>
        <w:rPr>
          <w:rFonts w:hint="eastAsia" w:ascii="Times New Roman" w:hAnsi="宋体" w:eastAsia="宋体" w:cs="Times New Roman"/>
          <w:color w:val="auto"/>
          <w:kern w:val="0"/>
          <w:sz w:val="24"/>
          <w:szCs w:val="24"/>
          <w:highlight w:val="none"/>
          <w:lang w:val="en-US" w:eastAsia="zh-CN"/>
        </w:rPr>
        <w:t>11296.10</w:t>
      </w:r>
      <w:r>
        <w:rPr>
          <w:rFonts w:hint="default" w:ascii="Times New Roman" w:hAnsi="Times New Roman" w:eastAsia="宋体"/>
          <w:color w:val="auto"/>
          <w:sz w:val="24"/>
          <w:highlight w:val="none"/>
          <w:lang w:val="en-US" w:eastAsia="zh-CN"/>
        </w:rPr>
        <w:t>m</w:t>
      </w:r>
      <w:r>
        <w:rPr>
          <w:rFonts w:hint="default" w:ascii="Times New Roman" w:hAnsi="Times New Roman" w:eastAsia="宋体"/>
          <w:color w:val="auto"/>
          <w:sz w:val="24"/>
          <w:highlight w:val="none"/>
          <w:vertAlign w:val="superscript"/>
          <w:lang w:val="en-US" w:eastAsia="zh-CN"/>
        </w:rPr>
        <w:t>2</w:t>
      </w:r>
      <w:r>
        <w:rPr>
          <w:rFonts w:hint="default" w:ascii="Times New Roman" w:hAnsi="Times New Roman" w:eastAsia="宋体"/>
          <w:color w:val="auto"/>
          <w:sz w:val="24"/>
          <w:highlight w:val="none"/>
          <w:lang w:val="en-US" w:eastAsia="zh-CN"/>
        </w:rPr>
        <w:t>。项目完成生态修复治理后，恢复</w:t>
      </w:r>
      <w:r>
        <w:rPr>
          <w:rFonts w:hint="eastAsia" w:ascii="Times New Roman" w:eastAsia="宋体"/>
          <w:color w:val="auto"/>
          <w:highlight w:val="none"/>
          <w:lang w:val="en-US" w:eastAsia="zh-CN"/>
        </w:rPr>
        <w:t>其</w:t>
      </w:r>
      <w:r>
        <w:rPr>
          <w:rFonts w:hint="eastAsia" w:ascii="Times New Roman"/>
          <w:color w:val="auto"/>
          <w:highlight w:val="none"/>
          <w:lang w:val="en-US" w:eastAsia="zh-CN"/>
        </w:rPr>
        <w:t>原有地貌，</w:t>
      </w:r>
      <w:r>
        <w:rPr>
          <w:rFonts w:hint="eastAsia" w:ascii="Times New Roman" w:hAnsi="Times New Roman" w:eastAsia="宋体"/>
          <w:color w:val="auto"/>
          <w:sz w:val="24"/>
          <w:highlight w:val="none"/>
          <w:lang w:val="en-US" w:eastAsia="zh-CN"/>
        </w:rPr>
        <w:t>林地</w:t>
      </w:r>
      <w:r>
        <w:rPr>
          <w:rFonts w:hint="eastAsia" w:ascii="Times New Roman" w:hAnsi="宋体" w:eastAsia="宋体" w:cs="Times New Roman"/>
          <w:color w:val="auto"/>
          <w:kern w:val="0"/>
          <w:sz w:val="24"/>
          <w:szCs w:val="24"/>
          <w:highlight w:val="none"/>
          <w:lang w:val="en-US" w:eastAsia="zh-CN"/>
        </w:rPr>
        <w:t>11296.10</w:t>
      </w:r>
      <w:r>
        <w:rPr>
          <w:rFonts w:hint="eastAsia"/>
          <w:color w:val="auto"/>
          <w:highlight w:val="none"/>
          <w:lang w:val="en-US" w:eastAsia="zh-CN"/>
        </w:rPr>
        <w:t>m</w:t>
      </w:r>
      <w:r>
        <w:rPr>
          <w:rFonts w:hint="eastAsia"/>
          <w:color w:val="auto"/>
          <w:highlight w:val="none"/>
          <w:vertAlign w:val="superscript"/>
          <w:lang w:val="en-US" w:eastAsia="zh-CN"/>
        </w:rPr>
        <w:t>2</w:t>
      </w:r>
      <w:r>
        <w:rPr>
          <w:rFonts w:hint="default" w:ascii="Times New Roman" w:hAnsi="Times New Roman" w:eastAsia="宋体"/>
          <w:color w:val="auto"/>
          <w:sz w:val="24"/>
          <w:highlight w:val="none"/>
          <w:lang w:val="en-US" w:eastAsia="zh-CN"/>
        </w:rPr>
        <w:t>。</w:t>
      </w:r>
    </w:p>
    <w:p w14:paraId="23079F19">
      <w:pPr>
        <w:spacing w:line="360" w:lineRule="auto"/>
        <w:ind w:firstLine="480"/>
        <w:rPr>
          <w:rFonts w:hint="eastAsia" w:ascii="Times New Roman" w:hAnsi="Times New Roman" w:eastAsia="宋体"/>
          <w:color w:val="auto"/>
          <w:sz w:val="24"/>
          <w:highlight w:val="none"/>
          <w:lang w:val="en-US" w:eastAsia="zh-CN"/>
        </w:rPr>
      </w:pPr>
      <w:r>
        <w:rPr>
          <w:rFonts w:ascii="Times New Roman"/>
          <w:color w:val="auto"/>
          <w:highlight w:val="none"/>
        </w:rPr>
        <w:t>回填物</w:t>
      </w:r>
      <w:r>
        <w:rPr>
          <w:rFonts w:hint="default" w:ascii="Times New Roman" w:hAnsi="Times New Roman" w:eastAsia="宋体"/>
          <w:color w:val="auto"/>
          <w:sz w:val="24"/>
          <w:highlight w:val="none"/>
          <w:lang w:val="en-US" w:eastAsia="zh-CN"/>
        </w:rPr>
        <w:t>灰渣来源</w:t>
      </w:r>
      <w:r>
        <w:rPr>
          <w:rFonts w:hint="eastAsia" w:ascii="Times New Roman" w:hAnsi="Times New Roman" w:eastAsia="宋体"/>
          <w:color w:val="auto"/>
          <w:sz w:val="24"/>
          <w:highlight w:val="none"/>
          <w:lang w:val="en-US" w:eastAsia="zh-CN"/>
        </w:rPr>
        <w:t>于</w:t>
      </w:r>
      <w:r>
        <w:rPr>
          <w:rFonts w:hint="eastAsia" w:ascii="Times New Roman"/>
          <w:color w:val="auto"/>
          <w:sz w:val="24"/>
          <w:highlight w:val="none"/>
          <w:lang w:val="en-US" w:eastAsia="zh-CN"/>
        </w:rPr>
        <w:t>三</w:t>
      </w:r>
      <w:r>
        <w:rPr>
          <w:rFonts w:hint="default" w:ascii="Times New Roman" w:hAnsi="Times New Roman" w:eastAsia="宋体"/>
          <w:color w:val="auto"/>
          <w:sz w:val="24"/>
          <w:highlight w:val="none"/>
          <w:lang w:val="en-US" w:eastAsia="zh-CN"/>
        </w:rPr>
        <w:t>部分，一部分源于</w:t>
      </w:r>
      <w:r>
        <w:rPr>
          <w:rFonts w:hint="eastAsia" w:ascii="Times New Roman"/>
          <w:color w:val="auto"/>
          <w:sz w:val="24"/>
          <w:highlight w:val="none"/>
          <w:lang w:val="en-US" w:eastAsia="zh-CN"/>
        </w:rPr>
        <w:t>黑龙江瑞和热电有限公司</w:t>
      </w:r>
      <w:r>
        <w:rPr>
          <w:rFonts w:hint="eastAsia" w:ascii="Times New Roman"/>
          <w:color w:val="auto"/>
          <w:highlight w:val="none"/>
          <w:lang w:val="en-US" w:eastAsia="zh-CN"/>
        </w:rPr>
        <w:t>生产运行时产生的生物质灰渣，产生</w:t>
      </w:r>
      <w:r>
        <w:rPr>
          <w:rFonts w:hint="default" w:ascii="Times New Roman" w:hAnsi="Times New Roman" w:eastAsia="宋体"/>
          <w:color w:val="auto"/>
          <w:sz w:val="24"/>
          <w:highlight w:val="none"/>
          <w:lang w:val="en-US" w:eastAsia="zh-CN"/>
        </w:rPr>
        <w:t>量为</w:t>
      </w:r>
      <w:r>
        <w:rPr>
          <w:rFonts w:hint="eastAsia"/>
          <w:color w:val="auto"/>
          <w:highlight w:val="none"/>
          <w:lang w:val="en-US" w:eastAsia="zh-CN"/>
        </w:rPr>
        <w:t>20920.01</w:t>
      </w:r>
      <w:r>
        <w:rPr>
          <w:rFonts w:hint="default"/>
          <w:color w:val="auto"/>
          <w:highlight w:val="none"/>
          <w:lang w:val="en-US" w:eastAsia="zh-CN"/>
        </w:rPr>
        <w:t>m</w:t>
      </w:r>
      <w:r>
        <w:rPr>
          <w:rFonts w:hint="default"/>
          <w:color w:val="auto"/>
          <w:highlight w:val="none"/>
          <w:vertAlign w:val="superscript"/>
          <w:lang w:val="en-US" w:eastAsia="zh-CN"/>
        </w:rPr>
        <w:t>3</w:t>
      </w:r>
      <w:r>
        <w:rPr>
          <w:rFonts w:hint="eastAsia"/>
          <w:color w:val="auto"/>
          <w:highlight w:val="none"/>
          <w:vertAlign w:val="baseline"/>
          <w:lang w:val="en-US" w:eastAsia="zh-CN"/>
        </w:rPr>
        <w:t>/a</w:t>
      </w:r>
      <w:r>
        <w:rPr>
          <w:rFonts w:hint="eastAsia" w:ascii="Times New Roman" w:hAnsi="Times New Roman" w:eastAsia="宋体"/>
          <w:color w:val="auto"/>
          <w:sz w:val="24"/>
          <w:highlight w:val="none"/>
          <w:lang w:val="en-US" w:eastAsia="zh-CN"/>
        </w:rPr>
        <w:t>，</w:t>
      </w:r>
      <w:r>
        <w:rPr>
          <w:rFonts w:hint="eastAsia" w:ascii="Times New Roman"/>
          <w:color w:val="auto"/>
          <w:highlight w:val="none"/>
          <w:lang w:val="en-US" w:eastAsia="zh-CN"/>
        </w:rPr>
        <w:t>距离项目回填区约</w:t>
      </w:r>
      <w:r>
        <w:rPr>
          <w:rFonts w:hint="eastAsia" w:ascii="Times New Roman"/>
          <w:color w:val="auto"/>
          <w:sz w:val="24"/>
          <w:highlight w:val="none"/>
          <w:lang w:val="en-US" w:eastAsia="zh-CN"/>
        </w:rPr>
        <w:t>22.94</w:t>
      </w:r>
      <w:r>
        <w:rPr>
          <w:rFonts w:hint="default" w:ascii="Times New Roman" w:hAnsi="Times New Roman" w:eastAsia="宋体"/>
          <w:color w:val="auto"/>
          <w:sz w:val="24"/>
          <w:highlight w:val="none"/>
          <w:lang w:val="en-US" w:eastAsia="zh-CN"/>
        </w:rPr>
        <w:t>km</w:t>
      </w:r>
      <w:r>
        <w:rPr>
          <w:rFonts w:hint="eastAsia" w:ascii="Times New Roman" w:hAnsi="Times New Roman" w:eastAsia="宋体"/>
          <w:color w:val="auto"/>
          <w:sz w:val="24"/>
          <w:highlight w:val="none"/>
          <w:lang w:val="en-US" w:eastAsia="zh-CN"/>
        </w:rPr>
        <w:t>；</w:t>
      </w:r>
      <w:r>
        <w:rPr>
          <w:rFonts w:hint="default" w:ascii="Times New Roman" w:hAnsi="Times New Roman" w:eastAsia="宋体"/>
          <w:color w:val="auto"/>
          <w:sz w:val="24"/>
          <w:highlight w:val="none"/>
          <w:lang w:val="en-US" w:eastAsia="zh-CN"/>
        </w:rPr>
        <w:t>一部分源于</w:t>
      </w:r>
      <w:r>
        <w:rPr>
          <w:rFonts w:hint="eastAsia" w:ascii="Times New Roman"/>
          <w:color w:val="auto"/>
          <w:sz w:val="24"/>
          <w:highlight w:val="none"/>
          <w:lang w:val="en-US" w:eastAsia="zh-CN"/>
        </w:rPr>
        <w:t>尚志市正德金环境科技有限公司</w:t>
      </w:r>
      <w:r>
        <w:rPr>
          <w:rFonts w:hint="eastAsia" w:ascii="Times New Roman"/>
          <w:color w:val="auto"/>
          <w:highlight w:val="none"/>
          <w:lang w:val="en-US" w:eastAsia="zh-CN"/>
        </w:rPr>
        <w:t>生产运行时产生的生物质灰渣，产生</w:t>
      </w:r>
      <w:r>
        <w:rPr>
          <w:rFonts w:hint="default" w:ascii="Times New Roman" w:hAnsi="Times New Roman" w:eastAsia="宋体"/>
          <w:color w:val="auto"/>
          <w:sz w:val="24"/>
          <w:highlight w:val="none"/>
          <w:lang w:val="en-US" w:eastAsia="zh-CN"/>
        </w:rPr>
        <w:t>量为</w:t>
      </w:r>
      <w:r>
        <w:rPr>
          <w:rFonts w:hint="eastAsia"/>
          <w:color w:val="auto"/>
          <w:highlight w:val="none"/>
          <w:lang w:val="en-US" w:eastAsia="zh-CN"/>
        </w:rPr>
        <w:t>1000</w:t>
      </w:r>
      <w:r>
        <w:rPr>
          <w:rFonts w:hint="default"/>
          <w:color w:val="auto"/>
          <w:highlight w:val="none"/>
          <w:lang w:val="en-US" w:eastAsia="zh-CN"/>
        </w:rPr>
        <w:t>m</w:t>
      </w:r>
      <w:r>
        <w:rPr>
          <w:rFonts w:hint="default"/>
          <w:color w:val="auto"/>
          <w:highlight w:val="none"/>
          <w:vertAlign w:val="superscript"/>
          <w:lang w:val="en-US" w:eastAsia="zh-CN"/>
        </w:rPr>
        <w:t>3</w:t>
      </w:r>
      <w:r>
        <w:rPr>
          <w:rFonts w:hint="eastAsia"/>
          <w:color w:val="auto"/>
          <w:highlight w:val="none"/>
          <w:vertAlign w:val="baseline"/>
          <w:lang w:val="en-US" w:eastAsia="zh-CN"/>
        </w:rPr>
        <w:t>/a</w:t>
      </w:r>
      <w:r>
        <w:rPr>
          <w:rFonts w:hint="eastAsia" w:ascii="Times New Roman" w:hAnsi="Times New Roman" w:eastAsia="宋体"/>
          <w:color w:val="auto"/>
          <w:sz w:val="24"/>
          <w:highlight w:val="none"/>
          <w:lang w:val="en-US" w:eastAsia="zh-CN"/>
        </w:rPr>
        <w:t>，</w:t>
      </w:r>
      <w:r>
        <w:rPr>
          <w:rFonts w:hint="eastAsia" w:ascii="Times New Roman"/>
          <w:color w:val="auto"/>
          <w:highlight w:val="none"/>
          <w:lang w:val="en-US" w:eastAsia="zh-CN"/>
        </w:rPr>
        <w:t>距离项目回填区约</w:t>
      </w:r>
      <w:r>
        <w:rPr>
          <w:rFonts w:hint="eastAsia" w:ascii="Times New Roman"/>
          <w:color w:val="auto"/>
          <w:sz w:val="24"/>
          <w:highlight w:val="none"/>
          <w:lang w:val="en-US" w:eastAsia="zh-CN"/>
        </w:rPr>
        <w:t>31.377</w:t>
      </w:r>
      <w:r>
        <w:rPr>
          <w:rFonts w:hint="default" w:ascii="Times New Roman" w:hAnsi="Times New Roman" w:eastAsia="宋体"/>
          <w:color w:val="auto"/>
          <w:sz w:val="24"/>
          <w:highlight w:val="none"/>
          <w:lang w:val="en-US" w:eastAsia="zh-CN"/>
        </w:rPr>
        <w:t>km</w:t>
      </w:r>
      <w:r>
        <w:rPr>
          <w:rFonts w:hint="eastAsia" w:ascii="Times New Roman" w:hAnsi="Times New Roman" w:eastAsia="宋体"/>
          <w:color w:val="auto"/>
          <w:sz w:val="24"/>
          <w:highlight w:val="none"/>
          <w:lang w:val="en-US" w:eastAsia="zh-CN"/>
        </w:rPr>
        <w:t>；</w:t>
      </w:r>
      <w:r>
        <w:rPr>
          <w:rFonts w:hint="default" w:ascii="Times New Roman" w:hAnsi="Times New Roman" w:eastAsia="宋体"/>
          <w:color w:val="auto"/>
          <w:sz w:val="24"/>
          <w:highlight w:val="none"/>
          <w:lang w:val="en-US" w:eastAsia="zh-CN"/>
        </w:rPr>
        <w:t>一部分来源于</w:t>
      </w:r>
      <w:r>
        <w:rPr>
          <w:rFonts w:hint="eastAsia" w:ascii="Times New Roman"/>
          <w:color w:val="auto"/>
          <w:highlight w:val="none"/>
          <w:lang w:val="en-US" w:eastAsia="zh-CN"/>
        </w:rPr>
        <w:t>苇河林业局供热站生产运行时产生的燃煤炉渣，产生</w:t>
      </w:r>
      <w:r>
        <w:rPr>
          <w:rFonts w:hint="default" w:ascii="Times New Roman" w:hAnsi="Times New Roman" w:eastAsia="宋体"/>
          <w:color w:val="auto"/>
          <w:sz w:val="24"/>
          <w:highlight w:val="none"/>
          <w:lang w:val="en-US" w:eastAsia="zh-CN"/>
        </w:rPr>
        <w:t>量为</w:t>
      </w:r>
      <w:r>
        <w:rPr>
          <w:rFonts w:hint="eastAsia"/>
          <w:color w:val="auto"/>
          <w:highlight w:val="none"/>
          <w:lang w:val="en-US" w:eastAsia="zh-CN"/>
        </w:rPr>
        <w:t>5000</w:t>
      </w:r>
      <w:r>
        <w:rPr>
          <w:rFonts w:hint="default"/>
          <w:color w:val="auto"/>
          <w:highlight w:val="none"/>
          <w:lang w:val="en-US" w:eastAsia="zh-CN"/>
        </w:rPr>
        <w:t>m</w:t>
      </w:r>
      <w:r>
        <w:rPr>
          <w:rFonts w:hint="default"/>
          <w:color w:val="auto"/>
          <w:highlight w:val="none"/>
          <w:vertAlign w:val="superscript"/>
          <w:lang w:val="en-US" w:eastAsia="zh-CN"/>
        </w:rPr>
        <w:t>3</w:t>
      </w:r>
      <w:r>
        <w:rPr>
          <w:rFonts w:hint="eastAsia"/>
          <w:color w:val="auto"/>
          <w:highlight w:val="none"/>
          <w:vertAlign w:val="baseline"/>
          <w:lang w:val="en-US" w:eastAsia="zh-CN"/>
        </w:rPr>
        <w:t>/a</w:t>
      </w:r>
      <w:r>
        <w:rPr>
          <w:rFonts w:hint="eastAsia" w:ascii="Times New Roman"/>
          <w:color w:val="auto"/>
          <w:sz w:val="24"/>
          <w:highlight w:val="none"/>
          <w:lang w:val="en-US" w:eastAsia="zh-CN"/>
        </w:rPr>
        <w:t>，</w:t>
      </w:r>
      <w:r>
        <w:rPr>
          <w:rFonts w:hint="eastAsia" w:ascii="Times New Roman"/>
          <w:color w:val="auto"/>
          <w:highlight w:val="none"/>
          <w:lang w:val="en-US" w:eastAsia="zh-CN"/>
        </w:rPr>
        <w:t>距离项目回填区约</w:t>
      </w:r>
      <w:r>
        <w:rPr>
          <w:rFonts w:hint="eastAsia" w:ascii="Times New Roman"/>
          <w:color w:val="auto"/>
          <w:sz w:val="24"/>
          <w:highlight w:val="none"/>
          <w:lang w:val="en-US" w:eastAsia="zh-CN"/>
        </w:rPr>
        <w:t>55.09</w:t>
      </w:r>
      <w:r>
        <w:rPr>
          <w:rFonts w:hint="default" w:ascii="Times New Roman" w:hAnsi="Times New Roman" w:eastAsia="宋体"/>
          <w:color w:val="auto"/>
          <w:sz w:val="24"/>
          <w:highlight w:val="none"/>
          <w:lang w:val="en-US" w:eastAsia="zh-CN"/>
        </w:rPr>
        <w:t>km</w:t>
      </w:r>
      <w:r>
        <w:rPr>
          <w:rFonts w:hint="eastAsia" w:ascii="Times New Roman" w:hAnsi="Times New Roman" w:eastAsia="宋体"/>
          <w:color w:val="auto"/>
          <w:sz w:val="24"/>
          <w:highlight w:val="none"/>
          <w:lang w:val="en-US" w:eastAsia="zh-CN"/>
        </w:rPr>
        <w:t>。</w:t>
      </w:r>
    </w:p>
    <w:p w14:paraId="3E4E926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heme="minorEastAsia" w:hAnsiTheme="minorEastAsia" w:eastAsiaTheme="minorEastAsia" w:cstheme="minorEastAsia"/>
          <w:color w:val="auto"/>
          <w:szCs w:val="24"/>
          <w:highlight w:val="none"/>
          <w:lang w:eastAsia="zh-CN"/>
        </w:rPr>
      </w:pPr>
      <w:r>
        <w:rPr>
          <w:rFonts w:hint="eastAsia" w:asciiTheme="minorEastAsia" w:hAnsiTheme="minorEastAsia" w:eastAsiaTheme="minorEastAsia" w:cstheme="minorEastAsia"/>
          <w:color w:val="auto"/>
          <w:szCs w:val="24"/>
          <w:highlight w:val="none"/>
        </w:rPr>
        <w:t>采砂坑</w:t>
      </w:r>
      <w:r>
        <w:rPr>
          <w:rFonts w:hint="eastAsia"/>
          <w:color w:val="auto"/>
          <w:highlight w:val="none"/>
          <w:lang w:val="en-US" w:eastAsia="zh-CN"/>
        </w:rPr>
        <w:t>修复期间三家单位运营期间</w:t>
      </w:r>
      <w:r>
        <w:rPr>
          <w:rFonts w:hint="default"/>
          <w:color w:val="auto"/>
          <w:highlight w:val="none"/>
          <w:lang w:val="en-US" w:eastAsia="zh-CN"/>
        </w:rPr>
        <w:t>共计</w:t>
      </w:r>
      <w:r>
        <w:rPr>
          <w:rFonts w:hint="eastAsia"/>
          <w:color w:val="auto"/>
          <w:highlight w:val="none"/>
          <w:lang w:val="en-US" w:eastAsia="zh-CN"/>
        </w:rPr>
        <w:t>可提供</w:t>
      </w:r>
      <w:r>
        <w:rPr>
          <w:rFonts w:ascii="Times New Roman"/>
          <w:color w:val="auto"/>
          <w:highlight w:val="none"/>
        </w:rPr>
        <w:t>回填物</w:t>
      </w:r>
      <w:r>
        <w:rPr>
          <w:rFonts w:hint="default"/>
          <w:color w:val="auto"/>
          <w:highlight w:val="none"/>
          <w:lang w:val="en-US" w:eastAsia="zh-CN"/>
        </w:rPr>
        <w:t>量</w:t>
      </w:r>
      <w:r>
        <w:rPr>
          <w:rFonts w:hint="eastAsia"/>
          <w:color w:val="auto"/>
          <w:highlight w:val="none"/>
          <w:lang w:val="en-US" w:eastAsia="zh-CN"/>
        </w:rPr>
        <w:t>为</w:t>
      </w:r>
      <w:r>
        <w:rPr>
          <w:rFonts w:hint="eastAsia" w:ascii="Times New Roman" w:hAnsi="Times New Roman" w:eastAsia="宋体" w:cs="Times New Roman"/>
          <w:color w:val="auto"/>
          <w:sz w:val="24"/>
          <w:szCs w:val="24"/>
          <w:highlight w:val="none"/>
        </w:rPr>
        <w:t>80760.03</w:t>
      </w:r>
      <w:r>
        <w:rPr>
          <w:rFonts w:hint="default"/>
          <w:color w:val="auto"/>
          <w:highlight w:val="none"/>
          <w:lang w:val="en-US" w:eastAsia="zh-CN"/>
        </w:rPr>
        <w:t>m</w:t>
      </w:r>
      <w:r>
        <w:rPr>
          <w:rFonts w:hint="default"/>
          <w:color w:val="auto"/>
          <w:highlight w:val="none"/>
          <w:vertAlign w:val="superscript"/>
          <w:lang w:val="en-US" w:eastAsia="zh-CN"/>
        </w:rPr>
        <w:t>3</w:t>
      </w:r>
      <w:r>
        <w:rPr>
          <w:rFonts w:hint="eastAsia" w:ascii="Times New Roman" w:hAnsi="Times New Roman" w:eastAsia="宋体"/>
          <w:color w:val="auto"/>
          <w:sz w:val="24"/>
          <w:highlight w:val="none"/>
          <w:lang w:val="en-US" w:eastAsia="zh-CN"/>
        </w:rPr>
        <w:t>，灰渣比例约为1:3。</w:t>
      </w:r>
      <w:r>
        <w:rPr>
          <w:rFonts w:hint="default" w:ascii="Times New Roman" w:hAnsi="Times New Roman" w:eastAsia="宋体"/>
          <w:color w:val="auto"/>
          <w:sz w:val="24"/>
          <w:szCs w:val="24"/>
          <w:highlight w:val="none"/>
          <w:lang w:val="en-US" w:eastAsia="zh-CN"/>
        </w:rPr>
        <w:t>覆土所需土壤来源于</w:t>
      </w:r>
      <w:r>
        <w:rPr>
          <w:rFonts w:hint="eastAsia" w:ascii="Times New Roman" w:hAnsi="Times New Roman" w:eastAsia="宋体" w:cs="Times New Roman"/>
          <w:color w:val="auto"/>
          <w:sz w:val="24"/>
          <w:szCs w:val="24"/>
          <w:highlight w:val="none"/>
          <w:lang w:val="en-US" w:eastAsia="zh-CN"/>
        </w:rPr>
        <w:t>当地高标准农田建设</w:t>
      </w:r>
      <w:r>
        <w:rPr>
          <w:rFonts w:ascii="Times New Roman" w:hAnsi="Times New Roman" w:eastAsia="宋体" w:cs="Times New Roman"/>
          <w:color w:val="auto"/>
          <w:sz w:val="24"/>
          <w:szCs w:val="24"/>
          <w:highlight w:val="none"/>
        </w:rPr>
        <w:t>剥离的</w:t>
      </w:r>
      <w:r>
        <w:rPr>
          <w:rFonts w:hint="eastAsia" w:ascii="Times New Roman" w:hAnsi="Times New Roman" w:eastAsia="宋体" w:cs="Times New Roman"/>
          <w:color w:val="auto"/>
          <w:sz w:val="24"/>
          <w:szCs w:val="24"/>
          <w:highlight w:val="none"/>
          <w:lang w:val="en-US" w:eastAsia="zh-CN"/>
        </w:rPr>
        <w:t>种植</w:t>
      </w:r>
      <w:r>
        <w:rPr>
          <w:rFonts w:ascii="Times New Roman" w:hAnsi="Times New Roman" w:eastAsia="宋体" w:cs="Times New Roman"/>
          <w:color w:val="auto"/>
          <w:sz w:val="24"/>
          <w:szCs w:val="24"/>
          <w:highlight w:val="none"/>
        </w:rPr>
        <w:t>表土</w:t>
      </w:r>
      <w:r>
        <w:rPr>
          <w:rFonts w:hint="eastAsia" w:ascii="Times New Roman" w:hAnsi="Times New Roman" w:eastAsia="宋体" w:cs="Times New Roman"/>
          <w:color w:val="auto"/>
          <w:sz w:val="24"/>
          <w:szCs w:val="24"/>
          <w:highlight w:val="none"/>
          <w:lang w:eastAsia="zh-CN"/>
        </w:rPr>
        <w:t>，</w:t>
      </w:r>
      <w:r>
        <w:rPr>
          <w:rFonts w:hint="eastAsia" w:ascii="Times New Roman" w:hAnsi="Times New Roman" w:eastAsia="宋体"/>
          <w:color w:val="auto"/>
          <w:sz w:val="24"/>
          <w:szCs w:val="24"/>
          <w:highlight w:val="none"/>
          <w:lang w:val="en-US" w:eastAsia="zh-CN"/>
        </w:rPr>
        <w:t>覆</w:t>
      </w:r>
      <w:r>
        <w:rPr>
          <w:rFonts w:hint="default" w:ascii="Times New Roman" w:hAnsi="Times New Roman" w:eastAsia="宋体"/>
          <w:color w:val="auto"/>
          <w:sz w:val="24"/>
          <w:szCs w:val="24"/>
          <w:highlight w:val="none"/>
          <w:lang w:val="en-US" w:eastAsia="zh-CN"/>
        </w:rPr>
        <w:t>土量为</w:t>
      </w:r>
      <w:r>
        <w:rPr>
          <w:rFonts w:hint="eastAsia" w:ascii="Times New Roman" w:hAnsi="Times New Roman" w:eastAsia="宋体" w:cs="Times New Roman"/>
          <w:color w:val="auto"/>
          <w:sz w:val="24"/>
          <w:szCs w:val="24"/>
          <w:highlight w:val="none"/>
          <w:lang w:val="en-US" w:eastAsia="zh-CN"/>
        </w:rPr>
        <w:t>5422</w:t>
      </w:r>
      <w:r>
        <w:rPr>
          <w:rFonts w:hint="default" w:ascii="Times New Roman" w:hAnsi="Times New Roman" w:eastAsia="宋体"/>
          <w:color w:val="auto"/>
          <w:sz w:val="24"/>
          <w:szCs w:val="24"/>
          <w:highlight w:val="none"/>
          <w:lang w:val="en-US" w:eastAsia="zh-CN"/>
        </w:rPr>
        <w:t>m</w:t>
      </w:r>
      <w:r>
        <w:rPr>
          <w:rFonts w:hint="default" w:ascii="Times New Roman" w:hAnsi="Times New Roman" w:eastAsia="宋体"/>
          <w:color w:val="auto"/>
          <w:sz w:val="24"/>
          <w:szCs w:val="24"/>
          <w:highlight w:val="none"/>
          <w:vertAlign w:val="superscript"/>
          <w:lang w:val="en-US" w:eastAsia="zh-CN"/>
        </w:rPr>
        <w:t>3</w:t>
      </w:r>
      <w:r>
        <w:rPr>
          <w:rFonts w:hint="eastAsia" w:ascii="Times New Roman" w:hAnsi="Times New Roman" w:eastAsia="宋体"/>
          <w:color w:val="auto"/>
          <w:sz w:val="24"/>
          <w:highlight w:val="none"/>
          <w:vertAlign w:val="baseline"/>
          <w:lang w:val="en-US" w:eastAsia="zh-CN"/>
        </w:rPr>
        <w:t>。</w:t>
      </w:r>
      <w:r>
        <w:rPr>
          <w:rFonts w:hint="default" w:ascii="Times New Roman" w:hAnsi="Times New Roman" w:eastAsia="宋体"/>
          <w:color w:val="auto"/>
          <w:sz w:val="24"/>
          <w:highlight w:val="none"/>
          <w:lang w:val="en-US" w:eastAsia="zh-CN"/>
        </w:rPr>
        <w:t>修复完毕后标高范围为</w:t>
      </w:r>
      <w:r>
        <w:rPr>
          <w:rFonts w:hint="eastAsia"/>
          <w:color w:val="auto"/>
          <w:highlight w:val="none"/>
          <w:lang w:val="en-US" w:eastAsia="zh-CN"/>
        </w:rPr>
        <w:t>1</w:t>
      </w:r>
      <w:r>
        <w:rPr>
          <w:rFonts w:hint="default" w:ascii="Times New Roman" w:hAnsi="Times New Roman" w:cs="Times New Roman"/>
          <w:color w:val="auto"/>
          <w:highlight w:val="none"/>
          <w:lang w:val="en-US" w:eastAsia="zh-CN"/>
        </w:rPr>
        <w:t>96.5</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206.5</w:t>
      </w:r>
      <w:r>
        <w:rPr>
          <w:rFonts w:hint="default" w:ascii="Times New Roman" w:hAnsi="Times New Roman" w:eastAsia="宋体" w:cs="Times New Roman"/>
          <w:color w:val="auto"/>
          <w:sz w:val="24"/>
          <w:highlight w:val="none"/>
          <w:lang w:val="en-US" w:eastAsia="zh-CN"/>
        </w:rPr>
        <w:t>m</w:t>
      </w:r>
      <w:r>
        <w:rPr>
          <w:rFonts w:hint="default" w:ascii="Times New Roman" w:hAnsi="Times New Roman" w:eastAsia="宋体"/>
          <w:color w:val="auto"/>
          <w:sz w:val="24"/>
          <w:highlight w:val="none"/>
          <w:lang w:val="en-US" w:eastAsia="zh-CN"/>
        </w:rPr>
        <w:t>。</w:t>
      </w:r>
    </w:p>
    <w:p w14:paraId="7ECBE441">
      <w:pPr>
        <w:pStyle w:val="1233"/>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本项目建设内容包括回填工程和土地复垦工程，建设内容见表3</w:t>
      </w:r>
      <w:r>
        <w:rPr>
          <w:rFonts w:hint="eastAsia" w:asciiTheme="minorEastAsia" w:hAnsiTheme="minorEastAsia" w:eastAsiaTheme="minorEastAsia" w:cstheme="minorEastAsia"/>
          <w:color w:val="auto"/>
          <w:highlight w:val="none"/>
          <w:lang w:val="en-US" w:eastAsia="zh-CN"/>
        </w:rPr>
        <w:t>.</w:t>
      </w:r>
      <w:r>
        <w:rPr>
          <w:rFonts w:hint="eastAsia" w:asciiTheme="minorEastAsia" w:hAnsiTheme="minorEastAsia" w:eastAsiaTheme="minorEastAsia" w:cstheme="minorEastAsia"/>
          <w:color w:val="auto"/>
          <w:highlight w:val="none"/>
        </w:rPr>
        <w:t>1-2。</w:t>
      </w:r>
    </w:p>
    <w:p w14:paraId="3844C665">
      <w:pPr>
        <w:pStyle w:val="1331"/>
        <w:widowControl w:val="0"/>
        <w:snapToGrid w:val="0"/>
        <w:spacing w:line="240" w:lineRule="auto"/>
        <w:ind w:firstLine="482"/>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表3</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 w:val="24"/>
          <w:szCs w:val="24"/>
          <w:highlight w:val="none"/>
        </w:rPr>
        <w:t>1-2</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项目组成一览表</w:t>
      </w:r>
    </w:p>
    <w:tbl>
      <w:tblPr>
        <w:tblStyle w:val="84"/>
        <w:tblW w:w="9258" w:type="dxa"/>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3"/>
        <w:gridCol w:w="1488"/>
        <w:gridCol w:w="6426"/>
        <w:gridCol w:w="671"/>
      </w:tblGrid>
      <w:tr w14:paraId="691C09E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tcBorders>
              <w:tl2br w:val="nil"/>
              <w:tr2bl w:val="nil"/>
            </w:tcBorders>
            <w:noWrap w:val="0"/>
            <w:vAlign w:val="center"/>
          </w:tcPr>
          <w:p w14:paraId="49709B7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工程</w:t>
            </w:r>
          </w:p>
          <w:p w14:paraId="2FB8831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类别</w:t>
            </w:r>
          </w:p>
        </w:tc>
        <w:tc>
          <w:tcPr>
            <w:tcW w:w="1488" w:type="dxa"/>
            <w:tcBorders>
              <w:tl2br w:val="nil"/>
              <w:tr2bl w:val="nil"/>
            </w:tcBorders>
            <w:noWrap w:val="0"/>
            <w:vAlign w:val="center"/>
          </w:tcPr>
          <w:p w14:paraId="15F39844">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工程名称</w:t>
            </w:r>
          </w:p>
        </w:tc>
        <w:tc>
          <w:tcPr>
            <w:tcW w:w="6426" w:type="dxa"/>
            <w:tcBorders>
              <w:tl2br w:val="nil"/>
              <w:tr2bl w:val="nil"/>
            </w:tcBorders>
            <w:noWrap w:val="0"/>
            <w:vAlign w:val="center"/>
          </w:tcPr>
          <w:p w14:paraId="3D110A32">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规模及建设内容</w:t>
            </w:r>
          </w:p>
        </w:tc>
        <w:tc>
          <w:tcPr>
            <w:tcW w:w="671" w:type="dxa"/>
            <w:tcBorders>
              <w:tl2br w:val="nil"/>
              <w:tr2bl w:val="nil"/>
            </w:tcBorders>
            <w:noWrap w:val="0"/>
            <w:vAlign w:val="center"/>
          </w:tcPr>
          <w:p w14:paraId="29DB801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备注</w:t>
            </w:r>
          </w:p>
        </w:tc>
      </w:tr>
      <w:tr w14:paraId="47D744B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restart"/>
            <w:tcBorders>
              <w:tl2br w:val="nil"/>
              <w:tr2bl w:val="nil"/>
            </w:tcBorders>
            <w:noWrap w:val="0"/>
            <w:vAlign w:val="center"/>
          </w:tcPr>
          <w:p w14:paraId="3F39F54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主体</w:t>
            </w:r>
          </w:p>
          <w:p w14:paraId="3D010509">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工程</w:t>
            </w:r>
          </w:p>
        </w:tc>
        <w:tc>
          <w:tcPr>
            <w:tcW w:w="1488" w:type="dxa"/>
            <w:tcBorders>
              <w:tl2br w:val="nil"/>
              <w:tr2bl w:val="nil"/>
            </w:tcBorders>
            <w:noWrap w:val="0"/>
            <w:vAlign w:val="center"/>
          </w:tcPr>
          <w:p w14:paraId="3F8FE4A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场地平整工程</w:t>
            </w:r>
          </w:p>
        </w:tc>
        <w:tc>
          <w:tcPr>
            <w:tcW w:w="6426" w:type="dxa"/>
            <w:tcBorders>
              <w:tl2br w:val="nil"/>
              <w:tr2bl w:val="nil"/>
            </w:tcBorders>
            <w:noWrap w:val="0"/>
            <w:vAlign w:val="center"/>
          </w:tcPr>
          <w:p w14:paraId="29D5489A">
            <w:pPr>
              <w:keepNext w:val="0"/>
              <w:keepLines w:val="0"/>
              <w:suppressLineNumbers w:val="0"/>
              <w:adjustRightInd w:val="0"/>
              <w:snapToGrid w:val="0"/>
              <w:spacing w:before="0" w:beforeAutospacing="0" w:after="0" w:afterAutospacing="0" w:line="240" w:lineRule="auto"/>
              <w:ind w:left="0" w:right="0"/>
              <w:rPr>
                <w:rFonts w:hint="eastAsia" w:ascii="Times New Roman" w:eastAsia="宋体"/>
                <w:color w:val="auto"/>
                <w:sz w:val="21"/>
                <w:szCs w:val="21"/>
                <w:highlight w:val="none"/>
                <w:lang w:eastAsia="zh-CN" w:bidi="ar"/>
              </w:rPr>
            </w:pPr>
            <w:r>
              <w:rPr>
                <w:rFonts w:ascii="Times New Roman" w:hAnsi="Times New Roman" w:eastAsia="宋体" w:cs="Times New Roman"/>
                <w:color w:val="auto"/>
                <w:sz w:val="21"/>
                <w:szCs w:val="21"/>
                <w:highlight w:val="none"/>
              </w:rPr>
              <w:t>治理区内部不平整，不利于场地内机械施工，因此需进行土地平整，削高垫低，尽量使场地内底部呈北高南低、西高东低的地形特点。本项目</w:t>
            </w:r>
            <w:r>
              <w:rPr>
                <w:rFonts w:hint="eastAsia" w:ascii="Times New Roman" w:hAnsi="Times New Roman" w:eastAsia="宋体" w:cs="Times New Roman"/>
                <w:color w:val="auto"/>
                <w:sz w:val="21"/>
                <w:szCs w:val="21"/>
                <w:highlight w:val="none"/>
                <w:lang w:val="en-US" w:eastAsia="zh-CN"/>
              </w:rPr>
              <w:t>坑底</w:t>
            </w:r>
            <w:r>
              <w:rPr>
                <w:rFonts w:ascii="Times New Roman" w:hAnsi="Times New Roman" w:eastAsia="宋体" w:cs="Times New Roman"/>
                <w:color w:val="auto"/>
                <w:sz w:val="21"/>
                <w:szCs w:val="21"/>
                <w:highlight w:val="none"/>
              </w:rPr>
              <w:t>平整面积</w:t>
            </w:r>
            <w:r>
              <w:rPr>
                <w:rFonts w:hint="eastAsia" w:ascii="Times New Roman" w:hAnsi="Times New Roman" w:eastAsia="宋体" w:cs="Times New Roman"/>
                <w:color w:val="auto"/>
                <w:sz w:val="21"/>
                <w:szCs w:val="21"/>
                <w:highlight w:val="none"/>
                <w:lang w:val="en-US" w:eastAsia="zh-CN"/>
              </w:rPr>
              <w:t>7785</w:t>
            </w:r>
            <w:r>
              <w:rPr>
                <w:rFonts w:ascii="Times New Roman" w:hAnsi="Times New Roman" w:eastAsia="宋体" w:cs="Times New Roman"/>
                <w:color w:val="auto"/>
                <w:sz w:val="21"/>
                <w:szCs w:val="21"/>
                <w:highlight w:val="none"/>
              </w:rPr>
              <w:t>m</w:t>
            </w:r>
            <w:r>
              <w:rPr>
                <w:rFonts w:ascii="Times New Roman" w:hAnsi="Times New Roman" w:eastAsia="宋体" w:cs="Times New Roman"/>
                <w:color w:val="auto"/>
                <w:sz w:val="21"/>
                <w:szCs w:val="21"/>
                <w:highlight w:val="none"/>
                <w:vertAlign w:val="superscript"/>
              </w:rPr>
              <w:t>2</w:t>
            </w:r>
            <w:r>
              <w:rPr>
                <w:rFonts w:ascii="Times New Roman" w:hAnsi="Times New Roman" w:eastAsia="宋体" w:cs="Times New Roman"/>
                <w:color w:val="auto"/>
                <w:sz w:val="21"/>
                <w:szCs w:val="21"/>
                <w:highlight w:val="none"/>
              </w:rPr>
              <w:t xml:space="preserve"> ，平整厚度平均 </w:t>
            </w:r>
            <w:r>
              <w:rPr>
                <w:rFonts w:hint="eastAsia" w:ascii="Times New Roman" w:hAnsi="Times New Roman" w:eastAsia="宋体" w:cs="Times New Roman"/>
                <w:color w:val="auto"/>
                <w:sz w:val="21"/>
                <w:szCs w:val="21"/>
                <w:highlight w:val="none"/>
                <w:lang w:val="en-US" w:eastAsia="zh-CN"/>
              </w:rPr>
              <w:t>0.5</w:t>
            </w:r>
            <w:r>
              <w:rPr>
                <w:rFonts w:ascii="Times New Roman" w:hAnsi="Times New Roman" w:eastAsia="宋体" w:cs="Times New Roman"/>
                <w:color w:val="auto"/>
                <w:sz w:val="21"/>
                <w:szCs w:val="21"/>
                <w:highlight w:val="none"/>
              </w:rPr>
              <w:t>0m ，局部厚度可达 2.50m ，总平整岩土体积</w:t>
            </w:r>
            <w:r>
              <w:rPr>
                <w:rFonts w:hint="eastAsia" w:ascii="Times New Roman" w:hAnsi="Times New Roman" w:eastAsia="宋体" w:cs="Times New Roman"/>
                <w:color w:val="auto"/>
                <w:sz w:val="21"/>
                <w:szCs w:val="21"/>
                <w:highlight w:val="none"/>
                <w:lang w:val="en-US" w:eastAsia="zh-CN"/>
              </w:rPr>
              <w:t>17114</w:t>
            </w:r>
            <w:r>
              <w:rPr>
                <w:rFonts w:ascii="Times New Roman" w:hAnsi="Times New Roman" w:eastAsia="宋体" w:cs="Times New Roman"/>
                <w:color w:val="auto"/>
                <w:sz w:val="21"/>
                <w:szCs w:val="21"/>
                <w:highlight w:val="none"/>
              </w:rPr>
              <w:t>m</w:t>
            </w:r>
            <w:r>
              <w:rPr>
                <w:rFonts w:ascii="Times New Roman" w:hAnsi="Times New Roman" w:eastAsia="宋体" w:cs="Times New Roman"/>
                <w:color w:val="auto"/>
                <w:sz w:val="21"/>
                <w:szCs w:val="21"/>
                <w:highlight w:val="none"/>
                <w:vertAlign w:val="superscript"/>
              </w:rPr>
              <w:t>3</w:t>
            </w:r>
            <w:r>
              <w:rPr>
                <w:rFonts w:ascii="Times New Roman" w:hAnsi="Times New Roman" w:eastAsia="宋体" w:cs="Times New Roman"/>
                <w:color w:val="auto"/>
                <w:sz w:val="21"/>
                <w:szCs w:val="21"/>
                <w:highlight w:val="none"/>
              </w:rPr>
              <w:t>。该部分岩土全部回填采坑低洼处，用于土地平整。</w:t>
            </w:r>
            <w:r>
              <w:rPr>
                <w:rFonts w:hint="eastAsia" w:ascii="Times New Roman"/>
                <w:color w:val="auto"/>
                <w:sz w:val="21"/>
                <w:szCs w:val="21"/>
                <w:highlight w:val="none"/>
                <w:lang w:val="en-US" w:eastAsia="zh-CN" w:bidi="ar"/>
              </w:rPr>
              <w:t>采用挖高填低、随挖随填方式，挖出的土方不设临时堆场。</w:t>
            </w:r>
          </w:p>
        </w:tc>
        <w:tc>
          <w:tcPr>
            <w:tcW w:w="671" w:type="dxa"/>
            <w:tcBorders>
              <w:tl2br w:val="nil"/>
              <w:tr2bl w:val="nil"/>
            </w:tcBorders>
            <w:noWrap w:val="0"/>
            <w:vAlign w:val="center"/>
          </w:tcPr>
          <w:p w14:paraId="185EA5AF">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新建</w:t>
            </w:r>
          </w:p>
        </w:tc>
      </w:tr>
      <w:tr w14:paraId="33E13795">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7FE6C05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00E25D20">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color w:val="auto"/>
                <w:sz w:val="21"/>
                <w:szCs w:val="21"/>
                <w:highlight w:val="none"/>
                <w:lang w:bidi="ar"/>
              </w:rPr>
            </w:pPr>
            <w:r>
              <w:rPr>
                <w:rFonts w:hint="eastAsia" w:ascii="Times New Roman"/>
                <w:color w:val="auto"/>
                <w:sz w:val="21"/>
                <w:szCs w:val="21"/>
                <w:highlight w:val="none"/>
                <w:lang w:bidi="ar"/>
              </w:rPr>
              <w:t>防渗漏工程</w:t>
            </w:r>
          </w:p>
        </w:tc>
        <w:tc>
          <w:tcPr>
            <w:tcW w:w="6426" w:type="dxa"/>
            <w:tcBorders>
              <w:tl2br w:val="nil"/>
              <w:tr2bl w:val="nil"/>
            </w:tcBorders>
            <w:noWrap w:val="0"/>
            <w:vAlign w:val="center"/>
          </w:tcPr>
          <w:p w14:paraId="42EB0A98">
            <w:pPr>
              <w:keepNext w:val="0"/>
              <w:keepLines w:val="0"/>
              <w:suppressLineNumbers w:val="0"/>
              <w:adjustRightInd w:val="0"/>
              <w:snapToGrid w:val="0"/>
              <w:spacing w:before="0" w:beforeAutospacing="0" w:after="0" w:afterAutospacing="0" w:line="240" w:lineRule="auto"/>
              <w:ind w:left="0" w:right="0"/>
              <w:rPr>
                <w:rFonts w:hint="eastAsia" w:ascii="Times New Roman"/>
                <w:color w:val="auto"/>
                <w:sz w:val="21"/>
                <w:szCs w:val="21"/>
                <w:highlight w:val="none"/>
                <w:shd w:val="clear" w:color="auto" w:fill="FFFFFF"/>
                <w:lang w:val="en-US" w:eastAsia="zh-CN"/>
              </w:rPr>
            </w:pPr>
            <w:r>
              <w:rPr>
                <w:rFonts w:hint="eastAsia" w:ascii="Times New Roman"/>
                <w:color w:val="auto"/>
                <w:sz w:val="21"/>
                <w:szCs w:val="21"/>
                <w:highlight w:val="none"/>
                <w:shd w:val="clear" w:color="auto" w:fill="FFFFFF"/>
              </w:rPr>
              <w:t>在场地底部</w:t>
            </w:r>
            <w:r>
              <w:rPr>
                <w:rFonts w:hint="eastAsia" w:ascii="Times New Roman"/>
                <w:color w:val="auto"/>
                <w:sz w:val="21"/>
                <w:szCs w:val="21"/>
                <w:highlight w:val="none"/>
                <w:shd w:val="clear" w:color="auto" w:fill="FFFFFF"/>
                <w:lang w:val="en-US" w:eastAsia="zh-CN"/>
              </w:rPr>
              <w:t>及边坡做基础防渗层</w:t>
            </w:r>
            <w:r>
              <w:rPr>
                <w:rFonts w:hint="eastAsia" w:ascii="Times New Roman"/>
                <w:color w:val="auto"/>
                <w:sz w:val="21"/>
                <w:szCs w:val="21"/>
                <w:highlight w:val="none"/>
                <w:shd w:val="clear" w:color="auto" w:fill="FFFFFF"/>
                <w:lang w:eastAsia="zh-CN"/>
              </w:rPr>
              <w:t>：</w:t>
            </w:r>
            <w:r>
              <w:rPr>
                <w:rFonts w:hint="eastAsia"/>
                <w:color w:val="auto"/>
                <w:sz w:val="21"/>
                <w:szCs w:val="21"/>
                <w:highlight w:val="none"/>
                <w:shd w:val="clear" w:color="auto" w:fill="FFFFFF"/>
                <w:lang w:val="en-US" w:eastAsia="zh-CN"/>
              </w:rPr>
              <w:t>从下往上依次为</w:t>
            </w:r>
            <w:r>
              <w:rPr>
                <w:rFonts w:hint="eastAsia" w:ascii="Times New Roman"/>
                <w:color w:val="auto"/>
                <w:sz w:val="21"/>
                <w:szCs w:val="21"/>
                <w:highlight w:val="none"/>
                <w:shd w:val="clear" w:color="auto" w:fill="FFFFFF"/>
              </w:rPr>
              <w:t>土工布</w:t>
            </w:r>
            <w:r>
              <w:rPr>
                <w:rFonts w:hint="eastAsia"/>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rPr>
              <w:t>厚度2.5mm</w:t>
            </w:r>
            <w:r>
              <w:rPr>
                <w:rFonts w:hint="eastAsia"/>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rPr>
              <w:t>高密度聚乙烯膜2mm</w:t>
            </w:r>
            <w:r>
              <w:rPr>
                <w:rFonts w:hint="eastAsia"/>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lang w:eastAsia="zh-CN"/>
              </w:rPr>
              <w:t>土工布</w:t>
            </w:r>
            <w:r>
              <w:rPr>
                <w:rFonts w:hint="eastAsia"/>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rPr>
              <w:t>厚度2.5mm</w:t>
            </w:r>
            <w:r>
              <w:rPr>
                <w:rFonts w:hint="eastAsia"/>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rPr>
              <w:t>其防渗性能</w:t>
            </w:r>
            <w:r>
              <w:rPr>
                <w:rFonts w:hint="default" w:ascii="Times New Roman" w:hAnsi="Times New Roman" w:cs="Times New Roman"/>
                <w:color w:val="auto"/>
                <w:sz w:val="21"/>
                <w:szCs w:val="21"/>
                <w:highlight w:val="none"/>
                <w:shd w:val="clear" w:color="auto" w:fill="FFFFFF"/>
                <w:lang w:val="en-US" w:eastAsia="zh-CN"/>
              </w:rPr>
              <w:t>K≤</w:t>
            </w:r>
            <w:r>
              <w:rPr>
                <w:rFonts w:hint="eastAsia" w:ascii="Times New Roman"/>
                <w:color w:val="auto"/>
                <w:sz w:val="21"/>
                <w:szCs w:val="21"/>
                <w:highlight w:val="none"/>
                <w:shd w:val="clear" w:color="auto" w:fill="FFFFFF"/>
              </w:rPr>
              <w:t>1.0×10</w:t>
            </w:r>
            <w:r>
              <w:rPr>
                <w:rFonts w:hint="eastAsia" w:ascii="Times New Roman"/>
                <w:color w:val="auto"/>
                <w:sz w:val="21"/>
                <w:szCs w:val="21"/>
                <w:highlight w:val="none"/>
                <w:shd w:val="clear" w:color="auto" w:fill="FFFFFF"/>
                <w:vertAlign w:val="superscript"/>
              </w:rPr>
              <w:t>-</w:t>
            </w:r>
            <w:r>
              <w:rPr>
                <w:rFonts w:hint="eastAsia" w:ascii="Times New Roman"/>
                <w:color w:val="auto"/>
                <w:sz w:val="21"/>
                <w:szCs w:val="21"/>
                <w:highlight w:val="none"/>
                <w:shd w:val="clear" w:color="auto" w:fill="FFFFFF"/>
                <w:vertAlign w:val="superscript"/>
                <w:lang w:val="en-US" w:eastAsia="zh-CN"/>
              </w:rPr>
              <w:t>7</w:t>
            </w:r>
            <w:r>
              <w:rPr>
                <w:rFonts w:hint="eastAsia" w:ascii="Times New Roman"/>
                <w:color w:val="auto"/>
                <w:sz w:val="21"/>
                <w:szCs w:val="21"/>
                <w:highlight w:val="none"/>
                <w:shd w:val="clear" w:color="auto" w:fill="FFFFFF"/>
              </w:rPr>
              <w:t>cm/s</w:t>
            </w:r>
            <w:r>
              <w:rPr>
                <w:rFonts w:hint="eastAsia" w:ascii="Times New Roman"/>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rPr>
              <w:t>能够满足《一般工业固体废物贮存和填埋污染控制标准》（GB18599-2020）I类一般工业固体废物填埋场设置要求，能够有效防止</w:t>
            </w:r>
            <w:r>
              <w:rPr>
                <w:rFonts w:hint="eastAsia" w:ascii="Times New Roman"/>
                <w:color w:val="auto"/>
                <w:sz w:val="21"/>
                <w:szCs w:val="21"/>
                <w:highlight w:val="none"/>
                <w:shd w:val="clear" w:color="auto" w:fill="FFFFFF"/>
                <w:lang w:eastAsia="zh-CN"/>
              </w:rPr>
              <w:t>淋滤水</w:t>
            </w:r>
            <w:r>
              <w:rPr>
                <w:rFonts w:hint="eastAsia" w:ascii="Times New Roman"/>
                <w:color w:val="auto"/>
                <w:sz w:val="21"/>
                <w:szCs w:val="21"/>
                <w:highlight w:val="none"/>
                <w:shd w:val="clear" w:color="auto" w:fill="FFFFFF"/>
              </w:rPr>
              <w:t>渗漏。</w:t>
            </w:r>
            <w:r>
              <w:rPr>
                <w:rFonts w:hint="eastAsia" w:ascii="Times New Roman"/>
                <w:color w:val="auto"/>
                <w:sz w:val="21"/>
                <w:szCs w:val="21"/>
                <w:highlight w:val="none"/>
                <w:shd w:val="clear" w:color="auto" w:fill="FFFFFF"/>
                <w:lang w:val="en-US" w:eastAsia="zh-CN"/>
              </w:rPr>
              <w:t xml:space="preserve"> </w:t>
            </w:r>
          </w:p>
          <w:p w14:paraId="07E68301">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jc w:val="both"/>
              <w:textAlignment w:val="auto"/>
              <w:rPr>
                <w:color w:val="auto"/>
                <w:sz w:val="21"/>
                <w:szCs w:val="21"/>
                <w:highlight w:val="none"/>
              </w:rPr>
            </w:pPr>
            <w:r>
              <w:rPr>
                <w:rFonts w:hint="eastAsia"/>
                <w:color w:val="auto"/>
                <w:sz w:val="21"/>
                <w:szCs w:val="21"/>
                <w:highlight w:val="none"/>
              </w:rPr>
              <w:t>根据GB18599-2020的要求，贮存场和填埋场需包含</w:t>
            </w:r>
            <w:r>
              <w:rPr>
                <w:color w:val="auto"/>
                <w:sz w:val="21"/>
                <w:szCs w:val="21"/>
                <w:highlight w:val="none"/>
              </w:rPr>
              <w:t>淋</w:t>
            </w:r>
            <w:r>
              <w:rPr>
                <w:rFonts w:hint="eastAsia"/>
                <w:color w:val="auto"/>
                <w:sz w:val="21"/>
                <w:szCs w:val="21"/>
                <w:highlight w:val="none"/>
                <w:lang w:val="en-US" w:eastAsia="zh-CN"/>
              </w:rPr>
              <w:t>滤</w:t>
            </w:r>
            <w:r>
              <w:rPr>
                <w:color w:val="auto"/>
                <w:sz w:val="21"/>
                <w:szCs w:val="21"/>
                <w:highlight w:val="none"/>
              </w:rPr>
              <w:t>水</w:t>
            </w:r>
            <w:r>
              <w:rPr>
                <w:rFonts w:hint="eastAsia"/>
                <w:color w:val="auto"/>
                <w:sz w:val="21"/>
                <w:szCs w:val="21"/>
                <w:highlight w:val="none"/>
              </w:rPr>
              <w:t>收集和导排系统，因此，本项目对</w:t>
            </w:r>
            <w:r>
              <w:rPr>
                <w:rFonts w:hint="eastAsia" w:ascii="Times New Roman"/>
                <w:color w:val="auto"/>
                <w:sz w:val="21"/>
                <w:szCs w:val="21"/>
                <w:highlight w:val="none"/>
                <w:shd w:val="clear" w:color="auto" w:fill="FFFFFF"/>
                <w:lang w:eastAsia="zh-CN"/>
              </w:rPr>
              <w:t>淋滤水</w:t>
            </w:r>
            <w:r>
              <w:rPr>
                <w:rFonts w:hint="eastAsia"/>
                <w:color w:val="auto"/>
                <w:sz w:val="21"/>
                <w:szCs w:val="21"/>
                <w:highlight w:val="none"/>
              </w:rPr>
              <w:t>进行收集与处置。</w:t>
            </w:r>
          </w:p>
          <w:p w14:paraId="73C68F59">
            <w:pPr>
              <w:pStyle w:val="2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eastAsia"/>
                <w:color w:val="auto"/>
                <w:sz w:val="21"/>
                <w:szCs w:val="21"/>
                <w:highlight w:val="none"/>
                <w:lang w:val="en-US" w:eastAsia="zh-CN"/>
              </w:rPr>
            </w:pPr>
            <w:r>
              <w:rPr>
                <w:color w:val="auto"/>
                <w:sz w:val="21"/>
                <w:szCs w:val="21"/>
                <w:highlight w:val="none"/>
              </w:rPr>
              <w:t>回填区西北至东南方向设置1条</w:t>
            </w:r>
            <w:r>
              <w:rPr>
                <w:rFonts w:hint="eastAsia"/>
                <w:color w:val="auto"/>
                <w:sz w:val="21"/>
                <w:szCs w:val="21"/>
                <w:highlight w:val="none"/>
              </w:rPr>
              <w:t>淋滤水</w:t>
            </w:r>
            <w:r>
              <w:rPr>
                <w:color w:val="auto"/>
                <w:sz w:val="21"/>
                <w:szCs w:val="21"/>
                <w:highlight w:val="none"/>
              </w:rPr>
              <w:t>导排沟，位于回填区底部，断面采用梯形断面，在沿主导排沟纵线上，依照场地</w:t>
            </w:r>
            <w:r>
              <w:rPr>
                <w:rFonts w:hint="eastAsia"/>
                <w:color w:val="auto"/>
                <w:sz w:val="21"/>
                <w:szCs w:val="21"/>
                <w:highlight w:val="none"/>
                <w:lang w:eastAsia="zh-CN"/>
              </w:rPr>
              <w:t>平整</w:t>
            </w:r>
            <w:r>
              <w:rPr>
                <w:color w:val="auto"/>
                <w:sz w:val="21"/>
                <w:szCs w:val="21"/>
                <w:highlight w:val="none"/>
              </w:rPr>
              <w:t>实际地形情况，敷设淋</w:t>
            </w:r>
            <w:r>
              <w:rPr>
                <w:rFonts w:hint="eastAsia"/>
                <w:color w:val="auto"/>
                <w:sz w:val="21"/>
                <w:szCs w:val="21"/>
                <w:highlight w:val="none"/>
                <w:lang w:val="en-US" w:eastAsia="zh-CN"/>
              </w:rPr>
              <w:t>滤</w:t>
            </w:r>
            <w:r>
              <w:rPr>
                <w:color w:val="auto"/>
                <w:sz w:val="21"/>
                <w:szCs w:val="21"/>
                <w:highlight w:val="none"/>
              </w:rPr>
              <w:t>水导排支沟，支沟以45度斜角插入导排主沟，淋</w:t>
            </w:r>
            <w:r>
              <w:rPr>
                <w:rFonts w:hint="eastAsia"/>
                <w:color w:val="auto"/>
                <w:sz w:val="21"/>
                <w:szCs w:val="21"/>
                <w:highlight w:val="none"/>
                <w:lang w:val="en-US" w:eastAsia="zh-CN"/>
              </w:rPr>
              <w:t>滤</w:t>
            </w:r>
            <w:r>
              <w:rPr>
                <w:color w:val="auto"/>
                <w:sz w:val="21"/>
                <w:szCs w:val="21"/>
                <w:highlight w:val="none"/>
              </w:rPr>
              <w:t>水经导排系统收集后排入</w:t>
            </w:r>
            <w:r>
              <w:rPr>
                <w:rFonts w:hint="eastAsia"/>
                <w:color w:val="auto"/>
                <w:sz w:val="21"/>
                <w:szCs w:val="21"/>
                <w:highlight w:val="none"/>
                <w:lang w:val="en-US" w:eastAsia="zh-CN"/>
              </w:rPr>
              <w:t>120</w:t>
            </w:r>
            <w:r>
              <w:rPr>
                <w:color w:val="auto"/>
                <w:sz w:val="21"/>
                <w:szCs w:val="21"/>
                <w:highlight w:val="none"/>
              </w:rPr>
              <w:t>m</w:t>
            </w:r>
            <w:r>
              <w:rPr>
                <w:color w:val="auto"/>
                <w:sz w:val="21"/>
                <w:szCs w:val="21"/>
                <w:highlight w:val="none"/>
                <w:vertAlign w:val="superscript"/>
              </w:rPr>
              <w:t>3</w:t>
            </w:r>
            <w:r>
              <w:rPr>
                <w:rFonts w:hint="eastAsia"/>
                <w:color w:val="auto"/>
                <w:sz w:val="21"/>
                <w:szCs w:val="21"/>
                <w:highlight w:val="none"/>
                <w:lang w:val="en-US" w:eastAsia="zh-CN"/>
              </w:rPr>
              <w:t>沉淀</w:t>
            </w:r>
            <w:r>
              <w:rPr>
                <w:color w:val="auto"/>
                <w:sz w:val="21"/>
                <w:szCs w:val="21"/>
                <w:highlight w:val="none"/>
              </w:rPr>
              <w:t>池，</w:t>
            </w:r>
            <w:r>
              <w:rPr>
                <w:rFonts w:hint="eastAsia"/>
                <w:color w:val="auto"/>
                <w:sz w:val="21"/>
                <w:szCs w:val="21"/>
                <w:highlight w:val="none"/>
              </w:rPr>
              <w:t>定期</w:t>
            </w:r>
            <w:r>
              <w:rPr>
                <w:rFonts w:hint="eastAsia"/>
                <w:color w:val="auto"/>
                <w:sz w:val="21"/>
                <w:szCs w:val="21"/>
                <w:highlight w:val="none"/>
                <w:lang w:val="en-US" w:eastAsia="zh-CN"/>
              </w:rPr>
              <w:t>处理</w:t>
            </w:r>
            <w:r>
              <w:rPr>
                <w:rFonts w:hint="eastAsia"/>
                <w:color w:val="auto"/>
                <w:sz w:val="21"/>
                <w:szCs w:val="21"/>
                <w:highlight w:val="none"/>
              </w:rPr>
              <w:t>。</w:t>
            </w:r>
          </w:p>
        </w:tc>
        <w:tc>
          <w:tcPr>
            <w:tcW w:w="671" w:type="dxa"/>
            <w:tcBorders>
              <w:tl2br w:val="nil"/>
              <w:tr2bl w:val="nil"/>
            </w:tcBorders>
            <w:noWrap w:val="0"/>
            <w:vAlign w:val="center"/>
          </w:tcPr>
          <w:p w14:paraId="7AD3A4A5">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新建</w:t>
            </w:r>
          </w:p>
        </w:tc>
      </w:tr>
      <w:tr w14:paraId="1F02E40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0A78539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0543EF9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回填工程</w:t>
            </w:r>
          </w:p>
        </w:tc>
        <w:tc>
          <w:tcPr>
            <w:tcW w:w="6426" w:type="dxa"/>
            <w:tcBorders>
              <w:tl2br w:val="nil"/>
              <w:tr2bl w:val="nil"/>
            </w:tcBorders>
            <w:noWrap w:val="0"/>
            <w:vAlign w:val="center"/>
          </w:tcPr>
          <w:p w14:paraId="4BCB4932">
            <w:pPr>
              <w:keepNext w:val="0"/>
              <w:keepLines w:val="0"/>
              <w:suppressLineNumbers w:val="0"/>
              <w:adjustRightInd w:val="0"/>
              <w:snapToGrid w:val="0"/>
              <w:spacing w:before="0" w:beforeAutospacing="0" w:after="0" w:afterAutospacing="0" w:line="240" w:lineRule="auto"/>
              <w:ind w:left="0" w:right="0"/>
              <w:rPr>
                <w:rFonts w:hint="eastAsia" w:ascii="Times New Roman"/>
                <w:color w:val="auto"/>
                <w:sz w:val="21"/>
                <w:szCs w:val="21"/>
                <w:highlight w:val="none"/>
              </w:rPr>
            </w:pPr>
            <w:r>
              <w:rPr>
                <w:rFonts w:hint="eastAsia" w:ascii="Times New Roman" w:hAnsi="Times New Roman" w:eastAsia="宋体" w:cs="Times New Roman"/>
                <w:color w:val="auto"/>
                <w:sz w:val="21"/>
                <w:szCs w:val="21"/>
                <w:highlight w:val="none"/>
                <w:shd w:val="clear" w:color="auto" w:fill="FFFFFF"/>
              </w:rPr>
              <w:t>项目区域内回填物主要为灰渣，</w:t>
            </w:r>
            <w:r>
              <w:rPr>
                <w:rFonts w:hint="eastAsia" w:ascii="Times New Roman" w:hAnsi="Times New Roman" w:eastAsia="宋体" w:cs="Times New Roman"/>
                <w:color w:val="auto"/>
                <w:sz w:val="21"/>
                <w:szCs w:val="21"/>
                <w:highlight w:val="none"/>
                <w:shd w:val="clear" w:color="auto" w:fill="FFFFFF"/>
                <w:lang w:val="en-US" w:eastAsia="zh-CN"/>
              </w:rPr>
              <w:t>比例为1:3。</w:t>
            </w:r>
            <w:r>
              <w:rPr>
                <w:rFonts w:hint="eastAsia" w:ascii="Times New Roman"/>
                <w:color w:val="auto"/>
                <w:sz w:val="21"/>
                <w:szCs w:val="21"/>
                <w:highlight w:val="none"/>
              </w:rPr>
              <w:t>共计回填量为</w:t>
            </w:r>
            <w:r>
              <w:rPr>
                <w:rFonts w:hint="eastAsia" w:ascii="Times New Roman" w:hAnsi="Times New Roman" w:eastAsia="宋体" w:cs="Times New Roman"/>
                <w:color w:val="auto"/>
                <w:sz w:val="21"/>
                <w:szCs w:val="21"/>
                <w:highlight w:val="none"/>
              </w:rPr>
              <w:t>80760.03</w:t>
            </w:r>
            <w:r>
              <w:rPr>
                <w:rFonts w:hint="eastAsia" w:ascii="Times New Roman"/>
                <w:color w:val="auto"/>
                <w:sz w:val="21"/>
                <w:szCs w:val="21"/>
                <w:highlight w:val="none"/>
              </w:rPr>
              <w:t>m</w:t>
            </w:r>
            <w:r>
              <w:rPr>
                <w:rFonts w:hint="eastAsia" w:ascii="Times New Roman"/>
                <w:color w:val="auto"/>
                <w:sz w:val="21"/>
                <w:szCs w:val="21"/>
                <w:highlight w:val="none"/>
                <w:vertAlign w:val="superscript"/>
              </w:rPr>
              <w:t>3</w:t>
            </w:r>
            <w:r>
              <w:rPr>
                <w:rFonts w:hint="eastAsia" w:ascii="Times New Roman"/>
                <w:color w:val="auto"/>
                <w:sz w:val="21"/>
                <w:szCs w:val="21"/>
                <w:highlight w:val="none"/>
              </w:rPr>
              <w:t>。</w:t>
            </w:r>
          </w:p>
          <w:p w14:paraId="0E4758CA">
            <w:pPr>
              <w:keepNext w:val="0"/>
              <w:keepLines w:val="0"/>
              <w:suppressLineNumbers w:val="0"/>
              <w:adjustRightInd w:val="0"/>
              <w:snapToGrid w:val="0"/>
              <w:spacing w:before="0" w:beforeAutospacing="0" w:after="0" w:afterAutospacing="0" w:line="240" w:lineRule="auto"/>
              <w:ind w:left="0" w:right="0"/>
              <w:rPr>
                <w:rFonts w:ascii="Times New Roman"/>
                <w:color w:val="auto"/>
                <w:sz w:val="21"/>
                <w:szCs w:val="21"/>
                <w:highlight w:val="none"/>
                <w:shd w:val="clear" w:color="auto" w:fill="FFFFFF"/>
              </w:rPr>
            </w:pPr>
            <w:r>
              <w:rPr>
                <w:rFonts w:ascii="Times New Roman"/>
                <w:color w:val="auto"/>
                <w:sz w:val="21"/>
                <w:szCs w:val="21"/>
                <w:highlight w:val="none"/>
                <w:shd w:val="clear" w:color="auto" w:fill="FFFFFF"/>
              </w:rPr>
              <w:t>项目</w:t>
            </w:r>
            <w:r>
              <w:rPr>
                <w:rFonts w:hint="eastAsia" w:ascii="Times New Roman"/>
                <w:color w:val="auto"/>
                <w:sz w:val="21"/>
                <w:szCs w:val="21"/>
                <w:highlight w:val="none"/>
                <w:shd w:val="clear" w:color="auto" w:fill="FFFFFF"/>
                <w:lang w:val="en-US" w:eastAsia="zh-CN"/>
              </w:rPr>
              <w:t>回填区</w:t>
            </w:r>
            <w:r>
              <w:rPr>
                <w:rFonts w:ascii="Times New Roman"/>
                <w:color w:val="auto"/>
                <w:sz w:val="21"/>
                <w:szCs w:val="21"/>
                <w:highlight w:val="none"/>
                <w:shd w:val="clear" w:color="auto" w:fill="FFFFFF"/>
              </w:rPr>
              <w:t>分区回填，</w:t>
            </w:r>
            <w:r>
              <w:rPr>
                <w:rFonts w:hint="eastAsia" w:ascii="Times New Roman"/>
                <w:color w:val="auto"/>
                <w:sz w:val="21"/>
                <w:szCs w:val="21"/>
                <w:highlight w:val="none"/>
                <w:shd w:val="clear" w:color="auto" w:fill="FFFFFF"/>
                <w:lang w:val="en-US" w:eastAsia="zh-CN"/>
              </w:rPr>
              <w:t>灰渣</w:t>
            </w:r>
            <w:r>
              <w:rPr>
                <w:rFonts w:ascii="Times New Roman"/>
                <w:color w:val="auto"/>
                <w:sz w:val="21"/>
                <w:szCs w:val="21"/>
                <w:highlight w:val="none"/>
                <w:shd w:val="clear" w:color="auto" w:fill="FFFFFF"/>
              </w:rPr>
              <w:t>回填</w:t>
            </w:r>
            <w:r>
              <w:rPr>
                <w:rFonts w:hint="eastAsia" w:ascii="Times New Roman" w:hAnsi="Times New Roman" w:eastAsia="宋体" w:cs="Times New Roman"/>
                <w:color w:val="auto"/>
                <w:kern w:val="2"/>
                <w:sz w:val="21"/>
                <w:szCs w:val="21"/>
                <w:highlight w:val="none"/>
                <w:lang w:val="en-US" w:eastAsia="zh-CN" w:bidi="ar"/>
              </w:rPr>
              <w:t>采用</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分层摊铺、往返碾压、分单元作业</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的回填处理工艺</w:t>
            </w:r>
            <w:r>
              <w:rPr>
                <w:rFonts w:hint="eastAsia" w:ascii="Times New Roman" w:hAnsi="Times New Roman" w:eastAsia="宋体" w:cs="Times New Roman"/>
                <w:color w:val="auto"/>
                <w:sz w:val="21"/>
                <w:szCs w:val="21"/>
                <w:highlight w:val="none"/>
                <w:lang w:eastAsia="zh-CN"/>
              </w:rPr>
              <w:t>，</w:t>
            </w:r>
            <w:r>
              <w:rPr>
                <w:rFonts w:hint="eastAsia" w:ascii="Times New Roman"/>
                <w:color w:val="auto"/>
                <w:sz w:val="21"/>
                <w:szCs w:val="21"/>
                <w:highlight w:val="none"/>
                <w:shd w:val="clear" w:color="auto" w:fill="FFFFFF"/>
              </w:rPr>
              <w:t>单元作业面积</w:t>
            </w:r>
            <w:r>
              <w:rPr>
                <w:rFonts w:hint="eastAsia" w:ascii="Times New Roman"/>
                <w:color w:val="auto"/>
                <w:sz w:val="21"/>
                <w:szCs w:val="21"/>
                <w:highlight w:val="none"/>
                <w:shd w:val="clear" w:color="auto" w:fill="FFFFFF"/>
                <w:lang w:val="en-US" w:eastAsia="zh-CN"/>
              </w:rPr>
              <w:t>120</w:t>
            </w:r>
            <w:r>
              <w:rPr>
                <w:rFonts w:hint="eastAsia" w:ascii="Times New Roman"/>
                <w:color w:val="auto"/>
                <w:sz w:val="21"/>
                <w:szCs w:val="21"/>
                <w:highlight w:val="none"/>
                <w:shd w:val="clear" w:color="auto" w:fill="FFFFFF"/>
              </w:rPr>
              <w:t>0m</w:t>
            </w:r>
            <w:r>
              <w:rPr>
                <w:rFonts w:hint="eastAsia" w:ascii="Times New Roman"/>
                <w:color w:val="auto"/>
                <w:sz w:val="21"/>
                <w:szCs w:val="21"/>
                <w:highlight w:val="none"/>
                <w:shd w:val="clear" w:color="auto" w:fill="FFFFFF"/>
                <w:vertAlign w:val="superscript"/>
              </w:rPr>
              <w:t>2</w:t>
            </w:r>
            <w:r>
              <w:rPr>
                <w:rFonts w:hint="eastAsia" w:ascii="Times New Roman"/>
                <w:color w:val="auto"/>
                <w:sz w:val="21"/>
                <w:szCs w:val="21"/>
                <w:highlight w:val="none"/>
                <w:shd w:val="clear" w:color="auto" w:fill="FFFFFF"/>
              </w:rPr>
              <w:t>，</w:t>
            </w:r>
            <w:r>
              <w:rPr>
                <w:rFonts w:hint="eastAsia"/>
                <w:color w:val="auto"/>
                <w:sz w:val="21"/>
                <w:szCs w:val="21"/>
                <w:highlight w:val="none"/>
              </w:rPr>
              <w:t>每层摊铺厚度不大于1m，压实系数不小于0.9。每日作业后对表面进行苫布覆盖，非作业面以及已碾实的</w:t>
            </w:r>
            <w:r>
              <w:rPr>
                <w:rFonts w:hint="eastAsia"/>
                <w:color w:val="auto"/>
                <w:sz w:val="21"/>
                <w:szCs w:val="21"/>
                <w:highlight w:val="none"/>
                <w:lang w:val="en-US" w:eastAsia="zh-CN"/>
              </w:rPr>
              <w:t>灰渣</w:t>
            </w:r>
            <w:r>
              <w:rPr>
                <w:rFonts w:hint="eastAsia"/>
                <w:color w:val="auto"/>
                <w:sz w:val="21"/>
                <w:szCs w:val="21"/>
                <w:highlight w:val="none"/>
              </w:rPr>
              <w:t>表面采用苫布覆盖。</w:t>
            </w:r>
            <w:r>
              <w:rPr>
                <w:rFonts w:hint="eastAsia" w:ascii="Times New Roman"/>
                <w:color w:val="auto"/>
                <w:sz w:val="21"/>
                <w:szCs w:val="21"/>
                <w:highlight w:val="none"/>
                <w:lang w:val="en-US" w:eastAsia="zh-CN"/>
              </w:rPr>
              <w:t>回填</w:t>
            </w:r>
            <w:r>
              <w:rPr>
                <w:rFonts w:hint="eastAsia" w:ascii="Times New Roman"/>
                <w:color w:val="auto"/>
                <w:sz w:val="21"/>
                <w:szCs w:val="21"/>
                <w:highlight w:val="none"/>
              </w:rPr>
              <w:t>区</w:t>
            </w:r>
            <w:r>
              <w:rPr>
                <w:rFonts w:hint="eastAsia" w:ascii="Times New Roman"/>
                <w:color w:val="auto"/>
                <w:sz w:val="21"/>
                <w:szCs w:val="21"/>
                <w:highlight w:val="none"/>
                <w:lang w:val="en-US" w:eastAsia="zh-CN"/>
              </w:rPr>
              <w:t>边界</w:t>
            </w:r>
            <w:r>
              <w:rPr>
                <w:rFonts w:hint="eastAsia" w:ascii="Times New Roman"/>
                <w:color w:val="auto"/>
                <w:sz w:val="21"/>
                <w:szCs w:val="21"/>
                <w:highlight w:val="none"/>
              </w:rPr>
              <w:t>外围建设</w:t>
            </w:r>
            <w:r>
              <w:rPr>
                <w:rFonts w:hint="eastAsia" w:ascii="Times New Roman"/>
                <w:color w:val="auto"/>
                <w:sz w:val="21"/>
                <w:szCs w:val="21"/>
                <w:highlight w:val="none"/>
                <w:lang w:val="en-US" w:eastAsia="zh-CN"/>
              </w:rPr>
              <w:t>隔声隔尘挡板</w:t>
            </w:r>
            <w:r>
              <w:rPr>
                <w:rFonts w:hint="eastAsia" w:ascii="Times New Roman"/>
                <w:color w:val="auto"/>
                <w:sz w:val="21"/>
                <w:szCs w:val="21"/>
                <w:highlight w:val="none"/>
              </w:rPr>
              <w:t>，高度</w:t>
            </w:r>
            <w:r>
              <w:rPr>
                <w:rFonts w:hint="eastAsia" w:ascii="Times New Roman"/>
                <w:color w:val="auto"/>
                <w:sz w:val="21"/>
                <w:szCs w:val="21"/>
                <w:highlight w:val="none"/>
                <w:lang w:val="en-US" w:eastAsia="zh-CN"/>
              </w:rPr>
              <w:t>不低于3</w:t>
            </w:r>
            <w:r>
              <w:rPr>
                <w:rFonts w:hint="eastAsia" w:ascii="Times New Roman"/>
                <w:color w:val="auto"/>
                <w:sz w:val="21"/>
                <w:szCs w:val="21"/>
                <w:highlight w:val="none"/>
              </w:rPr>
              <w:t>m</w:t>
            </w:r>
            <w:r>
              <w:rPr>
                <w:rFonts w:hint="eastAsia" w:ascii="Times New Roman"/>
                <w:color w:val="auto"/>
                <w:sz w:val="21"/>
                <w:szCs w:val="21"/>
                <w:highlight w:val="none"/>
                <w:lang w:val="en-US" w:eastAsia="zh-CN"/>
              </w:rPr>
              <w:t>。</w:t>
            </w:r>
          </w:p>
          <w:p w14:paraId="698CB540">
            <w:pPr>
              <w:keepNext w:val="0"/>
              <w:keepLines w:val="0"/>
              <w:suppressLineNumbers w:val="0"/>
              <w:adjustRightInd w:val="0"/>
              <w:snapToGrid w:val="0"/>
              <w:spacing w:before="0" w:beforeAutospacing="0" w:after="0" w:afterAutospacing="0" w:line="240" w:lineRule="auto"/>
              <w:ind w:left="0" w:right="0"/>
              <w:rPr>
                <w:rFonts w:hint="eastAsia" w:ascii="Times New Roman"/>
                <w:color w:val="auto"/>
                <w:sz w:val="21"/>
                <w:szCs w:val="21"/>
                <w:highlight w:val="none"/>
                <w:lang w:bidi="ar"/>
              </w:rPr>
            </w:pPr>
            <w:r>
              <w:rPr>
                <w:rFonts w:ascii="Times New Roman"/>
                <w:color w:val="auto"/>
                <w:sz w:val="21"/>
                <w:szCs w:val="21"/>
                <w:highlight w:val="none"/>
                <w:shd w:val="clear" w:color="auto" w:fill="FFFFFF"/>
              </w:rPr>
              <w:t>回填达到设计要求的标高后，</w:t>
            </w:r>
            <w:r>
              <w:rPr>
                <w:rFonts w:hint="eastAsia" w:ascii="Times New Roman"/>
                <w:color w:val="auto"/>
                <w:sz w:val="21"/>
                <w:szCs w:val="21"/>
                <w:highlight w:val="none"/>
                <w:shd w:val="clear" w:color="auto" w:fill="FFFFFF"/>
                <w:lang w:val="en-US" w:eastAsia="zh-CN"/>
              </w:rPr>
              <w:t>进行覆土。修复完毕后标高范围约为</w:t>
            </w:r>
            <w:r>
              <w:rPr>
                <w:rFonts w:hint="default" w:ascii="Times New Roman" w:hAnsi="Times New Roman" w:cs="Times New Roman"/>
                <w:color w:val="auto"/>
                <w:sz w:val="21"/>
                <w:szCs w:val="21"/>
                <w:highlight w:val="none"/>
                <w:lang w:val="en-US" w:eastAsia="zh-CN"/>
              </w:rPr>
              <w:t>196.5</w:t>
            </w:r>
            <w:r>
              <w:rPr>
                <w:rFonts w:hint="default" w:ascii="Times New Roman" w:hAnsi="Times New Roman" w:cs="Times New Roman"/>
                <w:color w:val="auto"/>
                <w:sz w:val="21"/>
                <w:szCs w:val="21"/>
                <w:highlight w:val="none"/>
              </w:rPr>
              <w:t>~</w:t>
            </w:r>
            <w:r>
              <w:rPr>
                <w:rFonts w:hint="default" w:ascii="Times New Roman" w:hAnsi="Times New Roman" w:cs="Times New Roman"/>
                <w:color w:val="auto"/>
                <w:sz w:val="21"/>
                <w:szCs w:val="21"/>
                <w:highlight w:val="none"/>
                <w:lang w:val="en-US" w:eastAsia="zh-CN"/>
              </w:rPr>
              <w:t>206.5</w:t>
            </w:r>
            <w:r>
              <w:rPr>
                <w:rFonts w:hint="default" w:ascii="Times New Roman" w:hAnsi="Times New Roman" w:cs="Times New Roman"/>
                <w:color w:val="auto"/>
                <w:sz w:val="21"/>
                <w:szCs w:val="21"/>
                <w:highlight w:val="none"/>
                <w:shd w:val="clear" w:color="auto" w:fill="FFFFFF"/>
                <w:lang w:val="en-US" w:eastAsia="zh-CN"/>
              </w:rPr>
              <w:t>m。</w:t>
            </w:r>
          </w:p>
        </w:tc>
        <w:tc>
          <w:tcPr>
            <w:tcW w:w="671" w:type="dxa"/>
            <w:tcBorders>
              <w:tl2br w:val="nil"/>
              <w:tr2bl w:val="nil"/>
            </w:tcBorders>
            <w:noWrap w:val="0"/>
            <w:vAlign w:val="center"/>
          </w:tcPr>
          <w:p w14:paraId="4F83B47A">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新建</w:t>
            </w:r>
          </w:p>
        </w:tc>
      </w:tr>
      <w:tr w14:paraId="4696796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6CD2B47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504FAB02">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覆土工程</w:t>
            </w:r>
          </w:p>
        </w:tc>
        <w:tc>
          <w:tcPr>
            <w:tcW w:w="6426" w:type="dxa"/>
            <w:tcBorders>
              <w:tl2br w:val="nil"/>
              <w:tr2bl w:val="nil"/>
            </w:tcBorders>
            <w:noWrap w:val="0"/>
            <w:vAlign w:val="center"/>
          </w:tcPr>
          <w:p w14:paraId="473DC978">
            <w:pPr>
              <w:keepNext w:val="0"/>
              <w:keepLines w:val="0"/>
              <w:suppressLineNumbers w:val="0"/>
              <w:adjustRightInd w:val="0"/>
              <w:snapToGrid w:val="0"/>
              <w:spacing w:before="0" w:beforeAutospacing="0" w:after="0" w:afterAutospacing="0" w:line="240" w:lineRule="auto"/>
              <w:ind w:left="0" w:right="0"/>
              <w:rPr>
                <w:rFonts w:hint="default" w:ascii="Times New Roman"/>
                <w:color w:val="auto"/>
                <w:sz w:val="21"/>
                <w:szCs w:val="21"/>
                <w:highlight w:val="none"/>
                <w:lang w:val="en-US" w:eastAsia="zh-CN"/>
              </w:rPr>
            </w:pPr>
            <w:r>
              <w:rPr>
                <w:rFonts w:hint="eastAsia" w:ascii="Times New Roman"/>
                <w:color w:val="auto"/>
                <w:sz w:val="21"/>
                <w:szCs w:val="21"/>
                <w:highlight w:val="none"/>
              </w:rPr>
              <w:t>覆土厚度必须满足</w:t>
            </w:r>
            <w:r>
              <w:rPr>
                <w:rFonts w:hint="eastAsia" w:ascii="Times New Roman"/>
                <w:color w:val="auto"/>
                <w:sz w:val="21"/>
                <w:szCs w:val="21"/>
                <w:highlight w:val="none"/>
                <w:lang w:val="en-US" w:eastAsia="zh-CN"/>
              </w:rPr>
              <w:t>植物</w:t>
            </w:r>
            <w:r>
              <w:rPr>
                <w:rFonts w:hint="eastAsia" w:ascii="Times New Roman"/>
                <w:color w:val="auto"/>
                <w:sz w:val="21"/>
                <w:szCs w:val="21"/>
                <w:highlight w:val="none"/>
              </w:rPr>
              <w:t>生长所要求具有的土壤厚度，</w:t>
            </w:r>
            <w:r>
              <w:rPr>
                <w:rFonts w:hint="eastAsia" w:ascii="Times New Roman"/>
                <w:color w:val="auto"/>
                <w:sz w:val="21"/>
                <w:szCs w:val="21"/>
                <w:highlight w:val="none"/>
                <w:lang w:val="en-US" w:eastAsia="zh-CN"/>
              </w:rPr>
              <w:t>林地区</w:t>
            </w:r>
            <w:r>
              <w:rPr>
                <w:rFonts w:hint="eastAsia" w:ascii="Times New Roman"/>
                <w:color w:val="auto"/>
                <w:sz w:val="21"/>
                <w:szCs w:val="21"/>
                <w:highlight w:val="none"/>
              </w:rPr>
              <w:t>表土回填厚度为0.</w:t>
            </w:r>
            <w:r>
              <w:rPr>
                <w:rFonts w:hint="eastAsia" w:ascii="Times New Roman"/>
                <w:color w:val="auto"/>
                <w:sz w:val="21"/>
                <w:szCs w:val="21"/>
                <w:highlight w:val="none"/>
                <w:lang w:val="en-US" w:eastAsia="zh-CN"/>
              </w:rPr>
              <w:t>8</w:t>
            </w:r>
            <w:r>
              <w:rPr>
                <w:rFonts w:hint="eastAsia" w:ascii="Times New Roman"/>
                <w:color w:val="auto"/>
                <w:sz w:val="21"/>
                <w:szCs w:val="21"/>
                <w:highlight w:val="none"/>
              </w:rPr>
              <w:t>0m</w:t>
            </w:r>
            <w:r>
              <w:rPr>
                <w:rFonts w:hint="eastAsia" w:ascii="Times New Roman"/>
                <w:color w:val="auto"/>
                <w:sz w:val="21"/>
                <w:szCs w:val="21"/>
                <w:highlight w:val="none"/>
                <w:lang w:eastAsia="zh-CN"/>
              </w:rPr>
              <w:t>，</w:t>
            </w:r>
            <w:r>
              <w:rPr>
                <w:rFonts w:hint="eastAsia" w:ascii="Times New Roman"/>
                <w:color w:val="auto"/>
                <w:sz w:val="21"/>
                <w:szCs w:val="21"/>
                <w:highlight w:val="none"/>
                <w:lang w:val="en-US" w:eastAsia="zh-CN"/>
              </w:rPr>
              <w:t>总覆壤土为</w:t>
            </w:r>
            <w:r>
              <w:rPr>
                <w:rFonts w:hint="eastAsia" w:ascii="Times New Roman" w:hAnsi="Times New Roman" w:eastAsia="宋体" w:cs="Times New Roman"/>
                <w:color w:val="auto"/>
                <w:sz w:val="21"/>
                <w:szCs w:val="21"/>
                <w:highlight w:val="none"/>
                <w:lang w:val="en-US" w:eastAsia="zh-CN"/>
              </w:rPr>
              <w:t>5422</w:t>
            </w:r>
            <w:r>
              <w:rPr>
                <w:rFonts w:hint="eastAsia" w:ascii="Times New Roman"/>
                <w:color w:val="auto"/>
                <w:sz w:val="21"/>
                <w:szCs w:val="21"/>
                <w:highlight w:val="none"/>
                <w:lang w:val="en-US" w:eastAsia="zh-CN"/>
              </w:rPr>
              <w:t>m</w:t>
            </w:r>
            <w:r>
              <w:rPr>
                <w:rFonts w:hint="eastAsia" w:ascii="Times New Roman"/>
                <w:color w:val="auto"/>
                <w:sz w:val="21"/>
                <w:szCs w:val="21"/>
                <w:highlight w:val="none"/>
                <w:vertAlign w:val="superscript"/>
                <w:lang w:val="en-US" w:eastAsia="zh-CN"/>
              </w:rPr>
              <w:t>3</w:t>
            </w:r>
            <w:r>
              <w:rPr>
                <w:rFonts w:hint="eastAsia" w:ascii="Times New Roman"/>
                <w:color w:val="auto"/>
                <w:sz w:val="21"/>
                <w:szCs w:val="21"/>
                <w:highlight w:val="none"/>
                <w:lang w:val="en-US" w:eastAsia="zh-CN"/>
              </w:rPr>
              <w:t>。</w:t>
            </w:r>
          </w:p>
          <w:p w14:paraId="72718858">
            <w:pPr>
              <w:keepNext w:val="0"/>
              <w:keepLines w:val="0"/>
              <w:suppressLineNumbers w:val="0"/>
              <w:adjustRightInd w:val="0"/>
              <w:snapToGrid w:val="0"/>
              <w:spacing w:before="0" w:beforeAutospacing="0" w:after="0" w:afterAutospacing="0" w:line="240" w:lineRule="auto"/>
              <w:ind w:left="0" w:right="0"/>
              <w:rPr>
                <w:rFonts w:hint="eastAsia" w:ascii="Times New Roman" w:eastAsia="宋体"/>
                <w:color w:val="auto"/>
                <w:sz w:val="21"/>
                <w:szCs w:val="21"/>
                <w:highlight w:val="none"/>
                <w:lang w:eastAsia="zh-CN" w:bidi="ar"/>
              </w:rPr>
            </w:pPr>
            <w:r>
              <w:rPr>
                <w:rFonts w:hint="default" w:ascii="Times New Roman" w:hAnsi="Times New Roman" w:eastAsia="宋体"/>
                <w:color w:val="auto"/>
                <w:sz w:val="21"/>
                <w:szCs w:val="21"/>
                <w:highlight w:val="none"/>
                <w:lang w:val="en-US" w:eastAsia="zh-CN"/>
              </w:rPr>
              <w:t>覆土所需土壤来源于</w:t>
            </w:r>
            <w:r>
              <w:rPr>
                <w:rFonts w:hint="eastAsia" w:ascii="Times New Roman" w:hAnsi="Times New Roman" w:eastAsia="宋体" w:cs="Times New Roman"/>
                <w:color w:val="auto"/>
                <w:sz w:val="21"/>
                <w:szCs w:val="21"/>
                <w:highlight w:val="none"/>
                <w:lang w:val="en-US" w:eastAsia="zh-CN"/>
              </w:rPr>
              <w:t>当地高标准农田建设</w:t>
            </w:r>
            <w:r>
              <w:rPr>
                <w:rFonts w:ascii="Times New Roman" w:hAnsi="Times New Roman" w:eastAsia="宋体" w:cs="Times New Roman"/>
                <w:color w:val="auto"/>
                <w:sz w:val="21"/>
                <w:szCs w:val="21"/>
                <w:highlight w:val="none"/>
              </w:rPr>
              <w:t>剥离的</w:t>
            </w:r>
            <w:r>
              <w:rPr>
                <w:rFonts w:hint="eastAsia" w:ascii="Times New Roman" w:hAnsi="Times New Roman" w:eastAsia="宋体" w:cs="Times New Roman"/>
                <w:color w:val="auto"/>
                <w:sz w:val="21"/>
                <w:szCs w:val="21"/>
                <w:highlight w:val="none"/>
                <w:lang w:val="en-US" w:eastAsia="zh-CN"/>
              </w:rPr>
              <w:t>种植</w:t>
            </w:r>
            <w:r>
              <w:rPr>
                <w:rFonts w:ascii="Times New Roman" w:hAnsi="Times New Roman" w:eastAsia="宋体" w:cs="Times New Roman"/>
                <w:color w:val="auto"/>
                <w:sz w:val="21"/>
                <w:szCs w:val="21"/>
                <w:highlight w:val="none"/>
              </w:rPr>
              <w:t>表土</w:t>
            </w:r>
            <w:r>
              <w:rPr>
                <w:rFonts w:hint="eastAsia" w:ascii="Times New Roman" w:hAnsi="Times New Roman" w:eastAsia="宋体" w:cs="Times New Roman"/>
                <w:color w:val="auto"/>
                <w:sz w:val="21"/>
                <w:szCs w:val="21"/>
                <w:highlight w:val="none"/>
                <w:lang w:eastAsia="zh-CN"/>
              </w:rPr>
              <w:t>。</w:t>
            </w:r>
          </w:p>
        </w:tc>
        <w:tc>
          <w:tcPr>
            <w:tcW w:w="671" w:type="dxa"/>
            <w:tcBorders>
              <w:tl2br w:val="nil"/>
              <w:tr2bl w:val="nil"/>
            </w:tcBorders>
            <w:noWrap w:val="0"/>
            <w:vAlign w:val="center"/>
          </w:tcPr>
          <w:p w14:paraId="65262FA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新建</w:t>
            </w:r>
          </w:p>
        </w:tc>
      </w:tr>
      <w:tr w14:paraId="7186A4D9">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2A49A3E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1324F4AA">
            <w:pPr>
              <w:keepNext w:val="0"/>
              <w:keepLines w:val="0"/>
              <w:suppressLineNumbers w:val="0"/>
              <w:spacing w:before="0" w:beforeAutospacing="0" w:after="0" w:afterAutospacing="0" w:line="300" w:lineRule="exact"/>
              <w:ind w:left="0" w:right="0" w:firstLine="0" w:firstLineChars="0"/>
              <w:jc w:val="center"/>
              <w:rPr>
                <w:rFonts w:hint="default" w:ascii="Times New Roman" w:eastAsia="宋体"/>
                <w:color w:val="auto"/>
                <w:sz w:val="21"/>
                <w:szCs w:val="21"/>
                <w:highlight w:val="none"/>
                <w:lang w:val="en-US" w:eastAsia="zh-CN"/>
              </w:rPr>
            </w:pPr>
            <w:r>
              <w:rPr>
                <w:rFonts w:hint="default" w:ascii="Times New Roman" w:eastAsia="宋体"/>
                <w:color w:val="auto"/>
                <w:sz w:val="21"/>
                <w:szCs w:val="21"/>
                <w:highlight w:val="none"/>
                <w:lang w:val="en-US" w:eastAsia="zh-CN"/>
              </w:rPr>
              <w:t>植被工程</w:t>
            </w:r>
          </w:p>
        </w:tc>
        <w:tc>
          <w:tcPr>
            <w:tcW w:w="6426" w:type="dxa"/>
            <w:tcBorders>
              <w:tl2br w:val="nil"/>
              <w:tr2bl w:val="nil"/>
            </w:tcBorders>
            <w:noWrap w:val="0"/>
            <w:vAlign w:val="center"/>
          </w:tcPr>
          <w:p w14:paraId="2824EB4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Times New Roman" w:hAnsi="Times New Roman" w:eastAsia="宋体" w:cs="Times New Roman"/>
                <w:color w:val="auto"/>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bidi="ar-SA"/>
              </w:rPr>
              <w:t>林</w:t>
            </w:r>
            <w:r>
              <w:rPr>
                <w:rFonts w:hint="default" w:ascii="Times New Roman" w:hAnsi="Times New Roman" w:eastAsia="宋体" w:cs="Times New Roman"/>
                <w:color w:val="auto"/>
                <w:sz w:val="21"/>
                <w:szCs w:val="21"/>
                <w:highlight w:val="none"/>
                <w:lang w:val="en-US" w:eastAsia="zh-CN" w:bidi="ar-SA"/>
              </w:rPr>
              <w:t>地区：</w:t>
            </w:r>
            <w:r>
              <w:rPr>
                <w:rFonts w:hint="eastAsia" w:ascii="Times New Roman" w:hAnsi="Times New Roman" w:eastAsia="宋体" w:cs="Times New Roman"/>
                <w:color w:val="auto"/>
                <w:sz w:val="21"/>
                <w:szCs w:val="21"/>
                <w:highlight w:val="none"/>
                <w:lang w:val="en-US" w:eastAsia="zh-CN" w:bidi="ar-SA"/>
              </w:rPr>
              <w:t>采用树穴换土的方式栽植耐旱性较好的樟子松及针叶林</w:t>
            </w:r>
            <w:r>
              <w:rPr>
                <w:rFonts w:hint="eastAsia" w:ascii="Times New Roman" w:cs="Times New Roman"/>
                <w:color w:val="auto"/>
                <w:sz w:val="21"/>
                <w:szCs w:val="21"/>
                <w:highlight w:val="none"/>
                <w:lang w:val="en-US" w:eastAsia="zh-CN" w:bidi="ar-SA"/>
              </w:rPr>
              <w:t>，</w:t>
            </w:r>
            <w:r>
              <w:rPr>
                <w:rFonts w:hint="eastAsia" w:ascii="Times New Roman" w:hAnsi="Times New Roman" w:eastAsia="宋体" w:cs="Times New Roman"/>
                <w:color w:val="auto"/>
                <w:sz w:val="21"/>
                <w:szCs w:val="21"/>
                <w:highlight w:val="none"/>
                <w:lang w:val="en-US" w:eastAsia="zh-CN" w:bidi="ar-SA"/>
              </w:rPr>
              <w:t>恢复林地面积约</w:t>
            </w:r>
            <w:r>
              <w:rPr>
                <w:rFonts w:hint="eastAsia" w:ascii="Times New Roman" w:hAnsi="宋体" w:eastAsia="宋体" w:cs="Times New Roman"/>
                <w:color w:val="auto"/>
                <w:kern w:val="0"/>
                <w:sz w:val="21"/>
                <w:szCs w:val="21"/>
                <w:highlight w:val="none"/>
                <w:lang w:val="en-US" w:eastAsia="zh-CN"/>
              </w:rPr>
              <w:t>11296.10</w:t>
            </w:r>
            <w:r>
              <w:rPr>
                <w:rFonts w:hint="eastAsia" w:ascii="Times New Roman" w:hAnsi="Times New Roman" w:eastAsia="宋体" w:cs="Times New Roman"/>
                <w:color w:val="auto"/>
                <w:sz w:val="21"/>
                <w:szCs w:val="21"/>
                <w:highlight w:val="none"/>
                <w:lang w:val="en-US" w:eastAsia="zh-CN" w:bidi="ar-SA"/>
              </w:rPr>
              <w:t>m</w:t>
            </w:r>
            <w:r>
              <w:rPr>
                <w:rFonts w:hint="eastAsia" w:ascii="Times New Roman" w:hAnsi="Times New Roman" w:eastAsia="宋体" w:cs="Times New Roman"/>
                <w:color w:val="auto"/>
                <w:sz w:val="21"/>
                <w:szCs w:val="21"/>
                <w:highlight w:val="none"/>
                <w:vertAlign w:val="superscript"/>
                <w:lang w:val="en-US" w:eastAsia="zh-CN" w:bidi="ar-SA"/>
              </w:rPr>
              <w:t>2</w:t>
            </w:r>
            <w:r>
              <w:rPr>
                <w:rFonts w:hint="eastAsia" w:ascii="Times New Roman" w:hAnsi="Times New Roman" w:eastAsia="宋体" w:cs="Times New Roman"/>
                <w:color w:val="auto"/>
                <w:sz w:val="21"/>
                <w:szCs w:val="21"/>
                <w:highlight w:val="none"/>
                <w:lang w:val="en-US" w:eastAsia="zh-CN" w:bidi="ar-SA"/>
              </w:rPr>
              <w:t>。复绿后的生态修复区将与当地自然景观相协调，其植被覆盖率达到100%。</w:t>
            </w:r>
          </w:p>
          <w:p w14:paraId="04F927F9">
            <w:pPr>
              <w:pStyle w:val="146"/>
              <w:keepNext w:val="0"/>
              <w:keepLines w:val="0"/>
              <w:suppressLineNumbers w:val="0"/>
              <w:spacing w:before="0" w:beforeAutospacing="0" w:after="0" w:afterAutospacing="0"/>
              <w:ind w:left="0" w:right="0" w:firstLine="420" w:firstLineChars="200"/>
              <w:rPr>
                <w:rFonts w:hint="default" w:eastAsia="宋体"/>
                <w:color w:val="auto"/>
                <w:sz w:val="21"/>
                <w:szCs w:val="21"/>
                <w:highlight w:val="none"/>
                <w:lang w:val="en-US" w:eastAsia="zh-CN"/>
              </w:rPr>
            </w:pPr>
            <w:r>
              <w:rPr>
                <w:rFonts w:hint="eastAsia" w:ascii="Times New Roman" w:hAnsi="Times New Roman" w:eastAsia="宋体" w:cs="Times New Roman"/>
                <w:bCs/>
                <w:color w:val="auto"/>
                <w:sz w:val="21"/>
                <w:szCs w:val="21"/>
                <w:highlight w:val="none"/>
                <w:lang w:val="en-US" w:eastAsia="zh-CN"/>
              </w:rPr>
              <w:t>土地复垦实施过程应满足《土地复垦质量控制标准》（TD/T1036-2013）规定的相关土地复垦质量控制要求。土壤质量应满足《土壤环境质量 农用地土壤污染风险管控标准（试行）》（GB15618-2018）要求。</w:t>
            </w:r>
          </w:p>
        </w:tc>
        <w:tc>
          <w:tcPr>
            <w:tcW w:w="671" w:type="dxa"/>
            <w:tcBorders>
              <w:tl2br w:val="nil"/>
              <w:tr2bl w:val="nil"/>
            </w:tcBorders>
            <w:noWrap w:val="0"/>
            <w:vAlign w:val="center"/>
          </w:tcPr>
          <w:p w14:paraId="5BC7D324">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eastAsia="zh-CN" w:bidi="ar"/>
              </w:rPr>
            </w:pPr>
            <w:r>
              <w:rPr>
                <w:rFonts w:hint="eastAsia" w:ascii="Times New Roman"/>
                <w:color w:val="auto"/>
                <w:sz w:val="21"/>
                <w:szCs w:val="21"/>
                <w:highlight w:val="none"/>
                <w:lang w:val="en-US" w:eastAsia="zh-CN" w:bidi="ar"/>
              </w:rPr>
              <w:t>新建</w:t>
            </w:r>
          </w:p>
        </w:tc>
      </w:tr>
      <w:tr w14:paraId="06AD1A01">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restart"/>
            <w:tcBorders>
              <w:tl2br w:val="nil"/>
              <w:tr2bl w:val="nil"/>
            </w:tcBorders>
            <w:noWrap w:val="0"/>
            <w:vAlign w:val="center"/>
          </w:tcPr>
          <w:p w14:paraId="322F92F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val="en-US" w:eastAsia="zh-CN" w:bidi="ar"/>
              </w:rPr>
              <w:t>辅助</w:t>
            </w:r>
            <w:r>
              <w:rPr>
                <w:rFonts w:ascii="Times New Roman"/>
                <w:color w:val="auto"/>
                <w:sz w:val="21"/>
                <w:szCs w:val="21"/>
                <w:highlight w:val="none"/>
                <w:lang w:bidi="ar"/>
              </w:rPr>
              <w:t>工程</w:t>
            </w:r>
          </w:p>
        </w:tc>
        <w:tc>
          <w:tcPr>
            <w:tcW w:w="1488" w:type="dxa"/>
            <w:tcBorders>
              <w:tl2br w:val="nil"/>
              <w:tr2bl w:val="nil"/>
            </w:tcBorders>
            <w:noWrap w:val="0"/>
            <w:vAlign w:val="center"/>
          </w:tcPr>
          <w:p w14:paraId="587326CF">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sz w:val="21"/>
                <w:szCs w:val="21"/>
                <w:highlight w:val="none"/>
                <w:lang w:val="en-US" w:eastAsia="zh-CN" w:bidi="ar"/>
              </w:rPr>
            </w:pPr>
            <w:r>
              <w:rPr>
                <w:rFonts w:hint="eastAsia" w:ascii="Times New Roman"/>
                <w:color w:val="auto"/>
                <w:sz w:val="21"/>
                <w:szCs w:val="21"/>
                <w:highlight w:val="none"/>
                <w:lang w:val="en-US" w:eastAsia="zh-CN" w:bidi="ar"/>
              </w:rPr>
              <w:t>临时工程</w:t>
            </w:r>
          </w:p>
        </w:tc>
        <w:tc>
          <w:tcPr>
            <w:tcW w:w="6426" w:type="dxa"/>
            <w:tcBorders>
              <w:tl2br w:val="nil"/>
              <w:tr2bl w:val="nil"/>
            </w:tcBorders>
            <w:noWrap w:val="0"/>
            <w:vAlign w:val="center"/>
          </w:tcPr>
          <w:p w14:paraId="0B0DDB8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ascii="Times New Roman" w:hAnsi="Times New Roman" w:eastAsia="宋体" w:cs="Times New Roman"/>
                <w:color w:val="auto"/>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bidi="ar-SA"/>
              </w:rPr>
              <w:t>施工期在回填区占地范围内</w:t>
            </w:r>
            <w:r>
              <w:rPr>
                <w:rFonts w:hint="eastAsia" w:ascii="Times New Roman" w:cs="Times New Roman"/>
                <w:color w:val="auto"/>
                <w:sz w:val="21"/>
                <w:szCs w:val="21"/>
                <w:highlight w:val="none"/>
                <w:lang w:val="en-US" w:eastAsia="zh-CN" w:bidi="ar-SA"/>
              </w:rPr>
              <w:t>南</w:t>
            </w:r>
            <w:r>
              <w:rPr>
                <w:rFonts w:hint="eastAsia" w:ascii="Times New Roman" w:hAnsi="Times New Roman" w:eastAsia="宋体" w:cs="Times New Roman"/>
                <w:color w:val="auto"/>
                <w:sz w:val="21"/>
                <w:szCs w:val="21"/>
                <w:highlight w:val="none"/>
                <w:lang w:val="en-US" w:eastAsia="zh-CN" w:bidi="ar-SA"/>
              </w:rPr>
              <w:t>侧场地设临时</w:t>
            </w:r>
            <w:r>
              <w:rPr>
                <w:rFonts w:ascii="Times New Roman" w:hAnsi="Times New Roman" w:eastAsia="宋体" w:cs="Times New Roman"/>
                <w:color w:val="auto"/>
                <w:sz w:val="21"/>
                <w:szCs w:val="21"/>
                <w:highlight w:val="none"/>
                <w:lang w:val="en-US" w:eastAsia="zh-CN" w:bidi="ar-SA"/>
              </w:rPr>
              <w:t>料场</w:t>
            </w:r>
            <w:r>
              <w:rPr>
                <w:rFonts w:hint="eastAsia" w:ascii="Times New Roman" w:hAnsi="Times New Roman" w:eastAsia="宋体" w:cs="Times New Roman"/>
                <w:color w:val="auto"/>
                <w:sz w:val="21"/>
                <w:szCs w:val="21"/>
                <w:highlight w:val="none"/>
                <w:lang w:val="en-US" w:eastAsia="zh-CN" w:bidi="ar-SA"/>
              </w:rPr>
              <w:t>1处，用于</w:t>
            </w:r>
            <w:r>
              <w:rPr>
                <w:rFonts w:ascii="Times New Roman" w:hAnsi="Times New Roman" w:eastAsia="宋体" w:cs="Times New Roman"/>
                <w:color w:val="auto"/>
                <w:sz w:val="21"/>
                <w:szCs w:val="21"/>
                <w:highlight w:val="none"/>
                <w:lang w:val="en-US" w:eastAsia="zh-CN" w:bidi="ar-SA"/>
              </w:rPr>
              <w:t>临时堆放项目</w:t>
            </w:r>
            <w:r>
              <w:rPr>
                <w:rFonts w:hint="eastAsia" w:ascii="Times New Roman" w:hAnsi="Times New Roman" w:eastAsia="宋体" w:cs="Times New Roman"/>
                <w:color w:val="auto"/>
                <w:sz w:val="21"/>
                <w:szCs w:val="21"/>
                <w:highlight w:val="none"/>
                <w:lang w:val="en-US" w:eastAsia="zh-CN" w:bidi="ar-SA"/>
              </w:rPr>
              <w:t>建设所需的</w:t>
            </w:r>
            <w:r>
              <w:rPr>
                <w:rFonts w:ascii="Times New Roman" w:hAnsi="Times New Roman" w:eastAsia="宋体" w:cs="Times New Roman"/>
                <w:color w:val="auto"/>
                <w:sz w:val="21"/>
                <w:szCs w:val="21"/>
                <w:highlight w:val="none"/>
                <w:lang w:val="en-US" w:eastAsia="zh-CN" w:bidi="ar-SA"/>
              </w:rPr>
              <w:t>建筑材料，占地面积约1000m</w:t>
            </w:r>
            <w:r>
              <w:rPr>
                <w:rFonts w:ascii="Times New Roman" w:hAnsi="Times New Roman" w:eastAsia="宋体" w:cs="Times New Roman"/>
                <w:color w:val="auto"/>
                <w:sz w:val="21"/>
                <w:szCs w:val="21"/>
                <w:highlight w:val="none"/>
                <w:vertAlign w:val="superscript"/>
                <w:lang w:val="en-US" w:eastAsia="zh-CN" w:bidi="ar-SA"/>
              </w:rPr>
              <w:t>2</w:t>
            </w:r>
            <w:r>
              <w:rPr>
                <w:rFonts w:ascii="Times New Roman" w:hAnsi="Times New Roman" w:eastAsia="宋体" w:cs="Times New Roman"/>
                <w:color w:val="auto"/>
                <w:sz w:val="21"/>
                <w:szCs w:val="21"/>
                <w:highlight w:val="none"/>
                <w:lang w:val="en-US" w:eastAsia="zh-CN" w:bidi="ar-SA"/>
              </w:rPr>
              <w:t>。</w:t>
            </w:r>
          </w:p>
          <w:p w14:paraId="398EC26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Times New Roman"/>
                <w:color w:val="auto"/>
                <w:sz w:val="21"/>
                <w:szCs w:val="21"/>
                <w:highlight w:val="none"/>
              </w:rPr>
            </w:pPr>
            <w:r>
              <w:rPr>
                <w:rFonts w:ascii="Times New Roman"/>
                <w:color w:val="auto"/>
                <w:sz w:val="21"/>
                <w:szCs w:val="21"/>
                <w:highlight w:val="none"/>
              </w:rPr>
              <w:t>施工期</w:t>
            </w:r>
            <w:r>
              <w:rPr>
                <w:rFonts w:hint="eastAsia" w:ascii="Times New Roman"/>
                <w:color w:val="auto"/>
                <w:sz w:val="21"/>
                <w:szCs w:val="21"/>
                <w:highlight w:val="none"/>
                <w:lang w:val="en-US" w:eastAsia="zh-CN"/>
              </w:rPr>
              <w:t>和回填期，</w:t>
            </w:r>
            <w:r>
              <w:rPr>
                <w:rFonts w:ascii="Times New Roman"/>
                <w:color w:val="auto"/>
                <w:sz w:val="21"/>
                <w:szCs w:val="21"/>
                <w:highlight w:val="none"/>
              </w:rPr>
              <w:t>施工设备均布置在场地内</w:t>
            </w:r>
            <w:r>
              <w:rPr>
                <w:rFonts w:hint="eastAsia" w:ascii="Times New Roman"/>
                <w:color w:val="auto"/>
                <w:sz w:val="21"/>
                <w:szCs w:val="21"/>
                <w:highlight w:val="none"/>
              </w:rPr>
              <w:t>。</w:t>
            </w:r>
          </w:p>
          <w:p w14:paraId="563BA556">
            <w:pPr>
              <w:pStyle w:val="1059"/>
              <w:keepNext w:val="0"/>
              <w:keepLines w:val="0"/>
              <w:pageBreakBefore w:val="0"/>
              <w:suppressLineNumbers w:val="0"/>
              <w:kinsoku/>
              <w:wordWrap/>
              <w:overflowPunct/>
              <w:topLinePunct w:val="0"/>
              <w:autoSpaceDE/>
              <w:autoSpaceDN/>
              <w:bidi w:val="0"/>
              <w:adjustRightInd/>
              <w:spacing w:before="0" w:beforeAutospacing="0" w:after="0" w:afterAutospacing="0" w:line="240" w:lineRule="auto"/>
              <w:ind w:left="0" w:leftChars="0" w:right="0" w:firstLine="0" w:firstLineChars="0"/>
              <w:textAlignment w:val="auto"/>
              <w:rPr>
                <w:rFonts w:hint="eastAsia" w:ascii="Times New Roman" w:hAnsi="Times New Roman" w:eastAsia="宋体" w:cs="Times New Roman"/>
                <w:color w:val="auto"/>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bidi="ar-SA"/>
              </w:rPr>
              <w:t>本项目不设置施工营地，员工生活区租赁</w:t>
            </w:r>
            <w:r>
              <w:rPr>
                <w:rFonts w:hint="eastAsia" w:ascii="Times New Roman" w:hAnsi="Times New Roman" w:cs="Times New Roman"/>
                <w:color w:val="auto"/>
                <w:sz w:val="21"/>
                <w:szCs w:val="21"/>
                <w:highlight w:val="none"/>
                <w:lang w:val="en-US" w:eastAsia="zh-CN" w:bidi="ar-SA"/>
              </w:rPr>
              <w:t>南</w:t>
            </w:r>
            <w:r>
              <w:rPr>
                <w:rFonts w:hint="eastAsia" w:ascii="Times New Roman" w:hAnsi="Times New Roman" w:eastAsia="宋体" w:cs="Times New Roman"/>
                <w:color w:val="auto"/>
                <w:sz w:val="21"/>
                <w:szCs w:val="21"/>
                <w:highlight w:val="none"/>
                <w:lang w:val="en-US" w:eastAsia="zh-CN" w:bidi="ar-SA"/>
              </w:rPr>
              <w:t>侧</w:t>
            </w:r>
            <w:r>
              <w:rPr>
                <w:rFonts w:hint="eastAsia" w:ascii="Times New Roman" w:hAnsi="Times New Roman" w:cs="Times New Roman"/>
                <w:color w:val="auto"/>
                <w:sz w:val="21"/>
                <w:szCs w:val="21"/>
                <w:highlight w:val="none"/>
                <w:lang w:val="en-US" w:eastAsia="zh-CN" w:bidi="ar-SA"/>
              </w:rPr>
              <w:t>350</w:t>
            </w:r>
            <w:r>
              <w:rPr>
                <w:rFonts w:hint="eastAsia" w:ascii="Times New Roman" w:hAnsi="Times New Roman" w:eastAsia="宋体" w:cs="Times New Roman"/>
                <w:color w:val="auto"/>
                <w:sz w:val="21"/>
                <w:szCs w:val="21"/>
                <w:highlight w:val="none"/>
                <w:lang w:val="en-US" w:eastAsia="zh-CN" w:bidi="ar-SA"/>
              </w:rPr>
              <w:t>m处</w:t>
            </w:r>
            <w:r>
              <w:rPr>
                <w:rFonts w:hint="eastAsia" w:ascii="Times New Roman" w:hAnsi="Times New Roman" w:cs="Times New Roman"/>
                <w:color w:val="auto"/>
                <w:sz w:val="21"/>
                <w:szCs w:val="21"/>
                <w:highlight w:val="none"/>
                <w:lang w:val="en-US" w:eastAsia="zh-CN" w:bidi="ar-SA"/>
              </w:rPr>
              <w:t>元宝村</w:t>
            </w:r>
            <w:r>
              <w:rPr>
                <w:rFonts w:hint="eastAsia" w:ascii="Times New Roman" w:hAnsi="Times New Roman" w:eastAsia="宋体" w:cs="Times New Roman"/>
                <w:color w:val="auto"/>
                <w:sz w:val="21"/>
                <w:szCs w:val="21"/>
                <w:highlight w:val="none"/>
                <w:lang w:val="en-US" w:eastAsia="zh-CN" w:bidi="ar-SA"/>
              </w:rPr>
              <w:t>的民房作为生活区。</w:t>
            </w:r>
          </w:p>
          <w:p w14:paraId="5F242142">
            <w:pPr>
              <w:pStyle w:val="1059"/>
              <w:keepNext w:val="0"/>
              <w:keepLines w:val="0"/>
              <w:pageBreakBefore w:val="0"/>
              <w:suppressLineNumbers w:val="0"/>
              <w:kinsoku/>
              <w:wordWrap/>
              <w:overflowPunct/>
              <w:topLinePunct w:val="0"/>
              <w:autoSpaceDE/>
              <w:autoSpaceDN/>
              <w:bidi w:val="0"/>
              <w:adjustRightInd/>
              <w:spacing w:before="0" w:beforeAutospacing="0" w:after="0" w:afterAutospacing="0" w:line="240" w:lineRule="auto"/>
              <w:ind w:left="0" w:leftChars="0" w:right="0" w:firstLine="0" w:firstLineChars="0"/>
              <w:textAlignment w:val="auto"/>
              <w:rPr>
                <w:rFonts w:hint="eastAsia" w:ascii="Times New Roman" w:hAnsi="Times New Roman" w:eastAsia="宋体" w:cs="Times New Roman"/>
                <w:color w:val="auto"/>
                <w:sz w:val="21"/>
                <w:szCs w:val="21"/>
                <w:highlight w:val="none"/>
                <w:lang w:val="en-US" w:eastAsia="zh-CN" w:bidi="ar-SA"/>
              </w:rPr>
            </w:pPr>
            <w:r>
              <w:rPr>
                <w:rFonts w:hint="eastAsia" w:ascii="Times New Roman"/>
                <w:color w:val="auto"/>
                <w:sz w:val="21"/>
                <w:szCs w:val="21"/>
                <w:highlight w:val="none"/>
                <w:lang w:val="en-US" w:eastAsia="zh-CN"/>
              </w:rPr>
              <w:t>本项目机械设备维护外委有资质能力的公司，不在施工场地内进行。</w:t>
            </w:r>
          </w:p>
        </w:tc>
        <w:tc>
          <w:tcPr>
            <w:tcW w:w="671" w:type="dxa"/>
            <w:tcBorders>
              <w:tl2br w:val="nil"/>
              <w:tr2bl w:val="nil"/>
            </w:tcBorders>
            <w:noWrap w:val="0"/>
            <w:vAlign w:val="center"/>
          </w:tcPr>
          <w:p w14:paraId="3F52791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val="en-US" w:eastAsia="zh-CN" w:bidi="ar"/>
              </w:rPr>
              <w:t>新建</w:t>
            </w:r>
          </w:p>
        </w:tc>
      </w:tr>
      <w:tr w14:paraId="64054FD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79D0821A">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color w:val="auto"/>
                <w:sz w:val="21"/>
                <w:szCs w:val="21"/>
                <w:highlight w:val="none"/>
                <w:lang w:bidi="ar"/>
              </w:rPr>
            </w:pPr>
          </w:p>
        </w:tc>
        <w:tc>
          <w:tcPr>
            <w:tcW w:w="1488" w:type="dxa"/>
            <w:tcBorders>
              <w:tl2br w:val="nil"/>
              <w:tr2bl w:val="nil"/>
            </w:tcBorders>
            <w:noWrap w:val="0"/>
            <w:vAlign w:val="center"/>
          </w:tcPr>
          <w:p w14:paraId="38F25501">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eastAsia="zh-CN"/>
              </w:rPr>
              <w:t>隔声隔尘挡板</w:t>
            </w:r>
            <w:r>
              <w:rPr>
                <w:rFonts w:hint="eastAsia" w:ascii="Times New Roman"/>
                <w:color w:val="auto"/>
                <w:sz w:val="21"/>
                <w:szCs w:val="21"/>
                <w:highlight w:val="none"/>
              </w:rPr>
              <w:t>工程</w:t>
            </w:r>
          </w:p>
        </w:tc>
        <w:tc>
          <w:tcPr>
            <w:tcW w:w="6426" w:type="dxa"/>
            <w:tcBorders>
              <w:tl2br w:val="nil"/>
              <w:tr2bl w:val="nil"/>
            </w:tcBorders>
            <w:noWrap w:val="0"/>
            <w:vAlign w:val="center"/>
          </w:tcPr>
          <w:p w14:paraId="1903FB49">
            <w:pPr>
              <w:keepNext w:val="0"/>
              <w:keepLines w:val="0"/>
              <w:suppressLineNumbers w:val="0"/>
              <w:snapToGrid w:val="0"/>
              <w:spacing w:before="0" w:beforeAutospacing="0" w:after="0" w:afterAutospacing="0" w:line="240" w:lineRule="auto"/>
              <w:ind w:left="0" w:right="0"/>
              <w:rPr>
                <w:rFonts w:hint="eastAsia" w:ascii="Times New Roman" w:eastAsia="宋体"/>
                <w:color w:val="auto"/>
                <w:sz w:val="21"/>
                <w:szCs w:val="21"/>
                <w:highlight w:val="none"/>
                <w:lang w:eastAsia="zh-CN"/>
              </w:rPr>
            </w:pPr>
            <w:r>
              <w:rPr>
                <w:rFonts w:hint="eastAsia" w:ascii="Times New Roman"/>
                <w:color w:val="auto"/>
                <w:sz w:val="21"/>
                <w:szCs w:val="21"/>
                <w:highlight w:val="none"/>
              </w:rPr>
              <w:t>在项目</w:t>
            </w:r>
            <w:r>
              <w:rPr>
                <w:rFonts w:hint="eastAsia" w:ascii="Times New Roman"/>
                <w:color w:val="auto"/>
                <w:sz w:val="21"/>
                <w:szCs w:val="21"/>
                <w:highlight w:val="none"/>
                <w:lang w:val="en-US" w:eastAsia="zh-CN"/>
              </w:rPr>
              <w:t>回填</w:t>
            </w:r>
            <w:r>
              <w:rPr>
                <w:rFonts w:hint="eastAsia" w:ascii="Times New Roman"/>
                <w:color w:val="auto"/>
                <w:sz w:val="21"/>
                <w:szCs w:val="21"/>
                <w:highlight w:val="none"/>
              </w:rPr>
              <w:t>区</w:t>
            </w:r>
            <w:r>
              <w:rPr>
                <w:rFonts w:hint="eastAsia" w:ascii="Times New Roman"/>
                <w:color w:val="auto"/>
                <w:sz w:val="21"/>
                <w:szCs w:val="21"/>
                <w:highlight w:val="none"/>
                <w:lang w:val="en-US" w:eastAsia="zh-CN"/>
              </w:rPr>
              <w:t>边界</w:t>
            </w:r>
            <w:r>
              <w:rPr>
                <w:rFonts w:hint="eastAsia" w:ascii="Times New Roman"/>
                <w:color w:val="auto"/>
                <w:sz w:val="21"/>
                <w:szCs w:val="21"/>
                <w:highlight w:val="none"/>
              </w:rPr>
              <w:t>外围</w:t>
            </w:r>
            <w:r>
              <w:rPr>
                <w:rFonts w:hint="eastAsia" w:ascii="Times New Roman"/>
                <w:color w:val="auto"/>
                <w:sz w:val="21"/>
                <w:szCs w:val="21"/>
                <w:highlight w:val="none"/>
                <w:lang w:eastAsia="zh-CN"/>
              </w:rPr>
              <w:t>设置</w:t>
            </w:r>
            <w:r>
              <w:rPr>
                <w:rFonts w:hint="eastAsia" w:ascii="Times New Roman"/>
                <w:color w:val="auto"/>
                <w:sz w:val="21"/>
                <w:szCs w:val="21"/>
                <w:highlight w:val="none"/>
                <w:lang w:val="en-US" w:eastAsia="zh-CN"/>
              </w:rPr>
              <w:t>隔声隔尘挡板</w:t>
            </w:r>
            <w:r>
              <w:rPr>
                <w:rFonts w:hint="eastAsia" w:ascii="Times New Roman"/>
                <w:color w:val="auto"/>
                <w:sz w:val="21"/>
                <w:szCs w:val="21"/>
                <w:highlight w:val="none"/>
              </w:rPr>
              <w:t>，防治</w:t>
            </w:r>
            <w:r>
              <w:rPr>
                <w:rFonts w:hint="eastAsia" w:ascii="Times New Roman"/>
                <w:color w:val="auto"/>
                <w:sz w:val="21"/>
                <w:szCs w:val="21"/>
                <w:highlight w:val="none"/>
                <w:lang w:val="en-US" w:eastAsia="zh-CN"/>
              </w:rPr>
              <w:t>扬尘</w:t>
            </w:r>
            <w:r>
              <w:rPr>
                <w:rFonts w:hint="eastAsia" w:ascii="Times New Roman"/>
                <w:color w:val="auto"/>
                <w:sz w:val="21"/>
                <w:szCs w:val="21"/>
                <w:highlight w:val="none"/>
              </w:rPr>
              <w:t>对周围环境污染。</w:t>
            </w:r>
            <w:r>
              <w:rPr>
                <w:rFonts w:hint="eastAsia" w:ascii="Times New Roman"/>
                <w:color w:val="auto"/>
                <w:sz w:val="21"/>
                <w:szCs w:val="21"/>
                <w:highlight w:val="none"/>
                <w:lang w:eastAsia="zh-CN"/>
              </w:rPr>
              <w:t>隔声隔尘挡板</w:t>
            </w:r>
            <w:r>
              <w:rPr>
                <w:rFonts w:hint="eastAsia" w:ascii="Times New Roman"/>
                <w:color w:val="auto"/>
                <w:sz w:val="21"/>
                <w:szCs w:val="21"/>
                <w:highlight w:val="none"/>
              </w:rPr>
              <w:t>高度</w:t>
            </w:r>
            <w:r>
              <w:rPr>
                <w:rFonts w:hint="eastAsia" w:ascii="Times New Roman"/>
                <w:color w:val="auto"/>
                <w:sz w:val="21"/>
                <w:szCs w:val="21"/>
                <w:highlight w:val="none"/>
                <w:lang w:val="en-US" w:eastAsia="zh-CN"/>
              </w:rPr>
              <w:t>不低于3</w:t>
            </w:r>
            <w:r>
              <w:rPr>
                <w:rFonts w:hint="eastAsia" w:ascii="Times New Roman"/>
                <w:color w:val="auto"/>
                <w:sz w:val="21"/>
                <w:szCs w:val="21"/>
                <w:highlight w:val="none"/>
              </w:rPr>
              <w:t>m</w:t>
            </w:r>
            <w:r>
              <w:rPr>
                <w:rFonts w:hint="eastAsia" w:ascii="Times New Roman"/>
                <w:color w:val="auto"/>
                <w:sz w:val="21"/>
                <w:szCs w:val="21"/>
                <w:highlight w:val="none"/>
                <w:lang w:val="en-US" w:eastAsia="zh-CN"/>
              </w:rPr>
              <w:t>，总</w:t>
            </w:r>
            <w:r>
              <w:rPr>
                <w:rFonts w:hint="eastAsia" w:ascii="Times New Roman"/>
                <w:color w:val="auto"/>
                <w:sz w:val="21"/>
                <w:szCs w:val="21"/>
                <w:highlight w:val="none"/>
                <w:lang w:eastAsia="zh-CN"/>
              </w:rPr>
              <w:t>长度</w:t>
            </w:r>
            <w:r>
              <w:rPr>
                <w:rFonts w:hint="eastAsia" w:ascii="Times New Roman"/>
                <w:color w:val="auto"/>
                <w:sz w:val="21"/>
                <w:szCs w:val="21"/>
                <w:highlight w:val="none"/>
                <w:lang w:val="en-US" w:eastAsia="zh-CN"/>
              </w:rPr>
              <w:t>约为500</w:t>
            </w:r>
            <w:r>
              <w:rPr>
                <w:rFonts w:hint="eastAsia" w:ascii="Times New Roman"/>
                <w:color w:val="auto"/>
                <w:sz w:val="21"/>
                <w:szCs w:val="21"/>
                <w:highlight w:val="none"/>
                <w:lang w:eastAsia="zh-CN"/>
              </w:rPr>
              <w:t>m。</w:t>
            </w:r>
          </w:p>
        </w:tc>
        <w:tc>
          <w:tcPr>
            <w:tcW w:w="671" w:type="dxa"/>
            <w:tcBorders>
              <w:tl2br w:val="nil"/>
              <w:tr2bl w:val="nil"/>
            </w:tcBorders>
            <w:noWrap w:val="0"/>
            <w:vAlign w:val="center"/>
          </w:tcPr>
          <w:p w14:paraId="56B2B2A9">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val="en-US" w:eastAsia="zh-CN" w:bidi="ar"/>
              </w:rPr>
              <w:t>新建</w:t>
            </w:r>
          </w:p>
        </w:tc>
      </w:tr>
      <w:tr w14:paraId="32596BD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restart"/>
            <w:tcBorders>
              <w:tl2br w:val="nil"/>
              <w:tr2bl w:val="nil"/>
            </w:tcBorders>
            <w:noWrap w:val="0"/>
            <w:vAlign w:val="center"/>
          </w:tcPr>
          <w:p w14:paraId="63D87F65">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储运工程</w:t>
            </w:r>
          </w:p>
        </w:tc>
        <w:tc>
          <w:tcPr>
            <w:tcW w:w="1488" w:type="dxa"/>
            <w:tcBorders>
              <w:tl2br w:val="nil"/>
              <w:tr2bl w:val="nil"/>
            </w:tcBorders>
            <w:noWrap w:val="0"/>
            <w:vAlign w:val="center"/>
          </w:tcPr>
          <w:p w14:paraId="1945378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hAnsi="Arial"/>
                <w:color w:val="auto"/>
                <w:sz w:val="21"/>
                <w:szCs w:val="21"/>
                <w:highlight w:val="none"/>
              </w:rPr>
              <w:t>运输道路</w:t>
            </w:r>
          </w:p>
        </w:tc>
        <w:tc>
          <w:tcPr>
            <w:tcW w:w="6426" w:type="dxa"/>
            <w:tcBorders>
              <w:tl2br w:val="nil"/>
              <w:tr2bl w:val="nil"/>
            </w:tcBorders>
            <w:noWrap w:val="0"/>
            <w:vAlign w:val="center"/>
          </w:tcPr>
          <w:p w14:paraId="270C6CCB">
            <w:pPr>
              <w:keepNext w:val="0"/>
              <w:keepLines w:val="0"/>
              <w:suppressLineNumbers w:val="0"/>
              <w:spacing w:before="0" w:beforeAutospacing="0" w:after="0" w:afterAutospacing="0" w:line="240" w:lineRule="auto"/>
              <w:ind w:left="0" w:right="0"/>
              <w:rPr>
                <w:rFonts w:hint="default" w:ascii="Times New Roman" w:eastAsia="宋体"/>
                <w:color w:val="auto"/>
                <w:sz w:val="21"/>
                <w:szCs w:val="21"/>
                <w:highlight w:val="none"/>
                <w:lang w:val="en-US" w:eastAsia="zh-CN"/>
              </w:rPr>
            </w:pPr>
            <w:r>
              <w:rPr>
                <w:rFonts w:hint="eastAsia" w:ascii="Times New Roman"/>
                <w:color w:val="auto"/>
                <w:sz w:val="21"/>
                <w:szCs w:val="21"/>
                <w:highlight w:val="none"/>
                <w:lang w:val="en-US" w:eastAsia="zh-CN"/>
              </w:rPr>
              <w:t>本项目涉及3条运输路线：一条道路为从黑龙江瑞和热电有限公司到项目回填区，道路总长度约为22.94</w:t>
            </w:r>
            <w:r>
              <w:rPr>
                <w:rFonts w:ascii="Times New Roman"/>
                <w:color w:val="auto"/>
                <w:sz w:val="21"/>
                <w:szCs w:val="21"/>
                <w:highlight w:val="none"/>
              </w:rPr>
              <w:t>km</w:t>
            </w:r>
            <w:r>
              <w:rPr>
                <w:rFonts w:hint="eastAsia" w:ascii="Times New Roman"/>
                <w:color w:val="auto"/>
                <w:sz w:val="21"/>
                <w:szCs w:val="21"/>
                <w:highlight w:val="none"/>
                <w:lang w:val="en-US" w:eastAsia="zh-CN"/>
              </w:rPr>
              <w:t>。一条道路为从尚志市正德金环境科技有限公司</w:t>
            </w:r>
            <w:r>
              <w:rPr>
                <w:rFonts w:hint="eastAsia" w:ascii="Times New Roman" w:hAnsi="Times New Roman" w:eastAsia="宋体"/>
                <w:color w:val="auto"/>
                <w:sz w:val="21"/>
                <w:szCs w:val="21"/>
                <w:highlight w:val="none"/>
                <w:lang w:val="en-US" w:eastAsia="zh-CN"/>
              </w:rPr>
              <w:t>到项目回填区，</w:t>
            </w:r>
            <w:r>
              <w:rPr>
                <w:rFonts w:hint="eastAsia" w:ascii="Times New Roman"/>
                <w:color w:val="auto"/>
                <w:sz w:val="21"/>
                <w:szCs w:val="21"/>
                <w:highlight w:val="none"/>
                <w:lang w:val="en-US" w:eastAsia="zh-CN"/>
              </w:rPr>
              <w:t>道路总长度约为31.377</w:t>
            </w:r>
            <w:r>
              <w:rPr>
                <w:rFonts w:ascii="Times New Roman"/>
                <w:color w:val="auto"/>
                <w:sz w:val="21"/>
                <w:szCs w:val="21"/>
                <w:highlight w:val="none"/>
              </w:rPr>
              <w:t>km</w:t>
            </w:r>
            <w:r>
              <w:rPr>
                <w:rFonts w:hint="eastAsia" w:ascii="Times New Roman"/>
                <w:color w:val="auto"/>
                <w:sz w:val="21"/>
                <w:szCs w:val="21"/>
                <w:highlight w:val="none"/>
                <w:lang w:val="en-US" w:eastAsia="zh-CN"/>
              </w:rPr>
              <w:t>。一条道路为从苇河林业局供热站</w:t>
            </w:r>
            <w:r>
              <w:rPr>
                <w:rFonts w:hint="eastAsia" w:ascii="Times New Roman" w:hAnsi="Times New Roman" w:eastAsia="宋体"/>
                <w:color w:val="auto"/>
                <w:sz w:val="21"/>
                <w:szCs w:val="21"/>
                <w:highlight w:val="none"/>
                <w:lang w:val="en-US" w:eastAsia="zh-CN"/>
              </w:rPr>
              <w:t>到项目回填区，</w:t>
            </w:r>
            <w:r>
              <w:rPr>
                <w:rFonts w:hint="eastAsia" w:ascii="Times New Roman"/>
                <w:color w:val="auto"/>
                <w:sz w:val="21"/>
                <w:szCs w:val="21"/>
                <w:highlight w:val="none"/>
                <w:lang w:val="en-US" w:eastAsia="zh-CN"/>
              </w:rPr>
              <w:t>道路总长度约为55.09</w:t>
            </w:r>
            <w:r>
              <w:rPr>
                <w:rFonts w:ascii="Times New Roman"/>
                <w:color w:val="auto"/>
                <w:sz w:val="21"/>
                <w:szCs w:val="21"/>
                <w:highlight w:val="none"/>
              </w:rPr>
              <w:t>km</w:t>
            </w:r>
            <w:r>
              <w:rPr>
                <w:rFonts w:hint="eastAsia" w:ascii="Times New Roman"/>
                <w:color w:val="auto"/>
                <w:sz w:val="21"/>
                <w:szCs w:val="21"/>
                <w:highlight w:val="none"/>
                <w:lang w:val="en-US" w:eastAsia="zh-CN"/>
              </w:rPr>
              <w:t>。</w:t>
            </w:r>
          </w:p>
          <w:p w14:paraId="02B062C1">
            <w:pPr>
              <w:keepNext w:val="0"/>
              <w:keepLines w:val="0"/>
              <w:suppressLineNumbers w:val="0"/>
              <w:spacing w:before="0" w:beforeAutospacing="0" w:after="0" w:afterAutospacing="0" w:line="240" w:lineRule="auto"/>
              <w:ind w:left="0" w:right="0"/>
              <w:rPr>
                <w:rFonts w:hint="default"/>
                <w:color w:val="auto"/>
                <w:sz w:val="21"/>
                <w:szCs w:val="21"/>
                <w:highlight w:val="none"/>
                <w:lang w:val="en-US" w:eastAsia="zh-CN"/>
              </w:rPr>
            </w:pPr>
            <w:r>
              <w:rPr>
                <w:rFonts w:hint="eastAsia" w:ascii="Times New Roman"/>
                <w:color w:val="auto"/>
                <w:sz w:val="21"/>
                <w:szCs w:val="21"/>
                <w:highlight w:val="none"/>
              </w:rPr>
              <w:t>运输路线主要</w:t>
            </w:r>
            <w:r>
              <w:rPr>
                <w:rFonts w:hint="eastAsia" w:ascii="Times New Roman"/>
                <w:color w:val="auto"/>
                <w:sz w:val="21"/>
                <w:szCs w:val="21"/>
                <w:highlight w:val="none"/>
                <w:lang w:val="en-US" w:eastAsia="zh-CN"/>
              </w:rPr>
              <w:t>依托尚延</w:t>
            </w:r>
            <w:r>
              <w:rPr>
                <w:rFonts w:hint="eastAsia" w:ascii="Times New Roman"/>
                <w:color w:val="auto"/>
                <w:sz w:val="21"/>
                <w:szCs w:val="21"/>
                <w:highlight w:val="none"/>
              </w:rPr>
              <w:t>公路、</w:t>
            </w:r>
            <w:r>
              <w:rPr>
                <w:rFonts w:hint="eastAsia" w:ascii="Times New Roman"/>
                <w:color w:val="auto"/>
                <w:sz w:val="21"/>
                <w:szCs w:val="21"/>
                <w:highlight w:val="none"/>
                <w:lang w:val="en-US" w:eastAsia="zh-CN"/>
              </w:rPr>
              <w:t>尚开公路、G301国道、</w:t>
            </w:r>
            <w:r>
              <w:rPr>
                <w:rFonts w:hint="eastAsia" w:ascii="Times New Roman"/>
                <w:color w:val="auto"/>
                <w:sz w:val="21"/>
                <w:szCs w:val="21"/>
                <w:highlight w:val="none"/>
              </w:rPr>
              <w:t>乡道</w:t>
            </w:r>
            <w:r>
              <w:rPr>
                <w:rFonts w:hint="eastAsia" w:ascii="Times New Roman"/>
                <w:color w:val="auto"/>
                <w:sz w:val="21"/>
                <w:szCs w:val="21"/>
                <w:highlight w:val="none"/>
                <w:lang w:val="en-US" w:eastAsia="zh-CN"/>
              </w:rPr>
              <w:t>和原有厂区运输道路</w:t>
            </w:r>
            <w:r>
              <w:rPr>
                <w:rFonts w:hint="eastAsia" w:ascii="Times New Roman"/>
                <w:color w:val="auto"/>
                <w:sz w:val="21"/>
                <w:szCs w:val="21"/>
                <w:highlight w:val="none"/>
              </w:rPr>
              <w:t>。</w:t>
            </w:r>
            <w:r>
              <w:rPr>
                <w:rFonts w:hint="eastAsia"/>
                <w:color w:val="auto"/>
                <w:sz w:val="21"/>
                <w:szCs w:val="21"/>
                <w:highlight w:val="none"/>
                <w:lang w:val="en-US" w:eastAsia="zh-CN"/>
              </w:rPr>
              <w:t>已建成进场道路，满足运输要求。</w:t>
            </w:r>
            <w:r>
              <w:rPr>
                <w:rFonts w:hint="eastAsia" w:ascii="Times New Roman"/>
                <w:color w:val="auto"/>
                <w:sz w:val="21"/>
                <w:szCs w:val="21"/>
                <w:highlight w:val="none"/>
                <w:lang w:val="en-US" w:eastAsia="zh-CN"/>
              </w:rPr>
              <w:t>本项目不新建道路。</w:t>
            </w:r>
          </w:p>
        </w:tc>
        <w:tc>
          <w:tcPr>
            <w:tcW w:w="671" w:type="dxa"/>
            <w:tcBorders>
              <w:tl2br w:val="nil"/>
              <w:tr2bl w:val="nil"/>
            </w:tcBorders>
            <w:noWrap w:val="0"/>
            <w:vAlign w:val="center"/>
          </w:tcPr>
          <w:p w14:paraId="7C05321A">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eastAsia="zh-CN" w:bidi="ar"/>
              </w:rPr>
            </w:pPr>
            <w:r>
              <w:rPr>
                <w:rFonts w:hint="eastAsia" w:ascii="Times New Roman"/>
                <w:color w:val="auto"/>
                <w:sz w:val="21"/>
                <w:szCs w:val="21"/>
                <w:highlight w:val="none"/>
                <w:lang w:val="en-US" w:eastAsia="zh-CN" w:bidi="ar"/>
              </w:rPr>
              <w:t>依托</w:t>
            </w:r>
          </w:p>
        </w:tc>
      </w:tr>
      <w:tr w14:paraId="6770B8E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3E45A17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38569F79">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highlight w:val="none"/>
                <w:lang w:val="en-US" w:eastAsia="zh-CN" w:bidi="ar"/>
              </w:rPr>
            </w:pPr>
            <w:r>
              <w:rPr>
                <w:rFonts w:hint="eastAsia" w:ascii="宋体" w:hAnsi="宋体" w:cs="宋体"/>
                <w:color w:val="auto"/>
                <w:kern w:val="0"/>
                <w:sz w:val="21"/>
                <w:szCs w:val="21"/>
                <w:highlight w:val="none"/>
                <w:lang w:bidi="ar"/>
              </w:rPr>
              <w:t>运输车辆</w:t>
            </w:r>
          </w:p>
        </w:tc>
        <w:tc>
          <w:tcPr>
            <w:tcW w:w="6426" w:type="dxa"/>
            <w:tcBorders>
              <w:tl2br w:val="nil"/>
              <w:tr2bl w:val="nil"/>
            </w:tcBorders>
            <w:noWrap w:val="0"/>
            <w:vAlign w:val="center"/>
          </w:tcPr>
          <w:p w14:paraId="6335E86A">
            <w:pPr>
              <w:keepNext w:val="0"/>
              <w:keepLines w:val="0"/>
              <w:suppressLineNumbers w:val="0"/>
              <w:spacing w:before="0" w:beforeAutospacing="0" w:after="0" w:afterAutospacing="0" w:line="240" w:lineRule="auto"/>
              <w:ind w:left="0" w:right="0"/>
              <w:rPr>
                <w:rFonts w:hint="eastAsia"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lang w:val="en-US" w:eastAsia="zh-CN"/>
              </w:rPr>
              <w:t>本项目</w:t>
            </w:r>
            <w:r>
              <w:rPr>
                <w:rFonts w:hint="eastAsia" w:ascii="Times New Roman" w:hAnsi="Times New Roman" w:eastAsia="宋体"/>
                <w:color w:val="auto"/>
                <w:sz w:val="21"/>
                <w:szCs w:val="21"/>
                <w:highlight w:val="none"/>
                <w:lang w:val="en-US" w:eastAsia="zh-CN"/>
              </w:rPr>
              <w:t>自备运输车辆（车载重体积32m</w:t>
            </w:r>
            <w:r>
              <w:rPr>
                <w:rFonts w:hint="eastAsia" w:ascii="Times New Roman" w:hAnsi="Times New Roman" w:eastAsia="宋体"/>
                <w:color w:val="auto"/>
                <w:sz w:val="21"/>
                <w:szCs w:val="21"/>
                <w:highlight w:val="none"/>
                <w:vertAlign w:val="superscript"/>
                <w:lang w:val="en-US" w:eastAsia="zh-CN"/>
              </w:rPr>
              <w:t>3</w:t>
            </w:r>
            <w:r>
              <w:rPr>
                <w:rFonts w:hint="eastAsia" w:ascii="Times New Roman" w:hAnsi="Times New Roman" w:eastAsia="宋体"/>
                <w:color w:val="auto"/>
                <w:sz w:val="21"/>
                <w:szCs w:val="21"/>
                <w:highlight w:val="none"/>
                <w:lang w:val="en-US" w:eastAsia="zh-CN"/>
              </w:rPr>
              <w:t>）</w:t>
            </w:r>
            <w:r>
              <w:rPr>
                <w:rFonts w:hint="eastAsia" w:ascii="Times New Roman"/>
                <w:color w:val="auto"/>
                <w:sz w:val="21"/>
                <w:szCs w:val="21"/>
                <w:highlight w:val="none"/>
                <w:lang w:val="en-US" w:eastAsia="zh-CN"/>
              </w:rPr>
              <w:t>，共计6辆汽车</w:t>
            </w:r>
            <w:r>
              <w:rPr>
                <w:rFonts w:hint="eastAsia" w:ascii="Times New Roman" w:hAnsi="Times New Roman" w:eastAsia="宋体"/>
                <w:color w:val="auto"/>
                <w:sz w:val="21"/>
                <w:szCs w:val="21"/>
                <w:highlight w:val="none"/>
                <w:lang w:val="en-US" w:eastAsia="zh-CN"/>
              </w:rPr>
              <w:t>。</w:t>
            </w:r>
          </w:p>
        </w:tc>
        <w:tc>
          <w:tcPr>
            <w:tcW w:w="671" w:type="dxa"/>
            <w:tcBorders>
              <w:tl2br w:val="nil"/>
              <w:tr2bl w:val="nil"/>
            </w:tcBorders>
            <w:noWrap w:val="0"/>
            <w:vAlign w:val="center"/>
          </w:tcPr>
          <w:p w14:paraId="14ADE89A">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highlight w:val="none"/>
                <w:lang w:val="en-US" w:eastAsia="zh-CN" w:bidi="ar"/>
              </w:rPr>
            </w:pPr>
            <w:r>
              <w:rPr>
                <w:rFonts w:hint="eastAsia" w:ascii="Times New Roman"/>
                <w:color w:val="auto"/>
                <w:sz w:val="21"/>
                <w:szCs w:val="21"/>
                <w:highlight w:val="none"/>
                <w:lang w:bidi="ar"/>
              </w:rPr>
              <w:t>新建</w:t>
            </w:r>
          </w:p>
        </w:tc>
      </w:tr>
      <w:tr w14:paraId="76DE756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673" w:type="dxa"/>
            <w:vMerge w:val="restart"/>
            <w:tcBorders>
              <w:tl2br w:val="nil"/>
              <w:tr2bl w:val="nil"/>
            </w:tcBorders>
            <w:noWrap w:val="0"/>
            <w:vAlign w:val="center"/>
          </w:tcPr>
          <w:p w14:paraId="502215E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公用工程</w:t>
            </w:r>
          </w:p>
        </w:tc>
        <w:tc>
          <w:tcPr>
            <w:tcW w:w="1488" w:type="dxa"/>
            <w:tcBorders>
              <w:tl2br w:val="nil"/>
              <w:tr2bl w:val="nil"/>
            </w:tcBorders>
            <w:noWrap w:val="0"/>
            <w:vAlign w:val="center"/>
          </w:tcPr>
          <w:p w14:paraId="066B997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pacing w:val="-11"/>
                <w:sz w:val="21"/>
                <w:szCs w:val="21"/>
                <w:highlight w:val="none"/>
                <w:lang w:bidi="ar"/>
              </w:rPr>
            </w:pPr>
            <w:r>
              <w:rPr>
                <w:rFonts w:ascii="Times New Roman"/>
                <w:color w:val="auto"/>
                <w:spacing w:val="-11"/>
                <w:sz w:val="21"/>
                <w:szCs w:val="21"/>
                <w:highlight w:val="none"/>
                <w:lang w:bidi="ar"/>
              </w:rPr>
              <w:t>供水工程</w:t>
            </w:r>
          </w:p>
        </w:tc>
        <w:tc>
          <w:tcPr>
            <w:tcW w:w="6426" w:type="dxa"/>
            <w:tcBorders>
              <w:tl2br w:val="nil"/>
              <w:tr2bl w:val="nil"/>
            </w:tcBorders>
            <w:noWrap w:val="0"/>
            <w:vAlign w:val="center"/>
          </w:tcPr>
          <w:p w14:paraId="4D73F2B9">
            <w:pPr>
              <w:keepNext w:val="0"/>
              <w:keepLines w:val="0"/>
              <w:suppressLineNumbers w:val="0"/>
              <w:adjustRightInd w:val="0"/>
              <w:snapToGrid w:val="0"/>
              <w:spacing w:before="0" w:beforeAutospacing="0" w:after="0" w:afterAutospacing="0" w:line="240" w:lineRule="auto"/>
              <w:ind w:left="0" w:right="0"/>
              <w:rPr>
                <w:rFonts w:ascii="Times New Roman"/>
                <w:color w:val="auto"/>
                <w:sz w:val="21"/>
                <w:szCs w:val="21"/>
                <w:highlight w:val="none"/>
                <w:lang w:bidi="ar"/>
              </w:rPr>
            </w:pPr>
            <w:r>
              <w:rPr>
                <w:rFonts w:hint="eastAsia" w:ascii="Times New Roman"/>
                <w:color w:val="auto"/>
                <w:sz w:val="21"/>
                <w:szCs w:val="21"/>
                <w:highlight w:val="none"/>
                <w:lang w:val="en-US" w:eastAsia="zh-CN"/>
              </w:rPr>
              <w:t>本项目</w:t>
            </w:r>
            <w:r>
              <w:rPr>
                <w:rFonts w:ascii="Times New Roman"/>
                <w:color w:val="auto"/>
                <w:sz w:val="21"/>
                <w:szCs w:val="21"/>
                <w:highlight w:val="none"/>
              </w:rPr>
              <w:t>用水</w:t>
            </w:r>
            <w:r>
              <w:rPr>
                <w:rFonts w:ascii="Times New Roman"/>
                <w:color w:val="auto"/>
                <w:sz w:val="21"/>
                <w:szCs w:val="21"/>
                <w:highlight w:val="none"/>
                <w:lang w:bidi="ar"/>
              </w:rPr>
              <w:t>主要为</w:t>
            </w:r>
            <w:r>
              <w:rPr>
                <w:rFonts w:hint="eastAsia" w:ascii="Times New Roman"/>
                <w:color w:val="auto"/>
                <w:sz w:val="21"/>
                <w:szCs w:val="21"/>
                <w:highlight w:val="none"/>
                <w:lang w:val="en-US" w:eastAsia="zh-CN" w:bidi="ar"/>
              </w:rPr>
              <w:t>修复</w:t>
            </w:r>
            <w:r>
              <w:rPr>
                <w:rFonts w:hint="eastAsia" w:ascii="Times New Roman"/>
                <w:color w:val="auto"/>
                <w:sz w:val="21"/>
                <w:szCs w:val="21"/>
                <w:highlight w:val="none"/>
                <w:lang w:bidi="ar"/>
              </w:rPr>
              <w:t>场地、运输道路</w:t>
            </w:r>
            <w:r>
              <w:rPr>
                <w:rFonts w:ascii="Times New Roman"/>
                <w:color w:val="auto"/>
                <w:sz w:val="21"/>
                <w:szCs w:val="21"/>
                <w:highlight w:val="none"/>
                <w:lang w:bidi="ar"/>
              </w:rPr>
              <w:t>洒水抑尘用水及施工</w:t>
            </w:r>
            <w:r>
              <w:rPr>
                <w:rFonts w:hint="eastAsia" w:ascii="Times New Roman"/>
                <w:color w:val="auto"/>
                <w:sz w:val="21"/>
                <w:szCs w:val="21"/>
                <w:highlight w:val="none"/>
                <w:lang w:bidi="ar"/>
              </w:rPr>
              <w:t>人员</w:t>
            </w:r>
            <w:r>
              <w:rPr>
                <w:rFonts w:ascii="Times New Roman"/>
                <w:color w:val="auto"/>
                <w:sz w:val="21"/>
                <w:szCs w:val="21"/>
                <w:highlight w:val="none"/>
                <w:lang w:bidi="ar"/>
              </w:rPr>
              <w:t>生活用水</w:t>
            </w:r>
            <w:r>
              <w:rPr>
                <w:rFonts w:hint="eastAsia" w:ascii="Times New Roman"/>
                <w:color w:val="auto"/>
                <w:sz w:val="21"/>
                <w:szCs w:val="21"/>
                <w:highlight w:val="none"/>
                <w:lang w:eastAsia="zh-CN" w:bidi="ar"/>
              </w:rPr>
              <w:t>。</w:t>
            </w:r>
            <w:r>
              <w:rPr>
                <w:rFonts w:hint="eastAsia" w:ascii="Times New Roman"/>
                <w:color w:val="auto"/>
                <w:sz w:val="21"/>
                <w:szCs w:val="21"/>
                <w:highlight w:val="none"/>
                <w:lang w:bidi="ar"/>
              </w:rPr>
              <w:t>施工用水</w:t>
            </w:r>
            <w:r>
              <w:rPr>
                <w:rFonts w:hint="eastAsia" w:ascii="Times New Roman"/>
                <w:color w:val="auto"/>
                <w:sz w:val="21"/>
                <w:szCs w:val="21"/>
                <w:highlight w:val="none"/>
                <w:lang w:val="en-US" w:eastAsia="zh-CN" w:bidi="ar"/>
              </w:rPr>
              <w:t>为井水</w:t>
            </w:r>
            <w:r>
              <w:rPr>
                <w:rFonts w:ascii="Times New Roman"/>
                <w:color w:val="auto"/>
                <w:sz w:val="21"/>
                <w:szCs w:val="21"/>
                <w:highlight w:val="none"/>
                <w:lang w:bidi="ar"/>
              </w:rPr>
              <w:t>，生活用水采用桶装水</w:t>
            </w:r>
            <w:r>
              <w:rPr>
                <w:rFonts w:hint="eastAsia" w:ascii="Times New Roman"/>
                <w:color w:val="auto"/>
                <w:sz w:val="21"/>
                <w:szCs w:val="21"/>
                <w:highlight w:val="none"/>
              </w:rPr>
              <w:t>。</w:t>
            </w:r>
          </w:p>
        </w:tc>
        <w:tc>
          <w:tcPr>
            <w:tcW w:w="671" w:type="dxa"/>
            <w:tcBorders>
              <w:tl2br w:val="nil"/>
              <w:tr2bl w:val="nil"/>
            </w:tcBorders>
            <w:noWrap w:val="0"/>
            <w:vAlign w:val="center"/>
          </w:tcPr>
          <w:p w14:paraId="08608AB3">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新建</w:t>
            </w:r>
          </w:p>
        </w:tc>
      </w:tr>
      <w:tr w14:paraId="08C2BD4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30" w:hRule="atLeast"/>
          <w:jc w:val="center"/>
        </w:trPr>
        <w:tc>
          <w:tcPr>
            <w:tcW w:w="673" w:type="dxa"/>
            <w:vMerge w:val="continue"/>
            <w:tcBorders>
              <w:tl2br w:val="nil"/>
              <w:tr2bl w:val="nil"/>
            </w:tcBorders>
            <w:noWrap w:val="0"/>
            <w:vAlign w:val="center"/>
          </w:tcPr>
          <w:p w14:paraId="28430C32">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69D667F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pacing w:val="-11"/>
                <w:sz w:val="21"/>
                <w:szCs w:val="21"/>
                <w:highlight w:val="none"/>
                <w:lang w:bidi="ar"/>
              </w:rPr>
            </w:pPr>
            <w:r>
              <w:rPr>
                <w:rFonts w:ascii="Times New Roman"/>
                <w:color w:val="auto"/>
                <w:spacing w:val="-11"/>
                <w:sz w:val="21"/>
                <w:szCs w:val="21"/>
                <w:highlight w:val="none"/>
                <w:lang w:bidi="ar"/>
              </w:rPr>
              <w:t>排水工程</w:t>
            </w:r>
          </w:p>
        </w:tc>
        <w:tc>
          <w:tcPr>
            <w:tcW w:w="6426" w:type="dxa"/>
            <w:tcBorders>
              <w:tl2br w:val="nil"/>
              <w:tr2bl w:val="nil"/>
            </w:tcBorders>
            <w:noWrap w:val="0"/>
            <w:vAlign w:val="center"/>
          </w:tcPr>
          <w:p w14:paraId="20F569E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420" w:firstLineChars="200"/>
              <w:textAlignment w:val="auto"/>
              <w:rPr>
                <w:rFonts w:ascii="Times New Roman"/>
                <w:color w:val="auto"/>
                <w:sz w:val="21"/>
                <w:szCs w:val="21"/>
                <w:highlight w:val="none"/>
                <w:lang w:bidi="ar"/>
              </w:rPr>
            </w:pPr>
            <w:r>
              <w:rPr>
                <w:rFonts w:hint="eastAsia" w:ascii="Times New Roman"/>
                <w:color w:val="auto"/>
                <w:sz w:val="21"/>
                <w:szCs w:val="21"/>
                <w:highlight w:val="none"/>
                <w:lang w:val="en-US" w:eastAsia="zh-CN" w:bidi="ar"/>
              </w:rPr>
              <w:t>本项目</w:t>
            </w:r>
            <w:r>
              <w:rPr>
                <w:rFonts w:ascii="Times New Roman"/>
                <w:color w:val="auto"/>
                <w:sz w:val="21"/>
                <w:szCs w:val="21"/>
                <w:highlight w:val="none"/>
                <w:lang w:bidi="ar"/>
              </w:rPr>
              <w:t>生活污水</w:t>
            </w:r>
            <w:r>
              <w:rPr>
                <w:rFonts w:hint="eastAsia" w:ascii="Times New Roman" w:hAnsi="Times New Roman" w:eastAsia="宋体" w:cs="Times New Roman"/>
                <w:snapToGrid/>
                <w:color w:val="auto"/>
                <w:kern w:val="2"/>
                <w:sz w:val="21"/>
                <w:szCs w:val="21"/>
                <w:highlight w:val="none"/>
                <w:lang w:val="en-US" w:eastAsia="zh-CN" w:bidi="ar-SA"/>
              </w:rPr>
              <w:t>依托民房防渗旱厕</w:t>
            </w:r>
            <w:r>
              <w:rPr>
                <w:rFonts w:ascii="Times New Roman"/>
                <w:color w:val="auto"/>
                <w:sz w:val="21"/>
                <w:szCs w:val="21"/>
                <w:highlight w:val="none"/>
                <w:lang w:bidi="ar"/>
              </w:rPr>
              <w:t>，定期</w:t>
            </w:r>
            <w:r>
              <w:rPr>
                <w:rFonts w:hint="eastAsia" w:ascii="Times New Roman"/>
                <w:color w:val="auto"/>
                <w:sz w:val="21"/>
                <w:szCs w:val="21"/>
                <w:highlight w:val="none"/>
                <w:lang w:eastAsia="zh-CN" w:bidi="ar"/>
              </w:rPr>
              <w:t>外运堆肥</w:t>
            </w:r>
            <w:r>
              <w:rPr>
                <w:rFonts w:ascii="Times New Roman"/>
                <w:color w:val="auto"/>
                <w:sz w:val="21"/>
                <w:szCs w:val="21"/>
                <w:highlight w:val="none"/>
                <w:lang w:bidi="ar"/>
              </w:rPr>
              <w:t>。</w:t>
            </w:r>
          </w:p>
          <w:p w14:paraId="22448C72">
            <w:pPr>
              <w:pStyle w:val="22"/>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textAlignment w:val="auto"/>
              <w:rPr>
                <w:rFonts w:hint="eastAsia"/>
                <w:color w:val="auto"/>
                <w:sz w:val="21"/>
                <w:szCs w:val="21"/>
                <w:highlight w:val="none"/>
              </w:rPr>
            </w:pPr>
            <w:r>
              <w:rPr>
                <w:rFonts w:hint="eastAsia"/>
                <w:color w:val="auto"/>
                <w:sz w:val="21"/>
                <w:szCs w:val="21"/>
                <w:highlight w:val="none"/>
              </w:rPr>
              <w:t>本项目新建一座</w:t>
            </w:r>
            <w:r>
              <w:rPr>
                <w:rFonts w:hint="eastAsia"/>
                <w:color w:val="auto"/>
                <w:sz w:val="21"/>
                <w:szCs w:val="21"/>
                <w:highlight w:val="none"/>
                <w:lang w:val="en-US" w:eastAsia="zh-CN"/>
              </w:rPr>
              <w:t>120</w:t>
            </w:r>
            <w:r>
              <w:rPr>
                <w:rFonts w:hint="eastAsia"/>
                <w:color w:val="auto"/>
                <w:sz w:val="21"/>
                <w:szCs w:val="21"/>
                <w:highlight w:val="none"/>
              </w:rPr>
              <w:t>m</w:t>
            </w:r>
            <w:r>
              <w:rPr>
                <w:rFonts w:hint="eastAsia"/>
                <w:color w:val="auto"/>
                <w:sz w:val="21"/>
                <w:szCs w:val="21"/>
                <w:highlight w:val="none"/>
                <w:vertAlign w:val="superscript"/>
              </w:rPr>
              <w:t>3</w:t>
            </w:r>
            <w:r>
              <w:rPr>
                <w:rFonts w:hint="eastAsia"/>
                <w:color w:val="auto"/>
                <w:sz w:val="21"/>
                <w:szCs w:val="21"/>
                <w:highlight w:val="none"/>
              </w:rPr>
              <w:t>沉淀池，采用混凝土结构，位于回填区</w:t>
            </w:r>
            <w:r>
              <w:rPr>
                <w:rFonts w:hint="eastAsia"/>
                <w:color w:val="auto"/>
                <w:sz w:val="21"/>
                <w:szCs w:val="21"/>
                <w:highlight w:val="none"/>
                <w:lang w:val="en-US" w:eastAsia="zh-CN"/>
              </w:rPr>
              <w:t>东南</w:t>
            </w:r>
            <w:r>
              <w:rPr>
                <w:rFonts w:hint="eastAsia"/>
                <w:color w:val="auto"/>
                <w:sz w:val="21"/>
                <w:szCs w:val="21"/>
                <w:highlight w:val="none"/>
              </w:rPr>
              <w:t>侧，用于暂存</w:t>
            </w:r>
            <w:r>
              <w:rPr>
                <w:rFonts w:hint="eastAsia"/>
                <w:color w:val="auto"/>
                <w:sz w:val="21"/>
                <w:szCs w:val="21"/>
                <w:highlight w:val="none"/>
                <w:lang w:val="en-US" w:eastAsia="zh-CN"/>
              </w:rPr>
              <w:t>坑内汇聚的雨水（以下简称淋滤水）</w:t>
            </w:r>
            <w:r>
              <w:rPr>
                <w:rFonts w:hint="eastAsia"/>
                <w:color w:val="auto"/>
                <w:sz w:val="21"/>
                <w:szCs w:val="21"/>
                <w:highlight w:val="none"/>
              </w:rPr>
              <w:t>，</w:t>
            </w:r>
            <w:r>
              <w:rPr>
                <w:rFonts w:hint="eastAsia"/>
                <w:color w:val="auto"/>
                <w:sz w:val="21"/>
                <w:szCs w:val="21"/>
                <w:highlight w:val="none"/>
                <w:lang w:val="en-US" w:eastAsia="zh-CN"/>
              </w:rPr>
              <w:t>淋滤水经沉淀池沉淀处理后用于回填区洒水降尘，不外排</w:t>
            </w:r>
            <w:r>
              <w:rPr>
                <w:rFonts w:hint="eastAsia"/>
                <w:color w:val="auto"/>
                <w:sz w:val="21"/>
                <w:szCs w:val="21"/>
                <w:highlight w:val="none"/>
              </w:rPr>
              <w:t>。</w:t>
            </w:r>
          </w:p>
          <w:p w14:paraId="75A2738E">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firstLine="420" w:firstLineChars="200"/>
              <w:textAlignment w:val="auto"/>
              <w:rPr>
                <w:rFonts w:hint="eastAsia"/>
                <w:color w:val="auto"/>
                <w:sz w:val="21"/>
                <w:szCs w:val="21"/>
                <w:highlight w:val="none"/>
                <w:lang w:eastAsia="zh-CN"/>
              </w:rPr>
            </w:pPr>
            <w:r>
              <w:rPr>
                <w:rFonts w:hint="eastAsia"/>
                <w:color w:val="auto"/>
                <w:sz w:val="21"/>
                <w:szCs w:val="21"/>
                <w:highlight w:val="none"/>
              </w:rPr>
              <w:t>本项目所在区域地势为</w:t>
            </w:r>
            <w:r>
              <w:rPr>
                <w:rFonts w:ascii="Times New Roman" w:hAnsi="Times New Roman" w:eastAsia="宋体" w:cs="Times New Roman"/>
                <w:color w:val="auto"/>
                <w:sz w:val="21"/>
                <w:szCs w:val="21"/>
                <w:highlight w:val="none"/>
              </w:rPr>
              <w:t>北高南低、西高东低</w:t>
            </w:r>
            <w:r>
              <w:rPr>
                <w:rFonts w:hint="eastAsia"/>
                <w:color w:val="auto"/>
                <w:sz w:val="21"/>
                <w:szCs w:val="21"/>
                <w:highlight w:val="none"/>
                <w:lang w:eastAsia="zh-CN"/>
              </w:rPr>
              <w:t>。</w:t>
            </w:r>
            <w:r>
              <w:rPr>
                <w:rFonts w:hint="eastAsia"/>
                <w:color w:val="auto"/>
                <w:sz w:val="21"/>
                <w:szCs w:val="21"/>
                <w:highlight w:val="none"/>
              </w:rPr>
              <w:t>在回填区</w:t>
            </w:r>
            <w:r>
              <w:rPr>
                <w:rFonts w:hint="eastAsia"/>
                <w:color w:val="auto"/>
                <w:sz w:val="21"/>
                <w:szCs w:val="21"/>
                <w:highlight w:val="none"/>
                <w:lang w:val="en-US" w:eastAsia="zh-CN"/>
              </w:rPr>
              <w:t>北</w:t>
            </w:r>
            <w:r>
              <w:rPr>
                <w:rFonts w:hint="eastAsia"/>
                <w:color w:val="auto"/>
                <w:sz w:val="21"/>
                <w:szCs w:val="21"/>
                <w:highlight w:val="none"/>
              </w:rPr>
              <w:t>侧和</w:t>
            </w:r>
            <w:r>
              <w:rPr>
                <w:rFonts w:hint="eastAsia"/>
                <w:color w:val="auto"/>
                <w:sz w:val="21"/>
                <w:szCs w:val="21"/>
                <w:highlight w:val="none"/>
                <w:lang w:val="en-US" w:eastAsia="zh-CN"/>
              </w:rPr>
              <w:t>西</w:t>
            </w:r>
            <w:r>
              <w:rPr>
                <w:rFonts w:hint="eastAsia"/>
                <w:color w:val="auto"/>
                <w:sz w:val="21"/>
                <w:szCs w:val="21"/>
                <w:highlight w:val="none"/>
              </w:rPr>
              <w:t>侧</w:t>
            </w:r>
            <w:r>
              <w:rPr>
                <w:rFonts w:hint="default" w:ascii="Times New Roman" w:hAnsi="Times New Roman" w:eastAsia="宋体" w:cs="Times New Roman"/>
                <w:color w:val="auto"/>
                <w:sz w:val="21"/>
                <w:szCs w:val="21"/>
                <w:highlight w:val="none"/>
              </w:rPr>
              <w:t>设置</w:t>
            </w:r>
            <w:r>
              <w:rPr>
                <w:rFonts w:hint="eastAsia" w:ascii="Times New Roman" w:hAnsi="Times New Roman" w:eastAsia="宋体" w:cs="Times New Roman"/>
                <w:color w:val="auto"/>
                <w:sz w:val="21"/>
                <w:szCs w:val="21"/>
                <w:highlight w:val="none"/>
                <w:lang w:eastAsia="zh-CN"/>
              </w:rPr>
              <w:t>拦挡埂</w:t>
            </w:r>
            <w:r>
              <w:rPr>
                <w:rFonts w:hint="default" w:ascii="Times New Roman" w:hAnsi="Times New Roman" w:eastAsia="宋体" w:cs="Times New Roman"/>
                <w:color w:val="auto"/>
                <w:sz w:val="21"/>
                <w:szCs w:val="21"/>
                <w:highlight w:val="none"/>
              </w:rPr>
              <w:t>，</w:t>
            </w:r>
            <w:r>
              <w:rPr>
                <w:rFonts w:hint="eastAsia" w:ascii="Times New Roman" w:hAnsi="Times New Roman" w:eastAsia="宋体" w:cs="Times New Roman"/>
                <w:color w:val="auto"/>
                <w:sz w:val="21"/>
                <w:szCs w:val="21"/>
                <w:highlight w:val="none"/>
                <w:lang w:eastAsia="zh-CN"/>
              </w:rPr>
              <w:t>拦挡埂</w:t>
            </w:r>
            <w:r>
              <w:rPr>
                <w:rFonts w:hint="default" w:ascii="Times New Roman" w:hAnsi="Times New Roman" w:eastAsia="宋体" w:cs="Times New Roman"/>
                <w:color w:val="auto"/>
                <w:sz w:val="21"/>
                <w:szCs w:val="21"/>
                <w:highlight w:val="none"/>
              </w:rPr>
              <w:t>采用袋装土挡护，挡土袋高0.25m，宽0.4m</w:t>
            </w:r>
            <w:r>
              <w:rPr>
                <w:rFonts w:hint="eastAsia"/>
                <w:color w:val="auto"/>
                <w:sz w:val="21"/>
                <w:szCs w:val="21"/>
                <w:highlight w:val="none"/>
              </w:rPr>
              <w:t>，长度</w:t>
            </w:r>
            <w:r>
              <w:rPr>
                <w:rFonts w:hint="eastAsia"/>
                <w:color w:val="auto"/>
                <w:sz w:val="21"/>
                <w:szCs w:val="21"/>
                <w:highlight w:val="none"/>
                <w:lang w:val="en-US" w:eastAsia="zh-CN"/>
              </w:rPr>
              <w:t>约300</w:t>
            </w:r>
            <w:r>
              <w:rPr>
                <w:color w:val="auto"/>
                <w:sz w:val="21"/>
                <w:szCs w:val="21"/>
                <w:highlight w:val="none"/>
              </w:rPr>
              <w:t>m</w:t>
            </w:r>
            <w:r>
              <w:rPr>
                <w:rFonts w:hint="eastAsia" w:ascii="宋体" w:hAnsi="宋体" w:cs="宋体"/>
                <w:color w:val="auto"/>
                <w:kern w:val="0"/>
                <w:sz w:val="21"/>
                <w:szCs w:val="21"/>
                <w:highlight w:val="none"/>
                <w:lang w:bidi="ar"/>
              </w:rPr>
              <w:t>。</w:t>
            </w:r>
          </w:p>
        </w:tc>
        <w:tc>
          <w:tcPr>
            <w:tcW w:w="671" w:type="dxa"/>
            <w:tcBorders>
              <w:tl2br w:val="nil"/>
              <w:tr2bl w:val="nil"/>
            </w:tcBorders>
            <w:noWrap w:val="0"/>
            <w:vAlign w:val="center"/>
          </w:tcPr>
          <w:p w14:paraId="2DEAD7B9">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新建</w:t>
            </w:r>
          </w:p>
        </w:tc>
      </w:tr>
      <w:tr w14:paraId="4E02242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7473F831">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4F0EBA7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pacing w:val="-11"/>
                <w:sz w:val="21"/>
                <w:szCs w:val="21"/>
                <w:highlight w:val="none"/>
                <w:lang w:bidi="ar"/>
              </w:rPr>
            </w:pPr>
            <w:r>
              <w:rPr>
                <w:rFonts w:ascii="Times New Roman"/>
                <w:color w:val="auto"/>
                <w:spacing w:val="-11"/>
                <w:sz w:val="21"/>
                <w:szCs w:val="21"/>
                <w:highlight w:val="none"/>
                <w:lang w:bidi="ar"/>
              </w:rPr>
              <w:t>供暖工程</w:t>
            </w:r>
          </w:p>
        </w:tc>
        <w:tc>
          <w:tcPr>
            <w:tcW w:w="6426" w:type="dxa"/>
            <w:tcBorders>
              <w:tl2br w:val="nil"/>
              <w:tr2bl w:val="nil"/>
            </w:tcBorders>
            <w:noWrap w:val="0"/>
            <w:vAlign w:val="center"/>
          </w:tcPr>
          <w:p w14:paraId="33DE92EB">
            <w:pPr>
              <w:keepNext w:val="0"/>
              <w:keepLines w:val="0"/>
              <w:suppressLineNumbers w:val="0"/>
              <w:adjustRightInd w:val="0"/>
              <w:snapToGrid w:val="0"/>
              <w:spacing w:before="0" w:beforeAutospacing="0" w:after="0" w:afterAutospacing="0" w:line="240" w:lineRule="auto"/>
              <w:ind w:left="0" w:right="0"/>
              <w:rPr>
                <w:rFonts w:hint="eastAsia" w:ascii="Times New Roman" w:eastAsia="宋体"/>
                <w:color w:val="auto"/>
                <w:sz w:val="21"/>
                <w:szCs w:val="21"/>
                <w:highlight w:val="none"/>
                <w:lang w:eastAsia="zh-CN" w:bidi="ar"/>
              </w:rPr>
            </w:pPr>
            <w:r>
              <w:rPr>
                <w:rFonts w:hint="eastAsia" w:ascii="Times New Roman"/>
                <w:color w:val="auto"/>
                <w:sz w:val="21"/>
                <w:szCs w:val="21"/>
                <w:highlight w:val="none"/>
                <w:lang w:bidi="ar"/>
              </w:rPr>
              <w:t>本项目租赁</w:t>
            </w:r>
            <w:r>
              <w:rPr>
                <w:rFonts w:hint="eastAsia" w:ascii="Times New Roman" w:cs="Times New Roman"/>
                <w:color w:val="auto"/>
                <w:sz w:val="21"/>
                <w:szCs w:val="21"/>
                <w:highlight w:val="none"/>
                <w:lang w:val="en-US" w:eastAsia="zh-CN" w:bidi="ar-SA"/>
              </w:rPr>
              <w:t>南</w:t>
            </w:r>
            <w:r>
              <w:rPr>
                <w:rFonts w:hint="eastAsia" w:ascii="Times New Roman" w:hAnsi="Times New Roman" w:eastAsia="宋体" w:cs="Times New Roman"/>
                <w:color w:val="auto"/>
                <w:sz w:val="21"/>
                <w:szCs w:val="21"/>
                <w:highlight w:val="none"/>
                <w:lang w:val="en-US" w:eastAsia="zh-CN" w:bidi="ar-SA"/>
              </w:rPr>
              <w:t>侧</w:t>
            </w:r>
            <w:r>
              <w:rPr>
                <w:rFonts w:hint="eastAsia" w:ascii="Times New Roman" w:hAnsi="Times New Roman" w:cs="Times New Roman"/>
                <w:color w:val="auto"/>
                <w:sz w:val="21"/>
                <w:szCs w:val="21"/>
                <w:highlight w:val="none"/>
                <w:lang w:val="en-US" w:eastAsia="zh-CN" w:bidi="ar-SA"/>
              </w:rPr>
              <w:t>350</w:t>
            </w:r>
            <w:r>
              <w:rPr>
                <w:rFonts w:hint="eastAsia" w:ascii="Times New Roman" w:hAnsi="Times New Roman" w:eastAsia="宋体" w:cs="Times New Roman"/>
                <w:color w:val="auto"/>
                <w:sz w:val="21"/>
                <w:szCs w:val="21"/>
                <w:highlight w:val="none"/>
                <w:lang w:val="en-US" w:eastAsia="zh-CN" w:bidi="ar-SA"/>
              </w:rPr>
              <w:t>m处</w:t>
            </w:r>
            <w:r>
              <w:rPr>
                <w:rFonts w:hint="eastAsia" w:ascii="Times New Roman" w:hAnsi="Times New Roman" w:cs="Times New Roman"/>
                <w:color w:val="auto"/>
                <w:sz w:val="21"/>
                <w:szCs w:val="21"/>
                <w:highlight w:val="none"/>
                <w:lang w:val="en-US" w:eastAsia="zh-CN" w:bidi="ar-SA"/>
              </w:rPr>
              <w:t>元宝村</w:t>
            </w:r>
            <w:r>
              <w:rPr>
                <w:rFonts w:hint="eastAsia" w:ascii="Times New Roman"/>
                <w:color w:val="auto"/>
                <w:sz w:val="21"/>
                <w:szCs w:val="21"/>
                <w:highlight w:val="none"/>
                <w:lang w:bidi="ar"/>
              </w:rPr>
              <w:t>的民房作为生活区。采</w:t>
            </w:r>
            <w:r>
              <w:rPr>
                <w:rFonts w:hint="eastAsia" w:ascii="Times New Roman"/>
                <w:color w:val="auto"/>
                <w:sz w:val="21"/>
                <w:szCs w:val="21"/>
                <w:highlight w:val="none"/>
                <w:lang w:val="en-US" w:eastAsia="zh-CN" w:bidi="ar"/>
              </w:rPr>
              <w:t>用电供</w:t>
            </w:r>
            <w:r>
              <w:rPr>
                <w:rFonts w:hint="eastAsia" w:ascii="Times New Roman"/>
                <w:color w:val="auto"/>
                <w:sz w:val="21"/>
                <w:szCs w:val="21"/>
                <w:highlight w:val="none"/>
                <w:lang w:bidi="ar"/>
              </w:rPr>
              <w:t>暖。</w:t>
            </w:r>
          </w:p>
        </w:tc>
        <w:tc>
          <w:tcPr>
            <w:tcW w:w="671" w:type="dxa"/>
            <w:tcBorders>
              <w:tl2br w:val="nil"/>
              <w:tr2bl w:val="nil"/>
            </w:tcBorders>
            <w:noWrap w:val="0"/>
            <w:vAlign w:val="center"/>
          </w:tcPr>
          <w:p w14:paraId="20CECCDF">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eastAsia="zh-CN" w:bidi="ar"/>
              </w:rPr>
            </w:pPr>
            <w:r>
              <w:rPr>
                <w:rFonts w:hint="eastAsia" w:ascii="Times New Roman"/>
                <w:color w:val="auto"/>
                <w:sz w:val="21"/>
                <w:szCs w:val="21"/>
                <w:highlight w:val="none"/>
                <w:lang w:val="en-US" w:eastAsia="zh-CN" w:bidi="ar"/>
              </w:rPr>
              <w:t>新建</w:t>
            </w:r>
          </w:p>
        </w:tc>
      </w:tr>
      <w:tr w14:paraId="77A5313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7E99141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76BAA6F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pacing w:val="-11"/>
                <w:sz w:val="21"/>
                <w:szCs w:val="21"/>
                <w:highlight w:val="none"/>
                <w:lang w:bidi="ar"/>
              </w:rPr>
            </w:pPr>
            <w:r>
              <w:rPr>
                <w:rFonts w:ascii="Times New Roman"/>
                <w:color w:val="auto"/>
                <w:sz w:val="21"/>
                <w:szCs w:val="21"/>
                <w:highlight w:val="none"/>
                <w:lang w:bidi="ar"/>
              </w:rPr>
              <w:t>供配电工程</w:t>
            </w:r>
          </w:p>
        </w:tc>
        <w:tc>
          <w:tcPr>
            <w:tcW w:w="6426" w:type="dxa"/>
            <w:tcBorders>
              <w:tl2br w:val="nil"/>
              <w:tr2bl w:val="nil"/>
            </w:tcBorders>
            <w:noWrap w:val="0"/>
            <w:vAlign w:val="center"/>
          </w:tcPr>
          <w:p w14:paraId="5BFFF70D">
            <w:pPr>
              <w:keepNext w:val="0"/>
              <w:keepLines w:val="0"/>
              <w:suppressLineNumbers w:val="0"/>
              <w:adjustRightInd w:val="0"/>
              <w:snapToGrid w:val="0"/>
              <w:spacing w:before="0" w:beforeAutospacing="0" w:after="0" w:afterAutospacing="0" w:line="240" w:lineRule="auto"/>
              <w:ind w:left="0" w:right="0"/>
              <w:rPr>
                <w:rFonts w:ascii="Times New Roman"/>
                <w:color w:val="auto"/>
                <w:sz w:val="21"/>
                <w:szCs w:val="21"/>
                <w:highlight w:val="none"/>
                <w:lang w:bidi="ar"/>
              </w:rPr>
            </w:pPr>
            <w:r>
              <w:rPr>
                <w:rFonts w:ascii="Times New Roman"/>
                <w:color w:val="auto"/>
                <w:sz w:val="21"/>
                <w:szCs w:val="21"/>
                <w:highlight w:val="none"/>
              </w:rPr>
              <w:t>施工期间用电从当地电网接入，采用电缆进线</w:t>
            </w:r>
            <w:r>
              <w:rPr>
                <w:rFonts w:hint="eastAsia" w:ascii="Times New Roman"/>
                <w:color w:val="auto"/>
                <w:sz w:val="21"/>
                <w:szCs w:val="21"/>
                <w:highlight w:val="none"/>
              </w:rPr>
              <w:t>，项目建设</w:t>
            </w:r>
            <w:r>
              <w:rPr>
                <w:rFonts w:ascii="Times New Roman"/>
                <w:color w:val="auto"/>
                <w:sz w:val="21"/>
                <w:szCs w:val="21"/>
                <w:highlight w:val="none"/>
              </w:rPr>
              <w:t>完毕后无用电设备。</w:t>
            </w:r>
          </w:p>
        </w:tc>
        <w:tc>
          <w:tcPr>
            <w:tcW w:w="671" w:type="dxa"/>
            <w:tcBorders>
              <w:tl2br w:val="nil"/>
              <w:tr2bl w:val="nil"/>
            </w:tcBorders>
            <w:noWrap w:val="0"/>
            <w:vAlign w:val="center"/>
          </w:tcPr>
          <w:p w14:paraId="42C9F144">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新建</w:t>
            </w:r>
          </w:p>
        </w:tc>
      </w:tr>
      <w:tr w14:paraId="070B703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restart"/>
            <w:tcBorders>
              <w:tl2br w:val="nil"/>
              <w:tr2bl w:val="nil"/>
            </w:tcBorders>
            <w:noWrap w:val="0"/>
            <w:vAlign w:val="center"/>
          </w:tcPr>
          <w:p w14:paraId="69498D1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环保工程</w:t>
            </w:r>
          </w:p>
        </w:tc>
        <w:tc>
          <w:tcPr>
            <w:tcW w:w="1488" w:type="dxa"/>
            <w:tcBorders>
              <w:tl2br w:val="nil"/>
              <w:tr2bl w:val="nil"/>
            </w:tcBorders>
            <w:noWrap w:val="0"/>
            <w:vAlign w:val="center"/>
          </w:tcPr>
          <w:p w14:paraId="2DA70E13">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废气</w:t>
            </w:r>
            <w:r>
              <w:rPr>
                <w:rFonts w:hint="eastAsia" w:ascii="Times New Roman"/>
                <w:color w:val="auto"/>
                <w:sz w:val="21"/>
                <w:szCs w:val="21"/>
                <w:highlight w:val="none"/>
                <w:lang w:bidi="ar"/>
              </w:rPr>
              <w:t>治理</w:t>
            </w:r>
          </w:p>
        </w:tc>
        <w:tc>
          <w:tcPr>
            <w:tcW w:w="6426" w:type="dxa"/>
            <w:tcBorders>
              <w:tl2br w:val="nil"/>
              <w:tr2bl w:val="nil"/>
            </w:tcBorders>
            <w:noWrap w:val="0"/>
            <w:vAlign w:val="center"/>
          </w:tcPr>
          <w:p w14:paraId="74163513">
            <w:pPr>
              <w:keepNext w:val="0"/>
              <w:keepLines w:val="0"/>
              <w:suppressLineNumbers w:val="0"/>
              <w:adjustRightInd w:val="0"/>
              <w:snapToGrid w:val="0"/>
              <w:spacing w:before="0" w:beforeAutospacing="0" w:after="0" w:afterAutospacing="0" w:line="240" w:lineRule="auto"/>
              <w:ind w:left="0" w:leftChars="0" w:right="0" w:firstLine="420" w:firstLineChars="200"/>
              <w:rPr>
                <w:rFonts w:hint="eastAsia" w:ascii="Times New Roman"/>
                <w:color w:val="auto"/>
                <w:sz w:val="21"/>
                <w:szCs w:val="21"/>
                <w:highlight w:val="none"/>
                <w:shd w:val="clear" w:color="auto" w:fill="FFFFFF"/>
              </w:rPr>
            </w:pPr>
            <w:r>
              <w:rPr>
                <w:rFonts w:hint="eastAsia" w:ascii="Times New Roman"/>
                <w:color w:val="auto"/>
                <w:sz w:val="21"/>
                <w:szCs w:val="21"/>
                <w:highlight w:val="none"/>
                <w:shd w:val="clear" w:color="auto" w:fill="FFFFFF"/>
              </w:rPr>
              <w:t>在项目区外围建设</w:t>
            </w:r>
            <w:r>
              <w:rPr>
                <w:rFonts w:hint="eastAsia" w:ascii="Times New Roman"/>
                <w:color w:val="auto"/>
                <w:sz w:val="21"/>
                <w:szCs w:val="21"/>
                <w:highlight w:val="none"/>
                <w:shd w:val="clear" w:color="auto" w:fill="FFFFFF"/>
                <w:lang w:eastAsia="zh-CN"/>
              </w:rPr>
              <w:t>隔声隔尘挡板</w:t>
            </w:r>
            <w:r>
              <w:rPr>
                <w:rFonts w:hint="eastAsia" w:ascii="Times New Roman"/>
                <w:color w:val="auto"/>
                <w:sz w:val="21"/>
                <w:szCs w:val="21"/>
                <w:highlight w:val="none"/>
                <w:shd w:val="clear" w:color="auto" w:fill="FFFFFF"/>
              </w:rPr>
              <w:t>，防治灰尘对周围环境污染。</w:t>
            </w:r>
          </w:p>
          <w:p w14:paraId="0DF5B7E2">
            <w:pPr>
              <w:keepNext w:val="0"/>
              <w:keepLines w:val="0"/>
              <w:suppressLineNumbers w:val="0"/>
              <w:adjustRightInd w:val="0"/>
              <w:snapToGrid w:val="0"/>
              <w:spacing w:before="0" w:beforeAutospacing="0" w:after="0" w:afterAutospacing="0" w:line="240" w:lineRule="auto"/>
              <w:ind w:left="0" w:right="0"/>
              <w:rPr>
                <w:rFonts w:hint="eastAsia" w:ascii="Times New Roman"/>
                <w:color w:val="auto"/>
                <w:sz w:val="21"/>
                <w:szCs w:val="21"/>
                <w:highlight w:val="none"/>
                <w:lang w:eastAsia="zh-CN" w:bidi="ar"/>
              </w:rPr>
            </w:pPr>
            <w:r>
              <w:rPr>
                <w:rFonts w:hint="eastAsia" w:ascii="Times New Roman"/>
                <w:color w:val="auto"/>
                <w:sz w:val="21"/>
                <w:szCs w:val="21"/>
                <w:highlight w:val="none"/>
                <w:lang w:val="en-US" w:eastAsia="zh-CN" w:bidi="ar"/>
              </w:rPr>
              <w:t>回填区域</w:t>
            </w:r>
            <w:r>
              <w:rPr>
                <w:rFonts w:ascii="Times New Roman"/>
                <w:color w:val="auto"/>
                <w:sz w:val="21"/>
                <w:szCs w:val="21"/>
                <w:highlight w:val="none"/>
                <w:lang w:bidi="ar"/>
              </w:rPr>
              <w:t>及时洒水抑尘</w:t>
            </w:r>
            <w:r>
              <w:rPr>
                <w:rFonts w:hint="eastAsia" w:ascii="Times New Roman"/>
                <w:color w:val="auto"/>
                <w:sz w:val="21"/>
                <w:szCs w:val="21"/>
                <w:highlight w:val="none"/>
                <w:lang w:bidi="ar"/>
              </w:rPr>
              <w:t>，</w:t>
            </w:r>
            <w:r>
              <w:rPr>
                <w:rFonts w:ascii="Times New Roman"/>
                <w:color w:val="auto"/>
                <w:sz w:val="21"/>
                <w:szCs w:val="21"/>
                <w:highlight w:val="none"/>
                <w:lang w:bidi="ar"/>
              </w:rPr>
              <w:t>分阶段</w:t>
            </w:r>
            <w:r>
              <w:rPr>
                <w:rFonts w:hint="eastAsia" w:ascii="Times New Roman"/>
                <w:color w:val="auto"/>
                <w:sz w:val="21"/>
                <w:szCs w:val="21"/>
                <w:highlight w:val="none"/>
                <w:lang w:eastAsia="zh-CN" w:bidi="ar"/>
              </w:rPr>
              <w:t>、</w:t>
            </w:r>
            <w:r>
              <w:rPr>
                <w:rFonts w:ascii="Times New Roman"/>
                <w:color w:val="auto"/>
                <w:sz w:val="21"/>
                <w:szCs w:val="21"/>
                <w:highlight w:val="none"/>
                <w:lang w:bidi="ar"/>
              </w:rPr>
              <w:t>分块摊铺施工、尽量降低卸车落差</w:t>
            </w:r>
            <w:r>
              <w:rPr>
                <w:rFonts w:hint="eastAsia" w:ascii="Times New Roman"/>
                <w:color w:val="auto"/>
                <w:sz w:val="21"/>
                <w:szCs w:val="21"/>
                <w:highlight w:val="none"/>
                <w:lang w:bidi="ar"/>
              </w:rPr>
              <w:t>，</w:t>
            </w:r>
            <w:r>
              <w:rPr>
                <w:rFonts w:ascii="Times New Roman"/>
                <w:color w:val="auto"/>
                <w:sz w:val="21"/>
                <w:szCs w:val="21"/>
                <w:highlight w:val="none"/>
                <w:lang w:bidi="ar"/>
              </w:rPr>
              <w:t>禁止大风天气下施工</w:t>
            </w:r>
            <w:r>
              <w:rPr>
                <w:rFonts w:hint="eastAsia" w:ascii="Times New Roman"/>
                <w:color w:val="auto"/>
                <w:sz w:val="21"/>
                <w:szCs w:val="21"/>
                <w:highlight w:val="none"/>
                <w:lang w:eastAsia="zh-CN" w:bidi="ar"/>
              </w:rPr>
              <w:t>。</w:t>
            </w:r>
          </w:p>
          <w:p w14:paraId="73076E9C">
            <w:pPr>
              <w:keepNext w:val="0"/>
              <w:keepLines w:val="0"/>
              <w:suppressLineNumbers w:val="0"/>
              <w:adjustRightInd w:val="0"/>
              <w:snapToGrid w:val="0"/>
              <w:spacing w:before="0" w:beforeAutospacing="0" w:after="0" w:afterAutospacing="0" w:line="240" w:lineRule="auto"/>
              <w:ind w:left="0" w:right="0"/>
              <w:rPr>
                <w:rFonts w:ascii="Times New Roman"/>
                <w:color w:val="auto"/>
                <w:sz w:val="21"/>
                <w:szCs w:val="21"/>
                <w:highlight w:val="none"/>
                <w:lang w:bidi="ar"/>
              </w:rPr>
            </w:pPr>
            <w:r>
              <w:rPr>
                <w:rFonts w:ascii="Times New Roman"/>
                <w:color w:val="auto"/>
                <w:sz w:val="21"/>
                <w:szCs w:val="21"/>
                <w:highlight w:val="none"/>
                <w:lang w:bidi="ar"/>
              </w:rPr>
              <w:t>运输车辆加盖苫布等遮盖物，车辆运输过程中严格限制超载、超速</w:t>
            </w:r>
            <w:r>
              <w:rPr>
                <w:rFonts w:hint="eastAsia" w:ascii="Times New Roman"/>
                <w:color w:val="auto"/>
                <w:sz w:val="21"/>
                <w:szCs w:val="21"/>
                <w:highlight w:val="none"/>
                <w:lang w:bidi="ar"/>
              </w:rPr>
              <w:t>，</w:t>
            </w:r>
            <w:r>
              <w:rPr>
                <w:rFonts w:ascii="Times New Roman"/>
                <w:color w:val="auto"/>
                <w:sz w:val="21"/>
                <w:szCs w:val="21"/>
                <w:highlight w:val="none"/>
                <w:lang w:bidi="ar"/>
              </w:rPr>
              <w:t>定期对运输车辆及施工机械进行维护。</w:t>
            </w:r>
          </w:p>
          <w:p w14:paraId="2375DFF1">
            <w:pPr>
              <w:keepNext w:val="0"/>
              <w:keepLines w:val="0"/>
              <w:suppressLineNumbers w:val="0"/>
              <w:adjustRightInd w:val="0"/>
              <w:snapToGrid w:val="0"/>
              <w:spacing w:before="0" w:beforeAutospacing="0" w:after="0" w:afterAutospacing="0" w:line="240" w:lineRule="auto"/>
              <w:ind w:left="0" w:right="0"/>
              <w:rPr>
                <w:color w:val="auto"/>
                <w:sz w:val="21"/>
                <w:szCs w:val="21"/>
                <w:highlight w:val="none"/>
              </w:rPr>
            </w:pPr>
            <w:r>
              <w:rPr>
                <w:rFonts w:hint="eastAsia" w:ascii="Times New Roman" w:hAnsi="Times New Roman" w:eastAsia="宋体" w:cs="Times New Roman"/>
                <w:color w:val="auto"/>
                <w:sz w:val="21"/>
                <w:szCs w:val="21"/>
                <w:highlight w:val="none"/>
                <w:lang w:val="en-US" w:eastAsia="zh-CN" w:bidi="ar"/>
              </w:rPr>
              <w:t>非作业面以及已碾实的灰渣表面采用密目网或苫布覆盖。当灰面达到设计标高或者很长时间暴露不用，为进一步降低扬尘的产生，应及时洒水降尘，达到复垦条件时应及时覆盖表土，恢复地表植被，未达到复垦条件时应及时用密目网或苫布覆盖，有效防止粉尘产生。</w:t>
            </w:r>
          </w:p>
        </w:tc>
        <w:tc>
          <w:tcPr>
            <w:tcW w:w="671" w:type="dxa"/>
            <w:tcBorders>
              <w:tl2br w:val="nil"/>
              <w:tr2bl w:val="nil"/>
            </w:tcBorders>
            <w:noWrap w:val="0"/>
            <w:vAlign w:val="center"/>
          </w:tcPr>
          <w:p w14:paraId="14F8EC7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新建</w:t>
            </w:r>
          </w:p>
        </w:tc>
      </w:tr>
      <w:tr w14:paraId="4D44C96F">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601F91C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04E06A31">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废水</w:t>
            </w:r>
            <w:r>
              <w:rPr>
                <w:rFonts w:hint="eastAsia" w:ascii="Times New Roman"/>
                <w:color w:val="auto"/>
                <w:sz w:val="21"/>
                <w:szCs w:val="21"/>
                <w:highlight w:val="none"/>
                <w:lang w:bidi="ar"/>
              </w:rPr>
              <w:t>治理</w:t>
            </w:r>
          </w:p>
        </w:tc>
        <w:tc>
          <w:tcPr>
            <w:tcW w:w="6426" w:type="dxa"/>
            <w:tcBorders>
              <w:tl2br w:val="nil"/>
              <w:tr2bl w:val="nil"/>
            </w:tcBorders>
            <w:noWrap w:val="0"/>
            <w:vAlign w:val="center"/>
          </w:tcPr>
          <w:p w14:paraId="4D86233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Times New Roman" w:eastAsia="宋体"/>
                <w:color w:val="auto"/>
                <w:sz w:val="21"/>
                <w:szCs w:val="21"/>
                <w:highlight w:val="none"/>
                <w:lang w:eastAsia="zh-CN" w:bidi="ar"/>
              </w:rPr>
            </w:pPr>
            <w:r>
              <w:rPr>
                <w:rFonts w:ascii="Times New Roman"/>
                <w:color w:val="auto"/>
                <w:sz w:val="21"/>
                <w:szCs w:val="21"/>
                <w:highlight w:val="none"/>
                <w:lang w:bidi="ar"/>
              </w:rPr>
              <w:t>生活污水</w:t>
            </w:r>
            <w:r>
              <w:rPr>
                <w:rFonts w:hint="eastAsia" w:ascii="Times New Roman" w:hAnsi="Times New Roman" w:eastAsia="宋体" w:cs="Times New Roman"/>
                <w:snapToGrid/>
                <w:color w:val="auto"/>
                <w:kern w:val="2"/>
                <w:sz w:val="21"/>
                <w:szCs w:val="21"/>
                <w:highlight w:val="none"/>
                <w:lang w:val="en-US" w:eastAsia="zh-CN" w:bidi="ar-SA"/>
              </w:rPr>
              <w:t>依托民房防渗旱厕</w:t>
            </w:r>
            <w:r>
              <w:rPr>
                <w:rFonts w:ascii="Times New Roman"/>
                <w:color w:val="auto"/>
                <w:sz w:val="21"/>
                <w:szCs w:val="21"/>
                <w:highlight w:val="none"/>
                <w:lang w:bidi="ar"/>
              </w:rPr>
              <w:t>，定期</w:t>
            </w:r>
            <w:r>
              <w:rPr>
                <w:rFonts w:hint="eastAsia" w:ascii="Times New Roman"/>
                <w:color w:val="auto"/>
                <w:sz w:val="21"/>
                <w:szCs w:val="21"/>
                <w:highlight w:val="none"/>
                <w:lang w:eastAsia="zh-CN" w:bidi="ar"/>
              </w:rPr>
              <w:t>外运堆肥。</w:t>
            </w:r>
          </w:p>
          <w:p w14:paraId="5D3E8D84">
            <w:pPr>
              <w:pStyle w:val="22"/>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textAlignment w:val="auto"/>
              <w:rPr>
                <w:rFonts w:hint="default"/>
                <w:color w:val="auto"/>
                <w:sz w:val="21"/>
                <w:szCs w:val="21"/>
                <w:highlight w:val="none"/>
                <w:lang w:val="en-US" w:eastAsia="zh-CN"/>
              </w:rPr>
            </w:pPr>
            <w:r>
              <w:rPr>
                <w:rFonts w:hint="default"/>
                <w:color w:val="auto"/>
                <w:sz w:val="21"/>
                <w:szCs w:val="21"/>
                <w:highlight w:val="none"/>
                <w:lang w:val="en-US" w:eastAsia="zh-CN"/>
              </w:rPr>
              <w:t>在回填区</w:t>
            </w:r>
            <w:r>
              <w:rPr>
                <w:rFonts w:hint="eastAsia"/>
                <w:color w:val="auto"/>
                <w:sz w:val="21"/>
                <w:szCs w:val="21"/>
                <w:highlight w:val="none"/>
                <w:lang w:val="en-US" w:eastAsia="zh-CN"/>
              </w:rPr>
              <w:t>东南</w:t>
            </w:r>
            <w:r>
              <w:rPr>
                <w:rFonts w:hint="default"/>
                <w:color w:val="auto"/>
                <w:sz w:val="21"/>
                <w:szCs w:val="21"/>
                <w:highlight w:val="none"/>
                <w:lang w:val="en-US" w:eastAsia="zh-CN"/>
              </w:rPr>
              <w:t>侧设置1座沉淀池，</w:t>
            </w:r>
            <w:r>
              <w:rPr>
                <w:rFonts w:hint="eastAsia"/>
                <w:color w:val="auto"/>
                <w:sz w:val="21"/>
                <w:szCs w:val="21"/>
                <w:highlight w:val="none"/>
                <w:lang w:val="en-US" w:eastAsia="zh-CN"/>
              </w:rPr>
              <w:t>淋滤水经沉淀池沉淀处理后用于回填区洒水降尘，不外排</w:t>
            </w:r>
            <w:r>
              <w:rPr>
                <w:rFonts w:hint="default"/>
                <w:color w:val="auto"/>
                <w:sz w:val="21"/>
                <w:szCs w:val="21"/>
                <w:highlight w:val="none"/>
                <w:lang w:val="en-US" w:eastAsia="zh-CN"/>
              </w:rPr>
              <w:t>。</w:t>
            </w:r>
            <w:r>
              <w:rPr>
                <w:rFonts w:hint="eastAsia" w:ascii="Times New Roman" w:hAnsi="Times New Roman" w:eastAsia="宋体" w:cs="Times New Roman"/>
                <w:color w:val="auto"/>
                <w:sz w:val="21"/>
                <w:szCs w:val="21"/>
                <w:highlight w:val="none"/>
                <w:lang w:eastAsia="zh-CN"/>
              </w:rPr>
              <w:t>拦挡埂</w:t>
            </w:r>
            <w:r>
              <w:rPr>
                <w:rFonts w:hint="default"/>
                <w:color w:val="auto"/>
                <w:sz w:val="21"/>
                <w:szCs w:val="21"/>
                <w:highlight w:val="none"/>
                <w:lang w:val="en-US" w:eastAsia="zh-CN"/>
              </w:rPr>
              <w:t>位于</w:t>
            </w:r>
            <w:r>
              <w:rPr>
                <w:rFonts w:hint="eastAsia"/>
                <w:color w:val="auto"/>
                <w:sz w:val="21"/>
                <w:szCs w:val="21"/>
                <w:highlight w:val="none"/>
                <w:lang w:val="en-US" w:eastAsia="zh-CN"/>
              </w:rPr>
              <w:t>回填区</w:t>
            </w:r>
            <w:r>
              <w:rPr>
                <w:rFonts w:hint="default"/>
                <w:color w:val="auto"/>
                <w:sz w:val="21"/>
                <w:szCs w:val="21"/>
                <w:highlight w:val="none"/>
                <w:lang w:val="en-US" w:eastAsia="zh-CN"/>
              </w:rPr>
              <w:t>上游（</w:t>
            </w:r>
            <w:r>
              <w:rPr>
                <w:rFonts w:hint="eastAsia"/>
                <w:color w:val="auto"/>
                <w:sz w:val="21"/>
                <w:szCs w:val="21"/>
                <w:highlight w:val="none"/>
                <w:lang w:val="en-US" w:eastAsia="zh-CN"/>
              </w:rPr>
              <w:t>西</w:t>
            </w:r>
            <w:r>
              <w:rPr>
                <w:rFonts w:hint="default"/>
                <w:color w:val="auto"/>
                <w:sz w:val="21"/>
                <w:szCs w:val="21"/>
                <w:highlight w:val="none"/>
                <w:lang w:val="en-US" w:eastAsia="zh-CN"/>
              </w:rPr>
              <w:t>侧及</w:t>
            </w:r>
            <w:r>
              <w:rPr>
                <w:rFonts w:hint="eastAsia"/>
                <w:color w:val="auto"/>
                <w:sz w:val="21"/>
                <w:szCs w:val="21"/>
                <w:highlight w:val="none"/>
                <w:lang w:val="en-US" w:eastAsia="zh-CN"/>
              </w:rPr>
              <w:t>北</w:t>
            </w:r>
            <w:r>
              <w:rPr>
                <w:rFonts w:hint="default"/>
                <w:color w:val="auto"/>
                <w:sz w:val="21"/>
                <w:szCs w:val="21"/>
                <w:highlight w:val="none"/>
                <w:lang w:val="en-US" w:eastAsia="zh-CN"/>
              </w:rPr>
              <w:t>侧），</w:t>
            </w:r>
            <w:r>
              <w:rPr>
                <w:rFonts w:hint="eastAsia"/>
                <w:color w:val="auto"/>
                <w:sz w:val="21"/>
                <w:szCs w:val="21"/>
                <w:highlight w:val="none"/>
                <w:lang w:val="en-US" w:eastAsia="zh-CN"/>
              </w:rPr>
              <w:t>有效防止</w:t>
            </w:r>
            <w:r>
              <w:rPr>
                <w:rFonts w:hint="default"/>
                <w:color w:val="auto"/>
                <w:sz w:val="21"/>
                <w:szCs w:val="21"/>
                <w:highlight w:val="none"/>
                <w:lang w:val="en-US" w:eastAsia="zh-CN"/>
              </w:rPr>
              <w:t>雨水进入</w:t>
            </w:r>
            <w:r>
              <w:rPr>
                <w:rFonts w:hint="eastAsia" w:ascii="Times New Roman"/>
                <w:color w:val="auto"/>
                <w:sz w:val="21"/>
                <w:szCs w:val="21"/>
                <w:highlight w:val="none"/>
                <w:lang w:val="en-US" w:eastAsia="zh-CN"/>
              </w:rPr>
              <w:t>坑</w:t>
            </w:r>
            <w:r>
              <w:rPr>
                <w:rFonts w:hint="default"/>
                <w:color w:val="auto"/>
                <w:sz w:val="21"/>
                <w:szCs w:val="21"/>
                <w:highlight w:val="none"/>
                <w:lang w:val="en-US" w:eastAsia="zh-CN"/>
              </w:rPr>
              <w:t>内。</w:t>
            </w:r>
          </w:p>
        </w:tc>
        <w:tc>
          <w:tcPr>
            <w:tcW w:w="671" w:type="dxa"/>
            <w:tcBorders>
              <w:tl2br w:val="nil"/>
              <w:tr2bl w:val="nil"/>
            </w:tcBorders>
            <w:noWrap w:val="0"/>
            <w:vAlign w:val="center"/>
          </w:tcPr>
          <w:p w14:paraId="3F8B34D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新建</w:t>
            </w:r>
          </w:p>
        </w:tc>
      </w:tr>
      <w:tr w14:paraId="5EEEF1E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205819E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3548E23F">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噪声</w:t>
            </w:r>
            <w:r>
              <w:rPr>
                <w:rFonts w:hint="eastAsia" w:ascii="Times New Roman"/>
                <w:color w:val="auto"/>
                <w:sz w:val="21"/>
                <w:szCs w:val="21"/>
                <w:highlight w:val="none"/>
                <w:lang w:bidi="ar"/>
              </w:rPr>
              <w:t>治理</w:t>
            </w:r>
          </w:p>
        </w:tc>
        <w:tc>
          <w:tcPr>
            <w:tcW w:w="6426" w:type="dxa"/>
            <w:tcBorders>
              <w:tl2br w:val="nil"/>
              <w:tr2bl w:val="nil"/>
            </w:tcBorders>
            <w:noWrap w:val="0"/>
            <w:vAlign w:val="center"/>
          </w:tcPr>
          <w:p w14:paraId="6C5D1738">
            <w:pPr>
              <w:keepNext w:val="0"/>
              <w:keepLines w:val="0"/>
              <w:suppressLineNumbers w:val="0"/>
              <w:adjustRightInd w:val="0"/>
              <w:snapToGrid w:val="0"/>
              <w:spacing w:before="0" w:beforeAutospacing="0" w:after="0" w:afterAutospacing="0" w:line="240" w:lineRule="auto"/>
              <w:ind w:left="0" w:right="0"/>
              <w:rPr>
                <w:rFonts w:hint="default" w:ascii="Times New Roman" w:eastAsia="宋体"/>
                <w:color w:val="auto"/>
                <w:sz w:val="21"/>
                <w:szCs w:val="21"/>
                <w:highlight w:val="none"/>
                <w:lang w:val="en-US" w:eastAsia="zh-CN" w:bidi="ar"/>
              </w:rPr>
            </w:pPr>
            <w:r>
              <w:rPr>
                <w:rFonts w:ascii="Times New Roman"/>
                <w:color w:val="auto"/>
                <w:sz w:val="21"/>
                <w:szCs w:val="21"/>
                <w:highlight w:val="none"/>
                <w:lang w:bidi="ar"/>
              </w:rPr>
              <w:t>选择低噪声设备</w:t>
            </w:r>
            <w:r>
              <w:rPr>
                <w:rFonts w:hint="eastAsia" w:ascii="Times New Roman"/>
                <w:color w:val="auto"/>
                <w:sz w:val="21"/>
                <w:szCs w:val="21"/>
                <w:highlight w:val="none"/>
                <w:lang w:bidi="ar"/>
              </w:rPr>
              <w:t>，</w:t>
            </w:r>
            <w:r>
              <w:rPr>
                <w:rFonts w:ascii="Times New Roman"/>
                <w:color w:val="auto"/>
                <w:sz w:val="21"/>
                <w:szCs w:val="21"/>
                <w:highlight w:val="none"/>
                <w:lang w:bidi="ar"/>
              </w:rPr>
              <w:t>加强作业机械维修</w:t>
            </w:r>
            <w:r>
              <w:rPr>
                <w:rFonts w:hint="eastAsia" w:ascii="Times New Roman"/>
                <w:color w:val="auto"/>
                <w:sz w:val="21"/>
                <w:szCs w:val="21"/>
                <w:highlight w:val="none"/>
                <w:lang w:val="en-US" w:eastAsia="zh-CN" w:bidi="ar"/>
              </w:rPr>
              <w:t>保养</w:t>
            </w:r>
            <w:r>
              <w:rPr>
                <w:rFonts w:ascii="Times New Roman"/>
                <w:color w:val="auto"/>
                <w:sz w:val="21"/>
                <w:szCs w:val="21"/>
                <w:highlight w:val="none"/>
                <w:lang w:bidi="ar"/>
              </w:rPr>
              <w:t>、管理</w:t>
            </w:r>
            <w:r>
              <w:rPr>
                <w:rFonts w:hint="eastAsia" w:ascii="Times New Roman"/>
                <w:color w:val="auto"/>
                <w:sz w:val="21"/>
                <w:szCs w:val="21"/>
                <w:highlight w:val="none"/>
                <w:lang w:bidi="ar"/>
              </w:rPr>
              <w:t>，</w:t>
            </w:r>
            <w:r>
              <w:rPr>
                <w:rFonts w:ascii="Times New Roman"/>
                <w:color w:val="auto"/>
                <w:sz w:val="21"/>
                <w:szCs w:val="21"/>
                <w:highlight w:val="none"/>
              </w:rPr>
              <w:t>防止高噪声设备同时运行</w:t>
            </w:r>
            <w:r>
              <w:rPr>
                <w:rFonts w:hint="eastAsia" w:ascii="Times New Roman"/>
                <w:color w:val="auto"/>
                <w:sz w:val="21"/>
                <w:szCs w:val="21"/>
                <w:highlight w:val="none"/>
              </w:rPr>
              <w:t>，</w:t>
            </w:r>
            <w:r>
              <w:rPr>
                <w:rFonts w:ascii="Times New Roman"/>
                <w:color w:val="auto"/>
                <w:sz w:val="21"/>
                <w:szCs w:val="21"/>
                <w:highlight w:val="none"/>
                <w:lang w:bidi="ar"/>
              </w:rPr>
              <w:t>作业现场合理布局</w:t>
            </w:r>
            <w:r>
              <w:rPr>
                <w:rFonts w:hint="eastAsia" w:ascii="Times New Roman"/>
                <w:color w:val="auto"/>
                <w:sz w:val="21"/>
                <w:szCs w:val="21"/>
                <w:highlight w:val="none"/>
                <w:lang w:eastAsia="zh-CN" w:bidi="ar"/>
              </w:rPr>
              <w:t>，</w:t>
            </w:r>
            <w:r>
              <w:rPr>
                <w:rFonts w:hint="eastAsia" w:ascii="Times New Roman"/>
                <w:color w:val="auto"/>
                <w:sz w:val="21"/>
                <w:szCs w:val="21"/>
                <w:highlight w:val="none"/>
                <w:lang w:val="en-US" w:eastAsia="zh-CN" w:bidi="ar"/>
              </w:rPr>
              <w:t>设置</w:t>
            </w:r>
            <w:r>
              <w:rPr>
                <w:rFonts w:hint="eastAsia" w:ascii="Times New Roman"/>
                <w:color w:val="auto"/>
                <w:sz w:val="21"/>
                <w:szCs w:val="21"/>
                <w:highlight w:val="none"/>
                <w:lang w:eastAsia="zh-CN" w:bidi="ar"/>
              </w:rPr>
              <w:t>隔声隔尘挡板，</w:t>
            </w:r>
            <w:r>
              <w:rPr>
                <w:rFonts w:ascii="Times New Roman"/>
                <w:color w:val="auto"/>
                <w:sz w:val="21"/>
                <w:szCs w:val="21"/>
                <w:highlight w:val="none"/>
                <w:lang w:bidi="ar"/>
              </w:rPr>
              <w:t>运输车辆限速。</w:t>
            </w:r>
          </w:p>
        </w:tc>
        <w:tc>
          <w:tcPr>
            <w:tcW w:w="671" w:type="dxa"/>
            <w:tcBorders>
              <w:tl2br w:val="nil"/>
              <w:tr2bl w:val="nil"/>
            </w:tcBorders>
            <w:noWrap w:val="0"/>
            <w:vAlign w:val="center"/>
          </w:tcPr>
          <w:p w14:paraId="1C5B2A8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新建</w:t>
            </w:r>
          </w:p>
        </w:tc>
      </w:tr>
      <w:tr w14:paraId="7C38D9C9">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124AD754">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3B6D4AD3">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固废</w:t>
            </w:r>
            <w:r>
              <w:rPr>
                <w:rFonts w:hint="eastAsia" w:ascii="Times New Roman"/>
                <w:color w:val="auto"/>
                <w:sz w:val="21"/>
                <w:szCs w:val="21"/>
                <w:highlight w:val="none"/>
                <w:lang w:bidi="ar"/>
              </w:rPr>
              <w:t>治理</w:t>
            </w:r>
          </w:p>
        </w:tc>
        <w:tc>
          <w:tcPr>
            <w:tcW w:w="6426" w:type="dxa"/>
            <w:tcBorders>
              <w:tl2br w:val="nil"/>
              <w:tr2bl w:val="nil"/>
            </w:tcBorders>
            <w:noWrap w:val="0"/>
            <w:vAlign w:val="center"/>
          </w:tcPr>
          <w:p w14:paraId="4A7FBAB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ascii="Times New Roman"/>
                <w:color w:val="auto"/>
                <w:sz w:val="21"/>
                <w:szCs w:val="21"/>
                <w:highlight w:val="none"/>
              </w:rPr>
            </w:pPr>
            <w:r>
              <w:rPr>
                <w:rFonts w:ascii="Times New Roman"/>
                <w:color w:val="auto"/>
                <w:sz w:val="21"/>
                <w:szCs w:val="21"/>
                <w:highlight w:val="none"/>
              </w:rPr>
              <w:t>施工期场底</w:t>
            </w:r>
            <w:r>
              <w:rPr>
                <w:rFonts w:hint="eastAsia" w:ascii="Times New Roman"/>
                <w:color w:val="auto"/>
                <w:sz w:val="21"/>
                <w:szCs w:val="21"/>
                <w:highlight w:val="none"/>
                <w:lang w:val="en-US" w:eastAsia="zh-CN"/>
              </w:rPr>
              <w:t>平整产生的土方</w:t>
            </w:r>
            <w:r>
              <w:rPr>
                <w:rFonts w:ascii="Times New Roman"/>
                <w:color w:val="auto"/>
                <w:sz w:val="21"/>
                <w:szCs w:val="21"/>
                <w:highlight w:val="none"/>
              </w:rPr>
              <w:t>全部回填</w:t>
            </w:r>
            <w:r>
              <w:rPr>
                <w:rFonts w:hint="eastAsia" w:ascii="Times New Roman"/>
                <w:color w:val="auto"/>
                <w:sz w:val="21"/>
                <w:szCs w:val="21"/>
                <w:highlight w:val="none"/>
                <w:lang w:val="en-US" w:eastAsia="zh-CN"/>
              </w:rPr>
              <w:t>使用，不外排</w:t>
            </w:r>
            <w:r>
              <w:rPr>
                <w:rFonts w:ascii="Times New Roman"/>
                <w:color w:val="auto"/>
                <w:sz w:val="21"/>
                <w:szCs w:val="21"/>
                <w:highlight w:val="none"/>
              </w:rPr>
              <w:t>。</w:t>
            </w:r>
          </w:p>
          <w:p w14:paraId="4068AC8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ascii="Times New Roman"/>
                <w:color w:val="auto"/>
                <w:sz w:val="21"/>
                <w:szCs w:val="21"/>
                <w:highlight w:val="none"/>
                <w:lang w:bidi="ar"/>
              </w:rPr>
            </w:pPr>
            <w:r>
              <w:rPr>
                <w:rFonts w:ascii="Times New Roman"/>
                <w:color w:val="auto"/>
                <w:sz w:val="21"/>
                <w:szCs w:val="21"/>
                <w:highlight w:val="none"/>
              </w:rPr>
              <w:t>生活垃圾</w:t>
            </w:r>
            <w:r>
              <w:rPr>
                <w:rFonts w:hint="eastAsia" w:ascii="Times New Roman"/>
                <w:color w:val="auto"/>
                <w:sz w:val="21"/>
                <w:szCs w:val="21"/>
                <w:highlight w:val="none"/>
              </w:rPr>
              <w:t>集中</w:t>
            </w:r>
            <w:r>
              <w:rPr>
                <w:rFonts w:ascii="Times New Roman"/>
                <w:color w:val="auto"/>
                <w:sz w:val="21"/>
                <w:szCs w:val="21"/>
                <w:highlight w:val="none"/>
              </w:rPr>
              <w:t>收集后，</w:t>
            </w:r>
            <w:r>
              <w:rPr>
                <w:rFonts w:hint="eastAsia" w:ascii="Times New Roman"/>
                <w:color w:val="auto"/>
                <w:sz w:val="21"/>
                <w:szCs w:val="21"/>
                <w:highlight w:val="none"/>
                <w:lang w:val="en-US" w:eastAsia="zh-CN"/>
              </w:rPr>
              <w:t>定期由市政环卫部门处理</w:t>
            </w:r>
            <w:r>
              <w:rPr>
                <w:rFonts w:ascii="Times New Roman"/>
                <w:color w:val="auto"/>
                <w:sz w:val="21"/>
                <w:szCs w:val="21"/>
                <w:highlight w:val="none"/>
                <w:lang w:bidi="ar"/>
              </w:rPr>
              <w:t>。</w:t>
            </w:r>
          </w:p>
          <w:p w14:paraId="188BB653">
            <w:pPr>
              <w:pStyle w:val="22"/>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textAlignment w:val="auto"/>
              <w:rPr>
                <w:rFonts w:hint="default"/>
                <w:color w:val="auto"/>
                <w:sz w:val="21"/>
                <w:szCs w:val="21"/>
                <w:highlight w:val="none"/>
                <w:lang w:val="en-US"/>
              </w:rPr>
            </w:pPr>
            <w:r>
              <w:rPr>
                <w:rFonts w:hint="eastAsia"/>
                <w:color w:val="auto"/>
                <w:sz w:val="21"/>
                <w:szCs w:val="21"/>
                <w:highlight w:val="none"/>
                <w:lang w:val="en-US" w:eastAsia="zh-CN" w:bidi="ar"/>
              </w:rPr>
              <w:t>沉淀池产生的</w:t>
            </w:r>
            <w:r>
              <w:rPr>
                <w:rFonts w:hint="eastAsia" w:ascii="Times New Roman" w:hAnsi="Times New Roman" w:eastAsia="宋体" w:cs="Times New Roman"/>
                <w:color w:val="auto"/>
                <w:sz w:val="21"/>
                <w:szCs w:val="21"/>
                <w:highlight w:val="none"/>
                <w:lang w:val="en-US" w:eastAsia="zh-CN"/>
              </w:rPr>
              <w:t>沉渣在沉淀池内经自然沉淀后，集中收集综合利用厂区修路。</w:t>
            </w:r>
          </w:p>
        </w:tc>
        <w:tc>
          <w:tcPr>
            <w:tcW w:w="671" w:type="dxa"/>
            <w:tcBorders>
              <w:tl2br w:val="nil"/>
              <w:tr2bl w:val="nil"/>
            </w:tcBorders>
            <w:noWrap w:val="0"/>
            <w:vAlign w:val="center"/>
          </w:tcPr>
          <w:p w14:paraId="4D3B7512">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新建</w:t>
            </w:r>
          </w:p>
        </w:tc>
      </w:tr>
      <w:tr w14:paraId="4F889C5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189D9E8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55A0CB1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地下水</w:t>
            </w:r>
          </w:p>
        </w:tc>
        <w:tc>
          <w:tcPr>
            <w:tcW w:w="6426" w:type="dxa"/>
            <w:tcBorders>
              <w:tl2br w:val="nil"/>
              <w:tr2bl w:val="nil"/>
            </w:tcBorders>
            <w:noWrap w:val="0"/>
            <w:vAlign w:val="center"/>
          </w:tcPr>
          <w:p w14:paraId="4EB2659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Times New Roman"/>
                <w:color w:val="auto"/>
                <w:sz w:val="21"/>
                <w:szCs w:val="21"/>
                <w:highlight w:val="none"/>
                <w:shd w:val="clear" w:color="auto" w:fill="FFFFFF"/>
                <w:lang w:eastAsia="zh-CN"/>
              </w:rPr>
            </w:pPr>
            <w:r>
              <w:rPr>
                <w:rFonts w:hint="eastAsia" w:ascii="Times New Roman"/>
                <w:color w:val="auto"/>
                <w:sz w:val="21"/>
                <w:szCs w:val="21"/>
                <w:highlight w:val="none"/>
                <w:shd w:val="clear" w:color="auto" w:fill="FFFFFF"/>
              </w:rPr>
              <w:t>本</w:t>
            </w:r>
            <w:r>
              <w:rPr>
                <w:rFonts w:hint="eastAsia" w:ascii="Times New Roman"/>
                <w:color w:val="auto"/>
                <w:sz w:val="21"/>
                <w:szCs w:val="21"/>
                <w:highlight w:val="none"/>
                <w:shd w:val="clear" w:color="auto" w:fill="FFFFFF"/>
                <w:lang w:val="en-US" w:eastAsia="zh-CN"/>
              </w:rPr>
              <w:t>项目</w:t>
            </w:r>
            <w:r>
              <w:rPr>
                <w:rFonts w:hint="eastAsia" w:ascii="Times New Roman"/>
                <w:color w:val="auto"/>
                <w:sz w:val="21"/>
                <w:szCs w:val="21"/>
                <w:highlight w:val="none"/>
                <w:shd w:val="clear" w:color="auto" w:fill="FFFFFF"/>
              </w:rPr>
              <w:t>在</w:t>
            </w:r>
            <w:r>
              <w:rPr>
                <w:rFonts w:hint="eastAsia" w:ascii="Times New Roman"/>
                <w:color w:val="auto"/>
                <w:sz w:val="21"/>
                <w:szCs w:val="21"/>
                <w:highlight w:val="none"/>
                <w:lang w:val="en-US" w:eastAsia="zh-CN"/>
              </w:rPr>
              <w:t>采砂坑</w:t>
            </w:r>
            <w:r>
              <w:rPr>
                <w:rFonts w:hint="eastAsia" w:ascii="Times New Roman"/>
                <w:color w:val="auto"/>
                <w:sz w:val="21"/>
                <w:szCs w:val="21"/>
                <w:highlight w:val="none"/>
                <w:shd w:val="clear" w:color="auto" w:fill="FFFFFF"/>
              </w:rPr>
              <w:t>场地底部</w:t>
            </w:r>
            <w:r>
              <w:rPr>
                <w:rFonts w:hint="eastAsia" w:ascii="Times New Roman"/>
                <w:color w:val="auto"/>
                <w:sz w:val="21"/>
                <w:szCs w:val="21"/>
                <w:highlight w:val="none"/>
                <w:shd w:val="clear" w:color="auto" w:fill="FFFFFF"/>
                <w:lang w:val="en-US" w:eastAsia="zh-CN"/>
              </w:rPr>
              <w:t>做基础防渗，</w:t>
            </w:r>
            <w:r>
              <w:rPr>
                <w:rFonts w:hint="eastAsia" w:ascii="Times New Roman"/>
                <w:color w:val="auto"/>
                <w:sz w:val="21"/>
                <w:szCs w:val="21"/>
                <w:highlight w:val="none"/>
                <w:shd w:val="clear" w:color="auto" w:fill="FFFFFF"/>
              </w:rPr>
              <w:t>其渗透系数</w:t>
            </w:r>
            <w:r>
              <w:rPr>
                <w:rFonts w:hint="eastAsia" w:ascii="Times New Roman"/>
                <w:color w:val="auto"/>
                <w:sz w:val="21"/>
                <w:szCs w:val="21"/>
                <w:highlight w:val="none"/>
                <w:shd w:val="clear" w:color="auto" w:fill="FFFFFF"/>
                <w:lang w:val="en-US" w:eastAsia="zh-CN"/>
              </w:rPr>
              <w:t>K≤</w:t>
            </w:r>
            <w:r>
              <w:rPr>
                <w:rFonts w:hint="eastAsia" w:ascii="Times New Roman"/>
                <w:color w:val="auto"/>
                <w:sz w:val="21"/>
                <w:szCs w:val="21"/>
                <w:highlight w:val="none"/>
                <w:shd w:val="clear" w:color="auto" w:fill="FFFFFF"/>
              </w:rPr>
              <w:t>1.0×10</w:t>
            </w:r>
            <w:r>
              <w:rPr>
                <w:rFonts w:hint="eastAsia" w:ascii="Times New Roman"/>
                <w:color w:val="auto"/>
                <w:sz w:val="21"/>
                <w:szCs w:val="21"/>
                <w:highlight w:val="none"/>
                <w:shd w:val="clear" w:color="auto" w:fill="FFFFFF"/>
                <w:vertAlign w:val="superscript"/>
              </w:rPr>
              <w:t>-</w:t>
            </w:r>
            <w:r>
              <w:rPr>
                <w:rFonts w:hint="eastAsia" w:ascii="Times New Roman"/>
                <w:color w:val="auto"/>
                <w:sz w:val="21"/>
                <w:szCs w:val="21"/>
                <w:highlight w:val="none"/>
                <w:shd w:val="clear" w:color="auto" w:fill="FFFFFF"/>
                <w:vertAlign w:val="superscript"/>
                <w:lang w:val="en-US" w:eastAsia="zh-CN"/>
              </w:rPr>
              <w:t>7</w:t>
            </w:r>
            <w:r>
              <w:rPr>
                <w:rFonts w:hint="eastAsia" w:ascii="Times New Roman"/>
                <w:color w:val="auto"/>
                <w:sz w:val="21"/>
                <w:szCs w:val="21"/>
                <w:highlight w:val="none"/>
                <w:shd w:val="clear" w:color="auto" w:fill="FFFFFF"/>
              </w:rPr>
              <w:t>cm/s</w:t>
            </w:r>
            <w:r>
              <w:rPr>
                <w:rFonts w:hint="eastAsia" w:ascii="Times New Roman"/>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rPr>
              <w:t>能够满足《一般工业固体废物贮存和填埋污染控制标准》（GB18599-2020）I类一般工业固体废物填埋场设置要求</w:t>
            </w:r>
            <w:r>
              <w:rPr>
                <w:rFonts w:hint="eastAsia" w:ascii="Times New Roman"/>
                <w:color w:val="auto"/>
                <w:sz w:val="21"/>
                <w:szCs w:val="21"/>
                <w:highlight w:val="none"/>
                <w:shd w:val="clear" w:color="auto" w:fill="FFFFFF"/>
                <w:lang w:eastAsia="zh-CN"/>
              </w:rPr>
              <w:t>。</w:t>
            </w:r>
          </w:p>
          <w:p w14:paraId="0934ED19">
            <w:pPr>
              <w:pStyle w:val="22"/>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textAlignment w:val="auto"/>
              <w:rPr>
                <w:rFonts w:hint="default"/>
                <w:color w:val="auto"/>
                <w:sz w:val="21"/>
                <w:szCs w:val="21"/>
                <w:highlight w:val="none"/>
                <w:lang w:val="en-US" w:eastAsia="zh-CN"/>
              </w:rPr>
            </w:pPr>
            <w:r>
              <w:rPr>
                <w:rFonts w:ascii="Times New Roman" w:hAnsi="Times New Roman" w:eastAsia="宋体" w:cs="Times New Roman"/>
                <w:color w:val="auto"/>
                <w:sz w:val="21"/>
                <w:szCs w:val="21"/>
                <w:highlight w:val="none"/>
              </w:rPr>
              <w:t>设地下水</w:t>
            </w:r>
            <w:r>
              <w:rPr>
                <w:rFonts w:hint="eastAsia" w:ascii="Times New Roman" w:hAnsi="Times New Roman" w:eastAsia="宋体" w:cs="Times New Roman"/>
                <w:color w:val="auto"/>
                <w:sz w:val="21"/>
                <w:szCs w:val="21"/>
                <w:highlight w:val="none"/>
                <w:lang w:val="en-US" w:eastAsia="zh-CN"/>
              </w:rPr>
              <w:t>跟踪</w:t>
            </w:r>
            <w:r>
              <w:rPr>
                <w:rFonts w:ascii="Times New Roman" w:hAnsi="Times New Roman" w:eastAsia="宋体" w:cs="Times New Roman"/>
                <w:color w:val="auto"/>
                <w:sz w:val="21"/>
                <w:szCs w:val="21"/>
                <w:highlight w:val="none"/>
              </w:rPr>
              <w:t>监测井</w:t>
            </w:r>
            <w:r>
              <w:rPr>
                <w:rFonts w:hint="eastAsia" w:ascii="Times New Roman" w:hAnsi="Times New Roman" w:eastAsia="宋体" w:cs="Times New Roman"/>
                <w:color w:val="auto"/>
                <w:sz w:val="21"/>
                <w:szCs w:val="21"/>
                <w:highlight w:val="none"/>
                <w:lang w:val="en-US" w:eastAsia="zh-CN"/>
              </w:rPr>
              <w:t>3</w:t>
            </w:r>
            <w:r>
              <w:rPr>
                <w:rFonts w:ascii="Times New Roman" w:hAnsi="Times New Roman" w:eastAsia="宋体" w:cs="Times New Roman"/>
                <w:color w:val="auto"/>
                <w:sz w:val="21"/>
                <w:szCs w:val="21"/>
                <w:highlight w:val="none"/>
              </w:rPr>
              <w:t>眼。</w:t>
            </w:r>
            <w:r>
              <w:rPr>
                <w:rFonts w:hint="default"/>
                <w:color w:val="auto"/>
                <w:sz w:val="21"/>
                <w:szCs w:val="21"/>
                <w:highlight w:val="none"/>
                <w:lang w:val="en-US" w:eastAsia="zh-CN"/>
              </w:rPr>
              <w:t>设1口背景监测井</w:t>
            </w:r>
            <w:r>
              <w:rPr>
                <w:rFonts w:hint="eastAsia"/>
                <w:color w:val="auto"/>
                <w:sz w:val="21"/>
                <w:szCs w:val="21"/>
                <w:highlight w:val="none"/>
                <w:lang w:val="en-US" w:eastAsia="zh-CN"/>
              </w:rPr>
              <w:t>，位于回填区地下水上游，回填区厂界南侧350m处（</w:t>
            </w:r>
            <w:r>
              <w:rPr>
                <w:rFonts w:hint="eastAsia" w:ascii="Times New Roman" w:hAnsi="Times New Roman" w:cs="Times New Roman"/>
                <w:color w:val="auto"/>
                <w:sz w:val="21"/>
                <w:szCs w:val="21"/>
                <w:highlight w:val="none"/>
                <w:lang w:val="en-US" w:eastAsia="zh-CN" w:bidi="ar-SA"/>
              </w:rPr>
              <w:t>元宝村</w:t>
            </w:r>
            <w:r>
              <w:rPr>
                <w:rFonts w:ascii="Times New Roman"/>
                <w:color w:val="auto"/>
                <w:sz w:val="21"/>
                <w:szCs w:val="21"/>
                <w:highlight w:val="none"/>
                <w:lang w:bidi="ar"/>
              </w:rPr>
              <w:t>散户水井</w:t>
            </w:r>
            <w:r>
              <w:rPr>
                <w:rFonts w:hint="default"/>
                <w:color w:val="auto"/>
                <w:sz w:val="21"/>
                <w:szCs w:val="21"/>
                <w:highlight w:val="none"/>
                <w:lang w:val="en-US" w:eastAsia="zh-CN"/>
              </w:rPr>
              <w:t>）</w:t>
            </w:r>
            <w:r>
              <w:rPr>
                <w:rFonts w:hint="eastAsia"/>
                <w:color w:val="auto"/>
                <w:sz w:val="21"/>
                <w:szCs w:val="21"/>
                <w:highlight w:val="none"/>
                <w:lang w:val="en-US" w:eastAsia="zh-CN"/>
              </w:rPr>
              <w:t>。</w:t>
            </w:r>
            <w:r>
              <w:rPr>
                <w:rFonts w:hint="default"/>
                <w:color w:val="auto"/>
                <w:sz w:val="21"/>
                <w:szCs w:val="21"/>
                <w:highlight w:val="none"/>
                <w:lang w:val="en-US" w:eastAsia="zh-CN"/>
              </w:rPr>
              <w:t>新建1口地下水跟踪监测井</w:t>
            </w:r>
            <w:r>
              <w:rPr>
                <w:rFonts w:hint="eastAsia"/>
                <w:color w:val="auto"/>
                <w:sz w:val="21"/>
                <w:szCs w:val="21"/>
                <w:highlight w:val="none"/>
                <w:lang w:val="en-US" w:eastAsia="zh-CN"/>
              </w:rPr>
              <w:t>，回填区地下水</w:t>
            </w:r>
            <w:r>
              <w:rPr>
                <w:rFonts w:hint="default"/>
                <w:color w:val="auto"/>
                <w:sz w:val="21"/>
                <w:szCs w:val="21"/>
                <w:highlight w:val="none"/>
                <w:lang w:val="en-US" w:eastAsia="zh-CN"/>
              </w:rPr>
              <w:t>下游</w:t>
            </w:r>
            <w:r>
              <w:rPr>
                <w:rFonts w:hint="eastAsia"/>
                <w:color w:val="auto"/>
                <w:sz w:val="21"/>
                <w:szCs w:val="21"/>
                <w:highlight w:val="none"/>
                <w:lang w:val="en-US" w:eastAsia="zh-CN"/>
              </w:rPr>
              <w:t>，回填区厂界东北</w:t>
            </w:r>
            <w:r>
              <w:rPr>
                <w:rFonts w:hint="default"/>
                <w:color w:val="auto"/>
                <w:sz w:val="21"/>
                <w:szCs w:val="21"/>
                <w:highlight w:val="none"/>
                <w:lang w:val="en-US" w:eastAsia="zh-CN"/>
              </w:rPr>
              <w:t>侧15m处</w:t>
            </w:r>
            <w:r>
              <w:rPr>
                <w:rFonts w:hint="eastAsia"/>
                <w:color w:val="auto"/>
                <w:sz w:val="21"/>
                <w:szCs w:val="21"/>
                <w:highlight w:val="none"/>
                <w:lang w:val="en-US" w:eastAsia="zh-CN"/>
              </w:rPr>
              <w:t>。</w:t>
            </w:r>
            <w:r>
              <w:rPr>
                <w:rFonts w:hint="default"/>
                <w:color w:val="auto"/>
                <w:sz w:val="21"/>
                <w:szCs w:val="21"/>
                <w:highlight w:val="none"/>
                <w:lang w:val="en-US" w:eastAsia="zh-CN"/>
              </w:rPr>
              <w:t>设1口</w:t>
            </w:r>
            <w:r>
              <w:rPr>
                <w:rFonts w:hint="eastAsia"/>
                <w:color w:val="auto"/>
                <w:sz w:val="21"/>
                <w:szCs w:val="21"/>
                <w:highlight w:val="none"/>
                <w:lang w:val="en-US" w:eastAsia="zh-CN"/>
              </w:rPr>
              <w:t>跟踪</w:t>
            </w:r>
            <w:r>
              <w:rPr>
                <w:rFonts w:hint="default"/>
                <w:color w:val="auto"/>
                <w:sz w:val="21"/>
                <w:szCs w:val="21"/>
                <w:highlight w:val="none"/>
                <w:lang w:val="en-US" w:eastAsia="zh-CN"/>
              </w:rPr>
              <w:t>监测井</w:t>
            </w:r>
            <w:r>
              <w:rPr>
                <w:rFonts w:hint="eastAsia"/>
                <w:color w:val="auto"/>
                <w:sz w:val="21"/>
                <w:szCs w:val="21"/>
                <w:highlight w:val="none"/>
                <w:lang w:val="en-US" w:eastAsia="zh-CN"/>
              </w:rPr>
              <w:t>，位于回填区地下水下游，回填区厂界东北侧1050m处（洪福村</w:t>
            </w:r>
            <w:r>
              <w:rPr>
                <w:rFonts w:hint="default"/>
                <w:color w:val="auto"/>
                <w:sz w:val="21"/>
                <w:szCs w:val="21"/>
                <w:highlight w:val="none"/>
                <w:lang w:val="en-US" w:eastAsia="zh-CN"/>
              </w:rPr>
              <w:t>散户水井）</w:t>
            </w:r>
            <w:r>
              <w:rPr>
                <w:rFonts w:hint="eastAsia"/>
                <w:color w:val="auto"/>
                <w:sz w:val="21"/>
                <w:szCs w:val="21"/>
                <w:highlight w:val="none"/>
                <w:lang w:val="en-US" w:eastAsia="zh-CN"/>
              </w:rPr>
              <w:t>。</w:t>
            </w:r>
          </w:p>
        </w:tc>
        <w:tc>
          <w:tcPr>
            <w:tcW w:w="671" w:type="dxa"/>
            <w:tcBorders>
              <w:tl2br w:val="nil"/>
              <w:tr2bl w:val="nil"/>
            </w:tcBorders>
            <w:noWrap w:val="0"/>
            <w:vAlign w:val="center"/>
          </w:tcPr>
          <w:p w14:paraId="1C7960D1">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color w:val="auto"/>
                <w:sz w:val="21"/>
                <w:szCs w:val="21"/>
                <w:highlight w:val="none"/>
                <w:lang w:bidi="ar"/>
              </w:rPr>
            </w:pPr>
            <w:r>
              <w:rPr>
                <w:rFonts w:hint="eastAsia" w:ascii="Times New Roman"/>
                <w:color w:val="auto"/>
                <w:sz w:val="21"/>
                <w:szCs w:val="21"/>
                <w:highlight w:val="none"/>
                <w:lang w:bidi="ar"/>
              </w:rPr>
              <w:t>新建</w:t>
            </w:r>
          </w:p>
        </w:tc>
      </w:tr>
      <w:tr w14:paraId="2A21A16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73" w:type="dxa"/>
            <w:vMerge w:val="continue"/>
            <w:tcBorders>
              <w:tl2br w:val="nil"/>
              <w:tr2bl w:val="nil"/>
            </w:tcBorders>
            <w:noWrap w:val="0"/>
            <w:vAlign w:val="center"/>
          </w:tcPr>
          <w:p w14:paraId="61A6BF05">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488" w:type="dxa"/>
            <w:tcBorders>
              <w:tl2br w:val="nil"/>
              <w:tr2bl w:val="nil"/>
            </w:tcBorders>
            <w:noWrap w:val="0"/>
            <w:vAlign w:val="center"/>
          </w:tcPr>
          <w:p w14:paraId="2E34E625">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生态</w:t>
            </w:r>
            <w:r>
              <w:rPr>
                <w:rFonts w:hint="eastAsia" w:ascii="Times New Roman"/>
                <w:color w:val="auto"/>
                <w:sz w:val="21"/>
                <w:szCs w:val="21"/>
                <w:highlight w:val="none"/>
                <w:lang w:bidi="ar"/>
              </w:rPr>
              <w:t>治理</w:t>
            </w:r>
          </w:p>
        </w:tc>
        <w:tc>
          <w:tcPr>
            <w:tcW w:w="6426" w:type="dxa"/>
            <w:tcBorders>
              <w:tl2br w:val="nil"/>
              <w:tr2bl w:val="nil"/>
            </w:tcBorders>
            <w:noWrap w:val="0"/>
            <w:vAlign w:val="center"/>
          </w:tcPr>
          <w:p w14:paraId="47C42E4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Times New Roman"/>
                <w:color w:val="auto"/>
                <w:sz w:val="21"/>
                <w:szCs w:val="21"/>
                <w:highlight w:val="none"/>
                <w:lang w:val="en-US" w:eastAsia="zh-CN"/>
              </w:rPr>
            </w:pPr>
            <w:r>
              <w:rPr>
                <w:rFonts w:hint="eastAsia" w:ascii="Times New Roman"/>
                <w:color w:val="auto"/>
                <w:sz w:val="21"/>
                <w:szCs w:val="21"/>
                <w:highlight w:val="none"/>
                <w:lang w:val="en-US" w:eastAsia="zh-CN"/>
              </w:rPr>
              <w:t>表土拉运至场地内直接进行回填，不进行堆存。</w:t>
            </w:r>
          </w:p>
          <w:p w14:paraId="2ADFB358">
            <w:pPr>
              <w:keepNext w:val="0"/>
              <w:keepLines w:val="0"/>
              <w:suppressLineNumbers w:val="0"/>
              <w:adjustRightInd w:val="0"/>
              <w:snapToGrid w:val="0"/>
              <w:spacing w:before="0" w:beforeAutospacing="0" w:after="0" w:afterAutospacing="0" w:line="240" w:lineRule="auto"/>
              <w:ind w:left="0" w:right="0"/>
              <w:rPr>
                <w:rFonts w:hint="eastAsia" w:ascii="Times New Roman" w:eastAsia="宋体"/>
                <w:color w:val="auto"/>
                <w:sz w:val="21"/>
                <w:szCs w:val="21"/>
                <w:highlight w:val="none"/>
                <w:lang w:eastAsia="zh-CN" w:bidi="ar"/>
              </w:rPr>
            </w:pPr>
            <w:r>
              <w:rPr>
                <w:rFonts w:hint="eastAsia" w:ascii="Times New Roman" w:hAnsi="Times New Roman" w:eastAsia="宋体" w:cs="Times New Roman"/>
                <w:color w:val="auto"/>
                <w:sz w:val="21"/>
                <w:szCs w:val="21"/>
                <w:highlight w:val="none"/>
                <w:lang w:val="en-US" w:eastAsia="zh-CN" w:bidi="ar-SA"/>
              </w:rPr>
              <w:t>林地：林</w:t>
            </w:r>
            <w:r>
              <w:rPr>
                <w:rFonts w:hint="default" w:ascii="Times New Roman" w:hAnsi="Times New Roman" w:eastAsia="宋体" w:cs="Times New Roman"/>
                <w:color w:val="auto"/>
                <w:sz w:val="21"/>
                <w:szCs w:val="21"/>
                <w:highlight w:val="none"/>
                <w:lang w:val="en-US" w:eastAsia="zh-CN" w:bidi="ar-SA"/>
              </w:rPr>
              <w:t>地</w:t>
            </w:r>
            <w:r>
              <w:rPr>
                <w:rFonts w:hint="eastAsia" w:ascii="Times New Roman" w:hAnsi="Times New Roman" w:eastAsia="宋体" w:cs="Times New Roman"/>
                <w:color w:val="auto"/>
                <w:sz w:val="21"/>
                <w:szCs w:val="21"/>
                <w:highlight w:val="none"/>
                <w:lang w:val="en-US" w:eastAsia="zh-CN" w:bidi="ar-SA"/>
              </w:rPr>
              <w:t>区域采用树穴换土的方式栽植耐旱性较好的</w:t>
            </w:r>
            <w:r>
              <w:rPr>
                <w:rFonts w:hint="eastAsia"/>
                <w:color w:val="auto"/>
                <w:sz w:val="21"/>
                <w:szCs w:val="21"/>
                <w:highlight w:val="none"/>
                <w:lang w:val="en-US" w:eastAsia="zh-CN"/>
              </w:rPr>
              <w:t>樟子松及针叶林</w:t>
            </w:r>
            <w:r>
              <w:rPr>
                <w:rFonts w:hint="eastAsia" w:ascii="Times New Roman" w:cs="Times New Roman"/>
                <w:color w:val="auto"/>
                <w:sz w:val="21"/>
                <w:szCs w:val="21"/>
                <w:highlight w:val="none"/>
                <w:lang w:val="en-US" w:eastAsia="zh-CN" w:bidi="ar-SA"/>
              </w:rPr>
              <w:t>，</w:t>
            </w:r>
            <w:r>
              <w:rPr>
                <w:rFonts w:hint="eastAsia" w:ascii="Times New Roman" w:hAnsi="Times New Roman" w:eastAsia="宋体" w:cs="Times New Roman"/>
                <w:color w:val="auto"/>
                <w:sz w:val="21"/>
                <w:szCs w:val="21"/>
                <w:highlight w:val="none"/>
                <w:lang w:val="en-US" w:eastAsia="zh-CN" w:bidi="ar-SA"/>
              </w:rPr>
              <w:t>恢复林地面积约</w:t>
            </w:r>
            <w:r>
              <w:rPr>
                <w:rFonts w:hint="eastAsia" w:ascii="Times New Roman" w:hAnsi="宋体" w:eastAsia="宋体" w:cs="Times New Roman"/>
                <w:color w:val="auto"/>
                <w:kern w:val="0"/>
                <w:sz w:val="21"/>
                <w:szCs w:val="21"/>
                <w:highlight w:val="none"/>
                <w:lang w:val="en-US" w:eastAsia="zh-CN"/>
              </w:rPr>
              <w:t>11296.10</w:t>
            </w:r>
            <w:r>
              <w:rPr>
                <w:rFonts w:hint="eastAsia" w:ascii="Times New Roman" w:hAnsi="Times New Roman" w:eastAsia="宋体" w:cs="Times New Roman"/>
                <w:color w:val="auto"/>
                <w:sz w:val="21"/>
                <w:szCs w:val="21"/>
                <w:highlight w:val="none"/>
                <w:lang w:val="en-US" w:eastAsia="zh-CN" w:bidi="ar-SA"/>
              </w:rPr>
              <w:t>m</w:t>
            </w:r>
            <w:r>
              <w:rPr>
                <w:rFonts w:hint="eastAsia" w:ascii="Times New Roman" w:hAnsi="Times New Roman" w:eastAsia="宋体" w:cs="Times New Roman"/>
                <w:color w:val="auto"/>
                <w:sz w:val="21"/>
                <w:szCs w:val="21"/>
                <w:highlight w:val="none"/>
                <w:vertAlign w:val="superscript"/>
                <w:lang w:val="en-US" w:eastAsia="zh-CN" w:bidi="ar-SA"/>
              </w:rPr>
              <w:t>2</w:t>
            </w:r>
            <w:r>
              <w:rPr>
                <w:rFonts w:hint="eastAsia" w:ascii="Times New Roman" w:hAnsi="Times New Roman" w:eastAsia="宋体" w:cs="Times New Roman"/>
                <w:color w:val="auto"/>
                <w:sz w:val="21"/>
                <w:szCs w:val="21"/>
                <w:highlight w:val="none"/>
                <w:lang w:val="en-US" w:eastAsia="zh-CN" w:bidi="ar-SA"/>
              </w:rPr>
              <w:t>，复绿后的生态修复区将与当地自然景观相协调，其植被覆盖率达到100%。</w:t>
            </w:r>
          </w:p>
        </w:tc>
        <w:tc>
          <w:tcPr>
            <w:tcW w:w="671" w:type="dxa"/>
            <w:tcBorders>
              <w:tl2br w:val="nil"/>
              <w:tr2bl w:val="nil"/>
            </w:tcBorders>
            <w:noWrap w:val="0"/>
            <w:vAlign w:val="center"/>
          </w:tcPr>
          <w:p w14:paraId="36D04558">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新建</w:t>
            </w:r>
          </w:p>
        </w:tc>
      </w:tr>
    </w:tbl>
    <w:p w14:paraId="40FDBC49">
      <w:pPr>
        <w:pStyle w:val="7"/>
        <w:widowControl w:val="0"/>
        <w:numPr>
          <w:ilvl w:val="2"/>
          <w:numId w:val="0"/>
        </w:numPr>
        <w:adjustRightInd w:val="0"/>
        <w:snapToGrid w:val="0"/>
        <w:spacing w:before="0" w:after="0" w:line="360" w:lineRule="auto"/>
        <w:ind w:leftChars="0"/>
        <w:rPr>
          <w:rFonts w:hint="eastAsia" w:asciiTheme="minorEastAsia" w:hAnsiTheme="minorEastAsia" w:eastAsiaTheme="minorEastAsia" w:cstheme="minorEastAsia"/>
          <w:color w:val="auto"/>
          <w:kern w:val="2"/>
          <w:szCs w:val="22"/>
          <w:highlight w:val="none"/>
          <w:lang w:bidi="ar"/>
        </w:rPr>
      </w:pPr>
      <w:r>
        <w:rPr>
          <w:rFonts w:hint="eastAsia" w:asciiTheme="minorEastAsia" w:hAnsiTheme="minorEastAsia" w:eastAsiaTheme="minorEastAsia" w:cstheme="minorEastAsia"/>
          <w:color w:val="auto"/>
          <w:highlight w:val="none"/>
        </w:rPr>
        <w:t>3.1.7主要生产设备</w:t>
      </w:r>
    </w:p>
    <w:p w14:paraId="48E6F22D">
      <w:pPr>
        <w:widowControl w:val="0"/>
        <w:adjustRightInd w:val="0"/>
        <w:snapToGrid w:val="0"/>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本项目主要设备见表3</w:t>
      </w:r>
      <w:r>
        <w:rPr>
          <w:rFonts w:hint="eastAsia" w:asciiTheme="minorEastAsia" w:hAnsiTheme="minorEastAsia" w:eastAsiaTheme="minorEastAsia" w:cstheme="minorEastAsia"/>
          <w:color w:val="auto"/>
          <w:highlight w:val="none"/>
          <w:lang w:val="en-US" w:eastAsia="zh-CN"/>
        </w:rPr>
        <w:t>.</w:t>
      </w:r>
      <w:r>
        <w:rPr>
          <w:rFonts w:hint="eastAsia" w:asciiTheme="minorEastAsia" w:hAnsiTheme="minorEastAsia" w:eastAsiaTheme="minorEastAsia" w:cstheme="minorEastAsia"/>
          <w:color w:val="auto"/>
          <w:highlight w:val="none"/>
        </w:rPr>
        <w:t>1-</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rPr>
        <w:t>。</w:t>
      </w:r>
    </w:p>
    <w:p w14:paraId="361722CA">
      <w:pPr>
        <w:pStyle w:val="1331"/>
        <w:widowControl w:val="0"/>
        <w:adjustRightInd w:val="0"/>
        <w:snapToGrid w:val="0"/>
        <w:spacing w:line="240" w:lineRule="auto"/>
        <w:ind w:firstLine="482"/>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表3</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 w:val="24"/>
          <w:szCs w:val="24"/>
          <w:highlight w:val="none"/>
        </w:rPr>
        <w:t>1-</w:t>
      </w:r>
      <w:r>
        <w:rPr>
          <w:rFonts w:hint="eastAsia" w:asciiTheme="minorEastAsia" w:hAnsiTheme="minorEastAsia" w:eastAsiaTheme="minorEastAsia" w:cstheme="minorEastAsia"/>
          <w:color w:val="auto"/>
          <w:sz w:val="24"/>
          <w:szCs w:val="24"/>
          <w:highlight w:val="none"/>
          <w:lang w:val="en-US" w:eastAsia="zh-CN"/>
        </w:rPr>
        <w:t xml:space="preserve">3  </w:t>
      </w:r>
      <w:r>
        <w:rPr>
          <w:rFonts w:hint="eastAsia" w:asciiTheme="minorEastAsia" w:hAnsiTheme="minorEastAsia" w:eastAsiaTheme="minorEastAsia" w:cstheme="minorEastAsia"/>
          <w:color w:val="auto"/>
          <w:sz w:val="24"/>
          <w:szCs w:val="24"/>
          <w:highlight w:val="none"/>
        </w:rPr>
        <w:t>本工程主要设备一览表</w:t>
      </w:r>
    </w:p>
    <w:tbl>
      <w:tblPr>
        <w:tblStyle w:val="84"/>
        <w:tblW w:w="4686" w:type="pct"/>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28"/>
        <w:gridCol w:w="2215"/>
        <w:gridCol w:w="760"/>
        <w:gridCol w:w="792"/>
        <w:gridCol w:w="1499"/>
        <w:gridCol w:w="1998"/>
      </w:tblGrid>
      <w:tr w14:paraId="64C8EF5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455" w:type="pct"/>
            <w:tcBorders>
              <w:tl2br w:val="nil"/>
              <w:tr2bl w:val="nil"/>
            </w:tcBorders>
            <w:noWrap w:val="0"/>
            <w:vAlign w:val="center"/>
          </w:tcPr>
          <w:p w14:paraId="7AA2E13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序号</w:t>
            </w:r>
          </w:p>
        </w:tc>
        <w:tc>
          <w:tcPr>
            <w:tcW w:w="1385" w:type="pct"/>
            <w:tcBorders>
              <w:tl2br w:val="nil"/>
              <w:tr2bl w:val="nil"/>
            </w:tcBorders>
            <w:noWrap w:val="0"/>
            <w:vAlign w:val="center"/>
          </w:tcPr>
          <w:p w14:paraId="0B1E316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设备部件名称</w:t>
            </w:r>
          </w:p>
        </w:tc>
        <w:tc>
          <w:tcPr>
            <w:tcW w:w="475" w:type="pct"/>
            <w:tcBorders>
              <w:tl2br w:val="nil"/>
              <w:tr2bl w:val="nil"/>
            </w:tcBorders>
            <w:noWrap w:val="0"/>
            <w:vAlign w:val="center"/>
          </w:tcPr>
          <w:p w14:paraId="52F5CC2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单位</w:t>
            </w:r>
          </w:p>
        </w:tc>
        <w:tc>
          <w:tcPr>
            <w:tcW w:w="495" w:type="pct"/>
            <w:tcBorders>
              <w:tl2br w:val="nil"/>
              <w:tr2bl w:val="nil"/>
            </w:tcBorders>
            <w:noWrap w:val="0"/>
            <w:vAlign w:val="center"/>
          </w:tcPr>
          <w:p w14:paraId="421E6CE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数量</w:t>
            </w:r>
          </w:p>
        </w:tc>
        <w:tc>
          <w:tcPr>
            <w:tcW w:w="937" w:type="pct"/>
            <w:tcBorders>
              <w:tl2br w:val="nil"/>
              <w:tr2bl w:val="nil"/>
            </w:tcBorders>
            <w:noWrap w:val="0"/>
            <w:vAlign w:val="center"/>
          </w:tcPr>
          <w:p w14:paraId="34095FC4">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型号</w:t>
            </w:r>
          </w:p>
        </w:tc>
        <w:tc>
          <w:tcPr>
            <w:tcW w:w="1249" w:type="pct"/>
            <w:tcBorders>
              <w:tl2br w:val="nil"/>
              <w:tr2bl w:val="nil"/>
            </w:tcBorders>
            <w:noWrap w:val="0"/>
            <w:vAlign w:val="center"/>
          </w:tcPr>
          <w:p w14:paraId="32521F8F">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备注</w:t>
            </w:r>
          </w:p>
        </w:tc>
      </w:tr>
      <w:tr w14:paraId="622ED03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455" w:type="pct"/>
            <w:tcBorders>
              <w:tl2br w:val="nil"/>
              <w:tr2bl w:val="nil"/>
            </w:tcBorders>
            <w:noWrap w:val="0"/>
            <w:vAlign w:val="center"/>
          </w:tcPr>
          <w:p w14:paraId="5A9DD60B">
            <w:pPr>
              <w:keepNext w:val="0"/>
              <w:keepLines w:val="0"/>
              <w:numPr>
                <w:ilvl w:val="0"/>
                <w:numId w:val="0"/>
              </w:numPr>
              <w:suppressLineNumbers w:val="0"/>
              <w:adjustRightInd w:val="0"/>
              <w:snapToGrid w:val="0"/>
              <w:spacing w:before="0" w:beforeAutospacing="0" w:after="0" w:afterAutospacing="0" w:line="240" w:lineRule="auto"/>
              <w:ind w:left="0" w:leftChars="0" w:right="0"/>
              <w:jc w:val="center"/>
              <w:rPr>
                <w:rFonts w:hint="eastAsia"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1</w:t>
            </w:r>
          </w:p>
        </w:tc>
        <w:tc>
          <w:tcPr>
            <w:tcW w:w="1385" w:type="pct"/>
            <w:tcBorders>
              <w:tl2br w:val="nil"/>
              <w:tr2bl w:val="nil"/>
            </w:tcBorders>
            <w:noWrap w:val="0"/>
            <w:vAlign w:val="center"/>
          </w:tcPr>
          <w:p w14:paraId="1837AD76">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4"/>
                <w:highlight w:val="none"/>
                <w:lang w:eastAsia="zh-CN" w:bidi="ar"/>
              </w:rPr>
            </w:pPr>
            <w:r>
              <w:rPr>
                <w:rFonts w:hint="eastAsia" w:ascii="Times New Roman"/>
                <w:color w:val="auto"/>
                <w:sz w:val="21"/>
                <w:szCs w:val="24"/>
                <w:highlight w:val="none"/>
                <w:lang w:val="en-US" w:eastAsia="zh-CN" w:bidi="ar"/>
              </w:rPr>
              <w:t>铲车</w:t>
            </w:r>
          </w:p>
        </w:tc>
        <w:tc>
          <w:tcPr>
            <w:tcW w:w="475" w:type="pct"/>
            <w:tcBorders>
              <w:tl2br w:val="nil"/>
              <w:tr2bl w:val="nil"/>
            </w:tcBorders>
            <w:noWrap w:val="0"/>
            <w:vAlign w:val="center"/>
          </w:tcPr>
          <w:p w14:paraId="2DFA4D7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台</w:t>
            </w:r>
          </w:p>
        </w:tc>
        <w:tc>
          <w:tcPr>
            <w:tcW w:w="495" w:type="pct"/>
            <w:tcBorders>
              <w:tl2br w:val="nil"/>
              <w:tr2bl w:val="nil"/>
            </w:tcBorders>
            <w:noWrap w:val="0"/>
            <w:vAlign w:val="center"/>
          </w:tcPr>
          <w:p w14:paraId="4218EFDD">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4"/>
                <w:highlight w:val="none"/>
                <w:lang w:eastAsia="zh-CN" w:bidi="ar"/>
              </w:rPr>
            </w:pPr>
            <w:r>
              <w:rPr>
                <w:rFonts w:hint="eastAsia" w:ascii="Times New Roman"/>
                <w:color w:val="auto"/>
                <w:sz w:val="21"/>
                <w:szCs w:val="24"/>
                <w:highlight w:val="none"/>
                <w:lang w:val="en-US" w:eastAsia="zh-CN" w:bidi="ar"/>
              </w:rPr>
              <w:t>1</w:t>
            </w:r>
          </w:p>
        </w:tc>
        <w:tc>
          <w:tcPr>
            <w:tcW w:w="937" w:type="pct"/>
            <w:tcBorders>
              <w:tl2br w:val="nil"/>
              <w:tr2bl w:val="nil"/>
            </w:tcBorders>
            <w:noWrap w:val="0"/>
            <w:vAlign w:val="center"/>
          </w:tcPr>
          <w:p w14:paraId="156D486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hint="eastAsia" w:ascii="Times New Roman"/>
                <w:color w:val="auto"/>
                <w:sz w:val="21"/>
                <w:szCs w:val="24"/>
                <w:highlight w:val="none"/>
                <w:lang w:bidi="ar"/>
              </w:rPr>
              <w:t>液压2m³</w:t>
            </w:r>
          </w:p>
        </w:tc>
        <w:tc>
          <w:tcPr>
            <w:tcW w:w="1249" w:type="pct"/>
            <w:tcBorders>
              <w:tl2br w:val="nil"/>
              <w:tr2bl w:val="nil"/>
            </w:tcBorders>
            <w:noWrap w:val="0"/>
            <w:vAlign w:val="center"/>
          </w:tcPr>
          <w:p w14:paraId="4224AD7B">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w:t>
            </w:r>
          </w:p>
        </w:tc>
      </w:tr>
      <w:tr w14:paraId="3D638EDF">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455" w:type="pct"/>
            <w:tcBorders>
              <w:tl2br w:val="nil"/>
              <w:tr2bl w:val="nil"/>
            </w:tcBorders>
            <w:noWrap w:val="0"/>
            <w:vAlign w:val="center"/>
          </w:tcPr>
          <w:p w14:paraId="62DED602">
            <w:pPr>
              <w:keepNext w:val="0"/>
              <w:keepLines w:val="0"/>
              <w:numPr>
                <w:ilvl w:val="0"/>
                <w:numId w:val="0"/>
              </w:numPr>
              <w:suppressLineNumbers w:val="0"/>
              <w:adjustRightInd w:val="0"/>
              <w:snapToGrid w:val="0"/>
              <w:spacing w:before="0" w:beforeAutospacing="0" w:after="0" w:afterAutospacing="0" w:line="240" w:lineRule="auto"/>
              <w:ind w:left="0" w:leftChars="0" w:right="0"/>
              <w:jc w:val="center"/>
              <w:rPr>
                <w:rFonts w:hint="eastAsia"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2</w:t>
            </w:r>
          </w:p>
        </w:tc>
        <w:tc>
          <w:tcPr>
            <w:tcW w:w="1385" w:type="pct"/>
            <w:tcBorders>
              <w:tl2br w:val="nil"/>
              <w:tr2bl w:val="nil"/>
            </w:tcBorders>
            <w:noWrap w:val="0"/>
            <w:vAlign w:val="center"/>
          </w:tcPr>
          <w:p w14:paraId="7CB2577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hint="eastAsia" w:ascii="Times New Roman"/>
                <w:color w:val="auto"/>
                <w:sz w:val="21"/>
                <w:szCs w:val="24"/>
                <w:highlight w:val="none"/>
                <w:lang w:val="en-US" w:eastAsia="zh-CN" w:bidi="ar"/>
              </w:rPr>
              <w:t>压实</w:t>
            </w:r>
            <w:r>
              <w:rPr>
                <w:rFonts w:hint="eastAsia" w:ascii="Times New Roman"/>
                <w:color w:val="auto"/>
                <w:sz w:val="21"/>
                <w:szCs w:val="24"/>
                <w:highlight w:val="none"/>
                <w:lang w:bidi="ar"/>
              </w:rPr>
              <w:t>机</w:t>
            </w:r>
          </w:p>
        </w:tc>
        <w:tc>
          <w:tcPr>
            <w:tcW w:w="475" w:type="pct"/>
            <w:tcBorders>
              <w:tl2br w:val="nil"/>
              <w:tr2bl w:val="nil"/>
            </w:tcBorders>
            <w:noWrap w:val="0"/>
            <w:vAlign w:val="center"/>
          </w:tcPr>
          <w:p w14:paraId="11D36152">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台</w:t>
            </w:r>
          </w:p>
        </w:tc>
        <w:tc>
          <w:tcPr>
            <w:tcW w:w="495" w:type="pct"/>
            <w:tcBorders>
              <w:tl2br w:val="nil"/>
              <w:tr2bl w:val="nil"/>
            </w:tcBorders>
            <w:noWrap w:val="0"/>
            <w:vAlign w:val="center"/>
          </w:tcPr>
          <w:p w14:paraId="13E1348F">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4"/>
                <w:highlight w:val="none"/>
                <w:lang w:eastAsia="zh-CN" w:bidi="ar"/>
              </w:rPr>
            </w:pPr>
            <w:r>
              <w:rPr>
                <w:rFonts w:hint="eastAsia" w:ascii="Times New Roman"/>
                <w:color w:val="auto"/>
                <w:sz w:val="21"/>
                <w:szCs w:val="24"/>
                <w:highlight w:val="none"/>
                <w:lang w:val="en-US" w:eastAsia="zh-CN" w:bidi="ar"/>
              </w:rPr>
              <w:t>1</w:t>
            </w:r>
          </w:p>
        </w:tc>
        <w:tc>
          <w:tcPr>
            <w:tcW w:w="937" w:type="pct"/>
            <w:tcBorders>
              <w:tl2br w:val="nil"/>
              <w:tr2bl w:val="nil"/>
            </w:tcBorders>
            <w:noWrap w:val="0"/>
            <w:vAlign w:val="center"/>
          </w:tcPr>
          <w:p w14:paraId="4C799E43">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4"/>
                <w:highlight w:val="none"/>
                <w:lang w:eastAsia="zh-CN" w:bidi="ar"/>
              </w:rPr>
            </w:pPr>
            <w:r>
              <w:rPr>
                <w:rFonts w:hint="eastAsia" w:ascii="Times New Roman"/>
                <w:color w:val="auto"/>
                <w:sz w:val="21"/>
                <w:szCs w:val="24"/>
                <w:highlight w:val="none"/>
                <w:lang w:val="en-US" w:eastAsia="zh-CN" w:bidi="ar"/>
              </w:rPr>
              <w:t>/</w:t>
            </w:r>
          </w:p>
        </w:tc>
        <w:tc>
          <w:tcPr>
            <w:tcW w:w="1249" w:type="pct"/>
            <w:tcBorders>
              <w:tl2br w:val="nil"/>
              <w:tr2bl w:val="nil"/>
            </w:tcBorders>
            <w:noWrap w:val="0"/>
            <w:vAlign w:val="center"/>
          </w:tcPr>
          <w:p w14:paraId="68395570">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color w:val="auto"/>
                <w:sz w:val="21"/>
                <w:szCs w:val="24"/>
                <w:highlight w:val="none"/>
                <w:lang w:val="en-US" w:eastAsia="zh-CN" w:bidi="ar"/>
              </w:rPr>
            </w:pPr>
            <w:r>
              <w:rPr>
                <w:rFonts w:hint="eastAsia" w:ascii="Times New Roman"/>
                <w:color w:val="auto"/>
                <w:sz w:val="21"/>
                <w:szCs w:val="24"/>
                <w:highlight w:val="none"/>
                <w:lang w:val="en-US" w:eastAsia="zh-CN" w:bidi="ar"/>
              </w:rPr>
              <w:t>/</w:t>
            </w:r>
          </w:p>
        </w:tc>
      </w:tr>
      <w:tr w14:paraId="43C4E5E9">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455" w:type="pct"/>
            <w:tcBorders>
              <w:tl2br w:val="nil"/>
              <w:tr2bl w:val="nil"/>
            </w:tcBorders>
            <w:noWrap w:val="0"/>
            <w:vAlign w:val="center"/>
          </w:tcPr>
          <w:p w14:paraId="55C77E9D">
            <w:pPr>
              <w:keepNext w:val="0"/>
              <w:keepLines w:val="0"/>
              <w:numPr>
                <w:ilvl w:val="0"/>
                <w:numId w:val="0"/>
              </w:numPr>
              <w:suppressLineNumbers w:val="0"/>
              <w:adjustRightInd w:val="0"/>
              <w:snapToGrid w:val="0"/>
              <w:spacing w:before="0" w:beforeAutospacing="0" w:after="0" w:afterAutospacing="0" w:line="240" w:lineRule="auto"/>
              <w:ind w:left="0" w:leftChars="0" w:right="0"/>
              <w:jc w:val="center"/>
              <w:rPr>
                <w:rFonts w:hint="eastAsia"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3</w:t>
            </w:r>
          </w:p>
        </w:tc>
        <w:tc>
          <w:tcPr>
            <w:tcW w:w="1385" w:type="pct"/>
            <w:tcBorders>
              <w:tl2br w:val="nil"/>
              <w:tr2bl w:val="nil"/>
            </w:tcBorders>
            <w:noWrap w:val="0"/>
            <w:vAlign w:val="center"/>
          </w:tcPr>
          <w:p w14:paraId="7A6749BA">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推土机</w:t>
            </w:r>
          </w:p>
        </w:tc>
        <w:tc>
          <w:tcPr>
            <w:tcW w:w="475" w:type="pct"/>
            <w:tcBorders>
              <w:tl2br w:val="nil"/>
              <w:tr2bl w:val="nil"/>
            </w:tcBorders>
            <w:noWrap w:val="0"/>
            <w:vAlign w:val="center"/>
          </w:tcPr>
          <w:p w14:paraId="406C4AD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台</w:t>
            </w:r>
          </w:p>
        </w:tc>
        <w:tc>
          <w:tcPr>
            <w:tcW w:w="495" w:type="pct"/>
            <w:tcBorders>
              <w:tl2br w:val="nil"/>
              <w:tr2bl w:val="nil"/>
            </w:tcBorders>
            <w:noWrap w:val="0"/>
            <w:vAlign w:val="center"/>
          </w:tcPr>
          <w:p w14:paraId="679F0C2D">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4"/>
                <w:highlight w:val="none"/>
                <w:lang w:eastAsia="zh-CN" w:bidi="ar"/>
              </w:rPr>
            </w:pPr>
            <w:r>
              <w:rPr>
                <w:rFonts w:hint="eastAsia" w:ascii="Times New Roman"/>
                <w:color w:val="auto"/>
                <w:sz w:val="21"/>
                <w:szCs w:val="24"/>
                <w:highlight w:val="none"/>
                <w:lang w:val="en-US" w:eastAsia="zh-CN" w:bidi="ar"/>
              </w:rPr>
              <w:t>1</w:t>
            </w:r>
          </w:p>
        </w:tc>
        <w:tc>
          <w:tcPr>
            <w:tcW w:w="937" w:type="pct"/>
            <w:tcBorders>
              <w:tl2br w:val="nil"/>
              <w:tr2bl w:val="nil"/>
            </w:tcBorders>
            <w:noWrap w:val="0"/>
            <w:vAlign w:val="center"/>
          </w:tcPr>
          <w:p w14:paraId="2B6CB6C2">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sz w:val="21"/>
                <w:szCs w:val="24"/>
                <w:highlight w:val="none"/>
                <w:lang w:val="en-US" w:eastAsia="zh-CN" w:bidi="ar"/>
              </w:rPr>
            </w:pPr>
            <w:r>
              <w:rPr>
                <w:rFonts w:ascii="Times New Roman"/>
                <w:color w:val="auto"/>
                <w:sz w:val="21"/>
                <w:szCs w:val="24"/>
                <w:highlight w:val="none"/>
                <w:lang w:bidi="ar"/>
              </w:rPr>
              <w:t>59k</w:t>
            </w:r>
            <w:r>
              <w:rPr>
                <w:rFonts w:hint="eastAsia" w:ascii="Times New Roman"/>
                <w:color w:val="auto"/>
                <w:sz w:val="21"/>
                <w:szCs w:val="24"/>
                <w:highlight w:val="none"/>
                <w:lang w:val="en-US" w:eastAsia="zh-CN" w:bidi="ar"/>
              </w:rPr>
              <w:t>W</w:t>
            </w:r>
          </w:p>
        </w:tc>
        <w:tc>
          <w:tcPr>
            <w:tcW w:w="1249" w:type="pct"/>
            <w:tcBorders>
              <w:tl2br w:val="nil"/>
              <w:tr2bl w:val="nil"/>
            </w:tcBorders>
            <w:noWrap w:val="0"/>
            <w:vAlign w:val="center"/>
          </w:tcPr>
          <w:p w14:paraId="5FDF9E2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hint="eastAsia" w:ascii="Times New Roman"/>
                <w:color w:val="auto"/>
                <w:sz w:val="21"/>
                <w:szCs w:val="24"/>
                <w:highlight w:val="none"/>
                <w:lang w:val="en-US" w:eastAsia="zh-CN" w:bidi="ar"/>
              </w:rPr>
              <w:t>/</w:t>
            </w:r>
          </w:p>
        </w:tc>
      </w:tr>
      <w:tr w14:paraId="00CB0B5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6" w:hRule="atLeast"/>
          <w:jc w:val="center"/>
        </w:trPr>
        <w:tc>
          <w:tcPr>
            <w:tcW w:w="455" w:type="pct"/>
            <w:tcBorders>
              <w:tl2br w:val="nil"/>
              <w:tr2bl w:val="nil"/>
            </w:tcBorders>
            <w:noWrap w:val="0"/>
            <w:vAlign w:val="center"/>
          </w:tcPr>
          <w:p w14:paraId="51961FDF">
            <w:pPr>
              <w:keepNext w:val="0"/>
              <w:keepLines w:val="0"/>
              <w:numPr>
                <w:ilvl w:val="0"/>
                <w:numId w:val="0"/>
              </w:numPr>
              <w:suppressLineNumbers w:val="0"/>
              <w:adjustRightInd w:val="0"/>
              <w:snapToGrid w:val="0"/>
              <w:spacing w:before="0" w:beforeAutospacing="0" w:after="0" w:afterAutospacing="0" w:line="240" w:lineRule="auto"/>
              <w:ind w:left="0" w:leftChars="0" w:right="0"/>
              <w:jc w:val="center"/>
              <w:rPr>
                <w:rFonts w:hint="eastAsia"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4</w:t>
            </w:r>
          </w:p>
        </w:tc>
        <w:tc>
          <w:tcPr>
            <w:tcW w:w="1385" w:type="pct"/>
            <w:tcBorders>
              <w:tl2br w:val="nil"/>
              <w:tr2bl w:val="nil"/>
            </w:tcBorders>
            <w:noWrap w:val="0"/>
            <w:vAlign w:val="center"/>
          </w:tcPr>
          <w:p w14:paraId="6BA1DD78">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自卸汽车</w:t>
            </w:r>
          </w:p>
        </w:tc>
        <w:tc>
          <w:tcPr>
            <w:tcW w:w="475" w:type="pct"/>
            <w:tcBorders>
              <w:tl2br w:val="nil"/>
              <w:tr2bl w:val="nil"/>
            </w:tcBorders>
            <w:noWrap w:val="0"/>
            <w:vAlign w:val="center"/>
          </w:tcPr>
          <w:p w14:paraId="33A78E8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辆</w:t>
            </w:r>
          </w:p>
        </w:tc>
        <w:tc>
          <w:tcPr>
            <w:tcW w:w="495" w:type="pct"/>
            <w:tcBorders>
              <w:tl2br w:val="nil"/>
              <w:tr2bl w:val="nil"/>
            </w:tcBorders>
            <w:noWrap w:val="0"/>
            <w:vAlign w:val="center"/>
          </w:tcPr>
          <w:p w14:paraId="3E670A20">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4"/>
                <w:highlight w:val="none"/>
                <w:lang w:eastAsia="zh-CN" w:bidi="ar"/>
              </w:rPr>
            </w:pPr>
            <w:r>
              <w:rPr>
                <w:rFonts w:hint="eastAsia" w:ascii="Times New Roman"/>
                <w:color w:val="auto"/>
                <w:sz w:val="21"/>
                <w:szCs w:val="24"/>
                <w:highlight w:val="none"/>
                <w:lang w:val="en-US" w:eastAsia="zh-CN" w:bidi="ar"/>
              </w:rPr>
              <w:t>6</w:t>
            </w:r>
          </w:p>
        </w:tc>
        <w:tc>
          <w:tcPr>
            <w:tcW w:w="937" w:type="pct"/>
            <w:tcBorders>
              <w:tl2br w:val="nil"/>
              <w:tr2bl w:val="nil"/>
            </w:tcBorders>
            <w:noWrap w:val="0"/>
            <w:vAlign w:val="center"/>
          </w:tcPr>
          <w:p w14:paraId="492ABD54">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4"/>
                <w:highlight w:val="none"/>
                <w:lang w:eastAsia="zh-CN" w:bidi="ar"/>
              </w:rPr>
            </w:pPr>
            <w:r>
              <w:rPr>
                <w:rFonts w:hint="eastAsia" w:ascii="Times New Roman"/>
                <w:color w:val="auto"/>
                <w:sz w:val="21"/>
                <w:szCs w:val="24"/>
                <w:highlight w:val="none"/>
                <w:lang w:val="en-US" w:eastAsia="zh-CN" w:bidi="ar"/>
              </w:rPr>
              <w:t>/</w:t>
            </w:r>
          </w:p>
        </w:tc>
        <w:tc>
          <w:tcPr>
            <w:tcW w:w="1249" w:type="pct"/>
            <w:tcBorders>
              <w:tl2br w:val="nil"/>
              <w:tr2bl w:val="nil"/>
            </w:tcBorders>
            <w:noWrap w:val="0"/>
            <w:vAlign w:val="center"/>
          </w:tcPr>
          <w:p w14:paraId="7E85892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color w:val="auto"/>
                <w:sz w:val="21"/>
                <w:szCs w:val="24"/>
                <w:highlight w:val="none"/>
                <w:lang w:val="en-US" w:eastAsia="zh-CN" w:bidi="ar"/>
              </w:rPr>
            </w:pPr>
            <w:r>
              <w:rPr>
                <w:rFonts w:hint="eastAsia" w:ascii="Times New Roman"/>
                <w:color w:val="auto"/>
                <w:sz w:val="21"/>
                <w:szCs w:val="24"/>
                <w:highlight w:val="none"/>
                <w:lang w:val="en-US" w:eastAsia="zh-CN" w:bidi="ar"/>
              </w:rPr>
              <w:t>/</w:t>
            </w:r>
          </w:p>
        </w:tc>
      </w:tr>
      <w:tr w14:paraId="3519D5F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5" w:type="pct"/>
            <w:tcBorders>
              <w:tl2br w:val="nil"/>
              <w:tr2bl w:val="nil"/>
            </w:tcBorders>
            <w:noWrap w:val="0"/>
            <w:vAlign w:val="center"/>
          </w:tcPr>
          <w:p w14:paraId="7794E7FE">
            <w:pPr>
              <w:keepNext w:val="0"/>
              <w:keepLines w:val="0"/>
              <w:numPr>
                <w:ilvl w:val="0"/>
                <w:numId w:val="0"/>
              </w:numPr>
              <w:suppressLineNumbers w:val="0"/>
              <w:adjustRightInd w:val="0"/>
              <w:snapToGrid w:val="0"/>
              <w:spacing w:before="0" w:beforeAutospacing="0" w:after="0" w:afterAutospacing="0" w:line="240" w:lineRule="auto"/>
              <w:ind w:left="0" w:leftChars="0" w:right="0"/>
              <w:jc w:val="center"/>
              <w:rPr>
                <w:rFonts w:hint="eastAsia"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5</w:t>
            </w:r>
          </w:p>
        </w:tc>
        <w:tc>
          <w:tcPr>
            <w:tcW w:w="1385" w:type="pct"/>
            <w:tcBorders>
              <w:tl2br w:val="nil"/>
              <w:tr2bl w:val="nil"/>
            </w:tcBorders>
            <w:noWrap w:val="0"/>
            <w:vAlign w:val="center"/>
          </w:tcPr>
          <w:p w14:paraId="43FBC47A">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4"/>
                <w:highlight w:val="none"/>
                <w:lang w:eastAsia="zh-CN" w:bidi="ar"/>
              </w:rPr>
            </w:pPr>
            <w:r>
              <w:rPr>
                <w:rFonts w:ascii="Times New Roman"/>
                <w:color w:val="auto"/>
                <w:sz w:val="21"/>
                <w:szCs w:val="24"/>
                <w:highlight w:val="none"/>
                <w:lang w:bidi="ar"/>
              </w:rPr>
              <w:t>洒水车</w:t>
            </w:r>
            <w:r>
              <w:rPr>
                <w:rFonts w:hint="eastAsia" w:ascii="Times New Roman"/>
                <w:color w:val="auto"/>
                <w:sz w:val="21"/>
                <w:szCs w:val="24"/>
                <w:highlight w:val="none"/>
                <w:lang w:eastAsia="zh-CN" w:bidi="ar"/>
              </w:rPr>
              <w:t>（</w:t>
            </w:r>
            <w:r>
              <w:rPr>
                <w:rFonts w:hint="eastAsia" w:ascii="Times New Roman"/>
                <w:color w:val="auto"/>
                <w:sz w:val="21"/>
                <w:szCs w:val="24"/>
                <w:highlight w:val="none"/>
                <w:lang w:val="en-US" w:eastAsia="zh-CN" w:bidi="ar"/>
              </w:rPr>
              <w:t>喷雾车</w:t>
            </w:r>
            <w:r>
              <w:rPr>
                <w:rFonts w:hint="eastAsia" w:ascii="Times New Roman"/>
                <w:color w:val="auto"/>
                <w:sz w:val="21"/>
                <w:szCs w:val="24"/>
                <w:highlight w:val="none"/>
                <w:lang w:eastAsia="zh-CN" w:bidi="ar"/>
              </w:rPr>
              <w:t>）</w:t>
            </w:r>
          </w:p>
        </w:tc>
        <w:tc>
          <w:tcPr>
            <w:tcW w:w="475" w:type="pct"/>
            <w:tcBorders>
              <w:tl2br w:val="nil"/>
              <w:tr2bl w:val="nil"/>
            </w:tcBorders>
            <w:noWrap w:val="0"/>
            <w:vAlign w:val="center"/>
          </w:tcPr>
          <w:p w14:paraId="0D7144E3">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台</w:t>
            </w:r>
          </w:p>
        </w:tc>
        <w:tc>
          <w:tcPr>
            <w:tcW w:w="495" w:type="pct"/>
            <w:tcBorders>
              <w:tl2br w:val="nil"/>
              <w:tr2bl w:val="nil"/>
            </w:tcBorders>
            <w:noWrap w:val="0"/>
            <w:vAlign w:val="center"/>
          </w:tcPr>
          <w:p w14:paraId="33566A94">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1</w:t>
            </w:r>
          </w:p>
        </w:tc>
        <w:tc>
          <w:tcPr>
            <w:tcW w:w="937" w:type="pct"/>
            <w:tcBorders>
              <w:tl2br w:val="nil"/>
              <w:tr2bl w:val="nil"/>
            </w:tcBorders>
            <w:noWrap w:val="0"/>
            <w:vAlign w:val="center"/>
          </w:tcPr>
          <w:p w14:paraId="0BAB607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4800L</w:t>
            </w:r>
          </w:p>
        </w:tc>
        <w:tc>
          <w:tcPr>
            <w:tcW w:w="1249" w:type="pct"/>
            <w:tcBorders>
              <w:tl2br w:val="nil"/>
              <w:tr2bl w:val="nil"/>
            </w:tcBorders>
            <w:noWrap w:val="0"/>
            <w:vAlign w:val="center"/>
          </w:tcPr>
          <w:p w14:paraId="2D8FB9C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hint="eastAsia" w:ascii="Times New Roman"/>
                <w:color w:val="auto"/>
                <w:sz w:val="21"/>
                <w:szCs w:val="24"/>
                <w:highlight w:val="none"/>
                <w:lang w:val="en-US" w:eastAsia="zh-CN" w:bidi="ar"/>
              </w:rPr>
              <w:t>/</w:t>
            </w:r>
          </w:p>
        </w:tc>
      </w:tr>
    </w:tbl>
    <w:p w14:paraId="7256C64D">
      <w:pPr>
        <w:pStyle w:val="7"/>
        <w:pageBreakBefore w:val="0"/>
        <w:widowControl w:val="0"/>
        <w:numPr>
          <w:ilvl w:val="2"/>
          <w:numId w:val="0"/>
        </w:numPr>
        <w:kinsoku/>
        <w:wordWrap/>
        <w:overflowPunct/>
        <w:topLinePunct w:val="0"/>
        <w:autoSpaceDE/>
        <w:autoSpaceDN/>
        <w:bidi w:val="0"/>
        <w:adjustRightInd/>
        <w:snapToGrid/>
        <w:spacing w:beforeLines="0" w:afterLines="0"/>
        <w:ind w:leftChars="0"/>
        <w:textAlignment w:val="auto"/>
        <w:rPr>
          <w:color w:val="auto"/>
          <w:highlight w:val="none"/>
        </w:rPr>
      </w:pPr>
      <w:r>
        <w:rPr>
          <w:color w:val="auto"/>
          <w:highlight w:val="none"/>
        </w:rPr>
        <w:t>3.1.</w:t>
      </w:r>
      <w:r>
        <w:rPr>
          <w:rFonts w:hint="eastAsia"/>
          <w:color w:val="auto"/>
          <w:highlight w:val="none"/>
          <w:lang w:val="en-US" w:eastAsia="zh-CN"/>
        </w:rPr>
        <w:t>5</w:t>
      </w:r>
      <w:r>
        <w:rPr>
          <w:color w:val="auto"/>
          <w:highlight w:val="none"/>
        </w:rPr>
        <w:t>原辅材料情况</w:t>
      </w:r>
    </w:p>
    <w:p w14:paraId="0E44A6CC">
      <w:pPr>
        <w:pageBreakBefore w:val="0"/>
        <w:widowControl w:val="0"/>
        <w:kinsoku/>
        <w:wordWrap/>
        <w:overflowPunct/>
        <w:topLinePunct w:val="0"/>
        <w:autoSpaceDE/>
        <w:autoSpaceDN/>
        <w:bidi w:val="0"/>
        <w:adjustRightInd/>
        <w:snapToGrid/>
        <w:textAlignment w:val="auto"/>
        <w:rPr>
          <w:color w:val="auto"/>
          <w:highlight w:val="none"/>
        </w:rPr>
      </w:pPr>
      <w:r>
        <w:rPr>
          <w:color w:val="auto"/>
          <w:highlight w:val="none"/>
        </w:rPr>
        <w:t>本项目使用的原辅材料见下表：</w:t>
      </w:r>
    </w:p>
    <w:p w14:paraId="5A6B78C6">
      <w:pPr>
        <w:spacing w:line="440" w:lineRule="exact"/>
        <w:ind w:firstLine="482"/>
        <w:jc w:val="center"/>
        <w:rPr>
          <w:rFonts w:hint="eastAsia" w:asciiTheme="minorEastAsia" w:hAnsiTheme="minorEastAsia" w:eastAsiaTheme="minorEastAsia" w:cstheme="minorEastAsia"/>
          <w:b/>
          <w:color w:val="auto"/>
          <w:kern w:val="0"/>
          <w:sz w:val="24"/>
          <w:szCs w:val="24"/>
          <w:highlight w:val="none"/>
          <w:lang w:val="en-US" w:eastAsia="zh-CN" w:bidi="ar-SA"/>
        </w:rPr>
      </w:pPr>
      <w:r>
        <w:rPr>
          <w:rFonts w:hint="eastAsia" w:asciiTheme="minorEastAsia" w:hAnsiTheme="minorEastAsia" w:eastAsiaTheme="minorEastAsia" w:cstheme="minorEastAsia"/>
          <w:b/>
          <w:color w:val="auto"/>
          <w:kern w:val="0"/>
          <w:sz w:val="24"/>
          <w:szCs w:val="24"/>
          <w:highlight w:val="none"/>
          <w:lang w:val="en-US" w:eastAsia="zh-CN" w:bidi="ar-SA"/>
        </w:rPr>
        <w:t>表3.1-4  原辅材料一览表</w:t>
      </w:r>
    </w:p>
    <w:tbl>
      <w:tblPr>
        <w:tblStyle w:val="84"/>
        <w:tblW w:w="4994" w:type="pct"/>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37"/>
        <w:gridCol w:w="3289"/>
        <w:gridCol w:w="1338"/>
        <w:gridCol w:w="1215"/>
        <w:gridCol w:w="1839"/>
      </w:tblGrid>
      <w:tr w14:paraId="234D1EF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491" w:type="pct"/>
            <w:tcBorders>
              <w:tl2br w:val="nil"/>
              <w:tr2bl w:val="nil"/>
            </w:tcBorders>
            <w:noWrap w:val="0"/>
            <w:vAlign w:val="center"/>
          </w:tcPr>
          <w:p w14:paraId="36ABBF32">
            <w:pPr>
              <w:keepNext w:val="0"/>
              <w:keepLines w:val="0"/>
              <w:suppressLineNumbers w:val="0"/>
              <w:spacing w:before="0" w:beforeAutospacing="0" w:after="0" w:afterAutospacing="0" w:line="240" w:lineRule="auto"/>
              <w:ind w:left="0" w:right="0" w:firstLine="0" w:firstLineChars="0"/>
              <w:jc w:val="center"/>
              <w:rPr>
                <w:rFonts w:ascii="Times New Roman"/>
                <w:bCs/>
                <w:color w:val="auto"/>
                <w:kern w:val="2"/>
                <w:sz w:val="21"/>
                <w:szCs w:val="21"/>
                <w:highlight w:val="none"/>
              </w:rPr>
            </w:pPr>
            <w:r>
              <w:rPr>
                <w:rFonts w:ascii="Times New Roman"/>
                <w:bCs/>
                <w:color w:val="auto"/>
                <w:kern w:val="2"/>
                <w:sz w:val="21"/>
                <w:szCs w:val="21"/>
                <w:highlight w:val="none"/>
                <w:lang w:bidi="ar"/>
              </w:rPr>
              <w:t>序号</w:t>
            </w:r>
          </w:p>
        </w:tc>
        <w:tc>
          <w:tcPr>
            <w:tcW w:w="1930" w:type="pct"/>
            <w:tcBorders>
              <w:tl2br w:val="nil"/>
              <w:tr2bl w:val="nil"/>
            </w:tcBorders>
            <w:noWrap w:val="0"/>
            <w:vAlign w:val="center"/>
          </w:tcPr>
          <w:p w14:paraId="69D6D4BE">
            <w:pPr>
              <w:keepNext w:val="0"/>
              <w:keepLines w:val="0"/>
              <w:suppressLineNumbers w:val="0"/>
              <w:spacing w:before="0" w:beforeAutospacing="0" w:after="0" w:afterAutospacing="0" w:line="240" w:lineRule="auto"/>
              <w:ind w:left="0" w:right="0" w:firstLine="0" w:firstLineChars="0"/>
              <w:jc w:val="center"/>
              <w:rPr>
                <w:rFonts w:ascii="Times New Roman"/>
                <w:bCs/>
                <w:color w:val="auto"/>
                <w:kern w:val="2"/>
                <w:sz w:val="21"/>
                <w:szCs w:val="21"/>
                <w:highlight w:val="none"/>
              </w:rPr>
            </w:pPr>
            <w:r>
              <w:rPr>
                <w:rFonts w:ascii="Times New Roman"/>
                <w:bCs/>
                <w:color w:val="auto"/>
                <w:kern w:val="2"/>
                <w:sz w:val="21"/>
                <w:szCs w:val="21"/>
                <w:highlight w:val="none"/>
                <w:lang w:bidi="ar"/>
              </w:rPr>
              <w:t>原辅材料</w:t>
            </w:r>
          </w:p>
        </w:tc>
        <w:tc>
          <w:tcPr>
            <w:tcW w:w="785" w:type="pct"/>
            <w:tcBorders>
              <w:tl2br w:val="nil"/>
              <w:tr2bl w:val="nil"/>
            </w:tcBorders>
            <w:noWrap w:val="0"/>
            <w:vAlign w:val="center"/>
          </w:tcPr>
          <w:p w14:paraId="1CC32DCA">
            <w:pPr>
              <w:keepNext w:val="0"/>
              <w:keepLines w:val="0"/>
              <w:suppressLineNumbers w:val="0"/>
              <w:spacing w:before="0" w:beforeAutospacing="0" w:after="0" w:afterAutospacing="0" w:line="240" w:lineRule="auto"/>
              <w:ind w:left="0" w:right="0" w:firstLine="0" w:firstLineChars="0"/>
              <w:jc w:val="center"/>
              <w:rPr>
                <w:rFonts w:hint="eastAsia" w:ascii="Times New Roman"/>
                <w:bCs/>
                <w:color w:val="auto"/>
                <w:kern w:val="2"/>
                <w:sz w:val="21"/>
                <w:szCs w:val="21"/>
                <w:highlight w:val="none"/>
              </w:rPr>
            </w:pPr>
            <w:r>
              <w:rPr>
                <w:rFonts w:ascii="Times New Roman"/>
                <w:bCs/>
                <w:color w:val="auto"/>
                <w:kern w:val="2"/>
                <w:sz w:val="21"/>
                <w:szCs w:val="21"/>
                <w:highlight w:val="none"/>
                <w:lang w:bidi="ar"/>
              </w:rPr>
              <w:t>单位</w:t>
            </w:r>
          </w:p>
        </w:tc>
        <w:tc>
          <w:tcPr>
            <w:tcW w:w="713" w:type="pct"/>
            <w:tcBorders>
              <w:tl2br w:val="nil"/>
              <w:tr2bl w:val="nil"/>
            </w:tcBorders>
            <w:noWrap w:val="0"/>
            <w:vAlign w:val="center"/>
          </w:tcPr>
          <w:p w14:paraId="3CAF44DD">
            <w:pPr>
              <w:keepNext w:val="0"/>
              <w:keepLines w:val="0"/>
              <w:suppressLineNumbers w:val="0"/>
              <w:spacing w:before="0" w:beforeAutospacing="0" w:after="0" w:afterAutospacing="0" w:line="240" w:lineRule="auto"/>
              <w:ind w:left="0" w:right="0" w:firstLine="0" w:firstLineChars="0"/>
              <w:jc w:val="center"/>
              <w:rPr>
                <w:rFonts w:ascii="Times New Roman"/>
                <w:bCs/>
                <w:color w:val="auto"/>
                <w:kern w:val="2"/>
                <w:sz w:val="21"/>
                <w:szCs w:val="21"/>
                <w:highlight w:val="none"/>
              </w:rPr>
            </w:pPr>
            <w:r>
              <w:rPr>
                <w:rFonts w:ascii="Times New Roman"/>
                <w:bCs/>
                <w:color w:val="auto"/>
                <w:kern w:val="2"/>
                <w:sz w:val="21"/>
                <w:szCs w:val="21"/>
                <w:highlight w:val="none"/>
                <w:lang w:bidi="ar"/>
              </w:rPr>
              <w:t>数量</w:t>
            </w:r>
          </w:p>
        </w:tc>
        <w:tc>
          <w:tcPr>
            <w:tcW w:w="1079" w:type="pct"/>
            <w:tcBorders>
              <w:tl2br w:val="nil"/>
              <w:tr2bl w:val="nil"/>
            </w:tcBorders>
            <w:noWrap w:val="0"/>
            <w:vAlign w:val="center"/>
          </w:tcPr>
          <w:p w14:paraId="39BFA5A4">
            <w:pPr>
              <w:keepNext w:val="0"/>
              <w:keepLines w:val="0"/>
              <w:suppressLineNumbers w:val="0"/>
              <w:spacing w:before="0" w:beforeAutospacing="0" w:after="0" w:afterAutospacing="0" w:line="240" w:lineRule="auto"/>
              <w:ind w:left="0" w:right="0" w:firstLine="0" w:firstLineChars="0"/>
              <w:jc w:val="center"/>
              <w:rPr>
                <w:rFonts w:ascii="Times New Roman"/>
                <w:bCs/>
                <w:color w:val="auto"/>
                <w:kern w:val="2"/>
                <w:sz w:val="21"/>
                <w:szCs w:val="21"/>
                <w:highlight w:val="none"/>
                <w:lang w:bidi="ar"/>
              </w:rPr>
            </w:pPr>
            <w:r>
              <w:rPr>
                <w:rFonts w:hint="eastAsia" w:ascii="Times New Roman"/>
                <w:bCs/>
                <w:color w:val="auto"/>
                <w:kern w:val="2"/>
                <w:sz w:val="21"/>
                <w:szCs w:val="21"/>
                <w:highlight w:val="none"/>
                <w:lang w:bidi="ar"/>
              </w:rPr>
              <w:t>备注</w:t>
            </w:r>
          </w:p>
        </w:tc>
      </w:tr>
      <w:tr w14:paraId="5F4C1429">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1" w:type="pct"/>
            <w:tcBorders>
              <w:tl2br w:val="nil"/>
              <w:tr2bl w:val="nil"/>
            </w:tcBorders>
            <w:noWrap w:val="0"/>
            <w:vAlign w:val="center"/>
          </w:tcPr>
          <w:p w14:paraId="63D557CA">
            <w:pPr>
              <w:keepNext w:val="0"/>
              <w:keepLines w:val="0"/>
              <w:suppressLineNumbers w:val="0"/>
              <w:spacing w:before="0" w:beforeAutospacing="0" w:after="0" w:afterAutospacing="0" w:line="240" w:lineRule="auto"/>
              <w:ind w:left="0" w:right="0" w:firstLine="0" w:firstLineChars="0"/>
              <w:jc w:val="center"/>
              <w:rPr>
                <w:rFonts w:ascii="Times New Roman"/>
                <w:bCs/>
                <w:color w:val="auto"/>
                <w:kern w:val="2"/>
                <w:sz w:val="21"/>
                <w:szCs w:val="21"/>
                <w:highlight w:val="none"/>
              </w:rPr>
            </w:pPr>
            <w:r>
              <w:rPr>
                <w:rFonts w:ascii="Times New Roman"/>
                <w:bCs/>
                <w:color w:val="auto"/>
                <w:kern w:val="2"/>
                <w:sz w:val="21"/>
                <w:szCs w:val="21"/>
                <w:highlight w:val="none"/>
                <w:lang w:bidi="ar"/>
              </w:rPr>
              <w:t>1</w:t>
            </w:r>
          </w:p>
        </w:tc>
        <w:tc>
          <w:tcPr>
            <w:tcW w:w="1930" w:type="pct"/>
            <w:tcBorders>
              <w:tl2br w:val="nil"/>
              <w:tr2bl w:val="nil"/>
            </w:tcBorders>
            <w:noWrap w:val="0"/>
            <w:vAlign w:val="center"/>
          </w:tcPr>
          <w:p w14:paraId="4D25D5F8">
            <w:pPr>
              <w:keepNext w:val="0"/>
              <w:keepLines w:val="0"/>
              <w:widowControl/>
              <w:suppressLineNumbers w:val="0"/>
              <w:spacing w:before="0" w:beforeAutospacing="0" w:after="0" w:afterAutospacing="0" w:line="240" w:lineRule="auto"/>
              <w:ind w:left="0" w:right="0" w:firstLine="0" w:firstLineChars="0"/>
              <w:jc w:val="center"/>
              <w:textAlignment w:val="center"/>
              <w:rPr>
                <w:rFonts w:hint="eastAsia"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lang w:val="en-US" w:eastAsia="zh-CN"/>
              </w:rPr>
              <w:t>回填</w:t>
            </w:r>
            <w:r>
              <w:rPr>
                <w:rFonts w:hint="eastAsia" w:ascii="Times New Roman"/>
                <w:color w:val="auto"/>
                <w:sz w:val="21"/>
                <w:szCs w:val="21"/>
                <w:highlight w:val="none"/>
              </w:rPr>
              <w:t>场基础层：土工布</w:t>
            </w:r>
          </w:p>
        </w:tc>
        <w:tc>
          <w:tcPr>
            <w:tcW w:w="785" w:type="pct"/>
            <w:tcBorders>
              <w:tl2br w:val="nil"/>
              <w:tr2bl w:val="nil"/>
            </w:tcBorders>
            <w:noWrap w:val="0"/>
            <w:vAlign w:val="center"/>
          </w:tcPr>
          <w:p w14:paraId="2378A957">
            <w:pPr>
              <w:keepNext w:val="0"/>
              <w:keepLines w:val="0"/>
              <w:widowControl/>
              <w:suppressLineNumbers w:val="0"/>
              <w:spacing w:before="0" w:beforeAutospacing="0" w:after="0" w:afterAutospacing="0" w:line="240" w:lineRule="auto"/>
              <w:ind w:left="0" w:leftChars="0" w:right="0" w:firstLine="0" w:firstLineChars="0"/>
              <w:jc w:val="center"/>
              <w:textAlignment w:val="center"/>
              <w:rPr>
                <w:rFonts w:hint="default" w:ascii="Times New Roman" w:hAnsi="Times New Roman" w:eastAsia="宋体" w:cs="Times New Roman"/>
                <w:caps w:val="0"/>
                <w:smallCaps w:val="0"/>
                <w:color w:val="auto"/>
                <w:sz w:val="21"/>
                <w:szCs w:val="21"/>
                <w:highlight w:val="none"/>
                <w:lang w:val="en-US" w:eastAsia="zh-CN" w:bidi="ar-SA"/>
              </w:rPr>
            </w:pPr>
            <w:r>
              <w:rPr>
                <w:rFonts w:hint="eastAsia" w:ascii="Times New Roman" w:hAnsi="Times New Roman" w:eastAsia="宋体" w:cs="Times New Roman"/>
                <w:caps w:val="0"/>
                <w:smallCaps w:val="0"/>
                <w:color w:val="auto"/>
                <w:sz w:val="21"/>
                <w:szCs w:val="21"/>
                <w:highlight w:val="none"/>
                <w:lang w:val="en-US" w:eastAsia="zh-CN"/>
              </w:rPr>
              <w:t>m</w:t>
            </w:r>
            <w:r>
              <w:rPr>
                <w:rFonts w:hint="eastAsia" w:ascii="Times New Roman" w:hAnsi="Times New Roman" w:eastAsia="宋体" w:cs="Times New Roman"/>
                <w:caps w:val="0"/>
                <w:smallCaps w:val="0"/>
                <w:color w:val="auto"/>
                <w:sz w:val="21"/>
                <w:szCs w:val="21"/>
                <w:highlight w:val="none"/>
                <w:vertAlign w:val="superscript"/>
                <w:lang w:val="en-US" w:eastAsia="zh-CN"/>
              </w:rPr>
              <w:t>2</w:t>
            </w:r>
          </w:p>
        </w:tc>
        <w:tc>
          <w:tcPr>
            <w:tcW w:w="713" w:type="pct"/>
            <w:tcBorders>
              <w:tl2br w:val="nil"/>
              <w:tr2bl w:val="nil"/>
            </w:tcBorders>
            <w:noWrap w:val="0"/>
            <w:vAlign w:val="center"/>
          </w:tcPr>
          <w:p w14:paraId="42E0CCC2">
            <w:pPr>
              <w:keepNext w:val="0"/>
              <w:keepLines w:val="0"/>
              <w:widowControl/>
              <w:suppressLineNumbers w:val="0"/>
              <w:spacing w:before="0" w:beforeAutospacing="0" w:after="0" w:afterAutospacing="0" w:line="240" w:lineRule="auto"/>
              <w:ind w:left="0" w:right="0" w:firstLine="0" w:firstLineChars="0"/>
              <w:jc w:val="center"/>
              <w:textAlignment w:val="center"/>
              <w:rPr>
                <w:rFonts w:hint="default" w:ascii="Times New Roman" w:hAnsi="Times New Roman" w:eastAsia="宋体"/>
                <w:color w:val="auto"/>
                <w:sz w:val="21"/>
                <w:szCs w:val="21"/>
                <w:highlight w:val="none"/>
                <w:lang w:val="en-US" w:eastAsia="zh-CN" w:bidi="ar-SA"/>
              </w:rPr>
            </w:pPr>
            <w:r>
              <w:rPr>
                <w:rFonts w:hint="eastAsia" w:ascii="Times New Roman" w:hAnsi="Times New Roman" w:eastAsia="宋体" w:cs="Times New Roman"/>
                <w:color w:val="auto"/>
                <w:spacing w:val="4"/>
                <w:sz w:val="21"/>
                <w:szCs w:val="21"/>
                <w:highlight w:val="none"/>
                <w:lang w:val="en-US" w:eastAsia="zh-CN"/>
              </w:rPr>
              <w:t>14310</w:t>
            </w:r>
          </w:p>
        </w:tc>
        <w:tc>
          <w:tcPr>
            <w:tcW w:w="1079" w:type="pct"/>
            <w:tcBorders>
              <w:tl2br w:val="nil"/>
              <w:tr2bl w:val="nil"/>
            </w:tcBorders>
            <w:noWrap w:val="0"/>
            <w:vAlign w:val="center"/>
          </w:tcPr>
          <w:p w14:paraId="34F25FBD">
            <w:pPr>
              <w:keepNext w:val="0"/>
              <w:keepLines w:val="0"/>
              <w:widowControl/>
              <w:suppressLineNumbers w:val="0"/>
              <w:spacing w:before="0" w:beforeAutospacing="0" w:after="0" w:afterAutospacing="0" w:line="240" w:lineRule="auto"/>
              <w:ind w:left="0" w:right="0" w:firstLine="0" w:firstLineChars="0"/>
              <w:jc w:val="center"/>
              <w:textAlignment w:val="center"/>
              <w:rPr>
                <w:rFonts w:hint="default"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lang w:val="en-US" w:eastAsia="zh-CN" w:bidi="ar-SA"/>
              </w:rPr>
              <w:t>/</w:t>
            </w:r>
          </w:p>
        </w:tc>
      </w:tr>
      <w:tr w14:paraId="7C71C1A1">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0" w:hRule="atLeast"/>
          <w:jc w:val="center"/>
        </w:trPr>
        <w:tc>
          <w:tcPr>
            <w:tcW w:w="491" w:type="pct"/>
            <w:tcBorders>
              <w:tl2br w:val="nil"/>
              <w:tr2bl w:val="nil"/>
            </w:tcBorders>
            <w:noWrap w:val="0"/>
            <w:vAlign w:val="center"/>
          </w:tcPr>
          <w:p w14:paraId="6EB44032">
            <w:pPr>
              <w:keepNext w:val="0"/>
              <w:keepLines w:val="0"/>
              <w:suppressLineNumbers w:val="0"/>
              <w:spacing w:before="0" w:beforeAutospacing="0" w:after="0" w:afterAutospacing="0" w:line="240" w:lineRule="auto"/>
              <w:ind w:left="0" w:right="0" w:firstLine="0" w:firstLineChars="0"/>
              <w:jc w:val="center"/>
              <w:rPr>
                <w:rFonts w:ascii="Times New Roman"/>
                <w:bCs/>
                <w:color w:val="auto"/>
                <w:kern w:val="2"/>
                <w:sz w:val="21"/>
                <w:szCs w:val="21"/>
                <w:highlight w:val="none"/>
              </w:rPr>
            </w:pPr>
            <w:r>
              <w:rPr>
                <w:rFonts w:ascii="Times New Roman"/>
                <w:bCs/>
                <w:color w:val="auto"/>
                <w:kern w:val="2"/>
                <w:sz w:val="21"/>
                <w:szCs w:val="21"/>
                <w:highlight w:val="none"/>
                <w:lang w:bidi="ar"/>
              </w:rPr>
              <w:t>2</w:t>
            </w:r>
          </w:p>
        </w:tc>
        <w:tc>
          <w:tcPr>
            <w:tcW w:w="1930" w:type="pct"/>
            <w:tcBorders>
              <w:tl2br w:val="nil"/>
              <w:tr2bl w:val="nil"/>
            </w:tcBorders>
            <w:noWrap w:val="0"/>
            <w:vAlign w:val="center"/>
          </w:tcPr>
          <w:p w14:paraId="4C2D9555">
            <w:pPr>
              <w:keepNext w:val="0"/>
              <w:keepLines w:val="0"/>
              <w:widowControl/>
              <w:suppressLineNumbers w:val="0"/>
              <w:spacing w:before="0" w:beforeAutospacing="0" w:after="0" w:afterAutospacing="0" w:line="240" w:lineRule="auto"/>
              <w:ind w:left="0" w:right="0" w:firstLine="0" w:firstLineChars="0"/>
              <w:jc w:val="center"/>
              <w:textAlignment w:val="center"/>
              <w:rPr>
                <w:rFonts w:hint="eastAsia"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lang w:val="en-US" w:eastAsia="zh-CN"/>
              </w:rPr>
              <w:t>回填</w:t>
            </w:r>
            <w:r>
              <w:rPr>
                <w:rFonts w:hint="eastAsia" w:ascii="Times New Roman"/>
                <w:color w:val="auto"/>
                <w:sz w:val="21"/>
                <w:szCs w:val="21"/>
                <w:highlight w:val="none"/>
              </w:rPr>
              <w:t>场人工衬层：高密度聚乙烯膜</w:t>
            </w:r>
          </w:p>
        </w:tc>
        <w:tc>
          <w:tcPr>
            <w:tcW w:w="785" w:type="pct"/>
            <w:tcBorders>
              <w:tl2br w:val="nil"/>
              <w:tr2bl w:val="nil"/>
            </w:tcBorders>
            <w:noWrap w:val="0"/>
            <w:vAlign w:val="center"/>
          </w:tcPr>
          <w:p w14:paraId="585DAB5E">
            <w:pPr>
              <w:keepNext w:val="0"/>
              <w:keepLines w:val="0"/>
              <w:widowControl/>
              <w:suppressLineNumbers w:val="0"/>
              <w:spacing w:before="0" w:beforeAutospacing="0" w:after="0" w:afterAutospacing="0" w:line="240" w:lineRule="auto"/>
              <w:ind w:left="0" w:leftChars="0" w:right="0" w:firstLine="0" w:firstLineChars="0"/>
              <w:jc w:val="center"/>
              <w:textAlignment w:val="center"/>
              <w:rPr>
                <w:rFonts w:hint="default" w:ascii="Times New Roman" w:hAnsi="Times New Roman" w:eastAsia="宋体" w:cs="Times New Roman"/>
                <w:caps w:val="0"/>
                <w:smallCaps w:val="0"/>
                <w:color w:val="auto"/>
                <w:sz w:val="21"/>
                <w:szCs w:val="21"/>
                <w:highlight w:val="none"/>
                <w:lang w:val="en-US" w:eastAsia="zh-CN" w:bidi="ar-SA"/>
              </w:rPr>
            </w:pPr>
            <w:r>
              <w:rPr>
                <w:rFonts w:hint="eastAsia" w:ascii="Times New Roman" w:hAnsi="Times New Roman" w:eastAsia="宋体" w:cs="Times New Roman"/>
                <w:caps w:val="0"/>
                <w:smallCaps w:val="0"/>
                <w:color w:val="auto"/>
                <w:sz w:val="21"/>
                <w:szCs w:val="21"/>
                <w:highlight w:val="none"/>
                <w:lang w:val="en-US" w:eastAsia="zh-CN"/>
              </w:rPr>
              <w:t>m</w:t>
            </w:r>
            <w:r>
              <w:rPr>
                <w:rFonts w:hint="eastAsia" w:ascii="Times New Roman" w:hAnsi="Times New Roman" w:eastAsia="宋体" w:cs="Times New Roman"/>
                <w:caps w:val="0"/>
                <w:smallCaps w:val="0"/>
                <w:color w:val="auto"/>
                <w:sz w:val="21"/>
                <w:szCs w:val="21"/>
                <w:highlight w:val="none"/>
                <w:vertAlign w:val="superscript"/>
                <w:lang w:val="en-US" w:eastAsia="zh-CN"/>
              </w:rPr>
              <w:t>2</w:t>
            </w:r>
          </w:p>
        </w:tc>
        <w:tc>
          <w:tcPr>
            <w:tcW w:w="713" w:type="pct"/>
            <w:tcBorders>
              <w:tl2br w:val="nil"/>
              <w:tr2bl w:val="nil"/>
            </w:tcBorders>
            <w:noWrap w:val="0"/>
            <w:vAlign w:val="center"/>
          </w:tcPr>
          <w:p w14:paraId="7602A492">
            <w:pPr>
              <w:keepNext w:val="0"/>
              <w:keepLines w:val="0"/>
              <w:widowControl/>
              <w:suppressLineNumbers w:val="0"/>
              <w:spacing w:before="0" w:beforeAutospacing="0" w:after="0" w:afterAutospacing="0" w:line="240" w:lineRule="auto"/>
              <w:ind w:left="0" w:right="0" w:firstLine="0" w:firstLineChars="0"/>
              <w:jc w:val="center"/>
              <w:textAlignment w:val="center"/>
              <w:rPr>
                <w:rFonts w:hint="default" w:ascii="Times New Roman" w:hAnsi="Times New Roman" w:eastAsia="宋体"/>
                <w:color w:val="auto"/>
                <w:sz w:val="21"/>
                <w:szCs w:val="21"/>
                <w:highlight w:val="none"/>
                <w:lang w:val="en-US" w:eastAsia="zh-CN" w:bidi="ar-SA"/>
              </w:rPr>
            </w:pPr>
            <w:r>
              <w:rPr>
                <w:rFonts w:hint="eastAsia" w:ascii="Times New Roman" w:hAnsi="Times New Roman" w:eastAsia="宋体" w:cs="Times New Roman"/>
                <w:color w:val="auto"/>
                <w:spacing w:val="4"/>
                <w:sz w:val="21"/>
                <w:szCs w:val="21"/>
                <w:highlight w:val="none"/>
                <w:lang w:val="en-US" w:eastAsia="zh-CN"/>
              </w:rPr>
              <w:t>14310</w:t>
            </w:r>
          </w:p>
        </w:tc>
        <w:tc>
          <w:tcPr>
            <w:tcW w:w="1079" w:type="pct"/>
            <w:tcBorders>
              <w:tl2br w:val="nil"/>
              <w:tr2bl w:val="nil"/>
            </w:tcBorders>
            <w:noWrap w:val="0"/>
            <w:vAlign w:val="center"/>
          </w:tcPr>
          <w:p w14:paraId="66E396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center"/>
              <w:rPr>
                <w:rFonts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lang w:val="en-US" w:eastAsia="zh-CN" w:bidi="ar-SA"/>
              </w:rPr>
              <w:t>/</w:t>
            </w:r>
          </w:p>
        </w:tc>
      </w:tr>
      <w:tr w14:paraId="1AF7FDA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491" w:type="pct"/>
            <w:tcBorders>
              <w:tl2br w:val="nil"/>
              <w:tr2bl w:val="nil"/>
            </w:tcBorders>
            <w:noWrap w:val="0"/>
            <w:vAlign w:val="center"/>
          </w:tcPr>
          <w:p w14:paraId="4897A717">
            <w:pPr>
              <w:keepNext w:val="0"/>
              <w:keepLines w:val="0"/>
              <w:suppressLineNumbers w:val="0"/>
              <w:spacing w:before="0" w:beforeAutospacing="0" w:after="0" w:afterAutospacing="0" w:line="240" w:lineRule="auto"/>
              <w:ind w:left="0" w:right="0" w:firstLine="0" w:firstLineChars="0"/>
              <w:jc w:val="center"/>
              <w:rPr>
                <w:rFonts w:ascii="Times New Roman"/>
                <w:bCs/>
                <w:color w:val="auto"/>
                <w:kern w:val="2"/>
                <w:sz w:val="21"/>
                <w:szCs w:val="21"/>
                <w:highlight w:val="none"/>
              </w:rPr>
            </w:pPr>
            <w:r>
              <w:rPr>
                <w:rFonts w:ascii="Times New Roman"/>
                <w:bCs/>
                <w:color w:val="auto"/>
                <w:kern w:val="2"/>
                <w:sz w:val="21"/>
                <w:szCs w:val="21"/>
                <w:highlight w:val="none"/>
                <w:lang w:bidi="ar"/>
              </w:rPr>
              <w:t>3</w:t>
            </w:r>
          </w:p>
        </w:tc>
        <w:tc>
          <w:tcPr>
            <w:tcW w:w="1930" w:type="pct"/>
            <w:tcBorders>
              <w:tl2br w:val="nil"/>
              <w:tr2bl w:val="nil"/>
            </w:tcBorders>
            <w:noWrap w:val="0"/>
            <w:vAlign w:val="center"/>
          </w:tcPr>
          <w:p w14:paraId="6B768322">
            <w:pPr>
              <w:keepNext w:val="0"/>
              <w:keepLines w:val="0"/>
              <w:widowControl/>
              <w:suppressLineNumbers w:val="0"/>
              <w:spacing w:before="0" w:beforeAutospacing="0" w:after="0" w:afterAutospacing="0" w:line="240" w:lineRule="auto"/>
              <w:ind w:left="0" w:right="0" w:firstLine="0" w:firstLineChars="0"/>
              <w:jc w:val="center"/>
              <w:textAlignment w:val="center"/>
              <w:rPr>
                <w:rFonts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rPr>
              <w:t>壤土</w:t>
            </w:r>
          </w:p>
        </w:tc>
        <w:tc>
          <w:tcPr>
            <w:tcW w:w="785" w:type="pct"/>
            <w:tcBorders>
              <w:tl2br w:val="nil"/>
              <w:tr2bl w:val="nil"/>
            </w:tcBorders>
            <w:noWrap w:val="0"/>
            <w:vAlign w:val="center"/>
          </w:tcPr>
          <w:p w14:paraId="79F84B4D">
            <w:pPr>
              <w:keepNext w:val="0"/>
              <w:keepLines w:val="0"/>
              <w:widowControl/>
              <w:suppressLineNumbers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aps w:val="0"/>
                <w:smallCaps w:val="0"/>
                <w:color w:val="auto"/>
                <w:sz w:val="21"/>
                <w:szCs w:val="21"/>
                <w:highlight w:val="none"/>
                <w:lang w:val="en-US" w:eastAsia="zh-CN" w:bidi="ar-SA"/>
              </w:rPr>
            </w:pPr>
            <w:r>
              <w:rPr>
                <w:rFonts w:hint="eastAsia" w:ascii="Times New Roman" w:hAnsi="Times New Roman" w:eastAsia="宋体" w:cs="Times New Roman"/>
                <w:caps w:val="0"/>
                <w:smallCaps w:val="0"/>
                <w:color w:val="auto"/>
                <w:sz w:val="21"/>
                <w:szCs w:val="21"/>
                <w:highlight w:val="none"/>
                <w:lang w:val="en-US" w:eastAsia="zh-CN"/>
              </w:rPr>
              <w:t>m</w:t>
            </w:r>
            <w:r>
              <w:rPr>
                <w:rFonts w:hint="eastAsia" w:ascii="Times New Roman" w:hAnsi="Times New Roman" w:eastAsia="宋体" w:cs="Times New Roman"/>
                <w:caps w:val="0"/>
                <w:smallCaps w:val="0"/>
                <w:color w:val="auto"/>
                <w:sz w:val="21"/>
                <w:szCs w:val="21"/>
                <w:highlight w:val="none"/>
                <w:vertAlign w:val="superscript"/>
                <w:lang w:val="en-US" w:eastAsia="zh-CN"/>
              </w:rPr>
              <w:t>3</w:t>
            </w:r>
          </w:p>
        </w:tc>
        <w:tc>
          <w:tcPr>
            <w:tcW w:w="713" w:type="pct"/>
            <w:tcBorders>
              <w:tl2br w:val="nil"/>
              <w:tr2bl w:val="nil"/>
            </w:tcBorders>
            <w:noWrap w:val="0"/>
            <w:vAlign w:val="center"/>
          </w:tcPr>
          <w:p w14:paraId="6AC9A4B5">
            <w:pPr>
              <w:keepNext w:val="0"/>
              <w:keepLines w:val="0"/>
              <w:widowControl/>
              <w:suppressLineNumbers w:val="0"/>
              <w:spacing w:before="0" w:beforeAutospacing="0" w:after="0" w:afterAutospacing="0" w:line="240" w:lineRule="auto"/>
              <w:ind w:left="0" w:right="0" w:firstLine="0" w:firstLineChars="0"/>
              <w:jc w:val="center"/>
              <w:textAlignment w:val="center"/>
              <w:rPr>
                <w:rFonts w:hint="default" w:ascii="Times New Roman" w:hAnsi="Times New Roman" w:eastAsia="宋体"/>
                <w:color w:val="auto"/>
                <w:sz w:val="21"/>
                <w:szCs w:val="21"/>
                <w:highlight w:val="none"/>
                <w:lang w:val="en-US" w:eastAsia="zh-CN" w:bidi="ar-SA"/>
              </w:rPr>
            </w:pPr>
            <w:r>
              <w:rPr>
                <w:rFonts w:hint="eastAsia" w:ascii="Times New Roman" w:hAnsi="Times New Roman" w:cs="Times New Roman"/>
                <w:color w:val="auto"/>
                <w:spacing w:val="5"/>
                <w:sz w:val="21"/>
                <w:szCs w:val="21"/>
                <w:highlight w:val="none"/>
                <w:lang w:val="en-US" w:eastAsia="zh-CN"/>
              </w:rPr>
              <w:t>5422</w:t>
            </w:r>
          </w:p>
        </w:tc>
        <w:tc>
          <w:tcPr>
            <w:tcW w:w="1079" w:type="pct"/>
            <w:tcBorders>
              <w:tl2br w:val="nil"/>
              <w:tr2bl w:val="nil"/>
            </w:tcBorders>
            <w:noWrap w:val="0"/>
            <w:vAlign w:val="center"/>
          </w:tcPr>
          <w:p w14:paraId="30FEA6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center"/>
              <w:rPr>
                <w:rFonts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lang w:val="en-US" w:eastAsia="zh-CN" w:bidi="ar-SA"/>
              </w:rPr>
              <w:t>/</w:t>
            </w:r>
          </w:p>
        </w:tc>
      </w:tr>
      <w:tr w14:paraId="6DB21B7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491" w:type="pct"/>
            <w:tcBorders>
              <w:tl2br w:val="nil"/>
              <w:tr2bl w:val="nil"/>
            </w:tcBorders>
            <w:noWrap w:val="0"/>
            <w:vAlign w:val="center"/>
          </w:tcPr>
          <w:p w14:paraId="464BFB44">
            <w:pPr>
              <w:keepNext w:val="0"/>
              <w:keepLines w:val="0"/>
              <w:suppressLineNumbers w:val="0"/>
              <w:spacing w:before="0" w:beforeAutospacing="0" w:after="0" w:afterAutospacing="0" w:line="240" w:lineRule="auto"/>
              <w:ind w:left="0" w:right="0" w:firstLine="0" w:firstLineChars="0"/>
              <w:jc w:val="center"/>
              <w:rPr>
                <w:rFonts w:ascii="Times New Roman"/>
                <w:bCs/>
                <w:color w:val="auto"/>
                <w:kern w:val="2"/>
                <w:sz w:val="21"/>
                <w:szCs w:val="21"/>
                <w:highlight w:val="none"/>
                <w:lang w:bidi="ar"/>
              </w:rPr>
            </w:pPr>
            <w:r>
              <w:rPr>
                <w:rFonts w:ascii="Times New Roman"/>
                <w:bCs/>
                <w:color w:val="auto"/>
                <w:kern w:val="2"/>
                <w:sz w:val="21"/>
                <w:szCs w:val="21"/>
                <w:highlight w:val="none"/>
                <w:lang w:bidi="ar"/>
              </w:rPr>
              <w:t>4</w:t>
            </w:r>
          </w:p>
        </w:tc>
        <w:tc>
          <w:tcPr>
            <w:tcW w:w="1930" w:type="pct"/>
            <w:tcBorders>
              <w:tl2br w:val="nil"/>
              <w:tr2bl w:val="nil"/>
            </w:tcBorders>
            <w:noWrap w:val="0"/>
            <w:vAlign w:val="center"/>
          </w:tcPr>
          <w:p w14:paraId="0E8DBF54">
            <w:pPr>
              <w:keepNext w:val="0"/>
              <w:keepLines w:val="0"/>
              <w:widowControl/>
              <w:suppressLineNumbers w:val="0"/>
              <w:spacing w:before="0" w:beforeAutospacing="0" w:after="0" w:afterAutospacing="0" w:line="240" w:lineRule="auto"/>
              <w:ind w:left="0" w:right="0" w:firstLine="0" w:firstLineChars="0"/>
              <w:jc w:val="center"/>
              <w:textAlignment w:val="center"/>
              <w:rPr>
                <w:rFonts w:hint="eastAsia" w:ascii="Times New Roman" w:hAnsi="Times New Roman" w:eastAsia="宋体"/>
                <w:color w:val="auto"/>
                <w:sz w:val="21"/>
                <w:szCs w:val="21"/>
                <w:highlight w:val="none"/>
                <w:lang w:val="en-US" w:eastAsia="zh-CN" w:bidi="ar-SA"/>
              </w:rPr>
            </w:pPr>
            <w:r>
              <w:rPr>
                <w:rFonts w:hint="eastAsia" w:ascii="Times New Roman" w:eastAsia="宋体" w:cs="Times New Roman"/>
                <w:color w:val="auto"/>
                <w:sz w:val="21"/>
                <w:szCs w:val="21"/>
                <w:highlight w:val="none"/>
                <w:lang w:val="en-US" w:eastAsia="zh-CN"/>
              </w:rPr>
              <w:t>燃煤</w:t>
            </w:r>
            <w:r>
              <w:rPr>
                <w:rFonts w:hint="eastAsia" w:ascii="Times New Roman" w:hAnsi="Times New Roman" w:eastAsia="Times New Roman" w:cs="Times New Roman"/>
                <w:color w:val="auto"/>
                <w:sz w:val="21"/>
                <w:szCs w:val="21"/>
                <w:highlight w:val="none"/>
              </w:rPr>
              <w:t>炉渣</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Times New Roman" w:cs="Times New Roman"/>
                <w:color w:val="auto"/>
                <w:sz w:val="21"/>
                <w:szCs w:val="21"/>
                <w:highlight w:val="none"/>
              </w:rPr>
              <w:t>生物质灰渣</w:t>
            </w:r>
          </w:p>
        </w:tc>
        <w:tc>
          <w:tcPr>
            <w:tcW w:w="785" w:type="pct"/>
            <w:tcBorders>
              <w:tl2br w:val="nil"/>
              <w:tr2bl w:val="nil"/>
            </w:tcBorders>
            <w:noWrap w:val="0"/>
            <w:vAlign w:val="center"/>
          </w:tcPr>
          <w:p w14:paraId="356677CF">
            <w:pPr>
              <w:keepNext w:val="0"/>
              <w:keepLines w:val="0"/>
              <w:widowControl/>
              <w:suppressLineNumbers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aps w:val="0"/>
                <w:smallCaps w:val="0"/>
                <w:color w:val="auto"/>
                <w:sz w:val="21"/>
                <w:szCs w:val="21"/>
                <w:highlight w:val="none"/>
                <w:lang w:val="en-US" w:eastAsia="zh-CN" w:bidi="ar-SA"/>
              </w:rPr>
            </w:pPr>
            <w:r>
              <w:rPr>
                <w:rFonts w:hint="eastAsia" w:ascii="Times New Roman" w:hAnsi="Times New Roman" w:eastAsia="宋体" w:cs="Times New Roman"/>
                <w:caps w:val="0"/>
                <w:smallCaps w:val="0"/>
                <w:color w:val="auto"/>
                <w:sz w:val="21"/>
                <w:szCs w:val="21"/>
                <w:highlight w:val="none"/>
                <w:lang w:val="en-US" w:eastAsia="zh-CN"/>
              </w:rPr>
              <w:t>m</w:t>
            </w:r>
            <w:r>
              <w:rPr>
                <w:rFonts w:hint="eastAsia" w:ascii="Times New Roman" w:hAnsi="Times New Roman" w:eastAsia="宋体" w:cs="Times New Roman"/>
                <w:caps w:val="0"/>
                <w:smallCaps w:val="0"/>
                <w:color w:val="auto"/>
                <w:sz w:val="21"/>
                <w:szCs w:val="21"/>
                <w:highlight w:val="none"/>
                <w:vertAlign w:val="superscript"/>
                <w:lang w:val="en-US" w:eastAsia="zh-CN"/>
              </w:rPr>
              <w:t>3</w:t>
            </w:r>
          </w:p>
        </w:tc>
        <w:tc>
          <w:tcPr>
            <w:tcW w:w="713" w:type="pct"/>
            <w:tcBorders>
              <w:tl2br w:val="nil"/>
              <w:tr2bl w:val="nil"/>
            </w:tcBorders>
            <w:noWrap w:val="0"/>
            <w:vAlign w:val="center"/>
          </w:tcPr>
          <w:p w14:paraId="24BEE4F7">
            <w:pPr>
              <w:keepNext w:val="0"/>
              <w:keepLines w:val="0"/>
              <w:widowControl/>
              <w:suppressLineNumbers w:val="0"/>
              <w:spacing w:before="0" w:beforeAutospacing="0" w:after="0" w:afterAutospacing="0" w:line="240" w:lineRule="auto"/>
              <w:ind w:left="0" w:right="0" w:firstLine="0" w:firstLineChars="0"/>
              <w:jc w:val="center"/>
              <w:textAlignment w:val="center"/>
              <w:rPr>
                <w:rFonts w:hint="default" w:ascii="Times New Roman" w:hAnsi="Times New Roman" w:eastAsia="宋体"/>
                <w:color w:val="auto"/>
                <w:sz w:val="21"/>
                <w:szCs w:val="21"/>
                <w:highlight w:val="none"/>
                <w:lang w:val="en-US" w:eastAsia="zh-CN" w:bidi="ar-SA"/>
              </w:rPr>
            </w:pPr>
            <w:r>
              <w:rPr>
                <w:rFonts w:hint="eastAsia" w:ascii="Times New Roman" w:hAnsi="Times New Roman" w:cs="Times New Roman"/>
                <w:color w:val="auto"/>
                <w:spacing w:val="2"/>
                <w:sz w:val="21"/>
                <w:szCs w:val="21"/>
                <w:highlight w:val="none"/>
                <w:lang w:val="en-US" w:eastAsia="zh-CN"/>
              </w:rPr>
              <w:t>80760.03</w:t>
            </w:r>
          </w:p>
        </w:tc>
        <w:tc>
          <w:tcPr>
            <w:tcW w:w="1079" w:type="pct"/>
            <w:tcBorders>
              <w:tl2br w:val="nil"/>
              <w:tr2bl w:val="nil"/>
            </w:tcBorders>
            <w:noWrap w:val="0"/>
            <w:vAlign w:val="center"/>
          </w:tcPr>
          <w:p w14:paraId="270949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center"/>
              <w:rPr>
                <w:rFonts w:hint="default" w:ascii="Times New Roman" w:hAnsi="Times New Roman" w:eastAsia="宋体"/>
                <w:color w:val="auto"/>
                <w:sz w:val="21"/>
                <w:szCs w:val="21"/>
                <w:highlight w:val="none"/>
                <w:lang w:val="en-US" w:eastAsia="zh-CN" w:bidi="ar-SA"/>
              </w:rPr>
            </w:pPr>
            <w:r>
              <w:rPr>
                <w:rFonts w:hint="eastAsia"/>
                <w:color w:val="auto"/>
                <w:spacing w:val="9"/>
                <w:sz w:val="21"/>
                <w:szCs w:val="21"/>
                <w:highlight w:val="none"/>
                <w:lang w:val="en-US" w:eastAsia="zh-CN"/>
              </w:rPr>
              <w:t>尚志周边企业</w:t>
            </w:r>
          </w:p>
        </w:tc>
      </w:tr>
    </w:tbl>
    <w:p w14:paraId="6A066751">
      <w:pPr>
        <w:pStyle w:val="7"/>
        <w:keepNext w:val="0"/>
        <w:keepLines w:val="0"/>
        <w:widowControl w:val="0"/>
        <w:numPr>
          <w:ilvl w:val="2"/>
          <w:numId w:val="0"/>
        </w:numPr>
        <w:adjustRightInd w:val="0"/>
        <w:snapToGrid w:val="0"/>
        <w:spacing w:before="0" w:after="0" w:line="360" w:lineRule="auto"/>
        <w:ind w:leftChars="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3.1.4</w:t>
      </w:r>
      <w:r>
        <w:rPr>
          <w:rFonts w:hint="eastAsia" w:asciiTheme="minorEastAsia" w:hAnsiTheme="minorEastAsia" w:eastAsiaTheme="minorEastAsia" w:cstheme="minorEastAsia"/>
          <w:color w:val="auto"/>
          <w:szCs w:val="24"/>
          <w:highlight w:val="none"/>
        </w:rPr>
        <w:t>灰渣来源及分析</w:t>
      </w:r>
    </w:p>
    <w:p w14:paraId="01BEBF72">
      <w:pPr>
        <w:bidi w:val="0"/>
        <w:rPr>
          <w:color w:val="auto"/>
          <w:highlight w:val="none"/>
        </w:rPr>
      </w:pPr>
      <w:r>
        <w:rPr>
          <w:rFonts w:hint="eastAsia"/>
          <w:color w:val="auto"/>
          <w:highlight w:val="none"/>
        </w:rPr>
        <w:t>3.1.</w:t>
      </w:r>
      <w:r>
        <w:rPr>
          <w:rFonts w:hint="eastAsia"/>
          <w:color w:val="auto"/>
          <w:highlight w:val="none"/>
          <w:lang w:val="en-US" w:eastAsia="zh-CN"/>
        </w:rPr>
        <w:t>8</w:t>
      </w:r>
      <w:r>
        <w:rPr>
          <w:rFonts w:hint="eastAsia"/>
          <w:color w:val="auto"/>
          <w:highlight w:val="none"/>
        </w:rPr>
        <w:t>.1灰渣</w:t>
      </w:r>
      <w:r>
        <w:rPr>
          <w:color w:val="auto"/>
          <w:highlight w:val="none"/>
        </w:rPr>
        <w:t>来源</w:t>
      </w:r>
    </w:p>
    <w:p w14:paraId="6245CE56">
      <w:pPr>
        <w:bidi w:val="0"/>
        <w:spacing w:line="360" w:lineRule="auto"/>
        <w:ind w:firstLine="480" w:firstLineChars="200"/>
        <w:rPr>
          <w:rFonts w:hint="eastAsia"/>
          <w:color w:val="auto"/>
          <w:highlight w:val="none"/>
          <w:lang w:val="en-US" w:eastAsia="zh-CN"/>
        </w:rPr>
      </w:pPr>
      <w:r>
        <w:rPr>
          <w:rFonts w:hint="eastAsia"/>
          <w:color w:val="auto"/>
          <w:highlight w:val="none"/>
          <w:lang w:val="en-US" w:eastAsia="zh-CN"/>
        </w:rPr>
        <w:t>2020年</w:t>
      </w:r>
      <w:r>
        <w:rPr>
          <w:rFonts w:hint="eastAsia" w:ascii="Times New Roman"/>
          <w:color w:val="auto"/>
          <w:sz w:val="24"/>
          <w:highlight w:val="none"/>
          <w:lang w:val="en-US" w:eastAsia="zh-CN"/>
        </w:rPr>
        <w:t>黑龙江瑞和热电有限公司</w:t>
      </w:r>
      <w:r>
        <w:rPr>
          <w:rFonts w:hint="eastAsia"/>
          <w:color w:val="auto"/>
          <w:highlight w:val="none"/>
          <w:lang w:val="en-US" w:eastAsia="zh-CN"/>
        </w:rPr>
        <w:t>完成了《延寿县1×30MW农林生物质热电联产项目环境影响报告表》工作，并于2020年9月3日取得了哈尔滨市尚志生态环境局给予的批复，文件号“尚环审表[2020]35号”。2024年完成了自主验收工作，取得“延寿县1x30MW农林生物质热电联产项目竣工环境保护验收意见”。根据企业资料可知，生物质灰渣产生量约为20920.01t/a，</w:t>
      </w:r>
      <w:r>
        <w:rPr>
          <w:rFonts w:hint="eastAsia" w:ascii="Times New Roman" w:hAnsi="Times New Roman" w:eastAsia="宋体" w:cs="Times New Roman"/>
          <w:color w:val="auto"/>
          <w:kern w:val="2"/>
          <w:szCs w:val="22"/>
          <w:highlight w:val="none"/>
          <w:lang w:val="en-US" w:eastAsia="zh-CN" w:bidi="ar"/>
        </w:rPr>
        <w:t>堆积密度（压实密度）1.0t/m</w:t>
      </w:r>
      <w:r>
        <w:rPr>
          <w:rFonts w:hint="eastAsia" w:ascii="Times New Roman" w:hAnsi="Times New Roman" w:eastAsia="宋体" w:cs="Times New Roman"/>
          <w:color w:val="auto"/>
          <w:kern w:val="2"/>
          <w:szCs w:val="22"/>
          <w:highlight w:val="none"/>
          <w:vertAlign w:val="superscript"/>
          <w:lang w:val="en-US" w:eastAsia="zh-CN" w:bidi="ar"/>
        </w:rPr>
        <w:t>3</w:t>
      </w:r>
      <w:r>
        <w:rPr>
          <w:rFonts w:hint="eastAsia" w:ascii="Times New Roman" w:hAnsi="Times New Roman" w:eastAsia="宋体" w:cs="Times New Roman"/>
          <w:color w:val="auto"/>
          <w:kern w:val="2"/>
          <w:szCs w:val="22"/>
          <w:highlight w:val="none"/>
          <w:vertAlign w:val="baseline"/>
          <w:lang w:val="en-US" w:eastAsia="zh-CN" w:bidi="ar"/>
        </w:rPr>
        <w:t>，</w:t>
      </w:r>
      <w:r>
        <w:rPr>
          <w:rFonts w:hint="eastAsia"/>
          <w:color w:val="auto"/>
          <w:highlight w:val="none"/>
          <w:lang w:val="en-US" w:eastAsia="zh-CN"/>
        </w:rPr>
        <w:t>可提供生物质灰渣</w:t>
      </w:r>
      <w:r>
        <w:rPr>
          <w:rFonts w:hint="default"/>
          <w:color w:val="auto"/>
          <w:highlight w:val="none"/>
          <w:lang w:val="en-US" w:eastAsia="zh-CN"/>
        </w:rPr>
        <w:t>量为</w:t>
      </w:r>
      <w:r>
        <w:rPr>
          <w:rFonts w:hint="eastAsia"/>
          <w:color w:val="auto"/>
          <w:highlight w:val="none"/>
          <w:lang w:val="en-US" w:eastAsia="zh-CN"/>
        </w:rPr>
        <w:t>20920.01</w:t>
      </w:r>
      <w:r>
        <w:rPr>
          <w:rFonts w:hint="default"/>
          <w:color w:val="auto"/>
          <w:highlight w:val="none"/>
          <w:lang w:val="en-US" w:eastAsia="zh-CN"/>
        </w:rPr>
        <w:t>m</w:t>
      </w:r>
      <w:r>
        <w:rPr>
          <w:rFonts w:hint="default"/>
          <w:color w:val="auto"/>
          <w:highlight w:val="none"/>
          <w:vertAlign w:val="superscript"/>
          <w:lang w:val="en-US" w:eastAsia="zh-CN"/>
        </w:rPr>
        <w:t>3</w:t>
      </w:r>
      <w:r>
        <w:rPr>
          <w:rFonts w:hint="eastAsia"/>
          <w:color w:val="auto"/>
          <w:highlight w:val="none"/>
          <w:vertAlign w:val="baseline"/>
          <w:lang w:val="en-US" w:eastAsia="zh-CN"/>
        </w:rPr>
        <w:t>/a</w:t>
      </w:r>
      <w:r>
        <w:rPr>
          <w:rFonts w:hint="eastAsia"/>
          <w:color w:val="auto"/>
          <w:highlight w:val="none"/>
          <w:lang w:val="en-US" w:eastAsia="zh-CN"/>
        </w:rPr>
        <w:t>。</w:t>
      </w:r>
      <w:r>
        <w:rPr>
          <w:rFonts w:hint="eastAsia" w:asciiTheme="minorEastAsia" w:hAnsiTheme="minorEastAsia" w:eastAsiaTheme="minorEastAsia" w:cstheme="minorEastAsia"/>
          <w:color w:val="auto"/>
          <w:szCs w:val="24"/>
          <w:highlight w:val="none"/>
        </w:rPr>
        <w:t>采砂坑</w:t>
      </w:r>
      <w:r>
        <w:rPr>
          <w:rFonts w:hint="eastAsia"/>
          <w:color w:val="auto"/>
          <w:highlight w:val="none"/>
          <w:lang w:val="en-US" w:eastAsia="zh-CN"/>
        </w:rPr>
        <w:t>修复期间，共计提供生物质灰渣量62760.03</w:t>
      </w:r>
      <w:r>
        <w:rPr>
          <w:rFonts w:hint="default"/>
          <w:color w:val="auto"/>
          <w:highlight w:val="none"/>
          <w:lang w:val="en-US" w:eastAsia="zh-CN"/>
        </w:rPr>
        <w:t>m</w:t>
      </w:r>
      <w:r>
        <w:rPr>
          <w:rFonts w:hint="default"/>
          <w:color w:val="auto"/>
          <w:highlight w:val="none"/>
          <w:vertAlign w:val="superscript"/>
          <w:lang w:val="en-US" w:eastAsia="zh-CN"/>
        </w:rPr>
        <w:t>3</w:t>
      </w:r>
      <w:r>
        <w:rPr>
          <w:rFonts w:hint="eastAsia"/>
          <w:color w:val="auto"/>
          <w:highlight w:val="none"/>
          <w:vertAlign w:val="baseline"/>
          <w:lang w:val="en-US" w:eastAsia="zh-CN"/>
        </w:rPr>
        <w:t>。</w:t>
      </w:r>
    </w:p>
    <w:p w14:paraId="34D2FD46">
      <w:pPr>
        <w:bidi w:val="0"/>
        <w:spacing w:line="360" w:lineRule="auto"/>
        <w:ind w:firstLine="480" w:firstLineChars="200"/>
        <w:rPr>
          <w:rFonts w:hint="default"/>
          <w:color w:val="auto"/>
          <w:highlight w:val="none"/>
          <w:lang w:val="en-US" w:eastAsia="zh-CN"/>
        </w:rPr>
      </w:pPr>
      <w:r>
        <w:rPr>
          <w:rFonts w:hint="eastAsia"/>
          <w:color w:val="auto"/>
          <w:highlight w:val="none"/>
          <w:lang w:val="en-US" w:eastAsia="zh-CN"/>
        </w:rPr>
        <w:t>2020年</w:t>
      </w:r>
      <w:r>
        <w:rPr>
          <w:rFonts w:hint="eastAsia" w:ascii="Times New Roman"/>
          <w:color w:val="auto"/>
          <w:sz w:val="24"/>
          <w:highlight w:val="none"/>
          <w:lang w:val="en-US" w:eastAsia="zh-CN"/>
        </w:rPr>
        <w:t>尚志市正德金环境科技有限公司</w:t>
      </w:r>
      <w:r>
        <w:rPr>
          <w:rFonts w:hint="eastAsia"/>
          <w:color w:val="auto"/>
          <w:highlight w:val="none"/>
          <w:lang w:val="en-US" w:eastAsia="zh-CN"/>
        </w:rPr>
        <w:t>完成了《</w:t>
      </w:r>
      <w:r>
        <w:rPr>
          <w:rFonts w:hint="default"/>
          <w:color w:val="auto"/>
          <w:highlight w:val="none"/>
          <w:lang w:val="en-US" w:eastAsia="zh-CN"/>
        </w:rPr>
        <w:t>蒙牛乳业（尚志）有限责任公司生物质锅炉替代燃煤锅炉改造项目建设项目环境影响报告表</w:t>
      </w:r>
      <w:r>
        <w:rPr>
          <w:rFonts w:hint="eastAsia"/>
          <w:color w:val="auto"/>
          <w:highlight w:val="none"/>
          <w:lang w:val="en-US" w:eastAsia="zh-CN"/>
        </w:rPr>
        <w:t>》工作，并于2020年1月10日取得了哈尔滨市尚志生态环境局给予的批复，文件号“尚环审表[2020]1号”。2020年完成了验收工作，并于2020年6月8日取得了哈尔滨市尚志生态环境局给予的批复，文件号“尚环函[2020]35号”。根据企业资料可知，生物质灰渣产生量约为1000t/a，</w:t>
      </w:r>
      <w:r>
        <w:rPr>
          <w:rFonts w:hint="eastAsia" w:ascii="Times New Roman" w:hAnsi="Times New Roman" w:eastAsia="宋体" w:cs="Times New Roman"/>
          <w:color w:val="auto"/>
          <w:kern w:val="2"/>
          <w:szCs w:val="22"/>
          <w:highlight w:val="none"/>
          <w:lang w:val="en-US" w:eastAsia="zh-CN" w:bidi="ar"/>
        </w:rPr>
        <w:t>堆积密度（压实密度）1.0t/m</w:t>
      </w:r>
      <w:r>
        <w:rPr>
          <w:rFonts w:hint="eastAsia" w:ascii="Times New Roman" w:hAnsi="Times New Roman" w:eastAsia="宋体" w:cs="Times New Roman"/>
          <w:color w:val="auto"/>
          <w:kern w:val="2"/>
          <w:szCs w:val="22"/>
          <w:highlight w:val="none"/>
          <w:vertAlign w:val="superscript"/>
          <w:lang w:val="en-US" w:eastAsia="zh-CN" w:bidi="ar"/>
        </w:rPr>
        <w:t>3</w:t>
      </w:r>
      <w:r>
        <w:rPr>
          <w:rFonts w:hint="eastAsia"/>
          <w:color w:val="auto"/>
          <w:highlight w:val="none"/>
          <w:lang w:val="en-US" w:eastAsia="zh-CN"/>
        </w:rPr>
        <w:t>，可提供生物质灰渣</w:t>
      </w:r>
      <w:r>
        <w:rPr>
          <w:rFonts w:hint="default"/>
          <w:color w:val="auto"/>
          <w:highlight w:val="none"/>
          <w:lang w:val="en-US" w:eastAsia="zh-CN"/>
        </w:rPr>
        <w:t>量为</w:t>
      </w:r>
      <w:r>
        <w:rPr>
          <w:rFonts w:hint="eastAsia"/>
          <w:color w:val="auto"/>
          <w:highlight w:val="none"/>
          <w:lang w:val="en-US" w:eastAsia="zh-CN"/>
        </w:rPr>
        <w:t>1000</w:t>
      </w:r>
      <w:r>
        <w:rPr>
          <w:rFonts w:hint="default"/>
          <w:color w:val="auto"/>
          <w:highlight w:val="none"/>
          <w:lang w:val="en-US" w:eastAsia="zh-CN"/>
        </w:rPr>
        <w:t>m</w:t>
      </w:r>
      <w:r>
        <w:rPr>
          <w:rFonts w:hint="default"/>
          <w:color w:val="auto"/>
          <w:highlight w:val="none"/>
          <w:vertAlign w:val="superscript"/>
          <w:lang w:val="en-US" w:eastAsia="zh-CN"/>
        </w:rPr>
        <w:t>3</w:t>
      </w:r>
      <w:r>
        <w:rPr>
          <w:rFonts w:hint="eastAsia"/>
          <w:color w:val="auto"/>
          <w:highlight w:val="none"/>
          <w:vertAlign w:val="baseline"/>
          <w:lang w:val="en-US" w:eastAsia="zh-CN"/>
        </w:rPr>
        <w:t>/a</w:t>
      </w:r>
      <w:r>
        <w:rPr>
          <w:rFonts w:hint="eastAsia"/>
          <w:color w:val="auto"/>
          <w:highlight w:val="none"/>
          <w:lang w:val="en-US" w:eastAsia="zh-CN"/>
        </w:rPr>
        <w:t>。</w:t>
      </w:r>
      <w:r>
        <w:rPr>
          <w:rFonts w:hint="eastAsia" w:asciiTheme="minorEastAsia" w:hAnsiTheme="minorEastAsia" w:eastAsiaTheme="minorEastAsia" w:cstheme="minorEastAsia"/>
          <w:color w:val="auto"/>
          <w:szCs w:val="24"/>
          <w:highlight w:val="none"/>
        </w:rPr>
        <w:t>采砂坑</w:t>
      </w:r>
      <w:r>
        <w:rPr>
          <w:rFonts w:hint="eastAsia"/>
          <w:color w:val="auto"/>
          <w:highlight w:val="none"/>
          <w:lang w:val="en-US" w:eastAsia="zh-CN"/>
        </w:rPr>
        <w:t>修复期间，共计提供生物质灰渣量3000</w:t>
      </w:r>
      <w:r>
        <w:rPr>
          <w:rFonts w:hint="default"/>
          <w:color w:val="auto"/>
          <w:highlight w:val="none"/>
          <w:lang w:val="en-US" w:eastAsia="zh-CN"/>
        </w:rPr>
        <w:t>m</w:t>
      </w:r>
      <w:r>
        <w:rPr>
          <w:rFonts w:hint="default"/>
          <w:color w:val="auto"/>
          <w:highlight w:val="none"/>
          <w:vertAlign w:val="superscript"/>
          <w:lang w:val="en-US" w:eastAsia="zh-CN"/>
        </w:rPr>
        <w:t>3</w:t>
      </w:r>
      <w:r>
        <w:rPr>
          <w:rFonts w:hint="eastAsia"/>
          <w:color w:val="auto"/>
          <w:highlight w:val="none"/>
          <w:vertAlign w:val="baseline"/>
          <w:lang w:val="en-US" w:eastAsia="zh-CN"/>
        </w:rPr>
        <w:t>。</w:t>
      </w:r>
    </w:p>
    <w:p w14:paraId="458ED5F6">
      <w:pPr>
        <w:bidi w:val="0"/>
        <w:spacing w:line="360" w:lineRule="auto"/>
        <w:ind w:firstLine="480" w:firstLineChars="200"/>
        <w:rPr>
          <w:rFonts w:hint="default"/>
          <w:color w:val="auto"/>
          <w:highlight w:val="none"/>
          <w:lang w:val="en-US" w:eastAsia="zh-CN"/>
        </w:rPr>
      </w:pPr>
      <w:r>
        <w:rPr>
          <w:rFonts w:hint="eastAsia"/>
          <w:color w:val="auto"/>
          <w:highlight w:val="none"/>
          <w:lang w:val="en-US" w:eastAsia="zh-CN"/>
        </w:rPr>
        <w:t>2016年黑龙江省苇河林业局供热站完成了《苇河林业局供热站现状评估》并进行备案，根据企业资料可知，燃煤炉渣产生量约为6000t/a，</w:t>
      </w:r>
      <w:r>
        <w:rPr>
          <w:rFonts w:hint="eastAsia" w:ascii="Times New Roman" w:hAnsi="Times New Roman" w:eastAsia="宋体" w:cs="Times New Roman"/>
          <w:color w:val="auto"/>
          <w:kern w:val="2"/>
          <w:szCs w:val="22"/>
          <w:highlight w:val="none"/>
          <w:lang w:val="en-US" w:eastAsia="zh-CN" w:bidi="ar"/>
        </w:rPr>
        <w:t>堆积密度（压实密度）1.2t/m</w:t>
      </w:r>
      <w:r>
        <w:rPr>
          <w:rFonts w:hint="eastAsia" w:ascii="Times New Roman" w:hAnsi="Times New Roman" w:eastAsia="宋体" w:cs="Times New Roman"/>
          <w:color w:val="auto"/>
          <w:kern w:val="2"/>
          <w:szCs w:val="22"/>
          <w:highlight w:val="none"/>
          <w:vertAlign w:val="superscript"/>
          <w:lang w:val="en-US" w:eastAsia="zh-CN" w:bidi="ar"/>
        </w:rPr>
        <w:t>3</w:t>
      </w:r>
      <w:r>
        <w:rPr>
          <w:rFonts w:hint="eastAsia"/>
          <w:color w:val="auto"/>
          <w:highlight w:val="none"/>
          <w:lang w:val="en-US" w:eastAsia="zh-CN"/>
        </w:rPr>
        <w:t>，可提供燃煤炉渣</w:t>
      </w:r>
      <w:r>
        <w:rPr>
          <w:rFonts w:hint="default"/>
          <w:color w:val="auto"/>
          <w:highlight w:val="none"/>
          <w:lang w:val="en-US" w:eastAsia="zh-CN"/>
        </w:rPr>
        <w:t>量为</w:t>
      </w:r>
      <w:r>
        <w:rPr>
          <w:rFonts w:hint="eastAsia"/>
          <w:color w:val="auto"/>
          <w:highlight w:val="none"/>
          <w:lang w:val="en-US" w:eastAsia="zh-CN"/>
        </w:rPr>
        <w:t>5000</w:t>
      </w:r>
      <w:r>
        <w:rPr>
          <w:rFonts w:hint="default"/>
          <w:color w:val="auto"/>
          <w:highlight w:val="none"/>
          <w:lang w:val="en-US" w:eastAsia="zh-CN"/>
        </w:rPr>
        <w:t>m</w:t>
      </w:r>
      <w:r>
        <w:rPr>
          <w:rFonts w:hint="default"/>
          <w:color w:val="auto"/>
          <w:highlight w:val="none"/>
          <w:vertAlign w:val="superscript"/>
          <w:lang w:val="en-US" w:eastAsia="zh-CN"/>
        </w:rPr>
        <w:t>3</w:t>
      </w:r>
      <w:r>
        <w:rPr>
          <w:rFonts w:hint="eastAsia"/>
          <w:color w:val="auto"/>
          <w:highlight w:val="none"/>
          <w:vertAlign w:val="baseline"/>
          <w:lang w:val="en-US" w:eastAsia="zh-CN"/>
        </w:rPr>
        <w:t>/a</w:t>
      </w:r>
      <w:r>
        <w:rPr>
          <w:rFonts w:hint="eastAsia"/>
          <w:color w:val="auto"/>
          <w:highlight w:val="none"/>
          <w:lang w:val="en-US" w:eastAsia="zh-CN"/>
        </w:rPr>
        <w:t>。</w:t>
      </w:r>
      <w:r>
        <w:rPr>
          <w:rFonts w:hint="eastAsia" w:asciiTheme="minorEastAsia" w:hAnsiTheme="minorEastAsia" w:eastAsiaTheme="minorEastAsia" w:cstheme="minorEastAsia"/>
          <w:color w:val="auto"/>
          <w:szCs w:val="24"/>
          <w:highlight w:val="none"/>
        </w:rPr>
        <w:t>采砂坑</w:t>
      </w:r>
      <w:r>
        <w:rPr>
          <w:rFonts w:hint="eastAsia"/>
          <w:color w:val="auto"/>
          <w:highlight w:val="none"/>
          <w:lang w:val="en-US" w:eastAsia="zh-CN"/>
        </w:rPr>
        <w:t>修复期间，共计提供生物质灰渣量15000</w:t>
      </w:r>
      <w:r>
        <w:rPr>
          <w:rFonts w:hint="default"/>
          <w:color w:val="auto"/>
          <w:highlight w:val="none"/>
          <w:lang w:val="en-US" w:eastAsia="zh-CN"/>
        </w:rPr>
        <w:t>m</w:t>
      </w:r>
      <w:r>
        <w:rPr>
          <w:rFonts w:hint="default"/>
          <w:color w:val="auto"/>
          <w:highlight w:val="none"/>
          <w:vertAlign w:val="superscript"/>
          <w:lang w:val="en-US" w:eastAsia="zh-CN"/>
        </w:rPr>
        <w:t>3</w:t>
      </w:r>
      <w:r>
        <w:rPr>
          <w:rFonts w:hint="eastAsia"/>
          <w:color w:val="auto"/>
          <w:highlight w:val="none"/>
          <w:vertAlign w:val="baseline"/>
          <w:lang w:val="en-US" w:eastAsia="zh-CN"/>
        </w:rPr>
        <w:t>。</w:t>
      </w:r>
    </w:p>
    <w:p w14:paraId="1EE1BFA4">
      <w:pPr>
        <w:bidi w:val="0"/>
        <w:spacing w:line="360" w:lineRule="auto"/>
        <w:ind w:firstLine="480" w:firstLineChars="200"/>
        <w:rPr>
          <w:rFonts w:hint="eastAsia"/>
          <w:color w:val="auto"/>
          <w:highlight w:val="none"/>
          <w:lang w:val="en-US" w:eastAsia="zh-CN"/>
        </w:rPr>
      </w:pPr>
      <w:r>
        <w:rPr>
          <w:rFonts w:hint="eastAsia"/>
          <w:color w:val="auto"/>
          <w:highlight w:val="none"/>
          <w:lang w:val="en-US" w:eastAsia="zh-CN"/>
        </w:rPr>
        <w:t>三家单位运营期间</w:t>
      </w:r>
      <w:r>
        <w:rPr>
          <w:rFonts w:hint="default"/>
          <w:color w:val="auto"/>
          <w:highlight w:val="none"/>
          <w:lang w:val="en-US" w:eastAsia="zh-CN"/>
        </w:rPr>
        <w:t>共计</w:t>
      </w:r>
      <w:r>
        <w:rPr>
          <w:rFonts w:hint="eastAsia"/>
          <w:color w:val="auto"/>
          <w:highlight w:val="none"/>
          <w:lang w:val="en-US" w:eastAsia="zh-CN"/>
        </w:rPr>
        <w:t>可提供</w:t>
      </w:r>
      <w:r>
        <w:rPr>
          <w:rFonts w:ascii="Times New Roman"/>
          <w:color w:val="auto"/>
          <w:highlight w:val="none"/>
        </w:rPr>
        <w:t>回填物</w:t>
      </w:r>
      <w:r>
        <w:rPr>
          <w:rFonts w:hint="default"/>
          <w:color w:val="auto"/>
          <w:highlight w:val="none"/>
          <w:lang w:val="en-US" w:eastAsia="zh-CN"/>
        </w:rPr>
        <w:t>量</w:t>
      </w:r>
      <w:r>
        <w:rPr>
          <w:rFonts w:hint="eastAsia"/>
          <w:color w:val="auto"/>
          <w:highlight w:val="none"/>
          <w:lang w:val="en-US" w:eastAsia="zh-CN"/>
        </w:rPr>
        <w:t>为</w:t>
      </w:r>
      <w:r>
        <w:rPr>
          <w:rFonts w:hint="eastAsia" w:ascii="Times New Roman" w:hAnsi="Times New Roman" w:eastAsia="宋体" w:cs="Times New Roman"/>
          <w:color w:val="auto"/>
          <w:sz w:val="24"/>
          <w:szCs w:val="24"/>
          <w:highlight w:val="none"/>
        </w:rPr>
        <w:t>80760.03</w:t>
      </w:r>
      <w:r>
        <w:rPr>
          <w:rFonts w:hint="default"/>
          <w:color w:val="auto"/>
          <w:highlight w:val="none"/>
          <w:lang w:val="en-US" w:eastAsia="zh-CN"/>
        </w:rPr>
        <w:t>m</w:t>
      </w:r>
      <w:r>
        <w:rPr>
          <w:rFonts w:hint="default"/>
          <w:color w:val="auto"/>
          <w:highlight w:val="none"/>
          <w:vertAlign w:val="superscript"/>
          <w:lang w:val="en-US" w:eastAsia="zh-CN"/>
        </w:rPr>
        <w:t>3</w:t>
      </w:r>
      <w:r>
        <w:rPr>
          <w:rFonts w:hint="eastAsia"/>
          <w:color w:val="auto"/>
          <w:highlight w:val="none"/>
          <w:vertAlign w:val="baseline"/>
          <w:lang w:val="en-US" w:eastAsia="zh-CN"/>
        </w:rPr>
        <w:t>，</w:t>
      </w:r>
      <w:r>
        <w:rPr>
          <w:rFonts w:hint="eastAsia"/>
          <w:color w:val="auto"/>
          <w:highlight w:val="none"/>
          <w:lang w:val="en-US" w:eastAsia="zh-CN"/>
        </w:rPr>
        <w:t>比例约为1:3，</w:t>
      </w:r>
      <w:r>
        <w:rPr>
          <w:rFonts w:hint="eastAsia" w:ascii="Times New Roman" w:hAnsi="Times New Roman" w:eastAsia="宋体" w:cs="Times New Roman"/>
          <w:color w:val="auto"/>
          <w:kern w:val="2"/>
          <w:szCs w:val="22"/>
          <w:highlight w:val="none"/>
          <w:vertAlign w:val="baseline"/>
          <w:lang w:val="en-US" w:eastAsia="zh-CN" w:bidi="ar"/>
        </w:rPr>
        <w:t>灰渣压实系数（指经压实实际达到的干密度，与由击实试验得到的试样的最大干密度的比值k）不小于0.9，回填期约30个月。</w:t>
      </w:r>
      <w:r>
        <w:rPr>
          <w:color w:val="auto"/>
          <w:highlight w:val="none"/>
        </w:rPr>
        <w:t>因此，本项目物料来源可行</w:t>
      </w:r>
      <w:r>
        <w:rPr>
          <w:rFonts w:hint="eastAsia"/>
          <w:color w:val="auto"/>
          <w:highlight w:val="none"/>
          <w:lang w:eastAsia="zh-CN"/>
        </w:rPr>
        <w:t>，</w:t>
      </w:r>
      <w:r>
        <w:rPr>
          <w:rFonts w:hint="eastAsia"/>
          <w:color w:val="auto"/>
          <w:highlight w:val="none"/>
          <w:lang w:val="en-US" w:eastAsia="zh-CN"/>
        </w:rPr>
        <w:t>运输路线图见附图3。</w:t>
      </w:r>
    </w:p>
    <w:p w14:paraId="2BE12E82">
      <w:pPr>
        <w:bidi w:val="0"/>
        <w:spacing w:line="360" w:lineRule="auto"/>
        <w:rPr>
          <w:rFonts w:hint="eastAsia"/>
          <w:color w:val="auto"/>
          <w:highlight w:val="none"/>
        </w:rPr>
      </w:pPr>
      <w:r>
        <w:rPr>
          <w:rFonts w:hint="eastAsia"/>
          <w:color w:val="auto"/>
          <w:highlight w:val="none"/>
        </w:rPr>
        <w:t>3.1.</w:t>
      </w:r>
      <w:r>
        <w:rPr>
          <w:rFonts w:hint="eastAsia"/>
          <w:color w:val="auto"/>
          <w:highlight w:val="none"/>
          <w:lang w:val="en-US" w:eastAsia="zh-CN"/>
        </w:rPr>
        <w:t>8</w:t>
      </w:r>
      <w:r>
        <w:rPr>
          <w:rFonts w:hint="eastAsia"/>
          <w:color w:val="auto"/>
          <w:highlight w:val="none"/>
        </w:rPr>
        <w:t>.</w:t>
      </w:r>
      <w:r>
        <w:rPr>
          <w:rFonts w:hint="eastAsia"/>
          <w:color w:val="auto"/>
          <w:highlight w:val="none"/>
          <w:lang w:val="en-US" w:eastAsia="zh-CN"/>
        </w:rPr>
        <w:t>2灰渣一般工业固体废物鉴别</w:t>
      </w:r>
    </w:p>
    <w:p w14:paraId="61BCDAE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color w:val="auto"/>
          <w:sz w:val="24"/>
          <w:szCs w:val="24"/>
          <w:highlight w:val="none"/>
        </w:rPr>
      </w:pPr>
      <w:r>
        <w:rPr>
          <w:rFonts w:hint="eastAsia"/>
          <w:color w:val="auto"/>
          <w:sz w:val="24"/>
          <w:szCs w:val="24"/>
          <w:highlight w:val="none"/>
          <w:lang w:val="en-US" w:eastAsia="zh-CN"/>
        </w:rPr>
        <w:t>青岛斯坦德衡立环境技术研究院有限公司</w:t>
      </w:r>
      <w:r>
        <w:rPr>
          <w:rFonts w:hint="default"/>
          <w:color w:val="auto"/>
          <w:sz w:val="24"/>
          <w:szCs w:val="24"/>
          <w:highlight w:val="none"/>
        </w:rPr>
        <w:t>对</w:t>
      </w:r>
      <w:r>
        <w:rPr>
          <w:rFonts w:hint="eastAsia"/>
          <w:color w:val="auto"/>
          <w:sz w:val="24"/>
          <w:szCs w:val="24"/>
          <w:highlight w:val="none"/>
          <w:lang w:val="en-US" w:eastAsia="zh-CN"/>
        </w:rPr>
        <w:t>本次</w:t>
      </w:r>
      <w:r>
        <w:rPr>
          <w:rFonts w:ascii="Times New Roman"/>
          <w:color w:val="auto"/>
          <w:highlight w:val="none"/>
        </w:rPr>
        <w:t>回填物</w:t>
      </w:r>
      <w:r>
        <w:rPr>
          <w:rFonts w:hint="eastAsia"/>
          <w:color w:val="auto"/>
          <w:sz w:val="24"/>
          <w:szCs w:val="24"/>
          <w:highlight w:val="none"/>
          <w:lang w:val="en-US" w:eastAsia="zh-CN"/>
        </w:rPr>
        <w:t>灰渣进行了检测</w:t>
      </w:r>
      <w:r>
        <w:rPr>
          <w:rFonts w:hint="eastAsia"/>
          <w:color w:val="auto"/>
          <w:sz w:val="24"/>
          <w:szCs w:val="24"/>
          <w:highlight w:val="none"/>
          <w:lang w:eastAsia="zh-CN"/>
        </w:rPr>
        <w:t>，按照《固体废物浸出毒性浸出方法水平振荡法》（HJ557-2010）规定方法获得每个样品的浸出液，按照《污水综合排放标准》（GB8978-1996）中表6测定方法</w:t>
      </w:r>
      <w:r>
        <w:rPr>
          <w:rFonts w:hint="eastAsia"/>
          <w:color w:val="auto"/>
          <w:sz w:val="24"/>
          <w:szCs w:val="24"/>
          <w:highlight w:val="none"/>
          <w:lang w:val="en-US" w:eastAsia="zh-CN"/>
        </w:rPr>
        <w:t>进行</w:t>
      </w:r>
      <w:r>
        <w:rPr>
          <w:rFonts w:hint="eastAsia"/>
          <w:color w:val="auto"/>
          <w:sz w:val="24"/>
          <w:szCs w:val="24"/>
          <w:highlight w:val="none"/>
          <w:lang w:eastAsia="zh-CN"/>
        </w:rPr>
        <w:t>测定</w:t>
      </w:r>
      <w:r>
        <w:rPr>
          <w:rFonts w:hint="default"/>
          <w:color w:val="auto"/>
          <w:sz w:val="24"/>
          <w:szCs w:val="24"/>
          <w:highlight w:val="none"/>
        </w:rPr>
        <w:t>，灰渣浸出</w:t>
      </w:r>
      <w:r>
        <w:rPr>
          <w:rFonts w:hint="eastAsia"/>
          <w:color w:val="auto"/>
          <w:sz w:val="24"/>
          <w:szCs w:val="24"/>
          <w:highlight w:val="none"/>
          <w:lang w:val="en-US" w:eastAsia="zh-CN"/>
        </w:rPr>
        <w:t>液</w:t>
      </w:r>
      <w:r>
        <w:rPr>
          <w:rFonts w:hint="default"/>
          <w:color w:val="auto"/>
          <w:sz w:val="24"/>
          <w:szCs w:val="24"/>
          <w:highlight w:val="none"/>
        </w:rPr>
        <w:t>检测结果见表</w:t>
      </w:r>
      <w:r>
        <w:rPr>
          <w:rFonts w:hint="eastAsia"/>
          <w:color w:val="auto"/>
          <w:sz w:val="24"/>
          <w:szCs w:val="24"/>
          <w:highlight w:val="none"/>
          <w:lang w:val="en-US" w:eastAsia="zh-CN"/>
        </w:rPr>
        <w:t>3.1</w:t>
      </w:r>
      <w:r>
        <w:rPr>
          <w:rFonts w:hint="default"/>
          <w:color w:val="auto"/>
          <w:sz w:val="24"/>
          <w:szCs w:val="24"/>
          <w:highlight w:val="none"/>
        </w:rPr>
        <w:t>-</w:t>
      </w:r>
      <w:r>
        <w:rPr>
          <w:rFonts w:hint="eastAsia"/>
          <w:color w:val="auto"/>
          <w:sz w:val="24"/>
          <w:szCs w:val="24"/>
          <w:highlight w:val="none"/>
          <w:lang w:val="en-US" w:eastAsia="zh-CN"/>
        </w:rPr>
        <w:t>5，</w:t>
      </w:r>
      <w:r>
        <w:rPr>
          <w:rFonts w:hint="eastAsia"/>
          <w:color w:val="auto"/>
          <w:sz w:val="24"/>
          <w:szCs w:val="24"/>
          <w:highlight w:val="none"/>
          <w:lang w:eastAsia="zh-CN"/>
        </w:rPr>
        <w:t>有机质按照《</w:t>
      </w:r>
      <w:r>
        <w:rPr>
          <w:rFonts w:hint="eastAsia"/>
          <w:color w:val="auto"/>
          <w:sz w:val="24"/>
          <w:szCs w:val="24"/>
          <w:highlight w:val="none"/>
          <w:lang w:val="en-US" w:eastAsia="zh-CN"/>
        </w:rPr>
        <w:t>固体废物有机质的测定 灼烧减量法</w:t>
      </w:r>
      <w:r>
        <w:rPr>
          <w:rFonts w:hint="eastAsia"/>
          <w:color w:val="auto"/>
          <w:sz w:val="24"/>
          <w:szCs w:val="24"/>
          <w:highlight w:val="none"/>
          <w:lang w:eastAsia="zh-CN"/>
        </w:rPr>
        <w:t>》（HJ761-2015）进行测定，</w:t>
      </w:r>
      <w:r>
        <w:rPr>
          <w:rFonts w:hint="eastAsia"/>
          <w:color w:val="auto"/>
          <w:sz w:val="24"/>
          <w:szCs w:val="24"/>
          <w:highlight w:val="none"/>
          <w:lang w:val="en-US" w:eastAsia="zh-CN"/>
        </w:rPr>
        <w:t>水溶性盐</w:t>
      </w:r>
      <w:r>
        <w:rPr>
          <w:rFonts w:hint="eastAsia"/>
          <w:color w:val="auto"/>
          <w:sz w:val="24"/>
          <w:szCs w:val="24"/>
          <w:highlight w:val="none"/>
          <w:lang w:eastAsia="zh-CN"/>
        </w:rPr>
        <w:t>测定方法按照NY/T1121.16-2006进行测定</w:t>
      </w:r>
      <w:r>
        <w:rPr>
          <w:rFonts w:hint="eastAsia"/>
          <w:color w:val="auto"/>
          <w:sz w:val="24"/>
          <w:szCs w:val="24"/>
          <w:highlight w:val="none"/>
          <w:lang w:val="en-US" w:eastAsia="zh-CN"/>
        </w:rPr>
        <w:t>，灰渣有机质含量、水溶性盐总量检测结果见表3.1-6</w:t>
      </w:r>
      <w:r>
        <w:rPr>
          <w:rFonts w:hint="default"/>
          <w:color w:val="auto"/>
          <w:sz w:val="24"/>
          <w:szCs w:val="24"/>
          <w:highlight w:val="none"/>
        </w:rPr>
        <w:t>。</w:t>
      </w:r>
    </w:p>
    <w:p w14:paraId="693EFA5D">
      <w:pPr>
        <w:spacing w:line="440" w:lineRule="exact"/>
        <w:ind w:firstLine="482"/>
        <w:jc w:val="center"/>
        <w:rPr>
          <w:rFonts w:hint="default" w:asciiTheme="minorEastAsia" w:hAnsiTheme="minorEastAsia" w:eastAsiaTheme="minorEastAsia" w:cstheme="minorEastAsia"/>
          <w:b/>
          <w:color w:val="auto"/>
          <w:kern w:val="0"/>
          <w:sz w:val="24"/>
          <w:szCs w:val="24"/>
          <w:highlight w:val="none"/>
          <w:lang w:val="en-US" w:eastAsia="zh-CN" w:bidi="ar-SA"/>
        </w:rPr>
      </w:pPr>
      <w:r>
        <w:rPr>
          <w:rFonts w:hint="eastAsia" w:asciiTheme="minorEastAsia" w:hAnsiTheme="minorEastAsia" w:eastAsiaTheme="minorEastAsia" w:cstheme="minorEastAsia"/>
          <w:b/>
          <w:color w:val="auto"/>
          <w:kern w:val="0"/>
          <w:sz w:val="24"/>
          <w:szCs w:val="24"/>
          <w:highlight w:val="none"/>
          <w:lang w:val="en-US" w:eastAsia="zh-CN" w:bidi="ar-SA"/>
        </w:rPr>
        <w:t>表3.1-5本项目灰渣浸出液检测结果表</w:t>
      </w:r>
    </w:p>
    <w:tbl>
      <w:tblPr>
        <w:tblStyle w:val="84"/>
        <w:tblW w:w="8379" w:type="dxa"/>
        <w:tblInd w:w="98"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2243"/>
        <w:gridCol w:w="1282"/>
        <w:gridCol w:w="2427"/>
        <w:gridCol w:w="2427"/>
      </w:tblGrid>
      <w:tr w14:paraId="6A97C30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3525" w:type="dxa"/>
            <w:gridSpan w:val="2"/>
            <w:tcBorders>
              <w:tl2br w:val="nil"/>
              <w:tr2bl w:val="nil"/>
            </w:tcBorders>
            <w:shd w:val="clear" w:color="auto" w:fill="auto"/>
            <w:vAlign w:val="center"/>
          </w:tcPr>
          <w:p w14:paraId="3AA6938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样品名称</w:t>
            </w:r>
          </w:p>
        </w:tc>
        <w:tc>
          <w:tcPr>
            <w:tcW w:w="2427" w:type="dxa"/>
            <w:tcBorders>
              <w:tl2br w:val="nil"/>
              <w:tr2bl w:val="nil"/>
            </w:tcBorders>
            <w:shd w:val="clear" w:color="auto" w:fill="auto"/>
            <w:vAlign w:val="center"/>
          </w:tcPr>
          <w:p w14:paraId="4412600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生物质灰渣</w:t>
            </w:r>
          </w:p>
        </w:tc>
        <w:tc>
          <w:tcPr>
            <w:tcW w:w="2427" w:type="dxa"/>
            <w:tcBorders>
              <w:tl2br w:val="nil"/>
              <w:tr2bl w:val="nil"/>
            </w:tcBorders>
            <w:shd w:val="clear" w:color="auto" w:fill="auto"/>
            <w:vAlign w:val="center"/>
          </w:tcPr>
          <w:p w14:paraId="4EBEB9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燃煤炉渣</w:t>
            </w:r>
          </w:p>
        </w:tc>
      </w:tr>
      <w:tr w14:paraId="39E97A6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6" w:hRule="atLeast"/>
        </w:trPr>
        <w:tc>
          <w:tcPr>
            <w:tcW w:w="3525" w:type="dxa"/>
            <w:gridSpan w:val="2"/>
            <w:tcBorders>
              <w:tl2br w:val="nil"/>
              <w:tr2bl w:val="nil"/>
            </w:tcBorders>
            <w:shd w:val="clear" w:color="auto" w:fill="auto"/>
            <w:vAlign w:val="center"/>
          </w:tcPr>
          <w:p w14:paraId="6DF111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样品编号</w:t>
            </w:r>
          </w:p>
        </w:tc>
        <w:tc>
          <w:tcPr>
            <w:tcW w:w="2427" w:type="dxa"/>
            <w:tcBorders>
              <w:tl2br w:val="nil"/>
              <w:tr2bl w:val="nil"/>
            </w:tcBorders>
            <w:shd w:val="clear" w:color="auto" w:fill="auto"/>
            <w:vAlign w:val="center"/>
          </w:tcPr>
          <w:p w14:paraId="5530B6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S001</w:t>
            </w:r>
          </w:p>
        </w:tc>
        <w:tc>
          <w:tcPr>
            <w:tcW w:w="2427" w:type="dxa"/>
            <w:tcBorders>
              <w:tl2br w:val="nil"/>
              <w:tr2bl w:val="nil"/>
            </w:tcBorders>
            <w:shd w:val="clear" w:color="auto" w:fill="auto"/>
            <w:vAlign w:val="center"/>
          </w:tcPr>
          <w:p w14:paraId="60F7B20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S002</w:t>
            </w:r>
          </w:p>
        </w:tc>
      </w:tr>
      <w:tr w14:paraId="669D60B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3525" w:type="dxa"/>
            <w:gridSpan w:val="2"/>
            <w:tcBorders>
              <w:tl2br w:val="nil"/>
              <w:tr2bl w:val="nil"/>
            </w:tcBorders>
            <w:shd w:val="clear" w:color="auto" w:fill="auto"/>
            <w:vAlign w:val="center"/>
          </w:tcPr>
          <w:p w14:paraId="31FFD4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样品接收日期</w:t>
            </w:r>
          </w:p>
        </w:tc>
        <w:tc>
          <w:tcPr>
            <w:tcW w:w="2427" w:type="dxa"/>
            <w:tcBorders>
              <w:tl2br w:val="nil"/>
              <w:tr2bl w:val="nil"/>
            </w:tcBorders>
            <w:shd w:val="clear" w:color="auto" w:fill="auto"/>
            <w:vAlign w:val="center"/>
          </w:tcPr>
          <w:p w14:paraId="2847B1C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2026.06.11</w:t>
            </w:r>
          </w:p>
        </w:tc>
        <w:tc>
          <w:tcPr>
            <w:tcW w:w="2427" w:type="dxa"/>
            <w:tcBorders>
              <w:tl2br w:val="nil"/>
              <w:tr2bl w:val="nil"/>
            </w:tcBorders>
            <w:shd w:val="clear" w:color="auto" w:fill="auto"/>
            <w:vAlign w:val="center"/>
          </w:tcPr>
          <w:p w14:paraId="72B2BEB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2026.06.11</w:t>
            </w:r>
          </w:p>
        </w:tc>
      </w:tr>
      <w:tr w14:paraId="695714F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0" w:type="auto"/>
            <w:gridSpan w:val="2"/>
            <w:tcBorders>
              <w:tl2br w:val="nil"/>
              <w:tr2bl w:val="nil"/>
            </w:tcBorders>
            <w:shd w:val="clear" w:color="auto" w:fill="auto"/>
            <w:noWrap/>
            <w:vAlign w:val="center"/>
          </w:tcPr>
          <w:p w14:paraId="3368D64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包装状态</w:t>
            </w:r>
          </w:p>
        </w:tc>
        <w:tc>
          <w:tcPr>
            <w:tcW w:w="2427" w:type="dxa"/>
            <w:tcBorders>
              <w:tl2br w:val="nil"/>
              <w:tr2bl w:val="nil"/>
            </w:tcBorders>
            <w:shd w:val="clear" w:color="auto" w:fill="auto"/>
            <w:vAlign w:val="center"/>
          </w:tcPr>
          <w:p w14:paraId="2011D9F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2.8kg×1（塑料袋）</w:t>
            </w:r>
          </w:p>
        </w:tc>
        <w:tc>
          <w:tcPr>
            <w:tcW w:w="2427" w:type="dxa"/>
            <w:tcBorders>
              <w:tl2br w:val="nil"/>
              <w:tr2bl w:val="nil"/>
            </w:tcBorders>
            <w:shd w:val="clear" w:color="auto" w:fill="auto"/>
            <w:vAlign w:val="center"/>
          </w:tcPr>
          <w:p w14:paraId="36EB86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2.5kg×1（塑料袋）</w:t>
            </w:r>
          </w:p>
        </w:tc>
      </w:tr>
      <w:tr w14:paraId="2FDC544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2CCDAB1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检测项目</w:t>
            </w:r>
          </w:p>
        </w:tc>
        <w:tc>
          <w:tcPr>
            <w:tcW w:w="1282" w:type="dxa"/>
            <w:tcBorders>
              <w:tl2br w:val="nil"/>
              <w:tr2bl w:val="nil"/>
            </w:tcBorders>
            <w:shd w:val="clear" w:color="auto" w:fill="auto"/>
            <w:vAlign w:val="center"/>
          </w:tcPr>
          <w:p w14:paraId="5AA2BF6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单位</w:t>
            </w:r>
          </w:p>
        </w:tc>
        <w:tc>
          <w:tcPr>
            <w:tcW w:w="2427" w:type="dxa"/>
            <w:tcBorders>
              <w:tl2br w:val="nil"/>
              <w:tr2bl w:val="nil"/>
            </w:tcBorders>
            <w:shd w:val="clear" w:color="auto" w:fill="auto"/>
            <w:vAlign w:val="center"/>
          </w:tcPr>
          <w:p w14:paraId="280520F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固体废物</w:t>
            </w:r>
          </w:p>
        </w:tc>
        <w:tc>
          <w:tcPr>
            <w:tcW w:w="2427" w:type="dxa"/>
            <w:tcBorders>
              <w:tl2br w:val="nil"/>
              <w:tr2bl w:val="nil"/>
            </w:tcBorders>
            <w:shd w:val="clear" w:color="auto" w:fill="auto"/>
            <w:vAlign w:val="center"/>
          </w:tcPr>
          <w:p w14:paraId="5FC47E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1"/>
                <w:szCs w:val="21"/>
                <w:highlight w:val="none"/>
                <w:u w:val="none"/>
              </w:rPr>
            </w:pPr>
            <w:r>
              <w:rPr>
                <w:rFonts w:hint="eastAsia" w:ascii="宋体" w:hAnsi="宋体" w:eastAsia="宋体" w:cs="宋体"/>
                <w:b/>
                <w:bCs/>
                <w:i w:val="0"/>
                <w:iCs w:val="0"/>
                <w:color w:val="auto"/>
                <w:kern w:val="0"/>
                <w:sz w:val="21"/>
                <w:szCs w:val="21"/>
                <w:highlight w:val="none"/>
                <w:u w:val="none"/>
                <w:lang w:val="en-US" w:eastAsia="zh-CN" w:bidi="ar"/>
              </w:rPr>
              <w:t>固体废物</w:t>
            </w:r>
          </w:p>
        </w:tc>
      </w:tr>
      <w:tr w14:paraId="01C3F4E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313F587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总汞</w:t>
            </w:r>
          </w:p>
        </w:tc>
        <w:tc>
          <w:tcPr>
            <w:tcW w:w="1282" w:type="dxa"/>
            <w:tcBorders>
              <w:tl2br w:val="nil"/>
              <w:tr2bl w:val="nil"/>
            </w:tcBorders>
            <w:shd w:val="clear" w:color="auto" w:fill="auto"/>
            <w:vAlign w:val="center"/>
          </w:tcPr>
          <w:p w14:paraId="506AF9C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1CBDB8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0033B81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5D1E62B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661B1E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烷基汞（乙基汞）</w:t>
            </w:r>
          </w:p>
        </w:tc>
        <w:tc>
          <w:tcPr>
            <w:tcW w:w="1282" w:type="dxa"/>
            <w:tcBorders>
              <w:tl2br w:val="nil"/>
              <w:tr2bl w:val="nil"/>
            </w:tcBorders>
            <w:shd w:val="clear" w:color="auto" w:fill="auto"/>
            <w:vAlign w:val="center"/>
          </w:tcPr>
          <w:p w14:paraId="31D5869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ng/L</w:t>
            </w:r>
          </w:p>
        </w:tc>
        <w:tc>
          <w:tcPr>
            <w:tcW w:w="2427" w:type="dxa"/>
            <w:tcBorders>
              <w:tl2br w:val="nil"/>
              <w:tr2bl w:val="nil"/>
            </w:tcBorders>
            <w:shd w:val="clear" w:color="auto" w:fill="auto"/>
            <w:vAlign w:val="center"/>
          </w:tcPr>
          <w:p w14:paraId="3FE698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7006EE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1E5D81A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1FFB7C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烷基汞（甲基汞）</w:t>
            </w:r>
          </w:p>
        </w:tc>
        <w:tc>
          <w:tcPr>
            <w:tcW w:w="1282" w:type="dxa"/>
            <w:tcBorders>
              <w:tl2br w:val="nil"/>
              <w:tr2bl w:val="nil"/>
            </w:tcBorders>
            <w:shd w:val="clear" w:color="auto" w:fill="auto"/>
            <w:vAlign w:val="center"/>
          </w:tcPr>
          <w:p w14:paraId="0946ECF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ng/L</w:t>
            </w:r>
          </w:p>
        </w:tc>
        <w:tc>
          <w:tcPr>
            <w:tcW w:w="2427" w:type="dxa"/>
            <w:tcBorders>
              <w:tl2br w:val="nil"/>
              <w:tr2bl w:val="nil"/>
            </w:tcBorders>
            <w:shd w:val="clear" w:color="auto" w:fill="auto"/>
            <w:vAlign w:val="center"/>
          </w:tcPr>
          <w:p w14:paraId="3E7D17F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328249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60CD35E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6E11CDD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总镉</w:t>
            </w:r>
          </w:p>
        </w:tc>
        <w:tc>
          <w:tcPr>
            <w:tcW w:w="1282" w:type="dxa"/>
            <w:tcBorders>
              <w:tl2br w:val="nil"/>
              <w:tr2bl w:val="nil"/>
            </w:tcBorders>
            <w:shd w:val="clear" w:color="auto" w:fill="auto"/>
            <w:vAlign w:val="center"/>
          </w:tcPr>
          <w:p w14:paraId="6493CD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0BA0D9E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54470F3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2C402F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40C1697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总铬</w:t>
            </w:r>
          </w:p>
        </w:tc>
        <w:tc>
          <w:tcPr>
            <w:tcW w:w="1282" w:type="dxa"/>
            <w:tcBorders>
              <w:tl2br w:val="nil"/>
              <w:tr2bl w:val="nil"/>
            </w:tcBorders>
            <w:shd w:val="clear" w:color="auto" w:fill="auto"/>
            <w:vAlign w:val="center"/>
          </w:tcPr>
          <w:p w14:paraId="7CE26F5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7AD211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633D0F0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692CA5C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51348CB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六价铬</w:t>
            </w:r>
          </w:p>
        </w:tc>
        <w:tc>
          <w:tcPr>
            <w:tcW w:w="1282" w:type="dxa"/>
            <w:tcBorders>
              <w:tl2br w:val="nil"/>
              <w:tr2bl w:val="nil"/>
            </w:tcBorders>
            <w:shd w:val="clear" w:color="auto" w:fill="auto"/>
            <w:vAlign w:val="center"/>
          </w:tcPr>
          <w:p w14:paraId="610A8A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4C83875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0.010</w:t>
            </w:r>
          </w:p>
        </w:tc>
        <w:tc>
          <w:tcPr>
            <w:tcW w:w="2427" w:type="dxa"/>
            <w:tcBorders>
              <w:tl2br w:val="nil"/>
              <w:tr2bl w:val="nil"/>
            </w:tcBorders>
            <w:shd w:val="clear" w:color="auto" w:fill="auto"/>
            <w:vAlign w:val="center"/>
          </w:tcPr>
          <w:p w14:paraId="00536B8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0.008</w:t>
            </w:r>
          </w:p>
        </w:tc>
      </w:tr>
      <w:tr w14:paraId="7393BE4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1BB2C7B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总砷</w:t>
            </w:r>
          </w:p>
        </w:tc>
        <w:tc>
          <w:tcPr>
            <w:tcW w:w="1282" w:type="dxa"/>
            <w:tcBorders>
              <w:tl2br w:val="nil"/>
              <w:tr2bl w:val="nil"/>
            </w:tcBorders>
            <w:shd w:val="clear" w:color="auto" w:fill="auto"/>
            <w:vAlign w:val="center"/>
          </w:tcPr>
          <w:p w14:paraId="376046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4F611A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sz w:val="21"/>
                <w:szCs w:val="21"/>
                <w:highlight w:val="none"/>
                <w:u w:val="none"/>
                <w:lang w:val="en-US" w:eastAsia="zh-CN"/>
              </w:rPr>
            </w:pPr>
            <w:r>
              <w:rPr>
                <w:rFonts w:hint="eastAsia" w:ascii="宋体" w:hAnsi="宋体" w:eastAsia="宋体" w:cs="宋体"/>
                <w:i w:val="0"/>
                <w:iCs w:val="0"/>
                <w:color w:val="auto"/>
                <w:kern w:val="0"/>
                <w:sz w:val="21"/>
                <w:szCs w:val="21"/>
                <w:highlight w:val="none"/>
                <w:u w:val="none"/>
                <w:lang w:val="en-US" w:eastAsia="zh-CN" w:bidi="ar"/>
              </w:rPr>
              <w:t>35.8</w:t>
            </w:r>
          </w:p>
        </w:tc>
        <w:tc>
          <w:tcPr>
            <w:tcW w:w="2427" w:type="dxa"/>
            <w:tcBorders>
              <w:tl2br w:val="nil"/>
              <w:tr2bl w:val="nil"/>
            </w:tcBorders>
            <w:shd w:val="clear" w:color="auto" w:fill="auto"/>
            <w:vAlign w:val="center"/>
          </w:tcPr>
          <w:p w14:paraId="245627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sz w:val="21"/>
                <w:szCs w:val="21"/>
                <w:highlight w:val="none"/>
                <w:u w:val="none"/>
                <w:lang w:val="en-US" w:eastAsia="zh-CN"/>
              </w:rPr>
            </w:pPr>
            <w:r>
              <w:rPr>
                <w:rFonts w:hint="eastAsia" w:ascii="宋体" w:hAnsi="宋体" w:eastAsia="宋体" w:cs="宋体"/>
                <w:i w:val="0"/>
                <w:iCs w:val="0"/>
                <w:color w:val="auto"/>
                <w:kern w:val="0"/>
                <w:sz w:val="21"/>
                <w:szCs w:val="21"/>
                <w:highlight w:val="none"/>
                <w:u w:val="none"/>
                <w:lang w:val="en-US" w:eastAsia="zh-CN" w:bidi="ar"/>
              </w:rPr>
              <w:t>3.6</w:t>
            </w:r>
          </w:p>
        </w:tc>
      </w:tr>
      <w:tr w14:paraId="203FCD7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69B3E0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总铅</w:t>
            </w:r>
          </w:p>
        </w:tc>
        <w:tc>
          <w:tcPr>
            <w:tcW w:w="1282" w:type="dxa"/>
            <w:tcBorders>
              <w:tl2br w:val="nil"/>
              <w:tr2bl w:val="nil"/>
            </w:tcBorders>
            <w:shd w:val="clear" w:color="auto" w:fill="auto"/>
            <w:vAlign w:val="center"/>
          </w:tcPr>
          <w:p w14:paraId="5F80579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0657B14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7C8D7F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7A2EA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58705C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总镍</w:t>
            </w:r>
          </w:p>
        </w:tc>
        <w:tc>
          <w:tcPr>
            <w:tcW w:w="1282" w:type="dxa"/>
            <w:tcBorders>
              <w:tl2br w:val="nil"/>
              <w:tr2bl w:val="nil"/>
            </w:tcBorders>
            <w:shd w:val="clear" w:color="auto" w:fill="auto"/>
            <w:vAlign w:val="center"/>
          </w:tcPr>
          <w:p w14:paraId="7EABEE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4DDCE94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6F83A17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76FF814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5A2F40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苯并(a)芘</w:t>
            </w:r>
          </w:p>
        </w:tc>
        <w:tc>
          <w:tcPr>
            <w:tcW w:w="1282" w:type="dxa"/>
            <w:tcBorders>
              <w:tl2br w:val="nil"/>
              <w:tr2bl w:val="nil"/>
            </w:tcBorders>
            <w:shd w:val="clear" w:color="auto" w:fill="auto"/>
            <w:vAlign w:val="center"/>
          </w:tcPr>
          <w:p w14:paraId="4BA4175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025EC22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7FCE909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46A9FA1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721CB5E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总铍</w:t>
            </w:r>
          </w:p>
        </w:tc>
        <w:tc>
          <w:tcPr>
            <w:tcW w:w="1282" w:type="dxa"/>
            <w:tcBorders>
              <w:tl2br w:val="nil"/>
              <w:tr2bl w:val="nil"/>
            </w:tcBorders>
            <w:shd w:val="clear" w:color="auto" w:fill="auto"/>
            <w:vAlign w:val="center"/>
          </w:tcPr>
          <w:p w14:paraId="1B8905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355106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0.05</w:t>
            </w:r>
          </w:p>
        </w:tc>
        <w:tc>
          <w:tcPr>
            <w:tcW w:w="2427" w:type="dxa"/>
            <w:tcBorders>
              <w:tl2br w:val="nil"/>
              <w:tr2bl w:val="nil"/>
            </w:tcBorders>
            <w:shd w:val="clear" w:color="auto" w:fill="auto"/>
            <w:vAlign w:val="center"/>
          </w:tcPr>
          <w:p w14:paraId="6D5F46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0.05</w:t>
            </w:r>
          </w:p>
        </w:tc>
      </w:tr>
      <w:tr w14:paraId="7D9B947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6BFE68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总银</w:t>
            </w:r>
          </w:p>
        </w:tc>
        <w:tc>
          <w:tcPr>
            <w:tcW w:w="1282" w:type="dxa"/>
            <w:tcBorders>
              <w:tl2br w:val="nil"/>
              <w:tr2bl w:val="nil"/>
            </w:tcBorders>
            <w:shd w:val="clear" w:color="auto" w:fill="auto"/>
            <w:vAlign w:val="center"/>
          </w:tcPr>
          <w:p w14:paraId="1980CE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336B030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295B49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0B115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5050496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总α放射性</w:t>
            </w:r>
          </w:p>
        </w:tc>
        <w:tc>
          <w:tcPr>
            <w:tcW w:w="1282" w:type="dxa"/>
            <w:tcBorders>
              <w:tl2br w:val="nil"/>
              <w:tr2bl w:val="nil"/>
            </w:tcBorders>
            <w:shd w:val="clear" w:color="auto" w:fill="auto"/>
            <w:vAlign w:val="center"/>
          </w:tcPr>
          <w:p w14:paraId="17E3B85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Bq/L</w:t>
            </w:r>
          </w:p>
        </w:tc>
        <w:tc>
          <w:tcPr>
            <w:tcW w:w="2427" w:type="dxa"/>
            <w:tcBorders>
              <w:tl2br w:val="nil"/>
              <w:tr2bl w:val="nil"/>
            </w:tcBorders>
            <w:shd w:val="clear" w:color="auto" w:fill="auto"/>
            <w:vAlign w:val="center"/>
          </w:tcPr>
          <w:p w14:paraId="586A60B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0E1163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2CA06E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450CE84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总β放射性</w:t>
            </w:r>
          </w:p>
        </w:tc>
        <w:tc>
          <w:tcPr>
            <w:tcW w:w="1282" w:type="dxa"/>
            <w:tcBorders>
              <w:tl2br w:val="nil"/>
              <w:tr2bl w:val="nil"/>
            </w:tcBorders>
            <w:shd w:val="clear" w:color="auto" w:fill="auto"/>
            <w:vAlign w:val="center"/>
          </w:tcPr>
          <w:p w14:paraId="1F43D7C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Bq/L</w:t>
            </w:r>
          </w:p>
        </w:tc>
        <w:tc>
          <w:tcPr>
            <w:tcW w:w="2427" w:type="dxa"/>
            <w:tcBorders>
              <w:tl2br w:val="nil"/>
              <w:tr2bl w:val="nil"/>
            </w:tcBorders>
            <w:shd w:val="clear" w:color="auto" w:fill="auto"/>
            <w:vAlign w:val="center"/>
          </w:tcPr>
          <w:p w14:paraId="76A7EA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02ACB7C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22607DD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67DE71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pH</w:t>
            </w:r>
          </w:p>
        </w:tc>
        <w:tc>
          <w:tcPr>
            <w:tcW w:w="1282" w:type="dxa"/>
            <w:tcBorders>
              <w:tl2br w:val="nil"/>
              <w:tr2bl w:val="nil"/>
            </w:tcBorders>
            <w:shd w:val="clear" w:color="auto" w:fill="auto"/>
            <w:vAlign w:val="center"/>
          </w:tcPr>
          <w:p w14:paraId="6B6193D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无量纲</w:t>
            </w:r>
          </w:p>
        </w:tc>
        <w:tc>
          <w:tcPr>
            <w:tcW w:w="2427" w:type="dxa"/>
            <w:tcBorders>
              <w:tl2br w:val="nil"/>
              <w:tr2bl w:val="nil"/>
            </w:tcBorders>
            <w:shd w:val="clear" w:color="auto" w:fill="auto"/>
            <w:vAlign w:val="center"/>
          </w:tcPr>
          <w:p w14:paraId="289BAA2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hAnsi="宋体" w:cs="宋体"/>
                <w:i w:val="0"/>
                <w:iCs w:val="0"/>
                <w:color w:val="auto"/>
                <w:kern w:val="0"/>
                <w:sz w:val="21"/>
                <w:szCs w:val="21"/>
                <w:highlight w:val="none"/>
                <w:u w:val="none"/>
                <w:lang w:val="en-US" w:eastAsia="zh-CN" w:bidi="ar"/>
              </w:rPr>
              <w:t>7.9</w:t>
            </w:r>
            <w:r>
              <w:rPr>
                <w:rFonts w:hint="eastAsia" w:ascii="宋体" w:hAnsi="宋体" w:eastAsia="宋体" w:cs="宋体"/>
                <w:i w:val="0"/>
                <w:iCs w:val="0"/>
                <w:color w:val="auto"/>
                <w:kern w:val="0"/>
                <w:sz w:val="21"/>
                <w:szCs w:val="21"/>
                <w:highlight w:val="none"/>
                <w:u w:val="none"/>
                <w:lang w:val="en-US" w:eastAsia="zh-CN" w:bidi="ar"/>
              </w:rPr>
              <w:t>（25.0℃）</w:t>
            </w:r>
          </w:p>
        </w:tc>
        <w:tc>
          <w:tcPr>
            <w:tcW w:w="2427" w:type="dxa"/>
            <w:tcBorders>
              <w:tl2br w:val="nil"/>
              <w:tr2bl w:val="nil"/>
            </w:tcBorders>
            <w:shd w:val="clear" w:color="auto" w:fill="auto"/>
            <w:vAlign w:val="center"/>
          </w:tcPr>
          <w:p w14:paraId="78BCBB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7.6（25.0℃）</w:t>
            </w:r>
          </w:p>
        </w:tc>
      </w:tr>
      <w:tr w14:paraId="2F02913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0EE8CC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色度</w:t>
            </w:r>
          </w:p>
        </w:tc>
        <w:tc>
          <w:tcPr>
            <w:tcW w:w="0" w:type="auto"/>
            <w:tcBorders>
              <w:tl2br w:val="nil"/>
              <w:tr2bl w:val="nil"/>
            </w:tcBorders>
            <w:shd w:val="clear" w:color="auto" w:fill="auto"/>
            <w:noWrap/>
            <w:vAlign w:val="center"/>
          </w:tcPr>
          <w:p w14:paraId="275A9CB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倍</w:t>
            </w:r>
          </w:p>
        </w:tc>
        <w:tc>
          <w:tcPr>
            <w:tcW w:w="2427" w:type="dxa"/>
            <w:tcBorders>
              <w:tl2br w:val="nil"/>
              <w:tr2bl w:val="nil"/>
            </w:tcBorders>
            <w:shd w:val="clear" w:color="auto" w:fill="auto"/>
            <w:vAlign w:val="center"/>
          </w:tcPr>
          <w:p w14:paraId="77B0955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38E0759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6E70703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0B36A71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悬浮物</w:t>
            </w:r>
          </w:p>
        </w:tc>
        <w:tc>
          <w:tcPr>
            <w:tcW w:w="1282" w:type="dxa"/>
            <w:tcBorders>
              <w:tl2br w:val="nil"/>
              <w:tr2bl w:val="nil"/>
            </w:tcBorders>
            <w:shd w:val="clear" w:color="auto" w:fill="auto"/>
            <w:vAlign w:val="center"/>
          </w:tcPr>
          <w:p w14:paraId="25AAF69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3ED141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6917FC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5A4A372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184F1A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五日生化需氧量</w:t>
            </w:r>
          </w:p>
        </w:tc>
        <w:tc>
          <w:tcPr>
            <w:tcW w:w="1282" w:type="dxa"/>
            <w:tcBorders>
              <w:tl2br w:val="nil"/>
              <w:tr2bl w:val="nil"/>
            </w:tcBorders>
            <w:shd w:val="clear" w:color="auto" w:fill="auto"/>
            <w:vAlign w:val="center"/>
          </w:tcPr>
          <w:p w14:paraId="6531A89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633F906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3.8</w:t>
            </w:r>
          </w:p>
        </w:tc>
        <w:tc>
          <w:tcPr>
            <w:tcW w:w="2427" w:type="dxa"/>
            <w:tcBorders>
              <w:tl2br w:val="nil"/>
              <w:tr2bl w:val="nil"/>
            </w:tcBorders>
            <w:shd w:val="clear" w:color="auto" w:fill="auto"/>
            <w:vAlign w:val="center"/>
          </w:tcPr>
          <w:p w14:paraId="4C53EF5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2.8</w:t>
            </w:r>
          </w:p>
        </w:tc>
      </w:tr>
      <w:tr w14:paraId="3C9F657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4261F5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化学需氧量</w:t>
            </w:r>
          </w:p>
        </w:tc>
        <w:tc>
          <w:tcPr>
            <w:tcW w:w="1282" w:type="dxa"/>
            <w:tcBorders>
              <w:tl2br w:val="nil"/>
              <w:tr2bl w:val="nil"/>
            </w:tcBorders>
            <w:shd w:val="clear" w:color="auto" w:fill="auto"/>
            <w:vAlign w:val="center"/>
          </w:tcPr>
          <w:p w14:paraId="2873D9B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3E72611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84</w:t>
            </w:r>
          </w:p>
        </w:tc>
        <w:tc>
          <w:tcPr>
            <w:tcW w:w="2427" w:type="dxa"/>
            <w:tcBorders>
              <w:tl2br w:val="nil"/>
              <w:tr2bl w:val="nil"/>
            </w:tcBorders>
            <w:shd w:val="clear" w:color="auto" w:fill="auto"/>
            <w:vAlign w:val="center"/>
          </w:tcPr>
          <w:p w14:paraId="1A5D691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63</w:t>
            </w:r>
          </w:p>
        </w:tc>
      </w:tr>
      <w:tr w14:paraId="31F9828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22D42D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石油类</w:t>
            </w:r>
          </w:p>
        </w:tc>
        <w:tc>
          <w:tcPr>
            <w:tcW w:w="1282" w:type="dxa"/>
            <w:tcBorders>
              <w:tl2br w:val="nil"/>
              <w:tr2bl w:val="nil"/>
            </w:tcBorders>
            <w:shd w:val="clear" w:color="auto" w:fill="auto"/>
            <w:vAlign w:val="center"/>
          </w:tcPr>
          <w:p w14:paraId="15BCEF0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12E30C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0.07</w:t>
            </w:r>
          </w:p>
        </w:tc>
        <w:tc>
          <w:tcPr>
            <w:tcW w:w="2427" w:type="dxa"/>
            <w:tcBorders>
              <w:tl2br w:val="nil"/>
              <w:tr2bl w:val="nil"/>
            </w:tcBorders>
            <w:shd w:val="clear" w:color="auto" w:fill="auto"/>
            <w:vAlign w:val="center"/>
          </w:tcPr>
          <w:p w14:paraId="351FACA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621412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17FC3A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动植物油</w:t>
            </w:r>
          </w:p>
        </w:tc>
        <w:tc>
          <w:tcPr>
            <w:tcW w:w="1282" w:type="dxa"/>
            <w:tcBorders>
              <w:tl2br w:val="nil"/>
              <w:tr2bl w:val="nil"/>
            </w:tcBorders>
            <w:shd w:val="clear" w:color="auto" w:fill="auto"/>
            <w:vAlign w:val="center"/>
          </w:tcPr>
          <w:p w14:paraId="33496E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3994E9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39CEFC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49B7DE2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7BE0CC9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挥发酚</w:t>
            </w:r>
          </w:p>
        </w:tc>
        <w:tc>
          <w:tcPr>
            <w:tcW w:w="1282" w:type="dxa"/>
            <w:tcBorders>
              <w:tl2br w:val="nil"/>
              <w:tr2bl w:val="nil"/>
            </w:tcBorders>
            <w:shd w:val="clear" w:color="auto" w:fill="auto"/>
            <w:vAlign w:val="center"/>
          </w:tcPr>
          <w:p w14:paraId="3F7F086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0DFEBD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260721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0476AE1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5ABC738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总氰化合物</w:t>
            </w:r>
          </w:p>
        </w:tc>
        <w:tc>
          <w:tcPr>
            <w:tcW w:w="1282" w:type="dxa"/>
            <w:tcBorders>
              <w:tl2br w:val="nil"/>
              <w:tr2bl w:val="nil"/>
            </w:tcBorders>
            <w:shd w:val="clear" w:color="auto" w:fill="auto"/>
            <w:vAlign w:val="center"/>
          </w:tcPr>
          <w:p w14:paraId="522BB85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7A81F91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2F266D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4F24F0F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5DECBAD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硫化物</w:t>
            </w:r>
          </w:p>
        </w:tc>
        <w:tc>
          <w:tcPr>
            <w:tcW w:w="1282" w:type="dxa"/>
            <w:tcBorders>
              <w:tl2br w:val="nil"/>
              <w:tr2bl w:val="nil"/>
            </w:tcBorders>
            <w:shd w:val="clear" w:color="auto" w:fill="auto"/>
            <w:vAlign w:val="center"/>
          </w:tcPr>
          <w:p w14:paraId="18616C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192B530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0B2407E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0E914D1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4E86B2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氨氮</w:t>
            </w:r>
          </w:p>
        </w:tc>
        <w:tc>
          <w:tcPr>
            <w:tcW w:w="1282" w:type="dxa"/>
            <w:tcBorders>
              <w:tl2br w:val="nil"/>
              <w:tr2bl w:val="nil"/>
            </w:tcBorders>
            <w:shd w:val="clear" w:color="auto" w:fill="auto"/>
            <w:vAlign w:val="center"/>
          </w:tcPr>
          <w:p w14:paraId="2A01255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4C959D3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580F8E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0.095</w:t>
            </w:r>
          </w:p>
        </w:tc>
      </w:tr>
      <w:tr w14:paraId="1399B4A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22C0D15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氟化物</w:t>
            </w:r>
          </w:p>
        </w:tc>
        <w:tc>
          <w:tcPr>
            <w:tcW w:w="1282" w:type="dxa"/>
            <w:tcBorders>
              <w:tl2br w:val="nil"/>
              <w:tr2bl w:val="nil"/>
            </w:tcBorders>
            <w:shd w:val="clear" w:color="auto" w:fill="auto"/>
            <w:vAlign w:val="center"/>
          </w:tcPr>
          <w:p w14:paraId="6D9105F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6AF849A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0.11</w:t>
            </w:r>
          </w:p>
        </w:tc>
        <w:tc>
          <w:tcPr>
            <w:tcW w:w="2427" w:type="dxa"/>
            <w:tcBorders>
              <w:tl2br w:val="nil"/>
              <w:tr2bl w:val="nil"/>
            </w:tcBorders>
            <w:shd w:val="clear" w:color="auto" w:fill="auto"/>
            <w:vAlign w:val="center"/>
          </w:tcPr>
          <w:p w14:paraId="5A1ABD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0.12</w:t>
            </w:r>
          </w:p>
        </w:tc>
      </w:tr>
      <w:tr w14:paraId="2F4F3AE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0E26B05F">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2"/>
                <w:sz w:val="21"/>
                <w:szCs w:val="21"/>
                <w:highlight w:val="none"/>
                <w:u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磷酸盐（以P计）</w:t>
            </w:r>
          </w:p>
        </w:tc>
        <w:tc>
          <w:tcPr>
            <w:tcW w:w="1282" w:type="dxa"/>
            <w:tcBorders>
              <w:tl2br w:val="nil"/>
              <w:tr2bl w:val="nil"/>
            </w:tcBorders>
            <w:shd w:val="clear" w:color="auto" w:fill="auto"/>
            <w:vAlign w:val="center"/>
          </w:tcPr>
          <w:p w14:paraId="4D303527">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i w:val="0"/>
                <w:iCs w:val="0"/>
                <w:color w:val="auto"/>
                <w:kern w:val="2"/>
                <w:sz w:val="21"/>
                <w:szCs w:val="21"/>
                <w:highlight w:val="none"/>
                <w:u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521C5A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kern w:val="0"/>
                <w:sz w:val="21"/>
                <w:szCs w:val="21"/>
                <w:highlight w:val="none"/>
                <w:u w:val="none"/>
                <w:lang w:val="en-US" w:eastAsia="zh-CN" w:bidi="ar"/>
              </w:rPr>
            </w:pPr>
            <w:r>
              <w:rPr>
                <w:rFonts w:hint="eastAsia" w:hAnsi="宋体" w:cs="宋体"/>
                <w:i w:val="0"/>
                <w:iCs w:val="0"/>
                <w:color w:val="auto"/>
                <w:kern w:val="0"/>
                <w:sz w:val="21"/>
                <w:szCs w:val="21"/>
                <w:highlight w:val="none"/>
                <w:u w:val="none"/>
                <w:lang w:val="en-US" w:eastAsia="zh-CN" w:bidi="ar"/>
              </w:rPr>
              <w:t>0.4</w:t>
            </w:r>
          </w:p>
        </w:tc>
        <w:tc>
          <w:tcPr>
            <w:tcW w:w="2427" w:type="dxa"/>
            <w:tcBorders>
              <w:tl2br w:val="nil"/>
              <w:tr2bl w:val="nil"/>
            </w:tcBorders>
            <w:shd w:val="clear" w:color="auto" w:fill="auto"/>
            <w:vAlign w:val="center"/>
          </w:tcPr>
          <w:p w14:paraId="7F583A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kern w:val="0"/>
                <w:sz w:val="21"/>
                <w:szCs w:val="21"/>
                <w:highlight w:val="none"/>
                <w:u w:val="none"/>
                <w:lang w:val="en-US" w:eastAsia="zh-CN" w:bidi="ar"/>
              </w:rPr>
            </w:pPr>
            <w:r>
              <w:rPr>
                <w:rFonts w:hint="eastAsia" w:hAnsi="宋体" w:cs="宋体"/>
                <w:i w:val="0"/>
                <w:iCs w:val="0"/>
                <w:color w:val="auto"/>
                <w:kern w:val="0"/>
                <w:sz w:val="21"/>
                <w:szCs w:val="21"/>
                <w:highlight w:val="none"/>
                <w:u w:val="none"/>
                <w:lang w:val="en-US" w:eastAsia="zh-CN" w:bidi="ar"/>
              </w:rPr>
              <w:t>0.09</w:t>
            </w:r>
          </w:p>
        </w:tc>
      </w:tr>
      <w:tr w14:paraId="590B96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235CC32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甲醛</w:t>
            </w:r>
          </w:p>
        </w:tc>
        <w:tc>
          <w:tcPr>
            <w:tcW w:w="1282" w:type="dxa"/>
            <w:tcBorders>
              <w:tl2br w:val="nil"/>
              <w:tr2bl w:val="nil"/>
            </w:tcBorders>
            <w:shd w:val="clear" w:color="auto" w:fill="auto"/>
            <w:vAlign w:val="center"/>
          </w:tcPr>
          <w:p w14:paraId="77F0E69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7236482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32ACDC6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7EDFDDF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6A2FDC6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苯胺类</w:t>
            </w:r>
          </w:p>
        </w:tc>
        <w:tc>
          <w:tcPr>
            <w:tcW w:w="1282" w:type="dxa"/>
            <w:tcBorders>
              <w:tl2br w:val="nil"/>
              <w:tr2bl w:val="nil"/>
            </w:tcBorders>
            <w:shd w:val="clear" w:color="auto" w:fill="auto"/>
            <w:vAlign w:val="center"/>
          </w:tcPr>
          <w:p w14:paraId="702AFF1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08FD08A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57CCBC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74BF387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11560A4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硝基苯类</w:t>
            </w:r>
          </w:p>
        </w:tc>
        <w:tc>
          <w:tcPr>
            <w:tcW w:w="1282" w:type="dxa"/>
            <w:tcBorders>
              <w:tl2br w:val="nil"/>
              <w:tr2bl w:val="nil"/>
            </w:tcBorders>
            <w:shd w:val="clear" w:color="auto" w:fill="auto"/>
            <w:vAlign w:val="center"/>
          </w:tcPr>
          <w:p w14:paraId="63DB72B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109DE1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1EBCBD3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5BC23D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34B6D1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阴离子表面活性剂</w:t>
            </w:r>
          </w:p>
        </w:tc>
        <w:tc>
          <w:tcPr>
            <w:tcW w:w="1282" w:type="dxa"/>
            <w:tcBorders>
              <w:tl2br w:val="nil"/>
              <w:tr2bl w:val="nil"/>
            </w:tcBorders>
            <w:shd w:val="clear" w:color="auto" w:fill="auto"/>
            <w:vAlign w:val="center"/>
          </w:tcPr>
          <w:p w14:paraId="1529484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404C2D9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0.184</w:t>
            </w:r>
          </w:p>
        </w:tc>
        <w:tc>
          <w:tcPr>
            <w:tcW w:w="2427" w:type="dxa"/>
            <w:tcBorders>
              <w:tl2br w:val="nil"/>
              <w:tr2bl w:val="nil"/>
            </w:tcBorders>
            <w:shd w:val="clear" w:color="auto" w:fill="auto"/>
            <w:vAlign w:val="center"/>
          </w:tcPr>
          <w:p w14:paraId="51E0BB2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0.150</w:t>
            </w:r>
          </w:p>
        </w:tc>
      </w:tr>
      <w:tr w14:paraId="52CA942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09E128D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总铜</w:t>
            </w:r>
          </w:p>
        </w:tc>
        <w:tc>
          <w:tcPr>
            <w:tcW w:w="1282" w:type="dxa"/>
            <w:tcBorders>
              <w:tl2br w:val="nil"/>
              <w:tr2bl w:val="nil"/>
            </w:tcBorders>
            <w:shd w:val="clear" w:color="auto" w:fill="auto"/>
            <w:vAlign w:val="center"/>
          </w:tcPr>
          <w:p w14:paraId="6C5C0B6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0C6893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136688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42E07A2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2B8C2A1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总锌</w:t>
            </w:r>
          </w:p>
        </w:tc>
        <w:tc>
          <w:tcPr>
            <w:tcW w:w="1282" w:type="dxa"/>
            <w:tcBorders>
              <w:tl2br w:val="nil"/>
              <w:tr2bl w:val="nil"/>
            </w:tcBorders>
            <w:shd w:val="clear" w:color="auto" w:fill="auto"/>
            <w:vAlign w:val="center"/>
          </w:tcPr>
          <w:p w14:paraId="7FFB459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446110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0.055</w:t>
            </w:r>
          </w:p>
        </w:tc>
        <w:tc>
          <w:tcPr>
            <w:tcW w:w="2427" w:type="dxa"/>
            <w:tcBorders>
              <w:tl2br w:val="nil"/>
              <w:tr2bl w:val="nil"/>
            </w:tcBorders>
            <w:shd w:val="clear" w:color="auto" w:fill="auto"/>
            <w:vAlign w:val="center"/>
          </w:tcPr>
          <w:p w14:paraId="4452F7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0.031</w:t>
            </w:r>
          </w:p>
        </w:tc>
      </w:tr>
      <w:tr w14:paraId="1103925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42926E6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总锰</w:t>
            </w:r>
          </w:p>
        </w:tc>
        <w:tc>
          <w:tcPr>
            <w:tcW w:w="1282" w:type="dxa"/>
            <w:tcBorders>
              <w:tl2br w:val="nil"/>
              <w:tr2bl w:val="nil"/>
            </w:tcBorders>
            <w:shd w:val="clear" w:color="auto" w:fill="auto"/>
            <w:vAlign w:val="center"/>
          </w:tcPr>
          <w:p w14:paraId="5CF02F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3BAC4FB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0.10</w:t>
            </w:r>
          </w:p>
        </w:tc>
        <w:tc>
          <w:tcPr>
            <w:tcW w:w="2427" w:type="dxa"/>
            <w:tcBorders>
              <w:tl2br w:val="nil"/>
              <w:tr2bl w:val="nil"/>
            </w:tcBorders>
            <w:shd w:val="clear" w:color="auto" w:fill="auto"/>
            <w:vAlign w:val="center"/>
          </w:tcPr>
          <w:p w14:paraId="557FB5B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563823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6053866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元素磷</w:t>
            </w:r>
          </w:p>
        </w:tc>
        <w:tc>
          <w:tcPr>
            <w:tcW w:w="1282" w:type="dxa"/>
            <w:tcBorders>
              <w:tl2br w:val="nil"/>
              <w:tr2bl w:val="nil"/>
            </w:tcBorders>
            <w:shd w:val="clear" w:color="auto" w:fill="auto"/>
            <w:vAlign w:val="center"/>
          </w:tcPr>
          <w:p w14:paraId="22B5DAA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3DCAC8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4F046C1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D82EB1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099FC9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有机磷农药（以P计）</w:t>
            </w:r>
          </w:p>
        </w:tc>
        <w:tc>
          <w:tcPr>
            <w:tcW w:w="1282" w:type="dxa"/>
            <w:tcBorders>
              <w:tl2br w:val="nil"/>
              <w:tr2bl w:val="nil"/>
            </w:tcBorders>
            <w:shd w:val="clear" w:color="auto" w:fill="auto"/>
            <w:vAlign w:val="center"/>
          </w:tcPr>
          <w:p w14:paraId="08525D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638040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43FA859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ECC695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7147D5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乐果</w:t>
            </w:r>
          </w:p>
        </w:tc>
        <w:tc>
          <w:tcPr>
            <w:tcW w:w="1282" w:type="dxa"/>
            <w:tcBorders>
              <w:tl2br w:val="nil"/>
              <w:tr2bl w:val="nil"/>
            </w:tcBorders>
            <w:shd w:val="clear" w:color="auto" w:fill="auto"/>
            <w:vAlign w:val="center"/>
          </w:tcPr>
          <w:p w14:paraId="7B29B2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7FA4C36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4C23E7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F31CB9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111884C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甲基对硫磷</w:t>
            </w:r>
          </w:p>
        </w:tc>
        <w:tc>
          <w:tcPr>
            <w:tcW w:w="1282" w:type="dxa"/>
            <w:tcBorders>
              <w:tl2br w:val="nil"/>
              <w:tr2bl w:val="nil"/>
            </w:tcBorders>
            <w:shd w:val="clear" w:color="auto" w:fill="auto"/>
            <w:vAlign w:val="center"/>
          </w:tcPr>
          <w:p w14:paraId="01B3DE4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480C19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5D955E6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0C416E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7454A88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马拉硫磷</w:t>
            </w:r>
          </w:p>
        </w:tc>
        <w:tc>
          <w:tcPr>
            <w:tcW w:w="1282" w:type="dxa"/>
            <w:tcBorders>
              <w:tl2br w:val="nil"/>
              <w:tr2bl w:val="nil"/>
            </w:tcBorders>
            <w:shd w:val="clear" w:color="auto" w:fill="auto"/>
            <w:vAlign w:val="center"/>
          </w:tcPr>
          <w:p w14:paraId="42DDAB0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03F032E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50BBE84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2D84AB5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0B9DE6D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对硫磷</w:t>
            </w:r>
          </w:p>
        </w:tc>
        <w:tc>
          <w:tcPr>
            <w:tcW w:w="1282" w:type="dxa"/>
            <w:tcBorders>
              <w:tl2br w:val="nil"/>
              <w:tr2bl w:val="nil"/>
            </w:tcBorders>
            <w:shd w:val="clear" w:color="auto" w:fill="auto"/>
            <w:vAlign w:val="center"/>
          </w:tcPr>
          <w:p w14:paraId="267D140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76C4A4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627AC33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79841EF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642" w:hRule="atLeast"/>
        </w:trPr>
        <w:tc>
          <w:tcPr>
            <w:tcW w:w="2243" w:type="dxa"/>
            <w:tcBorders>
              <w:tl2br w:val="nil"/>
              <w:tr2bl w:val="nil"/>
            </w:tcBorders>
            <w:shd w:val="clear" w:color="auto" w:fill="auto"/>
            <w:vAlign w:val="center"/>
          </w:tcPr>
          <w:p w14:paraId="4D5BBD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五氯酚及五氯酚钠</w:t>
            </w:r>
            <w:r>
              <w:rPr>
                <w:rFonts w:hint="eastAsia" w:ascii="宋体" w:hAnsi="宋体" w:eastAsia="宋体" w:cs="宋体"/>
                <w:i w:val="0"/>
                <w:iCs w:val="0"/>
                <w:color w:val="auto"/>
                <w:kern w:val="0"/>
                <w:sz w:val="21"/>
                <w:szCs w:val="21"/>
                <w:highlight w:val="none"/>
                <w:u w:val="none"/>
                <w:lang w:val="en-US" w:eastAsia="zh-CN" w:bidi="ar"/>
              </w:rPr>
              <w:br w:type="textWrapping"/>
            </w:r>
            <w:r>
              <w:rPr>
                <w:rFonts w:hint="eastAsia" w:ascii="宋体" w:hAnsi="宋体" w:eastAsia="宋体" w:cs="宋体"/>
                <w:i w:val="0"/>
                <w:iCs w:val="0"/>
                <w:color w:val="auto"/>
                <w:kern w:val="0"/>
                <w:sz w:val="21"/>
                <w:szCs w:val="21"/>
                <w:highlight w:val="none"/>
                <w:u w:val="none"/>
                <w:lang w:val="en-US" w:eastAsia="zh-CN" w:bidi="ar"/>
              </w:rPr>
              <w:t>（以五氯酚计）</w:t>
            </w:r>
          </w:p>
        </w:tc>
        <w:tc>
          <w:tcPr>
            <w:tcW w:w="1282" w:type="dxa"/>
            <w:tcBorders>
              <w:tl2br w:val="nil"/>
              <w:tr2bl w:val="nil"/>
            </w:tcBorders>
            <w:shd w:val="clear" w:color="auto" w:fill="auto"/>
            <w:vAlign w:val="center"/>
          </w:tcPr>
          <w:p w14:paraId="72E597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11BD2F5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7ECE1FA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2630B56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642" w:hRule="atLeast"/>
        </w:trPr>
        <w:tc>
          <w:tcPr>
            <w:tcW w:w="2243" w:type="dxa"/>
            <w:tcBorders>
              <w:tl2br w:val="nil"/>
              <w:tr2bl w:val="nil"/>
            </w:tcBorders>
            <w:shd w:val="clear" w:color="auto" w:fill="auto"/>
            <w:vAlign w:val="center"/>
          </w:tcPr>
          <w:p w14:paraId="2E1B4E3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可吸附有机卤化物（AOX）（以Cl计）</w:t>
            </w:r>
          </w:p>
        </w:tc>
        <w:tc>
          <w:tcPr>
            <w:tcW w:w="1282" w:type="dxa"/>
            <w:tcBorders>
              <w:tl2br w:val="nil"/>
              <w:tr2bl w:val="nil"/>
            </w:tcBorders>
            <w:shd w:val="clear" w:color="auto" w:fill="auto"/>
            <w:vAlign w:val="center"/>
          </w:tcPr>
          <w:p w14:paraId="45FC7E1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5777F9D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582</w:t>
            </w:r>
          </w:p>
        </w:tc>
        <w:tc>
          <w:tcPr>
            <w:tcW w:w="2427" w:type="dxa"/>
            <w:tcBorders>
              <w:tl2br w:val="nil"/>
              <w:tr2bl w:val="nil"/>
            </w:tcBorders>
            <w:shd w:val="clear" w:color="auto" w:fill="auto"/>
            <w:vAlign w:val="center"/>
          </w:tcPr>
          <w:p w14:paraId="36ED8F9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595</w:t>
            </w:r>
          </w:p>
        </w:tc>
      </w:tr>
      <w:tr w14:paraId="349BFF8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31856D0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三氯甲烷</w:t>
            </w:r>
          </w:p>
        </w:tc>
        <w:tc>
          <w:tcPr>
            <w:tcW w:w="1282" w:type="dxa"/>
            <w:tcBorders>
              <w:tl2br w:val="nil"/>
              <w:tr2bl w:val="nil"/>
            </w:tcBorders>
            <w:shd w:val="clear" w:color="auto" w:fill="auto"/>
            <w:vAlign w:val="center"/>
          </w:tcPr>
          <w:p w14:paraId="0F59476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327E34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685874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78D07AB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38CB280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四氯化碳</w:t>
            </w:r>
          </w:p>
        </w:tc>
        <w:tc>
          <w:tcPr>
            <w:tcW w:w="1282" w:type="dxa"/>
            <w:tcBorders>
              <w:tl2br w:val="nil"/>
              <w:tr2bl w:val="nil"/>
            </w:tcBorders>
            <w:shd w:val="clear" w:color="auto" w:fill="auto"/>
            <w:vAlign w:val="center"/>
          </w:tcPr>
          <w:p w14:paraId="4B8D879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350EA1B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281FE2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36F6A4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7D717B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三氯乙烯</w:t>
            </w:r>
          </w:p>
        </w:tc>
        <w:tc>
          <w:tcPr>
            <w:tcW w:w="1282" w:type="dxa"/>
            <w:tcBorders>
              <w:tl2br w:val="nil"/>
              <w:tr2bl w:val="nil"/>
            </w:tcBorders>
            <w:shd w:val="clear" w:color="auto" w:fill="auto"/>
            <w:vAlign w:val="center"/>
          </w:tcPr>
          <w:p w14:paraId="7505F22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29FC9CF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47388F2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4EACE9E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165734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四氯乙烯</w:t>
            </w:r>
          </w:p>
        </w:tc>
        <w:tc>
          <w:tcPr>
            <w:tcW w:w="1282" w:type="dxa"/>
            <w:tcBorders>
              <w:tl2br w:val="nil"/>
              <w:tr2bl w:val="nil"/>
            </w:tcBorders>
            <w:shd w:val="clear" w:color="auto" w:fill="auto"/>
            <w:vAlign w:val="center"/>
          </w:tcPr>
          <w:p w14:paraId="48D780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2C86B4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17976F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2BDC47A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278CC4D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苯</w:t>
            </w:r>
          </w:p>
        </w:tc>
        <w:tc>
          <w:tcPr>
            <w:tcW w:w="1282" w:type="dxa"/>
            <w:tcBorders>
              <w:tl2br w:val="nil"/>
              <w:tr2bl w:val="nil"/>
            </w:tcBorders>
            <w:shd w:val="clear" w:color="auto" w:fill="auto"/>
            <w:vAlign w:val="center"/>
          </w:tcPr>
          <w:p w14:paraId="226B8F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7E871B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150768A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0916400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6B86AF6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甲苯</w:t>
            </w:r>
          </w:p>
        </w:tc>
        <w:tc>
          <w:tcPr>
            <w:tcW w:w="1282" w:type="dxa"/>
            <w:tcBorders>
              <w:tl2br w:val="nil"/>
              <w:tr2bl w:val="nil"/>
            </w:tcBorders>
            <w:shd w:val="clear" w:color="auto" w:fill="auto"/>
            <w:vAlign w:val="center"/>
          </w:tcPr>
          <w:p w14:paraId="2AE907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7432D0E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367400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537F8FD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5AB8945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乙苯</w:t>
            </w:r>
          </w:p>
        </w:tc>
        <w:tc>
          <w:tcPr>
            <w:tcW w:w="1282" w:type="dxa"/>
            <w:tcBorders>
              <w:tl2br w:val="nil"/>
              <w:tr2bl w:val="nil"/>
            </w:tcBorders>
            <w:shd w:val="clear" w:color="auto" w:fill="auto"/>
            <w:vAlign w:val="center"/>
          </w:tcPr>
          <w:p w14:paraId="34E0DE5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5F292B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6730D3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2CAD61B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5F7EDE3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间,对-二甲苯</w:t>
            </w:r>
          </w:p>
        </w:tc>
        <w:tc>
          <w:tcPr>
            <w:tcW w:w="1282" w:type="dxa"/>
            <w:tcBorders>
              <w:tl2br w:val="nil"/>
              <w:tr2bl w:val="nil"/>
            </w:tcBorders>
            <w:shd w:val="clear" w:color="auto" w:fill="auto"/>
            <w:vAlign w:val="center"/>
          </w:tcPr>
          <w:p w14:paraId="409BC06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0C68DDD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1E4F419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0139D7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162888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邻-二甲苯</w:t>
            </w:r>
          </w:p>
        </w:tc>
        <w:tc>
          <w:tcPr>
            <w:tcW w:w="1282" w:type="dxa"/>
            <w:tcBorders>
              <w:tl2br w:val="nil"/>
              <w:tr2bl w:val="nil"/>
            </w:tcBorders>
            <w:shd w:val="clear" w:color="auto" w:fill="auto"/>
            <w:vAlign w:val="center"/>
          </w:tcPr>
          <w:p w14:paraId="4F08345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5685FDE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13B816C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2147E83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46DFA92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氯苯</w:t>
            </w:r>
          </w:p>
        </w:tc>
        <w:tc>
          <w:tcPr>
            <w:tcW w:w="1282" w:type="dxa"/>
            <w:tcBorders>
              <w:tl2br w:val="nil"/>
              <w:tr2bl w:val="nil"/>
            </w:tcBorders>
            <w:shd w:val="clear" w:color="auto" w:fill="auto"/>
            <w:vAlign w:val="center"/>
          </w:tcPr>
          <w:p w14:paraId="3205957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6E518FC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5B7AF5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9716B2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0F5F1DB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对-二氯苯</w:t>
            </w:r>
          </w:p>
        </w:tc>
        <w:tc>
          <w:tcPr>
            <w:tcW w:w="1282" w:type="dxa"/>
            <w:tcBorders>
              <w:tl2br w:val="nil"/>
              <w:tr2bl w:val="nil"/>
            </w:tcBorders>
            <w:shd w:val="clear" w:color="auto" w:fill="auto"/>
            <w:vAlign w:val="center"/>
          </w:tcPr>
          <w:p w14:paraId="25B437C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2735FAE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32FF279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5B791D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6ABE95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邻-二氯苯</w:t>
            </w:r>
          </w:p>
        </w:tc>
        <w:tc>
          <w:tcPr>
            <w:tcW w:w="1282" w:type="dxa"/>
            <w:tcBorders>
              <w:tl2br w:val="nil"/>
              <w:tr2bl w:val="nil"/>
            </w:tcBorders>
            <w:shd w:val="clear" w:color="auto" w:fill="auto"/>
            <w:vAlign w:val="center"/>
          </w:tcPr>
          <w:p w14:paraId="5D917E2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574FC12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7B76395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1131562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526D11E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对-硝基氯苯</w:t>
            </w:r>
          </w:p>
        </w:tc>
        <w:tc>
          <w:tcPr>
            <w:tcW w:w="1282" w:type="dxa"/>
            <w:tcBorders>
              <w:tl2br w:val="nil"/>
              <w:tr2bl w:val="nil"/>
            </w:tcBorders>
            <w:shd w:val="clear" w:color="auto" w:fill="auto"/>
            <w:vAlign w:val="center"/>
          </w:tcPr>
          <w:p w14:paraId="60CCA1C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4FAA67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27DF5E5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43253EF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6EB286F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2,4-二硝基氯苯</w:t>
            </w:r>
          </w:p>
        </w:tc>
        <w:tc>
          <w:tcPr>
            <w:tcW w:w="1282" w:type="dxa"/>
            <w:tcBorders>
              <w:tl2br w:val="nil"/>
              <w:tr2bl w:val="nil"/>
            </w:tcBorders>
            <w:shd w:val="clear" w:color="auto" w:fill="auto"/>
            <w:vAlign w:val="center"/>
          </w:tcPr>
          <w:p w14:paraId="2B33D86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2B611E8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70CF0D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7E176E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02ACBE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苯酚</w:t>
            </w:r>
          </w:p>
        </w:tc>
        <w:tc>
          <w:tcPr>
            <w:tcW w:w="1282" w:type="dxa"/>
            <w:tcBorders>
              <w:tl2br w:val="nil"/>
              <w:tr2bl w:val="nil"/>
            </w:tcBorders>
            <w:shd w:val="clear" w:color="auto" w:fill="auto"/>
            <w:vAlign w:val="center"/>
          </w:tcPr>
          <w:p w14:paraId="33BB8C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7A13B60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78BFFEF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1D2A4D4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562AC5C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间-甲酚</w:t>
            </w:r>
          </w:p>
        </w:tc>
        <w:tc>
          <w:tcPr>
            <w:tcW w:w="1282" w:type="dxa"/>
            <w:tcBorders>
              <w:tl2br w:val="nil"/>
              <w:tr2bl w:val="nil"/>
            </w:tcBorders>
            <w:shd w:val="clear" w:color="auto" w:fill="auto"/>
            <w:vAlign w:val="center"/>
          </w:tcPr>
          <w:p w14:paraId="2FA0CE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1295C1D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46FB959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CE4EA5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390578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2,4-二氯酚</w:t>
            </w:r>
          </w:p>
        </w:tc>
        <w:tc>
          <w:tcPr>
            <w:tcW w:w="1282" w:type="dxa"/>
            <w:tcBorders>
              <w:tl2br w:val="nil"/>
              <w:tr2bl w:val="nil"/>
            </w:tcBorders>
            <w:shd w:val="clear" w:color="auto" w:fill="auto"/>
            <w:vAlign w:val="center"/>
          </w:tcPr>
          <w:p w14:paraId="5236B77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2401E2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17CF7E3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63B5745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65E669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2,4,6-三氯酚</w:t>
            </w:r>
          </w:p>
        </w:tc>
        <w:tc>
          <w:tcPr>
            <w:tcW w:w="1282" w:type="dxa"/>
            <w:tcBorders>
              <w:tl2br w:val="nil"/>
              <w:tr2bl w:val="nil"/>
            </w:tcBorders>
            <w:shd w:val="clear" w:color="auto" w:fill="auto"/>
            <w:vAlign w:val="center"/>
          </w:tcPr>
          <w:p w14:paraId="219313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1EBFE12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474D5B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2F046F0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230838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邻苯二甲酸二丁酯</w:t>
            </w:r>
          </w:p>
        </w:tc>
        <w:tc>
          <w:tcPr>
            <w:tcW w:w="1282" w:type="dxa"/>
            <w:tcBorders>
              <w:tl2br w:val="nil"/>
              <w:tr2bl w:val="nil"/>
            </w:tcBorders>
            <w:shd w:val="clear" w:color="auto" w:fill="auto"/>
            <w:vAlign w:val="center"/>
          </w:tcPr>
          <w:p w14:paraId="1C2FBD0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4A9AA08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4D4114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046B858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6649826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邻苯二甲酸二辛酯</w:t>
            </w:r>
          </w:p>
        </w:tc>
        <w:tc>
          <w:tcPr>
            <w:tcW w:w="1282" w:type="dxa"/>
            <w:tcBorders>
              <w:tl2br w:val="nil"/>
              <w:tr2bl w:val="nil"/>
            </w:tcBorders>
            <w:shd w:val="clear" w:color="auto" w:fill="auto"/>
            <w:vAlign w:val="center"/>
          </w:tcPr>
          <w:p w14:paraId="6B2702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1396EA5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430FE2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3BB707F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3A1FE2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丙烯腈</w:t>
            </w:r>
          </w:p>
        </w:tc>
        <w:tc>
          <w:tcPr>
            <w:tcW w:w="1282" w:type="dxa"/>
            <w:tcBorders>
              <w:tl2br w:val="nil"/>
              <w:tr2bl w:val="nil"/>
            </w:tcBorders>
            <w:shd w:val="clear" w:color="auto" w:fill="auto"/>
            <w:vAlign w:val="center"/>
          </w:tcPr>
          <w:p w14:paraId="2459FDE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6F31FC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72FA63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0628491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26" w:hRule="atLeast"/>
        </w:trPr>
        <w:tc>
          <w:tcPr>
            <w:tcW w:w="2243" w:type="dxa"/>
            <w:tcBorders>
              <w:tl2br w:val="nil"/>
              <w:tr2bl w:val="nil"/>
            </w:tcBorders>
            <w:shd w:val="clear" w:color="auto" w:fill="auto"/>
            <w:vAlign w:val="center"/>
          </w:tcPr>
          <w:p w14:paraId="78793F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总硒</w:t>
            </w:r>
          </w:p>
        </w:tc>
        <w:tc>
          <w:tcPr>
            <w:tcW w:w="1282" w:type="dxa"/>
            <w:tcBorders>
              <w:tl2br w:val="nil"/>
              <w:tr2bl w:val="nil"/>
            </w:tcBorders>
            <w:shd w:val="clear" w:color="auto" w:fill="auto"/>
            <w:vAlign w:val="center"/>
          </w:tcPr>
          <w:p w14:paraId="078B3CD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µg/L</w:t>
            </w:r>
          </w:p>
        </w:tc>
        <w:tc>
          <w:tcPr>
            <w:tcW w:w="2427" w:type="dxa"/>
            <w:tcBorders>
              <w:tl2br w:val="nil"/>
              <w:tr2bl w:val="nil"/>
            </w:tcBorders>
            <w:shd w:val="clear" w:color="auto" w:fill="auto"/>
            <w:vAlign w:val="center"/>
          </w:tcPr>
          <w:p w14:paraId="7BB8E0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c>
          <w:tcPr>
            <w:tcW w:w="2427" w:type="dxa"/>
            <w:tcBorders>
              <w:tl2br w:val="nil"/>
              <w:tr2bl w:val="nil"/>
            </w:tcBorders>
            <w:shd w:val="clear" w:color="auto" w:fill="auto"/>
            <w:vAlign w:val="center"/>
          </w:tcPr>
          <w:p w14:paraId="73ED06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ND</w:t>
            </w:r>
          </w:p>
        </w:tc>
      </w:tr>
      <w:tr w14:paraId="06006D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36" w:hRule="atLeast"/>
        </w:trPr>
        <w:tc>
          <w:tcPr>
            <w:tcW w:w="2243" w:type="dxa"/>
            <w:tcBorders>
              <w:tl2br w:val="nil"/>
              <w:tr2bl w:val="nil"/>
            </w:tcBorders>
            <w:shd w:val="clear" w:color="auto" w:fill="auto"/>
            <w:vAlign w:val="center"/>
          </w:tcPr>
          <w:p w14:paraId="4259087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总有机碳</w:t>
            </w:r>
          </w:p>
        </w:tc>
        <w:tc>
          <w:tcPr>
            <w:tcW w:w="1282" w:type="dxa"/>
            <w:tcBorders>
              <w:tl2br w:val="nil"/>
              <w:tr2bl w:val="nil"/>
            </w:tcBorders>
            <w:shd w:val="clear" w:color="auto" w:fill="auto"/>
            <w:vAlign w:val="center"/>
          </w:tcPr>
          <w:p w14:paraId="750914D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mg/L</w:t>
            </w:r>
          </w:p>
        </w:tc>
        <w:tc>
          <w:tcPr>
            <w:tcW w:w="2427" w:type="dxa"/>
            <w:tcBorders>
              <w:tl2br w:val="nil"/>
              <w:tr2bl w:val="nil"/>
            </w:tcBorders>
            <w:shd w:val="clear" w:color="auto" w:fill="auto"/>
            <w:vAlign w:val="center"/>
          </w:tcPr>
          <w:p w14:paraId="1F20DBA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4.6</w:t>
            </w:r>
          </w:p>
        </w:tc>
        <w:tc>
          <w:tcPr>
            <w:tcW w:w="2427" w:type="dxa"/>
            <w:tcBorders>
              <w:tl2br w:val="nil"/>
              <w:tr2bl w:val="nil"/>
            </w:tcBorders>
            <w:shd w:val="clear" w:color="auto" w:fill="auto"/>
            <w:vAlign w:val="center"/>
          </w:tcPr>
          <w:p w14:paraId="71855AD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1"/>
                <w:szCs w:val="21"/>
                <w:highlight w:val="none"/>
                <w:u w:val="none"/>
              </w:rPr>
            </w:pPr>
            <w:r>
              <w:rPr>
                <w:rFonts w:hint="eastAsia" w:ascii="宋体" w:hAnsi="宋体" w:eastAsia="宋体" w:cs="宋体"/>
                <w:i w:val="0"/>
                <w:iCs w:val="0"/>
                <w:color w:val="auto"/>
                <w:kern w:val="0"/>
                <w:sz w:val="21"/>
                <w:szCs w:val="21"/>
                <w:highlight w:val="none"/>
                <w:u w:val="none"/>
                <w:lang w:val="en-US" w:eastAsia="zh-CN" w:bidi="ar"/>
              </w:rPr>
              <w:t>3.4</w:t>
            </w:r>
          </w:p>
        </w:tc>
      </w:tr>
    </w:tbl>
    <w:p w14:paraId="46BD392F">
      <w:pPr>
        <w:spacing w:line="440" w:lineRule="exact"/>
        <w:ind w:firstLine="482"/>
        <w:jc w:val="center"/>
        <w:rPr>
          <w:rFonts w:hint="eastAsia" w:asciiTheme="minorEastAsia" w:hAnsiTheme="minorEastAsia" w:eastAsiaTheme="minorEastAsia" w:cstheme="minorEastAsia"/>
          <w:b/>
          <w:color w:val="auto"/>
          <w:kern w:val="0"/>
          <w:sz w:val="24"/>
          <w:szCs w:val="24"/>
          <w:highlight w:val="none"/>
          <w:lang w:val="en-US" w:eastAsia="zh-CN" w:bidi="ar-SA"/>
        </w:rPr>
      </w:pPr>
      <w:r>
        <w:rPr>
          <w:rFonts w:hint="eastAsia" w:asciiTheme="minorEastAsia" w:hAnsiTheme="minorEastAsia" w:eastAsiaTheme="minorEastAsia" w:cstheme="minorEastAsia"/>
          <w:b/>
          <w:color w:val="auto"/>
          <w:kern w:val="0"/>
          <w:sz w:val="24"/>
          <w:szCs w:val="24"/>
          <w:highlight w:val="none"/>
          <w:lang w:val="en-US" w:eastAsia="zh-CN" w:bidi="ar-SA"/>
        </w:rPr>
        <w:t>表3.1-6  生物质飞灰及炉渣有机质及水溶性盐检测表</w:t>
      </w:r>
    </w:p>
    <w:tbl>
      <w:tblPr>
        <w:tblStyle w:val="84"/>
        <w:tblW w:w="8259" w:type="dxa"/>
        <w:tblInd w:w="98"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2211"/>
        <w:gridCol w:w="1264"/>
        <w:gridCol w:w="2392"/>
        <w:gridCol w:w="2392"/>
      </w:tblGrid>
      <w:tr w14:paraId="26EBAAD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56" w:hRule="atLeast"/>
        </w:trPr>
        <w:tc>
          <w:tcPr>
            <w:tcW w:w="2211" w:type="dxa"/>
            <w:vMerge w:val="restart"/>
            <w:tcBorders>
              <w:tl2br w:val="nil"/>
              <w:tr2bl w:val="nil"/>
            </w:tcBorders>
            <w:shd w:val="clear" w:color="auto" w:fill="auto"/>
            <w:vAlign w:val="center"/>
          </w:tcPr>
          <w:p w14:paraId="42DF8AA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0"/>
                <w:szCs w:val="20"/>
                <w:highlight w:val="none"/>
                <w:u w:val="none"/>
                <w:lang w:val="en-US" w:eastAsia="zh-CN"/>
              </w:rPr>
            </w:pPr>
            <w:r>
              <w:rPr>
                <w:rFonts w:hint="eastAsia" w:ascii="宋体" w:hAnsi="宋体" w:eastAsia="宋体" w:cs="宋体"/>
                <w:i w:val="0"/>
                <w:iCs w:val="0"/>
                <w:color w:val="auto"/>
                <w:sz w:val="20"/>
                <w:szCs w:val="20"/>
                <w:highlight w:val="none"/>
                <w:u w:val="none"/>
                <w:lang w:val="en-US" w:eastAsia="zh-CN"/>
              </w:rPr>
              <w:t>检测项目</w:t>
            </w:r>
          </w:p>
        </w:tc>
        <w:tc>
          <w:tcPr>
            <w:tcW w:w="1264" w:type="dxa"/>
            <w:vMerge w:val="restart"/>
            <w:tcBorders>
              <w:tl2br w:val="nil"/>
              <w:tr2bl w:val="nil"/>
            </w:tcBorders>
            <w:shd w:val="clear" w:color="auto" w:fill="auto"/>
            <w:vAlign w:val="center"/>
          </w:tcPr>
          <w:p w14:paraId="32EAAA2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0"/>
                <w:szCs w:val="20"/>
                <w:highlight w:val="none"/>
                <w:u w:val="none"/>
                <w:lang w:val="en-US" w:eastAsia="zh-CN"/>
              </w:rPr>
            </w:pPr>
            <w:r>
              <w:rPr>
                <w:rFonts w:hint="eastAsia" w:ascii="宋体" w:hAnsi="宋体" w:eastAsia="宋体" w:cs="宋体"/>
                <w:i w:val="0"/>
                <w:iCs w:val="0"/>
                <w:color w:val="auto"/>
                <w:sz w:val="20"/>
                <w:szCs w:val="20"/>
                <w:highlight w:val="none"/>
                <w:u w:val="none"/>
                <w:lang w:val="en-US" w:eastAsia="zh-CN"/>
              </w:rPr>
              <w:t>单位</w:t>
            </w:r>
          </w:p>
        </w:tc>
        <w:tc>
          <w:tcPr>
            <w:tcW w:w="4784" w:type="dxa"/>
            <w:gridSpan w:val="2"/>
            <w:tcBorders>
              <w:tl2br w:val="nil"/>
              <w:tr2bl w:val="nil"/>
            </w:tcBorders>
            <w:shd w:val="clear" w:color="auto" w:fill="auto"/>
            <w:vAlign w:val="center"/>
          </w:tcPr>
          <w:p w14:paraId="40982C2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sz w:val="20"/>
                <w:szCs w:val="20"/>
                <w:highlight w:val="none"/>
                <w:u w:val="none"/>
                <w:lang w:val="en-US" w:eastAsia="zh-CN"/>
              </w:rPr>
              <w:t>数值</w:t>
            </w:r>
          </w:p>
        </w:tc>
      </w:tr>
      <w:tr w14:paraId="0B7A378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56" w:hRule="atLeast"/>
        </w:trPr>
        <w:tc>
          <w:tcPr>
            <w:tcW w:w="2211" w:type="dxa"/>
            <w:vMerge w:val="continue"/>
            <w:tcBorders>
              <w:tl2br w:val="nil"/>
              <w:tr2bl w:val="nil"/>
            </w:tcBorders>
            <w:shd w:val="clear" w:color="auto" w:fill="auto"/>
            <w:vAlign w:val="center"/>
          </w:tcPr>
          <w:p w14:paraId="741FFC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0"/>
                <w:szCs w:val="20"/>
                <w:highlight w:val="none"/>
                <w:u w:val="none"/>
                <w:lang w:val="en-US" w:eastAsia="zh-CN"/>
              </w:rPr>
            </w:pPr>
          </w:p>
        </w:tc>
        <w:tc>
          <w:tcPr>
            <w:tcW w:w="1264" w:type="dxa"/>
            <w:vMerge w:val="continue"/>
            <w:tcBorders>
              <w:tl2br w:val="nil"/>
              <w:tr2bl w:val="nil"/>
            </w:tcBorders>
            <w:shd w:val="clear" w:color="auto" w:fill="auto"/>
            <w:vAlign w:val="center"/>
          </w:tcPr>
          <w:p w14:paraId="114123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0"/>
                <w:szCs w:val="20"/>
                <w:highlight w:val="none"/>
                <w:u w:val="none"/>
                <w:lang w:val="en-US" w:eastAsia="zh-CN"/>
              </w:rPr>
            </w:pPr>
          </w:p>
        </w:tc>
        <w:tc>
          <w:tcPr>
            <w:tcW w:w="2392" w:type="dxa"/>
            <w:tcBorders>
              <w:tl2br w:val="nil"/>
              <w:tr2bl w:val="nil"/>
            </w:tcBorders>
            <w:shd w:val="clear" w:color="auto" w:fill="auto"/>
            <w:vAlign w:val="center"/>
          </w:tcPr>
          <w:p w14:paraId="48A6E3E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kern w:val="2"/>
                <w:sz w:val="20"/>
                <w:szCs w:val="20"/>
                <w:highlight w:val="none"/>
                <w:u w:val="none"/>
                <w:lang w:val="en-US" w:eastAsia="zh-CN" w:bidi="ar-SA"/>
              </w:rPr>
            </w:pPr>
            <w:r>
              <w:rPr>
                <w:rFonts w:hint="eastAsia" w:ascii="宋体" w:hAnsi="宋体" w:eastAsia="宋体" w:cs="宋体"/>
                <w:b/>
                <w:bCs/>
                <w:i w:val="0"/>
                <w:iCs w:val="0"/>
                <w:color w:val="auto"/>
                <w:kern w:val="0"/>
                <w:sz w:val="20"/>
                <w:szCs w:val="20"/>
                <w:highlight w:val="none"/>
                <w:u w:val="none"/>
                <w:lang w:val="en-US" w:eastAsia="zh-CN" w:bidi="ar"/>
              </w:rPr>
              <w:t>生物质灰渣</w:t>
            </w:r>
          </w:p>
        </w:tc>
        <w:tc>
          <w:tcPr>
            <w:tcW w:w="2392" w:type="dxa"/>
            <w:tcBorders>
              <w:tl2br w:val="nil"/>
              <w:tr2bl w:val="nil"/>
            </w:tcBorders>
            <w:shd w:val="clear" w:color="auto" w:fill="auto"/>
            <w:vAlign w:val="center"/>
          </w:tcPr>
          <w:p w14:paraId="2CB330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kern w:val="2"/>
                <w:sz w:val="20"/>
                <w:szCs w:val="20"/>
                <w:highlight w:val="none"/>
                <w:u w:val="none"/>
                <w:lang w:val="en-US" w:eastAsia="zh-CN" w:bidi="ar-SA"/>
              </w:rPr>
            </w:pPr>
            <w:r>
              <w:rPr>
                <w:rFonts w:hint="eastAsia" w:ascii="宋体" w:hAnsi="宋体" w:eastAsia="宋体" w:cs="宋体"/>
                <w:b/>
                <w:bCs/>
                <w:i w:val="0"/>
                <w:iCs w:val="0"/>
                <w:color w:val="auto"/>
                <w:kern w:val="0"/>
                <w:sz w:val="20"/>
                <w:szCs w:val="20"/>
                <w:highlight w:val="none"/>
                <w:u w:val="none"/>
                <w:lang w:val="en-US" w:eastAsia="zh-CN" w:bidi="ar"/>
              </w:rPr>
              <w:t>燃煤炉渣</w:t>
            </w:r>
          </w:p>
        </w:tc>
      </w:tr>
      <w:tr w14:paraId="625793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56" w:hRule="atLeast"/>
        </w:trPr>
        <w:tc>
          <w:tcPr>
            <w:tcW w:w="2211" w:type="dxa"/>
            <w:tcBorders>
              <w:tl2br w:val="nil"/>
              <w:tr2bl w:val="nil"/>
            </w:tcBorders>
            <w:shd w:val="clear" w:color="auto" w:fill="auto"/>
            <w:vAlign w:val="center"/>
          </w:tcPr>
          <w:p w14:paraId="114AEE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有机质</w:t>
            </w:r>
          </w:p>
        </w:tc>
        <w:tc>
          <w:tcPr>
            <w:tcW w:w="1264" w:type="dxa"/>
            <w:tcBorders>
              <w:tl2br w:val="nil"/>
              <w:tr2bl w:val="nil"/>
            </w:tcBorders>
            <w:shd w:val="clear" w:color="auto" w:fill="auto"/>
            <w:vAlign w:val="center"/>
          </w:tcPr>
          <w:p w14:paraId="62E97BF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w:t>
            </w:r>
          </w:p>
        </w:tc>
        <w:tc>
          <w:tcPr>
            <w:tcW w:w="2392" w:type="dxa"/>
            <w:tcBorders>
              <w:tl2br w:val="nil"/>
              <w:tr2bl w:val="nil"/>
            </w:tcBorders>
            <w:shd w:val="clear" w:color="auto" w:fill="auto"/>
            <w:vAlign w:val="center"/>
          </w:tcPr>
          <w:p w14:paraId="3454FD1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kern w:val="2"/>
                <w:sz w:val="20"/>
                <w:szCs w:val="20"/>
                <w:highlight w:val="none"/>
                <w:u w:val="none"/>
                <w:lang w:val="en-US" w:eastAsia="zh-CN" w:bidi="ar-SA"/>
              </w:rPr>
            </w:pPr>
            <w:r>
              <w:rPr>
                <w:rFonts w:hint="eastAsia" w:hAnsi="宋体" w:cs="宋体"/>
                <w:i w:val="0"/>
                <w:iCs w:val="0"/>
                <w:color w:val="auto"/>
                <w:kern w:val="0"/>
                <w:sz w:val="20"/>
                <w:szCs w:val="20"/>
                <w:highlight w:val="none"/>
                <w:u w:val="none"/>
                <w:lang w:val="en-US" w:eastAsia="zh-CN" w:bidi="ar"/>
              </w:rPr>
              <w:t>1</w:t>
            </w:r>
            <w:r>
              <w:rPr>
                <w:rFonts w:hint="eastAsia" w:ascii="宋体" w:hAnsi="宋体" w:eastAsia="宋体" w:cs="宋体"/>
                <w:i w:val="0"/>
                <w:iCs w:val="0"/>
                <w:color w:val="auto"/>
                <w:kern w:val="0"/>
                <w:sz w:val="20"/>
                <w:szCs w:val="20"/>
                <w:highlight w:val="none"/>
                <w:u w:val="none"/>
                <w:lang w:val="en-US" w:eastAsia="zh-CN" w:bidi="ar"/>
              </w:rPr>
              <w:t>.58</w:t>
            </w:r>
          </w:p>
        </w:tc>
        <w:tc>
          <w:tcPr>
            <w:tcW w:w="2392" w:type="dxa"/>
            <w:tcBorders>
              <w:tl2br w:val="nil"/>
              <w:tr2bl w:val="nil"/>
            </w:tcBorders>
            <w:shd w:val="clear" w:color="auto" w:fill="auto"/>
            <w:vAlign w:val="center"/>
          </w:tcPr>
          <w:p w14:paraId="0E7274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kern w:val="2"/>
                <w:sz w:val="20"/>
                <w:szCs w:val="20"/>
                <w:highlight w:val="none"/>
                <w:u w:val="none"/>
                <w:lang w:val="en-US" w:eastAsia="zh-CN" w:bidi="ar-SA"/>
              </w:rPr>
            </w:pPr>
            <w:r>
              <w:rPr>
                <w:rFonts w:hint="eastAsia" w:hAnsi="宋体" w:cs="宋体"/>
                <w:i w:val="0"/>
                <w:iCs w:val="0"/>
                <w:color w:val="auto"/>
                <w:kern w:val="0"/>
                <w:sz w:val="20"/>
                <w:szCs w:val="20"/>
                <w:highlight w:val="none"/>
                <w:u w:val="none"/>
                <w:lang w:val="en-US" w:eastAsia="zh-CN" w:bidi="ar"/>
              </w:rPr>
              <w:t>1.8</w:t>
            </w:r>
          </w:p>
        </w:tc>
      </w:tr>
      <w:tr w14:paraId="6A74B91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67" w:hRule="atLeast"/>
        </w:trPr>
        <w:tc>
          <w:tcPr>
            <w:tcW w:w="2211" w:type="dxa"/>
            <w:tcBorders>
              <w:tl2br w:val="nil"/>
              <w:tr2bl w:val="nil"/>
            </w:tcBorders>
            <w:shd w:val="clear" w:color="auto" w:fill="auto"/>
            <w:vAlign w:val="center"/>
          </w:tcPr>
          <w:p w14:paraId="3A7586F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水溶性盐总量</w:t>
            </w:r>
          </w:p>
        </w:tc>
        <w:tc>
          <w:tcPr>
            <w:tcW w:w="1264" w:type="dxa"/>
            <w:tcBorders>
              <w:tl2br w:val="nil"/>
              <w:tr2bl w:val="nil"/>
            </w:tcBorders>
            <w:shd w:val="clear" w:color="auto" w:fill="auto"/>
            <w:vAlign w:val="center"/>
          </w:tcPr>
          <w:p w14:paraId="670AA3E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g/kg</w:t>
            </w:r>
          </w:p>
        </w:tc>
        <w:tc>
          <w:tcPr>
            <w:tcW w:w="2392" w:type="dxa"/>
            <w:tcBorders>
              <w:tl2br w:val="nil"/>
              <w:tr2bl w:val="nil"/>
            </w:tcBorders>
            <w:shd w:val="clear" w:color="auto" w:fill="auto"/>
            <w:vAlign w:val="center"/>
          </w:tcPr>
          <w:p w14:paraId="1C88788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ND</w:t>
            </w:r>
          </w:p>
        </w:tc>
        <w:tc>
          <w:tcPr>
            <w:tcW w:w="2392" w:type="dxa"/>
            <w:tcBorders>
              <w:tl2br w:val="nil"/>
              <w:tr2bl w:val="nil"/>
            </w:tcBorders>
            <w:shd w:val="clear" w:color="auto" w:fill="auto"/>
            <w:vAlign w:val="center"/>
          </w:tcPr>
          <w:p w14:paraId="4A9FAE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sz w:val="20"/>
                <w:szCs w:val="20"/>
                <w:highlight w:val="none"/>
                <w:u w:val="none"/>
                <w:lang w:val="en-US"/>
              </w:rPr>
            </w:pPr>
            <w:r>
              <w:rPr>
                <w:rFonts w:hint="eastAsia" w:hAnsi="宋体" w:cs="宋体"/>
                <w:i w:val="0"/>
                <w:iCs w:val="0"/>
                <w:color w:val="auto"/>
                <w:kern w:val="0"/>
                <w:sz w:val="20"/>
                <w:szCs w:val="20"/>
                <w:highlight w:val="none"/>
                <w:u w:val="none"/>
                <w:lang w:val="en-US" w:eastAsia="zh-CN" w:bidi="ar"/>
              </w:rPr>
              <w:t>1.75</w:t>
            </w:r>
          </w:p>
        </w:tc>
      </w:tr>
    </w:tbl>
    <w:p w14:paraId="15417649">
      <w:pPr>
        <w:bidi w:val="0"/>
        <w:spacing w:line="360" w:lineRule="auto"/>
        <w:ind w:firstLine="480" w:firstLineChars="200"/>
        <w:rPr>
          <w:color w:val="auto"/>
          <w:highlight w:val="none"/>
        </w:rPr>
      </w:pPr>
      <w:r>
        <w:rPr>
          <w:color w:val="auto"/>
          <w:highlight w:val="none"/>
        </w:rPr>
        <w:t>根据</w:t>
      </w:r>
      <w:r>
        <w:rPr>
          <w:rFonts w:hint="eastAsia"/>
          <w:color w:val="auto"/>
          <w:highlight w:val="none"/>
          <w:lang w:val="en-US" w:eastAsia="zh-CN"/>
        </w:rPr>
        <w:t>检测结果，</w:t>
      </w:r>
      <w:r>
        <w:rPr>
          <w:color w:val="auto"/>
          <w:highlight w:val="none"/>
        </w:rPr>
        <w:t>本项目回填</w:t>
      </w:r>
      <w:r>
        <w:rPr>
          <w:rFonts w:hint="eastAsia"/>
          <w:color w:val="auto"/>
          <w:highlight w:val="none"/>
        </w:rPr>
        <w:t>物浸出液各项指标均能够满足《污水综合排放标准》GB8978-1996表1第一类污染物最高允许排放浓度表4第二类污染物最高允许排放浓度</w:t>
      </w:r>
      <w:r>
        <w:rPr>
          <w:rFonts w:hint="eastAsia"/>
          <w:color w:val="auto"/>
          <w:highlight w:val="none"/>
          <w:lang w:eastAsia="zh-CN"/>
        </w:rPr>
        <w:t>（</w:t>
      </w:r>
      <w:r>
        <w:rPr>
          <w:rFonts w:hint="eastAsia"/>
          <w:color w:val="auto"/>
          <w:highlight w:val="none"/>
        </w:rPr>
        <w:t>一级标准</w:t>
      </w:r>
      <w:r>
        <w:rPr>
          <w:rFonts w:hint="eastAsia"/>
          <w:color w:val="auto"/>
          <w:highlight w:val="none"/>
          <w:lang w:eastAsia="zh-CN"/>
        </w:rPr>
        <w:t>）</w:t>
      </w:r>
      <w:r>
        <w:rPr>
          <w:rFonts w:hint="eastAsia"/>
          <w:color w:val="auto"/>
          <w:highlight w:val="none"/>
        </w:rPr>
        <w:t>，属于</w:t>
      </w:r>
      <w:r>
        <w:rPr>
          <w:color w:val="auto"/>
          <w:highlight w:val="none"/>
        </w:rPr>
        <w:t>I类一般工业固体废物</w:t>
      </w:r>
      <w:r>
        <w:rPr>
          <w:rFonts w:hint="eastAsia"/>
          <w:color w:val="auto"/>
          <w:highlight w:val="none"/>
          <w:lang w:eastAsia="zh-CN"/>
        </w:rPr>
        <w:t>。</w:t>
      </w:r>
      <w:r>
        <w:rPr>
          <w:rFonts w:hint="eastAsia"/>
          <w:color w:val="auto"/>
          <w:sz w:val="24"/>
          <w:szCs w:val="24"/>
          <w:highlight w:val="none"/>
          <w:lang w:val="en-US" w:eastAsia="zh-CN"/>
        </w:rPr>
        <w:t>属于</w:t>
      </w:r>
      <w:r>
        <w:rPr>
          <w:rFonts w:hint="default"/>
          <w:color w:val="auto"/>
          <w:sz w:val="24"/>
          <w:szCs w:val="24"/>
          <w:highlight w:val="none"/>
        </w:rPr>
        <w:t>有机物含量</w:t>
      </w:r>
      <w:r>
        <w:rPr>
          <w:rFonts w:hint="eastAsia"/>
          <w:color w:val="auto"/>
          <w:sz w:val="24"/>
          <w:szCs w:val="24"/>
          <w:highlight w:val="none"/>
          <w:lang w:val="en-US" w:eastAsia="zh-CN"/>
        </w:rPr>
        <w:t>小于2</w:t>
      </w:r>
      <w:r>
        <w:rPr>
          <w:rFonts w:hint="default"/>
          <w:color w:val="auto"/>
          <w:sz w:val="24"/>
          <w:szCs w:val="24"/>
          <w:highlight w:val="none"/>
        </w:rPr>
        <w:t>%</w:t>
      </w:r>
      <w:r>
        <w:rPr>
          <w:rFonts w:hint="eastAsia"/>
          <w:color w:val="auto"/>
          <w:sz w:val="24"/>
          <w:szCs w:val="24"/>
          <w:highlight w:val="none"/>
          <w:lang w:eastAsia="zh-CN"/>
        </w:rPr>
        <w:t>、</w:t>
      </w:r>
      <w:r>
        <w:rPr>
          <w:rFonts w:hint="eastAsia" w:ascii="Times New Roman" w:hAnsi="Times New Roman" w:eastAsia="宋体" w:cs="Times New Roman"/>
          <w:color w:val="auto"/>
          <w:kern w:val="0"/>
          <w:sz w:val="24"/>
          <w:szCs w:val="24"/>
          <w:highlight w:val="none"/>
          <w:lang w:val="en-US" w:eastAsia="zh-CN" w:bidi="ar"/>
        </w:rPr>
        <w:t>水溶性盐含量小于2%</w:t>
      </w:r>
      <w:r>
        <w:rPr>
          <w:rFonts w:hint="default"/>
          <w:color w:val="auto"/>
          <w:sz w:val="24"/>
          <w:szCs w:val="24"/>
          <w:highlight w:val="none"/>
        </w:rPr>
        <w:t>的一般工业固体废物</w:t>
      </w:r>
      <w:r>
        <w:rPr>
          <w:rFonts w:hint="eastAsia"/>
          <w:color w:val="auto"/>
          <w:sz w:val="24"/>
          <w:szCs w:val="24"/>
          <w:highlight w:val="none"/>
          <w:lang w:eastAsia="zh-CN"/>
        </w:rPr>
        <w:t>。</w:t>
      </w:r>
    </w:p>
    <w:p w14:paraId="34E35E66">
      <w:pPr>
        <w:pStyle w:val="77"/>
        <w:keepNext w:val="0"/>
        <w:keepLines w:val="0"/>
        <w:pageBreakBefore w:val="0"/>
        <w:widowControl w:val="0"/>
        <w:numPr>
          <w:ilvl w:val="0"/>
          <w:numId w:val="0"/>
        </w:numPr>
        <w:kinsoku/>
        <w:wordWrap/>
        <w:overflowPunct/>
        <w:topLinePunct w:val="0"/>
        <w:autoSpaceDE/>
        <w:autoSpaceDN/>
        <w:bidi w:val="0"/>
        <w:adjustRightInd/>
        <w:snapToGrid/>
        <w:spacing w:before="0" w:beforeAutospacing="0" w:after="0" w:afterAutospacing="0" w:line="360" w:lineRule="auto"/>
        <w:jc w:val="both"/>
        <w:textAlignment w:val="auto"/>
        <w:rPr>
          <w:rFonts w:hint="eastAsia" w:ascii="Times New Roman" w:hAnsi="Times New Roman" w:eastAsia="宋体" w:cs="Times New Roman"/>
          <w:color w:val="auto"/>
          <w:kern w:val="2"/>
          <w:szCs w:val="22"/>
          <w:highlight w:val="none"/>
          <w:lang w:val="en-US" w:eastAsia="zh-CN" w:bidi="ar"/>
        </w:rPr>
      </w:pPr>
      <w:r>
        <w:rPr>
          <w:rFonts w:hint="eastAsia" w:ascii="Times New Roman" w:hAnsi="Times New Roman" w:eastAsia="宋体" w:cs="Times New Roman"/>
          <w:color w:val="auto"/>
          <w:kern w:val="2"/>
          <w:szCs w:val="22"/>
          <w:highlight w:val="none"/>
          <w:lang w:val="en-US" w:eastAsia="zh-CN" w:bidi="ar"/>
        </w:rPr>
        <w:t>3.1.8.3灰渣中镉、汞、砷、铅、铬、铜、镍、锌测定</w:t>
      </w:r>
    </w:p>
    <w:p w14:paraId="73EE3060">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rPr>
      </w:pPr>
      <w:r>
        <w:rPr>
          <w:rFonts w:hint="eastAsia"/>
          <w:color w:val="auto"/>
          <w:sz w:val="24"/>
          <w:szCs w:val="24"/>
          <w:highlight w:val="none"/>
          <w:lang w:val="en-US" w:eastAsia="zh-CN"/>
        </w:rPr>
        <w:t>青岛斯坦德衡立环境技术研究院有限公司</w:t>
      </w:r>
      <w:r>
        <w:rPr>
          <w:rFonts w:hint="default" w:ascii="Times New Roman" w:hAnsi="Times New Roman" w:eastAsia="宋体" w:cs="Times New Roman"/>
          <w:color w:val="auto"/>
          <w:sz w:val="24"/>
          <w:szCs w:val="24"/>
          <w:highlight w:val="none"/>
        </w:rPr>
        <w:t>对灰渣中镉、汞、砷、铅、铬、铜、镍</w:t>
      </w:r>
      <w:r>
        <w:rPr>
          <w:rFonts w:hint="eastAsia" w:ascii="Times New Roman" w:cs="Times New Roman"/>
          <w:color w:val="auto"/>
          <w:sz w:val="24"/>
          <w:szCs w:val="24"/>
          <w:highlight w:val="none"/>
          <w:lang w:eastAsia="zh-CN"/>
        </w:rPr>
        <w:t>、</w:t>
      </w:r>
      <w:r>
        <w:rPr>
          <w:rFonts w:hint="eastAsia" w:ascii="Times New Roman" w:cs="Times New Roman"/>
          <w:color w:val="auto"/>
          <w:sz w:val="24"/>
          <w:szCs w:val="24"/>
          <w:highlight w:val="none"/>
          <w:lang w:val="en-US" w:eastAsia="zh-CN"/>
        </w:rPr>
        <w:t>锌</w:t>
      </w:r>
      <w:r>
        <w:rPr>
          <w:rFonts w:hint="eastAsia" w:ascii="Times New Roman" w:hAnsi="Times New Roman" w:eastAsia="宋体" w:cs="Times New Roman"/>
          <w:color w:val="auto"/>
          <w:sz w:val="24"/>
          <w:szCs w:val="24"/>
          <w:highlight w:val="none"/>
          <w:lang w:val="en-US" w:eastAsia="zh-CN"/>
        </w:rPr>
        <w:t>含量进行了检测</w:t>
      </w:r>
      <w:r>
        <w:rPr>
          <w:rFonts w:hint="default"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val="en-US" w:eastAsia="zh-CN"/>
        </w:rPr>
        <w:t>检测结果见表3.1-</w:t>
      </w:r>
      <w:r>
        <w:rPr>
          <w:rFonts w:hint="eastAsia" w:ascii="Times New Roman" w:cs="Times New Roman"/>
          <w:color w:val="auto"/>
          <w:sz w:val="24"/>
          <w:szCs w:val="24"/>
          <w:highlight w:val="none"/>
          <w:lang w:val="en-US" w:eastAsia="zh-CN"/>
        </w:rPr>
        <w:t>7</w:t>
      </w:r>
      <w:r>
        <w:rPr>
          <w:rFonts w:hint="default" w:ascii="Times New Roman" w:hAnsi="Times New Roman" w:eastAsia="宋体" w:cs="Times New Roman"/>
          <w:color w:val="auto"/>
          <w:sz w:val="24"/>
          <w:szCs w:val="24"/>
          <w:highlight w:val="none"/>
        </w:rPr>
        <w:t>。</w:t>
      </w:r>
    </w:p>
    <w:p w14:paraId="074213E6">
      <w:pPr>
        <w:spacing w:line="440" w:lineRule="exact"/>
        <w:jc w:val="center"/>
        <w:rPr>
          <w:rFonts w:hint="eastAsia" w:asciiTheme="minorEastAsia" w:hAnsiTheme="minorEastAsia" w:eastAsiaTheme="minorEastAsia" w:cstheme="minorEastAsia"/>
          <w:b/>
          <w:color w:val="auto"/>
          <w:kern w:val="0"/>
          <w:sz w:val="24"/>
          <w:szCs w:val="24"/>
          <w:highlight w:val="none"/>
          <w:lang w:val="en-US" w:eastAsia="zh-CN" w:bidi="ar-SA"/>
        </w:rPr>
      </w:pPr>
      <w:r>
        <w:rPr>
          <w:rFonts w:hint="eastAsia" w:asciiTheme="minorEastAsia" w:hAnsiTheme="minorEastAsia" w:eastAsiaTheme="minorEastAsia" w:cstheme="minorEastAsia"/>
          <w:b/>
          <w:color w:val="auto"/>
          <w:kern w:val="0"/>
          <w:sz w:val="24"/>
          <w:szCs w:val="24"/>
          <w:highlight w:val="none"/>
          <w:lang w:val="en-US" w:eastAsia="zh-CN" w:bidi="ar-SA"/>
        </w:rPr>
        <w:t>表3.1-7  检测结果表</w:t>
      </w:r>
    </w:p>
    <w:tbl>
      <w:tblPr>
        <w:tblStyle w:val="84"/>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13"/>
        <w:gridCol w:w="1772"/>
        <w:gridCol w:w="1325"/>
        <w:gridCol w:w="3360"/>
        <w:gridCol w:w="755"/>
      </w:tblGrid>
      <w:tr w14:paraId="150BC5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770" w:type="pct"/>
            <w:vMerge w:val="restart"/>
            <w:tcBorders>
              <w:tl2br w:val="nil"/>
              <w:tr2bl w:val="nil"/>
            </w:tcBorders>
            <w:noWrap w:val="0"/>
            <w:vAlign w:val="center"/>
          </w:tcPr>
          <w:p w14:paraId="736DC9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检测项目</w:t>
            </w:r>
          </w:p>
        </w:tc>
        <w:tc>
          <w:tcPr>
            <w:tcW w:w="1816" w:type="pct"/>
            <w:gridSpan w:val="2"/>
            <w:tcBorders>
              <w:tl2br w:val="nil"/>
              <w:tr2bl w:val="nil"/>
            </w:tcBorders>
            <w:shd w:val="clear" w:color="auto" w:fill="auto"/>
            <w:noWrap w:val="0"/>
            <w:vAlign w:val="center"/>
          </w:tcPr>
          <w:p w14:paraId="2E63FB0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auto"/>
                <w:kern w:val="2"/>
                <w:sz w:val="20"/>
                <w:szCs w:val="20"/>
                <w:highlight w:val="none"/>
                <w:u w:val="none"/>
                <w:lang w:val="en-US" w:eastAsia="zh-CN" w:bidi="ar-SA"/>
              </w:rPr>
            </w:pPr>
            <w:r>
              <w:rPr>
                <w:rFonts w:hint="default" w:ascii="Times New Roman" w:hAnsi="Times New Roman" w:cs="Times New Roman"/>
                <w:b/>
                <w:bCs/>
                <w:i w:val="0"/>
                <w:iCs w:val="0"/>
                <w:color w:val="auto"/>
                <w:kern w:val="2"/>
                <w:sz w:val="20"/>
                <w:szCs w:val="20"/>
                <w:highlight w:val="none"/>
                <w:u w:val="none"/>
                <w:lang w:val="en-US" w:eastAsia="zh-CN" w:bidi="ar-SA"/>
              </w:rPr>
              <w:t>样品</w:t>
            </w:r>
          </w:p>
        </w:tc>
        <w:tc>
          <w:tcPr>
            <w:tcW w:w="1970" w:type="pct"/>
            <w:vMerge w:val="restart"/>
            <w:tcBorders>
              <w:tl2br w:val="nil"/>
              <w:tr2bl w:val="nil"/>
            </w:tcBorders>
            <w:shd w:val="clear" w:color="auto" w:fill="auto"/>
            <w:noWrap w:val="0"/>
            <w:vAlign w:val="center"/>
          </w:tcPr>
          <w:p w14:paraId="46FD978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color w:val="auto"/>
                <w:kern w:val="2"/>
                <w:sz w:val="21"/>
                <w:szCs w:val="22"/>
                <w:highlight w:val="none"/>
                <w:lang w:val="en-US" w:eastAsia="zh-CN" w:bidi="ar-SA"/>
              </w:rPr>
            </w:pPr>
            <w:r>
              <w:rPr>
                <w:rFonts w:hint="default" w:ascii="Times New Roman" w:hAnsi="Times New Roman" w:eastAsia="宋体" w:cs="Times New Roman"/>
                <w:b w:val="0"/>
                <w:bCs/>
                <w:color w:val="auto"/>
                <w:sz w:val="21"/>
                <w:szCs w:val="18"/>
                <w:highlight w:val="none"/>
                <w:lang w:val="en-US" w:eastAsia="zh-CN" w:bidi="ar-SA"/>
              </w:rPr>
              <w:t>《土壤环境质量 农用地土壤污染风险管控标准（试行）》（GB 36600-2018）表1农用地土壤污染风险筛选值（5.5&lt;pH≤6.5）</w:t>
            </w:r>
            <w:r>
              <w:rPr>
                <w:rFonts w:hint="default" w:ascii="Times New Roman" w:hAnsi="Times New Roman" w:eastAsia="宋体" w:cs="Times New Roman"/>
                <w:b w:val="0"/>
                <w:bCs/>
                <w:color w:val="auto"/>
                <w:sz w:val="21"/>
                <w:szCs w:val="22"/>
                <w:highlight w:val="none"/>
                <w:lang w:val="en-US" w:eastAsia="zh-CN" w:bidi="en-US"/>
              </w:rPr>
              <w:t>（mg/kg）</w:t>
            </w:r>
          </w:p>
        </w:tc>
        <w:tc>
          <w:tcPr>
            <w:tcW w:w="442" w:type="pct"/>
            <w:vMerge w:val="restart"/>
            <w:tcBorders>
              <w:tl2br w:val="nil"/>
              <w:tr2bl w:val="nil"/>
            </w:tcBorders>
            <w:noWrap w:val="0"/>
            <w:vAlign w:val="center"/>
          </w:tcPr>
          <w:p w14:paraId="66D99E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单位</w:t>
            </w:r>
          </w:p>
        </w:tc>
      </w:tr>
      <w:tr w14:paraId="0DF253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44" w:hRule="atLeast"/>
          <w:jc w:val="center"/>
        </w:trPr>
        <w:tc>
          <w:tcPr>
            <w:tcW w:w="770" w:type="pct"/>
            <w:vMerge w:val="continue"/>
            <w:tcBorders>
              <w:tl2br w:val="nil"/>
              <w:tr2bl w:val="nil"/>
            </w:tcBorders>
            <w:noWrap w:val="0"/>
            <w:vAlign w:val="center"/>
          </w:tcPr>
          <w:p w14:paraId="153BBA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039" w:type="pct"/>
            <w:tcBorders>
              <w:tl2br w:val="nil"/>
              <w:tr2bl w:val="nil"/>
            </w:tcBorders>
            <w:shd w:val="clear" w:color="auto" w:fill="auto"/>
            <w:noWrap w:val="0"/>
            <w:vAlign w:val="center"/>
          </w:tcPr>
          <w:p w14:paraId="293244D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auto"/>
                <w:kern w:val="2"/>
                <w:sz w:val="20"/>
                <w:szCs w:val="20"/>
                <w:highlight w:val="none"/>
                <w:u w:val="none"/>
                <w:lang w:val="en-US" w:eastAsia="zh-CN" w:bidi="ar-SA"/>
              </w:rPr>
            </w:pPr>
            <w:r>
              <w:rPr>
                <w:rFonts w:hint="default" w:ascii="Times New Roman" w:hAnsi="Times New Roman" w:eastAsia="宋体" w:cs="Times New Roman"/>
                <w:b/>
                <w:bCs/>
                <w:i w:val="0"/>
                <w:iCs w:val="0"/>
                <w:color w:val="auto"/>
                <w:kern w:val="0"/>
                <w:sz w:val="20"/>
                <w:szCs w:val="20"/>
                <w:highlight w:val="none"/>
                <w:u w:val="none"/>
                <w:lang w:val="en-US" w:eastAsia="zh-CN" w:bidi="ar"/>
              </w:rPr>
              <w:t>生物质灰渣</w:t>
            </w:r>
          </w:p>
        </w:tc>
        <w:tc>
          <w:tcPr>
            <w:tcW w:w="777" w:type="pct"/>
            <w:tcBorders>
              <w:tl2br w:val="nil"/>
              <w:tr2bl w:val="nil"/>
            </w:tcBorders>
            <w:shd w:val="clear" w:color="auto" w:fill="auto"/>
            <w:noWrap w:val="0"/>
            <w:vAlign w:val="center"/>
          </w:tcPr>
          <w:p w14:paraId="2C8DDB9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auto"/>
                <w:kern w:val="2"/>
                <w:sz w:val="20"/>
                <w:szCs w:val="20"/>
                <w:highlight w:val="none"/>
                <w:u w:val="none"/>
                <w:lang w:val="en-US" w:eastAsia="zh-CN" w:bidi="ar-SA"/>
              </w:rPr>
            </w:pPr>
            <w:r>
              <w:rPr>
                <w:rFonts w:hint="default" w:ascii="Times New Roman" w:hAnsi="Times New Roman" w:eastAsia="宋体" w:cs="Times New Roman"/>
                <w:b/>
                <w:bCs/>
                <w:i w:val="0"/>
                <w:iCs w:val="0"/>
                <w:color w:val="auto"/>
                <w:kern w:val="0"/>
                <w:sz w:val="20"/>
                <w:szCs w:val="20"/>
                <w:highlight w:val="none"/>
                <w:u w:val="none"/>
                <w:lang w:val="en-US" w:eastAsia="zh-CN" w:bidi="ar"/>
              </w:rPr>
              <w:t>燃煤炉渣</w:t>
            </w:r>
          </w:p>
        </w:tc>
        <w:tc>
          <w:tcPr>
            <w:tcW w:w="1970" w:type="pct"/>
            <w:vMerge w:val="continue"/>
            <w:tcBorders>
              <w:tl2br w:val="nil"/>
              <w:tr2bl w:val="nil"/>
            </w:tcBorders>
            <w:shd w:val="clear" w:color="auto" w:fill="auto"/>
            <w:noWrap w:val="0"/>
            <w:vAlign w:val="center"/>
          </w:tcPr>
          <w:p w14:paraId="465FC1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color w:val="auto"/>
                <w:sz w:val="21"/>
                <w:szCs w:val="18"/>
                <w:highlight w:val="none"/>
                <w:lang w:val="en-US" w:eastAsia="zh-CN" w:bidi="ar-SA"/>
              </w:rPr>
            </w:pPr>
          </w:p>
        </w:tc>
        <w:tc>
          <w:tcPr>
            <w:tcW w:w="442" w:type="pct"/>
            <w:vMerge w:val="continue"/>
            <w:tcBorders>
              <w:tl2br w:val="nil"/>
              <w:tr2bl w:val="nil"/>
            </w:tcBorders>
            <w:noWrap w:val="0"/>
            <w:vAlign w:val="center"/>
          </w:tcPr>
          <w:p w14:paraId="1AAD35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p>
        </w:tc>
      </w:tr>
      <w:tr w14:paraId="41E946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noWrap w:val="0"/>
            <w:vAlign w:val="center"/>
          </w:tcPr>
          <w:p w14:paraId="3FE3F1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汞</w:t>
            </w:r>
          </w:p>
        </w:tc>
        <w:tc>
          <w:tcPr>
            <w:tcW w:w="1039" w:type="pct"/>
            <w:tcBorders>
              <w:tl2br w:val="nil"/>
              <w:tr2bl w:val="nil"/>
            </w:tcBorders>
            <w:noWrap w:val="0"/>
            <w:vAlign w:val="center"/>
          </w:tcPr>
          <w:p w14:paraId="1EEE33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0.0</w:t>
            </w:r>
            <w:r>
              <w:rPr>
                <w:rFonts w:hint="default" w:ascii="Times New Roman" w:hAnsi="Times New Roman" w:cs="Times New Roman"/>
                <w:color w:val="auto"/>
                <w:kern w:val="0"/>
                <w:sz w:val="21"/>
                <w:szCs w:val="21"/>
                <w:highlight w:val="none"/>
                <w:lang w:val="en-US" w:eastAsia="zh-CN" w:bidi="ar-SA"/>
              </w:rPr>
              <w:t>14</w:t>
            </w:r>
          </w:p>
        </w:tc>
        <w:tc>
          <w:tcPr>
            <w:tcW w:w="777" w:type="pct"/>
            <w:tcBorders>
              <w:tl2br w:val="nil"/>
              <w:tr2bl w:val="nil"/>
            </w:tcBorders>
            <w:shd w:val="clear" w:color="auto" w:fill="auto"/>
            <w:noWrap w:val="0"/>
            <w:vAlign w:val="center"/>
          </w:tcPr>
          <w:p w14:paraId="1CE044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0.021</w:t>
            </w:r>
          </w:p>
        </w:tc>
        <w:tc>
          <w:tcPr>
            <w:tcW w:w="1970" w:type="pct"/>
            <w:tcBorders>
              <w:tl2br w:val="nil"/>
              <w:tr2bl w:val="nil"/>
            </w:tcBorders>
            <w:shd w:val="clear" w:color="auto" w:fill="auto"/>
            <w:noWrap w:val="0"/>
            <w:vAlign w:val="center"/>
          </w:tcPr>
          <w:p w14:paraId="339DEE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1.8</w:t>
            </w:r>
          </w:p>
        </w:tc>
        <w:tc>
          <w:tcPr>
            <w:tcW w:w="442" w:type="pct"/>
            <w:tcBorders>
              <w:tl2br w:val="nil"/>
              <w:tr2bl w:val="nil"/>
            </w:tcBorders>
            <w:noWrap w:val="0"/>
            <w:vAlign w:val="center"/>
          </w:tcPr>
          <w:p w14:paraId="282B68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r w14:paraId="4D69D2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noWrap w:val="0"/>
            <w:vAlign w:val="center"/>
          </w:tcPr>
          <w:p w14:paraId="3FF1CC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砷</w:t>
            </w:r>
          </w:p>
        </w:tc>
        <w:tc>
          <w:tcPr>
            <w:tcW w:w="1039" w:type="pct"/>
            <w:tcBorders>
              <w:tl2br w:val="nil"/>
              <w:tr2bl w:val="nil"/>
            </w:tcBorders>
            <w:noWrap w:val="0"/>
            <w:vAlign w:val="center"/>
          </w:tcPr>
          <w:p w14:paraId="49F556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2.00</w:t>
            </w:r>
          </w:p>
        </w:tc>
        <w:tc>
          <w:tcPr>
            <w:tcW w:w="777" w:type="pct"/>
            <w:tcBorders>
              <w:tl2br w:val="nil"/>
              <w:tr2bl w:val="nil"/>
            </w:tcBorders>
            <w:shd w:val="clear" w:color="auto" w:fill="auto"/>
            <w:noWrap w:val="0"/>
            <w:vAlign w:val="center"/>
          </w:tcPr>
          <w:p w14:paraId="69DD66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13.9</w:t>
            </w:r>
          </w:p>
        </w:tc>
        <w:tc>
          <w:tcPr>
            <w:tcW w:w="1970" w:type="pct"/>
            <w:tcBorders>
              <w:tl2br w:val="nil"/>
              <w:tr2bl w:val="nil"/>
            </w:tcBorders>
            <w:shd w:val="clear" w:color="auto" w:fill="auto"/>
            <w:noWrap w:val="0"/>
            <w:vAlign w:val="center"/>
          </w:tcPr>
          <w:p w14:paraId="510A91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40</w:t>
            </w:r>
          </w:p>
        </w:tc>
        <w:tc>
          <w:tcPr>
            <w:tcW w:w="442" w:type="pct"/>
            <w:tcBorders>
              <w:tl2br w:val="nil"/>
              <w:tr2bl w:val="nil"/>
            </w:tcBorders>
            <w:noWrap w:val="0"/>
            <w:vAlign w:val="center"/>
          </w:tcPr>
          <w:p w14:paraId="7322E7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r w14:paraId="5EC048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noWrap w:val="0"/>
            <w:vAlign w:val="center"/>
          </w:tcPr>
          <w:p w14:paraId="7B22EC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铅</w:t>
            </w:r>
          </w:p>
        </w:tc>
        <w:tc>
          <w:tcPr>
            <w:tcW w:w="1039" w:type="pct"/>
            <w:tcBorders>
              <w:tl2br w:val="nil"/>
              <w:tr2bl w:val="nil"/>
            </w:tcBorders>
            <w:noWrap w:val="0"/>
            <w:vAlign w:val="center"/>
          </w:tcPr>
          <w:p w14:paraId="1F2ED8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3.05</w:t>
            </w:r>
          </w:p>
        </w:tc>
        <w:tc>
          <w:tcPr>
            <w:tcW w:w="777" w:type="pct"/>
            <w:tcBorders>
              <w:tl2br w:val="nil"/>
              <w:tr2bl w:val="nil"/>
            </w:tcBorders>
            <w:shd w:val="clear" w:color="auto" w:fill="auto"/>
            <w:noWrap w:val="0"/>
            <w:vAlign w:val="center"/>
          </w:tcPr>
          <w:p w14:paraId="2CB040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5.90</w:t>
            </w:r>
          </w:p>
        </w:tc>
        <w:tc>
          <w:tcPr>
            <w:tcW w:w="1970" w:type="pct"/>
            <w:tcBorders>
              <w:tl2br w:val="nil"/>
              <w:tr2bl w:val="nil"/>
            </w:tcBorders>
            <w:shd w:val="clear" w:color="auto" w:fill="auto"/>
            <w:noWrap w:val="0"/>
            <w:vAlign w:val="center"/>
          </w:tcPr>
          <w:p w14:paraId="3D917F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90</w:t>
            </w:r>
          </w:p>
        </w:tc>
        <w:tc>
          <w:tcPr>
            <w:tcW w:w="442" w:type="pct"/>
            <w:tcBorders>
              <w:tl2br w:val="nil"/>
              <w:tr2bl w:val="nil"/>
            </w:tcBorders>
            <w:noWrap w:val="0"/>
            <w:vAlign w:val="center"/>
          </w:tcPr>
          <w:p w14:paraId="254561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r w14:paraId="33DAE1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shd w:val="clear" w:color="auto" w:fill="auto"/>
            <w:noWrap w:val="0"/>
            <w:vAlign w:val="center"/>
          </w:tcPr>
          <w:p w14:paraId="1013E3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rPr>
              <w:t>镉</w:t>
            </w:r>
          </w:p>
        </w:tc>
        <w:tc>
          <w:tcPr>
            <w:tcW w:w="1039" w:type="pct"/>
            <w:tcBorders>
              <w:tl2br w:val="nil"/>
              <w:tr2bl w:val="nil"/>
            </w:tcBorders>
            <w:shd w:val="clear" w:color="auto" w:fill="auto"/>
            <w:noWrap w:val="0"/>
            <w:vAlign w:val="center"/>
          </w:tcPr>
          <w:p w14:paraId="46CD92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0.08</w:t>
            </w:r>
          </w:p>
        </w:tc>
        <w:tc>
          <w:tcPr>
            <w:tcW w:w="777" w:type="pct"/>
            <w:tcBorders>
              <w:tl2br w:val="nil"/>
              <w:tr2bl w:val="nil"/>
            </w:tcBorders>
            <w:shd w:val="clear" w:color="auto" w:fill="auto"/>
            <w:noWrap w:val="0"/>
            <w:vAlign w:val="center"/>
          </w:tcPr>
          <w:p w14:paraId="047AC1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0.08</w:t>
            </w:r>
          </w:p>
        </w:tc>
        <w:tc>
          <w:tcPr>
            <w:tcW w:w="1970" w:type="pct"/>
            <w:tcBorders>
              <w:tl2br w:val="nil"/>
              <w:tr2bl w:val="nil"/>
            </w:tcBorders>
            <w:shd w:val="clear" w:color="auto" w:fill="auto"/>
            <w:noWrap w:val="0"/>
            <w:vAlign w:val="center"/>
          </w:tcPr>
          <w:p w14:paraId="69989D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0.3</w:t>
            </w:r>
          </w:p>
        </w:tc>
        <w:tc>
          <w:tcPr>
            <w:tcW w:w="442" w:type="pct"/>
            <w:tcBorders>
              <w:tl2br w:val="nil"/>
              <w:tr2bl w:val="nil"/>
            </w:tcBorders>
            <w:shd w:val="clear" w:color="auto" w:fill="auto"/>
            <w:noWrap w:val="0"/>
            <w:vAlign w:val="center"/>
          </w:tcPr>
          <w:p w14:paraId="5E2136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r w14:paraId="4BD8EC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noWrap w:val="0"/>
            <w:vAlign w:val="center"/>
          </w:tcPr>
          <w:p w14:paraId="67807C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铜</w:t>
            </w:r>
          </w:p>
        </w:tc>
        <w:tc>
          <w:tcPr>
            <w:tcW w:w="1039" w:type="pct"/>
            <w:tcBorders>
              <w:tl2br w:val="nil"/>
              <w:tr2bl w:val="nil"/>
            </w:tcBorders>
            <w:noWrap w:val="0"/>
            <w:vAlign w:val="center"/>
          </w:tcPr>
          <w:p w14:paraId="3B239E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9</w:t>
            </w:r>
          </w:p>
        </w:tc>
        <w:tc>
          <w:tcPr>
            <w:tcW w:w="777" w:type="pct"/>
            <w:tcBorders>
              <w:tl2br w:val="nil"/>
              <w:tr2bl w:val="nil"/>
            </w:tcBorders>
            <w:shd w:val="clear" w:color="auto" w:fill="auto"/>
            <w:noWrap w:val="0"/>
            <w:vAlign w:val="center"/>
          </w:tcPr>
          <w:p w14:paraId="09F350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22</w:t>
            </w:r>
          </w:p>
        </w:tc>
        <w:tc>
          <w:tcPr>
            <w:tcW w:w="1970" w:type="pct"/>
            <w:tcBorders>
              <w:tl2br w:val="nil"/>
              <w:tr2bl w:val="nil"/>
            </w:tcBorders>
            <w:shd w:val="clear" w:color="auto" w:fill="auto"/>
            <w:noWrap w:val="0"/>
            <w:vAlign w:val="center"/>
          </w:tcPr>
          <w:p w14:paraId="131553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50</w:t>
            </w:r>
          </w:p>
        </w:tc>
        <w:tc>
          <w:tcPr>
            <w:tcW w:w="442" w:type="pct"/>
            <w:tcBorders>
              <w:tl2br w:val="nil"/>
              <w:tr2bl w:val="nil"/>
            </w:tcBorders>
            <w:noWrap w:val="0"/>
            <w:vAlign w:val="center"/>
          </w:tcPr>
          <w:p w14:paraId="04BD62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r w14:paraId="53BCB5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shd w:val="clear" w:color="auto" w:fill="auto"/>
            <w:noWrap w:val="0"/>
            <w:vAlign w:val="center"/>
          </w:tcPr>
          <w:p w14:paraId="709854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rPr>
              <w:t>铬</w:t>
            </w:r>
          </w:p>
        </w:tc>
        <w:tc>
          <w:tcPr>
            <w:tcW w:w="1039" w:type="pct"/>
            <w:tcBorders>
              <w:tl2br w:val="nil"/>
              <w:tr2bl w:val="nil"/>
            </w:tcBorders>
            <w:shd w:val="clear" w:color="auto" w:fill="auto"/>
            <w:noWrap w:val="0"/>
            <w:vAlign w:val="center"/>
          </w:tcPr>
          <w:p w14:paraId="2C0168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ND</w:t>
            </w:r>
          </w:p>
        </w:tc>
        <w:tc>
          <w:tcPr>
            <w:tcW w:w="777" w:type="pct"/>
            <w:tcBorders>
              <w:tl2br w:val="nil"/>
              <w:tr2bl w:val="nil"/>
            </w:tcBorders>
            <w:shd w:val="clear" w:color="auto" w:fill="auto"/>
            <w:noWrap w:val="0"/>
            <w:vAlign w:val="center"/>
          </w:tcPr>
          <w:p w14:paraId="2137B8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66</w:t>
            </w:r>
          </w:p>
        </w:tc>
        <w:tc>
          <w:tcPr>
            <w:tcW w:w="1970" w:type="pct"/>
            <w:tcBorders>
              <w:tl2br w:val="nil"/>
              <w:tr2bl w:val="nil"/>
            </w:tcBorders>
            <w:shd w:val="clear" w:color="auto" w:fill="auto"/>
            <w:noWrap w:val="0"/>
            <w:vAlign w:val="center"/>
          </w:tcPr>
          <w:p w14:paraId="3F1C11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150</w:t>
            </w:r>
          </w:p>
        </w:tc>
        <w:tc>
          <w:tcPr>
            <w:tcW w:w="442" w:type="pct"/>
            <w:tcBorders>
              <w:tl2br w:val="nil"/>
              <w:tr2bl w:val="nil"/>
            </w:tcBorders>
            <w:shd w:val="clear" w:color="auto" w:fill="auto"/>
            <w:noWrap w:val="0"/>
            <w:vAlign w:val="center"/>
          </w:tcPr>
          <w:p w14:paraId="76B3B3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r w14:paraId="4B1DFB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noWrap w:val="0"/>
            <w:vAlign w:val="center"/>
          </w:tcPr>
          <w:p w14:paraId="47F1D2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镍</w:t>
            </w:r>
          </w:p>
        </w:tc>
        <w:tc>
          <w:tcPr>
            <w:tcW w:w="1039" w:type="pct"/>
            <w:tcBorders>
              <w:tl2br w:val="nil"/>
              <w:tr2bl w:val="nil"/>
            </w:tcBorders>
            <w:noWrap w:val="0"/>
            <w:vAlign w:val="center"/>
          </w:tcPr>
          <w:p w14:paraId="7A8CB4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ND</w:t>
            </w:r>
          </w:p>
        </w:tc>
        <w:tc>
          <w:tcPr>
            <w:tcW w:w="777" w:type="pct"/>
            <w:tcBorders>
              <w:tl2br w:val="nil"/>
              <w:tr2bl w:val="nil"/>
            </w:tcBorders>
            <w:shd w:val="clear" w:color="auto" w:fill="auto"/>
            <w:noWrap w:val="0"/>
            <w:vAlign w:val="center"/>
          </w:tcPr>
          <w:p w14:paraId="23930D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29</w:t>
            </w:r>
          </w:p>
        </w:tc>
        <w:tc>
          <w:tcPr>
            <w:tcW w:w="1970" w:type="pct"/>
            <w:tcBorders>
              <w:tl2br w:val="nil"/>
              <w:tr2bl w:val="nil"/>
            </w:tcBorders>
            <w:shd w:val="clear" w:color="auto" w:fill="auto"/>
            <w:noWrap w:val="0"/>
            <w:vAlign w:val="center"/>
          </w:tcPr>
          <w:p w14:paraId="1EE72A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70</w:t>
            </w:r>
          </w:p>
        </w:tc>
        <w:tc>
          <w:tcPr>
            <w:tcW w:w="442" w:type="pct"/>
            <w:tcBorders>
              <w:tl2br w:val="nil"/>
              <w:tr2bl w:val="nil"/>
            </w:tcBorders>
            <w:noWrap w:val="0"/>
            <w:vAlign w:val="center"/>
          </w:tcPr>
          <w:p w14:paraId="5FF5FB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bl>
    <w:p w14:paraId="074231E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eastAsia="zh-CN"/>
        </w:rPr>
        <w:t>由</w:t>
      </w:r>
      <w:r>
        <w:rPr>
          <w:rFonts w:hint="eastAsia" w:ascii="Times New Roman" w:hAnsi="Times New Roman" w:eastAsia="宋体" w:cs="Times New Roman"/>
          <w:color w:val="auto"/>
          <w:sz w:val="24"/>
          <w:szCs w:val="24"/>
          <w:highlight w:val="none"/>
          <w:lang w:val="en-US" w:eastAsia="zh-CN"/>
        </w:rPr>
        <w:t>检测结果可见</w:t>
      </w:r>
      <w:r>
        <w:rPr>
          <w:rFonts w:hint="eastAsia" w:ascii="Times New Roman"/>
          <w:color w:val="auto"/>
          <w:highlight w:val="none"/>
          <w:lang w:eastAsia="zh-CN"/>
        </w:rPr>
        <w:t>，</w:t>
      </w:r>
      <w:r>
        <w:rPr>
          <w:rFonts w:hint="eastAsia" w:ascii="Times New Roman"/>
          <w:color w:val="auto"/>
          <w:highlight w:val="none"/>
          <w:lang w:val="en-US" w:eastAsia="zh-CN"/>
        </w:rPr>
        <w:t>灰渣</w:t>
      </w:r>
      <w:r>
        <w:rPr>
          <w:rFonts w:hint="eastAsia" w:ascii="Times New Roman" w:hAnsi="Times New Roman" w:eastAsia="宋体" w:cs="Times New Roman"/>
          <w:color w:val="auto"/>
          <w:sz w:val="24"/>
          <w:szCs w:val="24"/>
          <w:highlight w:val="none"/>
          <w:lang w:val="en-US" w:eastAsia="zh-CN"/>
        </w:rPr>
        <w:t>中镉、汞、砷、铅、铬、铜、镍、</w:t>
      </w:r>
      <w:r>
        <w:rPr>
          <w:rFonts w:hint="eastAsia" w:ascii="Times New Roman" w:cs="Times New Roman"/>
          <w:color w:val="auto"/>
          <w:sz w:val="24"/>
          <w:szCs w:val="24"/>
          <w:highlight w:val="none"/>
          <w:lang w:val="en-US" w:eastAsia="zh-CN"/>
        </w:rPr>
        <w:t>锌</w:t>
      </w:r>
      <w:r>
        <w:rPr>
          <w:rFonts w:hint="eastAsia" w:ascii="Times New Roman" w:hAnsi="Times New Roman" w:eastAsia="宋体" w:cs="Times New Roman"/>
          <w:color w:val="auto"/>
          <w:sz w:val="24"/>
          <w:szCs w:val="24"/>
          <w:highlight w:val="none"/>
          <w:lang w:val="en-US" w:eastAsia="zh-CN"/>
        </w:rPr>
        <w:t>含量满足《土壤环境质量 农用地土壤污染风险管控标准（试行）》（GB 36600-2018）表1农用地土壤污染风险筛选值限值要求。</w:t>
      </w:r>
    </w:p>
    <w:p w14:paraId="5D35F0CB">
      <w:pPr>
        <w:pStyle w:val="7"/>
        <w:numPr>
          <w:ilvl w:val="2"/>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3.1.5覆土来源及分析</w:t>
      </w:r>
    </w:p>
    <w:p w14:paraId="15A07970">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本项目复垦用土来自于</w:t>
      </w:r>
      <w:r>
        <w:rPr>
          <w:rFonts w:hint="eastAsia" w:ascii="Times New Roman" w:hAnsi="Times New Roman" w:eastAsia="宋体" w:cs="Times New Roman"/>
          <w:color w:val="auto"/>
          <w:sz w:val="24"/>
          <w:szCs w:val="24"/>
          <w:highlight w:val="none"/>
          <w:lang w:val="en-US" w:eastAsia="zh-CN"/>
        </w:rPr>
        <w:t>当地高标准农田建设</w:t>
      </w:r>
      <w:r>
        <w:rPr>
          <w:rFonts w:ascii="Times New Roman" w:hAnsi="Times New Roman" w:eastAsia="宋体" w:cs="Times New Roman"/>
          <w:color w:val="auto"/>
          <w:sz w:val="24"/>
          <w:szCs w:val="24"/>
          <w:highlight w:val="none"/>
        </w:rPr>
        <w:t>剥离的</w:t>
      </w:r>
      <w:r>
        <w:rPr>
          <w:rFonts w:hint="eastAsia" w:ascii="Times New Roman" w:hAnsi="Times New Roman" w:eastAsia="宋体" w:cs="Times New Roman"/>
          <w:color w:val="auto"/>
          <w:sz w:val="24"/>
          <w:szCs w:val="24"/>
          <w:highlight w:val="none"/>
          <w:lang w:val="en-US" w:eastAsia="zh-CN"/>
        </w:rPr>
        <w:t>种植</w:t>
      </w:r>
      <w:r>
        <w:rPr>
          <w:rFonts w:ascii="Times New Roman" w:hAnsi="Times New Roman" w:eastAsia="宋体" w:cs="Times New Roman"/>
          <w:color w:val="auto"/>
          <w:sz w:val="24"/>
          <w:szCs w:val="24"/>
          <w:highlight w:val="none"/>
        </w:rPr>
        <w:t>表土</w:t>
      </w:r>
      <w:r>
        <w:rPr>
          <w:rFonts w:hint="eastAsia" w:asciiTheme="minorEastAsia" w:hAnsiTheme="minorEastAsia" w:eastAsiaTheme="minorEastAsia" w:cstheme="minorEastAsia"/>
          <w:color w:val="auto"/>
          <w:szCs w:val="24"/>
          <w:highlight w:val="none"/>
          <w:lang w:val="en-US" w:eastAsia="zh-CN"/>
        </w:rPr>
        <w:t>，满足《土壤环境质量农用地土壤污染风险管控标准（试行）》（GB15618-2018）风险筛选值</w:t>
      </w:r>
      <w:r>
        <w:rPr>
          <w:rFonts w:hint="eastAsia" w:asciiTheme="minorEastAsia" w:hAnsiTheme="minorEastAsia" w:eastAsiaTheme="minorEastAsia" w:cstheme="minorEastAsia"/>
          <w:color w:val="auto"/>
          <w:szCs w:val="24"/>
          <w:highlight w:val="none"/>
        </w:rPr>
        <w:t>。</w:t>
      </w:r>
    </w:p>
    <w:p w14:paraId="5227408C">
      <w:pPr>
        <w:pStyle w:val="77"/>
        <w:widowControl w:val="0"/>
        <w:snapToGrid w:val="0"/>
        <w:spacing w:before="0" w:beforeAutospacing="0" w:after="0" w:afterAutospacing="0"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imes New Roman" w:hAnsi="Times New Roman" w:eastAsia="宋体" w:cs="Times New Roman"/>
          <w:color w:val="auto"/>
          <w:sz w:val="24"/>
          <w:szCs w:val="24"/>
          <w:highlight w:val="none"/>
          <w:lang w:val="en-US" w:eastAsia="zh-CN"/>
        </w:rPr>
        <w:t>本项目复垦面积</w:t>
      </w:r>
      <w:r>
        <w:rPr>
          <w:rFonts w:hint="eastAsia" w:ascii="Times New Roman" w:hAnsi="宋体" w:eastAsia="宋体" w:cs="Times New Roman"/>
          <w:color w:val="auto"/>
          <w:kern w:val="0"/>
          <w:sz w:val="24"/>
          <w:szCs w:val="24"/>
          <w:highlight w:val="none"/>
          <w:lang w:val="en-US" w:eastAsia="zh-CN"/>
        </w:rPr>
        <w:t>11296.10</w:t>
      </w:r>
      <w:r>
        <w:rPr>
          <w:rFonts w:hint="eastAsia" w:ascii="Times New Roman" w:hAnsi="Times New Roman" w:eastAsia="宋体" w:cs="Times New Roman"/>
          <w:color w:val="auto"/>
          <w:sz w:val="24"/>
          <w:szCs w:val="24"/>
          <w:highlight w:val="none"/>
          <w:lang w:val="en-US" w:eastAsia="zh-CN"/>
        </w:rPr>
        <w:t>m</w:t>
      </w:r>
      <w:r>
        <w:rPr>
          <w:rFonts w:hint="eastAsia" w:ascii="Times New Roman" w:hAnsi="Times New Roman" w:eastAsia="宋体" w:cs="Times New Roman"/>
          <w:color w:val="auto"/>
          <w:sz w:val="24"/>
          <w:szCs w:val="24"/>
          <w:highlight w:val="none"/>
          <w:vertAlign w:val="superscript"/>
          <w:lang w:val="en-US" w:eastAsia="zh-CN"/>
        </w:rPr>
        <w:t>2</w:t>
      </w:r>
      <w:r>
        <w:rPr>
          <w:rFonts w:hint="default" w:ascii="Times New Roman" w:hAnsi="Times New Roman" w:eastAsia="宋体" w:cs="Times New Roman"/>
          <w:b w:val="0"/>
          <w:bCs w:val="0"/>
          <w:color w:val="auto"/>
          <w:sz w:val="24"/>
          <w:szCs w:val="24"/>
          <w:highlight w:val="none"/>
          <w:lang w:bidi="ar"/>
        </w:rPr>
        <w:t>，</w:t>
      </w:r>
      <w:r>
        <w:rPr>
          <w:rFonts w:hint="eastAsia" w:eastAsia="宋体" w:cs="Times New Roman"/>
          <w:b w:val="0"/>
          <w:bCs w:val="0"/>
          <w:color w:val="auto"/>
          <w:sz w:val="24"/>
          <w:szCs w:val="24"/>
          <w:highlight w:val="none"/>
          <w:lang w:val="en-US" w:eastAsia="zh-CN" w:bidi="ar"/>
        </w:rPr>
        <w:t>有效土层</w:t>
      </w:r>
      <w:r>
        <w:rPr>
          <w:rFonts w:hint="default" w:ascii="Times New Roman" w:hAnsi="Times New Roman" w:eastAsia="宋体" w:cs="Times New Roman"/>
          <w:b w:val="0"/>
          <w:bCs w:val="0"/>
          <w:color w:val="auto"/>
          <w:sz w:val="24"/>
          <w:szCs w:val="24"/>
          <w:highlight w:val="none"/>
          <w:lang w:bidi="ar"/>
        </w:rPr>
        <w:t>厚度</w:t>
      </w:r>
      <w:r>
        <w:rPr>
          <w:rFonts w:hint="eastAsia" w:eastAsia="宋体" w:cs="Times New Roman"/>
          <w:b w:val="0"/>
          <w:bCs w:val="0"/>
          <w:color w:val="auto"/>
          <w:sz w:val="24"/>
          <w:szCs w:val="24"/>
          <w:highlight w:val="none"/>
          <w:lang w:val="en-US" w:eastAsia="zh-CN" w:bidi="ar"/>
        </w:rPr>
        <w:t>不低于80c</w:t>
      </w:r>
      <w:r>
        <w:rPr>
          <w:rFonts w:hint="default" w:ascii="Times New Roman" w:hAnsi="Times New Roman" w:eastAsia="宋体" w:cs="Times New Roman"/>
          <w:b w:val="0"/>
          <w:bCs w:val="0"/>
          <w:color w:val="auto"/>
          <w:sz w:val="24"/>
          <w:szCs w:val="24"/>
          <w:highlight w:val="none"/>
          <w:lang w:bidi="ar"/>
        </w:rPr>
        <w:t>m</w:t>
      </w:r>
      <w:r>
        <w:rPr>
          <w:rFonts w:hint="eastAsia" w:ascii="Times New Roman" w:hAnsi="Times New Roman" w:eastAsia="宋体" w:cs="Times New Roman"/>
          <w:b w:val="0"/>
          <w:bCs w:val="0"/>
          <w:color w:val="auto"/>
          <w:sz w:val="24"/>
          <w:szCs w:val="24"/>
          <w:highlight w:val="none"/>
          <w:lang w:eastAsia="zh-CN" w:bidi="ar"/>
        </w:rPr>
        <w:t>，</w:t>
      </w:r>
      <w:r>
        <w:rPr>
          <w:rFonts w:hint="eastAsia" w:ascii="Times New Roman" w:hAnsi="Times New Roman" w:eastAsia="宋体" w:cs="Times New Roman"/>
          <w:b w:val="0"/>
          <w:bCs w:val="0"/>
          <w:color w:val="auto"/>
          <w:sz w:val="24"/>
          <w:szCs w:val="24"/>
          <w:highlight w:val="none"/>
          <w:lang w:val="en-US" w:eastAsia="zh-CN" w:bidi="ar"/>
        </w:rPr>
        <w:t>复垦回填土约</w:t>
      </w:r>
      <w:r>
        <w:rPr>
          <w:rFonts w:hint="eastAsia" w:ascii="Times New Roman" w:hAnsi="Times New Roman" w:eastAsia="宋体" w:cs="Times New Roman"/>
          <w:color w:val="auto"/>
          <w:sz w:val="24"/>
          <w:szCs w:val="24"/>
          <w:highlight w:val="none"/>
          <w:lang w:val="en-US" w:eastAsia="zh-CN"/>
        </w:rPr>
        <w:t>5422</w:t>
      </w:r>
      <w:r>
        <w:rPr>
          <w:rFonts w:hint="eastAsia" w:ascii="Times New Roman" w:hAnsi="Times New Roman" w:eastAsia="宋体" w:cs="Times New Roman"/>
          <w:b w:val="0"/>
          <w:bCs w:val="0"/>
          <w:color w:val="auto"/>
          <w:sz w:val="24"/>
          <w:szCs w:val="24"/>
          <w:highlight w:val="none"/>
          <w:lang w:val="en-US" w:eastAsia="zh-CN" w:bidi="ar"/>
        </w:rPr>
        <w:t>m</w:t>
      </w:r>
      <w:r>
        <w:rPr>
          <w:rFonts w:hint="eastAsia" w:ascii="Times New Roman" w:hAnsi="Times New Roman" w:eastAsia="宋体" w:cs="Times New Roman"/>
          <w:b w:val="0"/>
          <w:bCs w:val="0"/>
          <w:color w:val="auto"/>
          <w:sz w:val="24"/>
          <w:szCs w:val="24"/>
          <w:highlight w:val="none"/>
          <w:vertAlign w:val="superscript"/>
          <w:lang w:val="en-US" w:eastAsia="zh-CN" w:bidi="ar"/>
        </w:rPr>
        <w:t>3</w:t>
      </w:r>
      <w:r>
        <w:rPr>
          <w:rFonts w:hint="eastAsia" w:ascii="Times New Roman" w:hAnsi="Times New Roman" w:eastAsia="宋体" w:cs="Times New Roman"/>
          <w:b w:val="0"/>
          <w:bCs w:val="0"/>
          <w:color w:val="auto"/>
          <w:sz w:val="24"/>
          <w:szCs w:val="24"/>
          <w:highlight w:val="none"/>
          <w:lang w:val="en-US" w:eastAsia="zh-CN" w:bidi="ar"/>
        </w:rPr>
        <w:t>，根据</w:t>
      </w:r>
      <w:r>
        <w:rPr>
          <w:rFonts w:hint="default" w:ascii="Times New Roman" w:hAnsi="宋体" w:eastAsia="宋体" w:cs="Times New Roman"/>
          <w:color w:val="auto"/>
          <w:kern w:val="0"/>
          <w:sz w:val="24"/>
          <w:szCs w:val="24"/>
          <w:highlight w:val="none"/>
          <w:lang w:val="en-US" w:eastAsia="zh-CN"/>
        </w:rPr>
        <w:t>尚志市元宝镇</w:t>
      </w:r>
      <w:r>
        <w:rPr>
          <w:rFonts w:hint="eastAsia" w:ascii="Times New Roman" w:hAnsi="宋体" w:eastAsia="宋体" w:cs="Times New Roman"/>
          <w:color w:val="auto"/>
          <w:kern w:val="0"/>
          <w:sz w:val="24"/>
          <w:szCs w:val="24"/>
          <w:highlight w:val="none"/>
          <w:lang w:val="en-US" w:eastAsia="zh-CN"/>
        </w:rPr>
        <w:t>出具的说明，当地现有一座专门弃土场，用于存放高标准农田建设</w:t>
      </w:r>
      <w:r>
        <w:rPr>
          <w:rFonts w:hint="eastAsia" w:ascii="Times New Roman" w:hAnsi="宋体" w:eastAsia="宋体" w:cs="Times New Roman"/>
          <w:color w:val="auto"/>
          <w:kern w:val="0"/>
          <w:sz w:val="24"/>
          <w:szCs w:val="24"/>
          <w:highlight w:val="none"/>
          <w:lang w:val="en-US" w:eastAsia="en-US"/>
        </w:rPr>
        <w:t>剥离</w:t>
      </w:r>
      <w:r>
        <w:rPr>
          <w:rFonts w:hint="eastAsia" w:ascii="Times New Roman" w:hAnsi="宋体" w:eastAsia="宋体" w:cs="Times New Roman"/>
          <w:color w:val="auto"/>
          <w:kern w:val="0"/>
          <w:sz w:val="24"/>
          <w:szCs w:val="24"/>
          <w:highlight w:val="none"/>
          <w:lang w:val="en-US" w:eastAsia="zh-CN"/>
        </w:rPr>
        <w:t>的</w:t>
      </w:r>
      <w:r>
        <w:rPr>
          <w:rFonts w:hint="eastAsia" w:ascii="Times New Roman" w:hAnsi="宋体" w:eastAsia="宋体" w:cs="Times New Roman"/>
          <w:color w:val="auto"/>
          <w:kern w:val="0"/>
          <w:sz w:val="24"/>
          <w:szCs w:val="24"/>
          <w:highlight w:val="none"/>
          <w:lang w:val="en-US" w:eastAsia="en-US"/>
        </w:rPr>
        <w:t>表土</w:t>
      </w:r>
      <w:r>
        <w:rPr>
          <w:rFonts w:hint="eastAsia" w:ascii="Times New Roman" w:hAnsi="宋体" w:eastAsia="宋体" w:cs="Times New Roman"/>
          <w:color w:val="auto"/>
          <w:kern w:val="0"/>
          <w:sz w:val="24"/>
          <w:szCs w:val="24"/>
          <w:highlight w:val="none"/>
          <w:lang w:val="en-US" w:eastAsia="zh-CN"/>
        </w:rPr>
        <w:t>，现存量7000</w:t>
      </w:r>
      <w:r>
        <w:rPr>
          <w:rFonts w:hint="eastAsia" w:ascii="Times New Roman" w:hAnsi="Times New Roman" w:eastAsia="宋体" w:cs="Times New Roman"/>
          <w:b w:val="0"/>
          <w:bCs w:val="0"/>
          <w:color w:val="auto"/>
          <w:sz w:val="24"/>
          <w:szCs w:val="24"/>
          <w:highlight w:val="none"/>
          <w:lang w:val="en-US" w:eastAsia="zh-CN" w:bidi="ar"/>
        </w:rPr>
        <w:t>m</w:t>
      </w:r>
      <w:r>
        <w:rPr>
          <w:rFonts w:hint="eastAsia" w:ascii="Times New Roman" w:hAnsi="Times New Roman" w:eastAsia="宋体" w:cs="Times New Roman"/>
          <w:b w:val="0"/>
          <w:bCs w:val="0"/>
          <w:color w:val="auto"/>
          <w:sz w:val="24"/>
          <w:szCs w:val="24"/>
          <w:highlight w:val="none"/>
          <w:vertAlign w:val="superscript"/>
          <w:lang w:val="en-US" w:eastAsia="zh-CN" w:bidi="ar"/>
        </w:rPr>
        <w:t>3</w:t>
      </w:r>
      <w:r>
        <w:rPr>
          <w:rFonts w:hint="eastAsia" w:ascii="Times New Roman" w:hAnsi="Times New Roman" w:eastAsia="宋体" w:cs="Times New Roman"/>
          <w:b w:val="0"/>
          <w:bCs w:val="0"/>
          <w:color w:val="auto"/>
          <w:sz w:val="24"/>
          <w:szCs w:val="24"/>
          <w:highlight w:val="none"/>
          <w:vertAlign w:val="baseline"/>
          <w:lang w:val="en-US" w:eastAsia="zh-CN" w:bidi="ar"/>
        </w:rPr>
        <w:t>，</w:t>
      </w:r>
      <w:r>
        <w:rPr>
          <w:rFonts w:hint="eastAsia" w:ascii="Times New Roman"/>
          <w:color w:val="auto"/>
          <w:szCs w:val="24"/>
          <w:highlight w:val="none"/>
        </w:rPr>
        <w:t>因此，</w:t>
      </w:r>
      <w:r>
        <w:rPr>
          <w:rFonts w:hint="eastAsia" w:ascii="Times New Roman" w:eastAsia="宋体"/>
          <w:color w:val="auto"/>
          <w:szCs w:val="24"/>
          <w:highlight w:val="none"/>
          <w:lang w:val="en-US" w:eastAsia="zh-CN"/>
        </w:rPr>
        <w:t>该</w:t>
      </w:r>
      <w:r>
        <w:rPr>
          <w:rFonts w:hint="eastAsia" w:ascii="Times New Roman" w:hAnsi="宋体" w:eastAsia="宋体" w:cs="Times New Roman"/>
          <w:color w:val="auto"/>
          <w:kern w:val="0"/>
          <w:sz w:val="24"/>
          <w:szCs w:val="24"/>
          <w:highlight w:val="none"/>
          <w:lang w:val="en-US" w:eastAsia="zh-CN"/>
        </w:rPr>
        <w:t>弃土场表土</w:t>
      </w:r>
      <w:r>
        <w:rPr>
          <w:rFonts w:hint="eastAsia" w:ascii="Times New Roman"/>
          <w:color w:val="auto"/>
          <w:szCs w:val="24"/>
          <w:highlight w:val="none"/>
        </w:rPr>
        <w:t>能够满足项目区表土覆盖的需要，项目覆土来源可行。</w:t>
      </w:r>
    </w:p>
    <w:p w14:paraId="6EE398CA">
      <w:pPr>
        <w:pStyle w:val="7"/>
        <w:widowControl w:val="0"/>
        <w:numPr>
          <w:ilvl w:val="2"/>
          <w:numId w:val="0"/>
        </w:numPr>
        <w:adjustRightInd w:val="0"/>
        <w:snapToGrid w:val="0"/>
        <w:spacing w:before="0" w:after="0" w:line="360" w:lineRule="auto"/>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3.1.6公用工程</w:t>
      </w:r>
    </w:p>
    <w:p w14:paraId="190271D6">
      <w:pPr>
        <w:bidi w:val="0"/>
        <w:spacing w:line="360" w:lineRule="auto"/>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color w:val="auto"/>
          <w:highlight w:val="none"/>
        </w:rPr>
        <w:t>供水</w:t>
      </w:r>
    </w:p>
    <w:p w14:paraId="2C51C9EC">
      <w:pPr>
        <w:spacing w:line="360" w:lineRule="auto"/>
        <w:ind w:firstLine="480"/>
        <w:rPr>
          <w:rFonts w:hint="eastAsia" w:ascii="Times New Roman" w:eastAsia="宋体"/>
          <w:color w:val="auto"/>
          <w:highlight w:val="none"/>
          <w:lang w:eastAsia="zh-CN"/>
        </w:rPr>
      </w:pPr>
      <w:r>
        <w:rPr>
          <w:rFonts w:hint="eastAsia" w:ascii="Times New Roman"/>
          <w:color w:val="auto"/>
          <w:highlight w:val="none"/>
          <w:lang w:val="en-US" w:eastAsia="zh-CN"/>
        </w:rPr>
        <w:t>本项目</w:t>
      </w:r>
      <w:r>
        <w:rPr>
          <w:rFonts w:hint="eastAsia" w:ascii="Times New Roman"/>
          <w:color w:val="auto"/>
          <w:highlight w:val="none"/>
        </w:rPr>
        <w:t>用水主要为洒水抑尘用水</w:t>
      </w:r>
      <w:r>
        <w:rPr>
          <w:rFonts w:hint="eastAsia" w:ascii="Times New Roman"/>
          <w:color w:val="auto"/>
          <w:highlight w:val="none"/>
          <w:lang w:val="en-US" w:eastAsia="zh-CN"/>
        </w:rPr>
        <w:t>和</w:t>
      </w:r>
      <w:r>
        <w:rPr>
          <w:rFonts w:hint="eastAsia" w:ascii="Times New Roman"/>
          <w:color w:val="auto"/>
          <w:highlight w:val="none"/>
        </w:rPr>
        <w:t>员</w:t>
      </w:r>
      <w:r>
        <w:rPr>
          <w:rFonts w:hint="eastAsia" w:ascii="Times New Roman"/>
          <w:color w:val="auto"/>
          <w:highlight w:val="none"/>
          <w:lang w:val="en-US" w:eastAsia="zh-CN"/>
        </w:rPr>
        <w:t>工</w:t>
      </w:r>
      <w:r>
        <w:rPr>
          <w:rFonts w:hint="eastAsia" w:ascii="Times New Roman"/>
          <w:color w:val="auto"/>
          <w:highlight w:val="none"/>
        </w:rPr>
        <w:t>生活用水，洒水抑尘用水</w:t>
      </w:r>
      <w:r>
        <w:rPr>
          <w:rFonts w:hint="eastAsia" w:ascii="Times New Roman"/>
          <w:color w:val="auto"/>
          <w:highlight w:val="none"/>
          <w:lang w:val="en-US" w:eastAsia="zh-CN"/>
        </w:rPr>
        <w:t>为初期雨水</w:t>
      </w:r>
      <w:r>
        <w:rPr>
          <w:rFonts w:hint="eastAsia" w:ascii="Times New Roman"/>
          <w:color w:val="auto"/>
          <w:highlight w:val="none"/>
        </w:rPr>
        <w:t>，员工生活用水采用桶装水</w:t>
      </w:r>
      <w:r>
        <w:rPr>
          <w:rFonts w:hint="eastAsia" w:ascii="Times New Roman"/>
          <w:color w:val="auto"/>
          <w:highlight w:val="none"/>
          <w:lang w:eastAsia="zh-CN"/>
        </w:rPr>
        <w:t>。</w:t>
      </w:r>
    </w:p>
    <w:p w14:paraId="69BF34E0">
      <w:pPr>
        <w:spacing w:line="360" w:lineRule="auto"/>
        <w:ind w:firstLine="480"/>
        <w:rPr>
          <w:rFonts w:ascii="Times New Roman"/>
          <w:color w:val="auto"/>
          <w:szCs w:val="24"/>
          <w:highlight w:val="none"/>
        </w:rPr>
      </w:pPr>
      <w:r>
        <w:rPr>
          <w:rFonts w:ascii="Times New Roman"/>
          <w:color w:val="auto"/>
          <w:szCs w:val="24"/>
          <w:highlight w:val="none"/>
        </w:rPr>
        <w:t>员工生活用水采用桶装水，本项目</w:t>
      </w:r>
      <w:r>
        <w:rPr>
          <w:rFonts w:hint="eastAsia" w:ascii="Times New Roman"/>
          <w:color w:val="auto"/>
          <w:szCs w:val="24"/>
          <w:highlight w:val="none"/>
        </w:rPr>
        <w:t>施工人员</w:t>
      </w:r>
      <w:r>
        <w:rPr>
          <w:rFonts w:ascii="Times New Roman"/>
          <w:color w:val="auto"/>
          <w:highlight w:val="none"/>
        </w:rPr>
        <w:t>为</w:t>
      </w:r>
      <w:r>
        <w:rPr>
          <w:rFonts w:hint="eastAsia" w:ascii="Times New Roman"/>
          <w:color w:val="auto"/>
          <w:highlight w:val="none"/>
          <w:lang w:val="en-US" w:eastAsia="zh-CN"/>
        </w:rPr>
        <w:t>10</w:t>
      </w:r>
      <w:r>
        <w:rPr>
          <w:rFonts w:ascii="Times New Roman"/>
          <w:color w:val="auto"/>
          <w:highlight w:val="none"/>
        </w:rPr>
        <w:t>人，根据</w:t>
      </w:r>
      <w:r>
        <w:rPr>
          <w:rFonts w:ascii="Times New Roman"/>
          <w:bCs/>
          <w:color w:val="auto"/>
          <w:szCs w:val="24"/>
          <w:highlight w:val="none"/>
        </w:rPr>
        <w:t>黑龙江省地方标准《用水定额》（DB23/T727-202</w:t>
      </w:r>
      <w:r>
        <w:rPr>
          <w:rFonts w:hint="eastAsia" w:ascii="Times New Roman"/>
          <w:bCs/>
          <w:color w:val="auto"/>
          <w:szCs w:val="24"/>
          <w:highlight w:val="none"/>
          <w:lang w:val="en-US" w:eastAsia="zh-CN"/>
        </w:rPr>
        <w:t>5</w:t>
      </w:r>
      <w:r>
        <w:rPr>
          <w:rFonts w:ascii="Times New Roman"/>
          <w:bCs/>
          <w:color w:val="auto"/>
          <w:szCs w:val="24"/>
          <w:highlight w:val="none"/>
        </w:rPr>
        <w:t>），并结合本项目实际情况，</w:t>
      </w:r>
      <w:r>
        <w:rPr>
          <w:rFonts w:ascii="Times New Roman"/>
          <w:color w:val="auto"/>
          <w:highlight w:val="none"/>
        </w:rPr>
        <w:t>按照每人每天的用水量按</w:t>
      </w:r>
      <w:r>
        <w:rPr>
          <w:rFonts w:hint="eastAsia" w:ascii="Times New Roman"/>
          <w:color w:val="auto"/>
          <w:highlight w:val="none"/>
        </w:rPr>
        <w:t>8</w:t>
      </w:r>
      <w:r>
        <w:rPr>
          <w:rFonts w:ascii="Times New Roman"/>
          <w:color w:val="auto"/>
          <w:highlight w:val="none"/>
        </w:rPr>
        <w:t>0L/人·d，则项目</w:t>
      </w:r>
      <w:r>
        <w:rPr>
          <w:rFonts w:ascii="Times New Roman"/>
          <w:color w:val="auto"/>
          <w:szCs w:val="24"/>
          <w:highlight w:val="none"/>
        </w:rPr>
        <w:t>生活用水量为</w:t>
      </w:r>
      <w:r>
        <w:rPr>
          <w:rFonts w:hint="eastAsia" w:ascii="Times New Roman"/>
          <w:color w:val="auto"/>
          <w:szCs w:val="24"/>
          <w:highlight w:val="none"/>
          <w:lang w:val="en-US" w:eastAsia="zh-CN"/>
        </w:rPr>
        <w:t>0.8</w:t>
      </w:r>
      <w:r>
        <w:rPr>
          <w:rFonts w:ascii="Times New Roman"/>
          <w:color w:val="auto"/>
          <w:szCs w:val="24"/>
          <w:highlight w:val="none"/>
        </w:rPr>
        <w:t>m</w:t>
      </w:r>
      <w:r>
        <w:rPr>
          <w:rFonts w:ascii="Times New Roman"/>
          <w:color w:val="auto"/>
          <w:szCs w:val="24"/>
          <w:highlight w:val="none"/>
          <w:vertAlign w:val="superscript"/>
        </w:rPr>
        <w:t>3</w:t>
      </w:r>
      <w:r>
        <w:rPr>
          <w:rFonts w:ascii="Times New Roman"/>
          <w:color w:val="auto"/>
          <w:szCs w:val="24"/>
          <w:highlight w:val="none"/>
        </w:rPr>
        <w:t>/d。</w:t>
      </w:r>
    </w:p>
    <w:p w14:paraId="0E0C5B97">
      <w:pPr>
        <w:bidi w:val="0"/>
        <w:spacing w:line="360" w:lineRule="auto"/>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color w:val="auto"/>
          <w:highlight w:val="none"/>
        </w:rPr>
        <w:t>排水</w:t>
      </w:r>
    </w:p>
    <w:p w14:paraId="74E7C8EC">
      <w:pPr>
        <w:spacing w:line="360" w:lineRule="auto"/>
        <w:ind w:firstLine="480"/>
        <w:rPr>
          <w:rFonts w:hint="eastAsia" w:ascii="Times New Roman"/>
          <w:color w:val="auto"/>
          <w:szCs w:val="24"/>
          <w:highlight w:val="none"/>
          <w:lang w:val="en-US" w:eastAsia="zh-CN"/>
        </w:rPr>
      </w:pPr>
      <w:r>
        <w:rPr>
          <w:rFonts w:ascii="Times New Roman"/>
          <w:color w:val="auto"/>
          <w:szCs w:val="24"/>
          <w:highlight w:val="none"/>
        </w:rPr>
        <w:t>本项目产生</w:t>
      </w:r>
      <w:r>
        <w:rPr>
          <w:rFonts w:hint="eastAsia" w:ascii="Times New Roman"/>
          <w:color w:val="auto"/>
          <w:szCs w:val="24"/>
          <w:highlight w:val="none"/>
        </w:rPr>
        <w:t>的</w:t>
      </w:r>
      <w:r>
        <w:rPr>
          <w:rFonts w:ascii="Times New Roman"/>
          <w:color w:val="auto"/>
          <w:szCs w:val="24"/>
          <w:highlight w:val="none"/>
        </w:rPr>
        <w:t>废水主要为</w:t>
      </w:r>
      <w:r>
        <w:rPr>
          <w:rFonts w:hint="eastAsia" w:ascii="Times New Roman"/>
          <w:color w:val="auto"/>
          <w:szCs w:val="24"/>
          <w:highlight w:val="none"/>
        </w:rPr>
        <w:t>施工人员</w:t>
      </w:r>
      <w:r>
        <w:rPr>
          <w:rFonts w:ascii="Times New Roman"/>
          <w:color w:val="auto"/>
          <w:szCs w:val="24"/>
          <w:highlight w:val="none"/>
        </w:rPr>
        <w:t>生活污水</w:t>
      </w:r>
      <w:r>
        <w:rPr>
          <w:rFonts w:hint="eastAsia" w:ascii="Times New Roman"/>
          <w:color w:val="auto"/>
          <w:szCs w:val="24"/>
          <w:highlight w:val="none"/>
          <w:lang w:val="en-US" w:eastAsia="zh-CN"/>
        </w:rPr>
        <w:t>和淋滤水。</w:t>
      </w:r>
    </w:p>
    <w:p w14:paraId="125E0921">
      <w:pPr>
        <w:spacing w:line="360" w:lineRule="auto"/>
        <w:ind w:firstLine="480"/>
        <w:rPr>
          <w:rFonts w:hint="eastAsia" w:ascii="Times New Roman" w:eastAsia="宋体"/>
          <w:color w:val="auto"/>
          <w:szCs w:val="24"/>
          <w:highlight w:val="none"/>
          <w:lang w:eastAsia="zh-CN"/>
        </w:rPr>
      </w:pPr>
      <w:r>
        <w:rPr>
          <w:rFonts w:ascii="Times New Roman"/>
          <w:color w:val="auto"/>
          <w:szCs w:val="24"/>
          <w:highlight w:val="none"/>
        </w:rPr>
        <w:t>生活污水排放量为</w:t>
      </w:r>
      <w:r>
        <w:rPr>
          <w:rFonts w:hint="eastAsia" w:ascii="Times New Roman"/>
          <w:color w:val="auto"/>
          <w:szCs w:val="24"/>
          <w:highlight w:val="none"/>
          <w:lang w:val="en-US" w:eastAsia="zh-CN"/>
        </w:rPr>
        <w:t>0.64</w:t>
      </w:r>
      <w:r>
        <w:rPr>
          <w:rFonts w:ascii="Times New Roman"/>
          <w:color w:val="auto"/>
          <w:szCs w:val="24"/>
          <w:highlight w:val="none"/>
        </w:rPr>
        <w:t>m</w:t>
      </w:r>
      <w:r>
        <w:rPr>
          <w:rFonts w:ascii="Times New Roman"/>
          <w:color w:val="auto"/>
          <w:szCs w:val="24"/>
          <w:highlight w:val="none"/>
          <w:vertAlign w:val="superscript"/>
        </w:rPr>
        <w:t>3</w:t>
      </w:r>
      <w:r>
        <w:rPr>
          <w:rFonts w:ascii="Times New Roman"/>
          <w:color w:val="auto"/>
          <w:szCs w:val="24"/>
          <w:highlight w:val="none"/>
        </w:rPr>
        <w:t>/d，主要污染物为COD、氨氮等，</w:t>
      </w:r>
      <w:r>
        <w:rPr>
          <w:rFonts w:hint="default" w:ascii="Times New Roman" w:hAnsi="Times New Roman" w:eastAsia="宋体" w:cs="Times New Roman"/>
          <w:color w:val="auto"/>
          <w:highlight w:val="none"/>
          <w:lang w:val="en-US" w:eastAsia="zh-CN"/>
        </w:rPr>
        <w:t>生活污水</w:t>
      </w:r>
      <w:r>
        <w:rPr>
          <w:rFonts w:hint="eastAsia" w:ascii="Times New Roman" w:hAnsi="Times New Roman" w:eastAsia="宋体" w:cs="Times New Roman"/>
          <w:snapToGrid/>
          <w:color w:val="auto"/>
          <w:kern w:val="2"/>
          <w:sz w:val="24"/>
          <w:szCs w:val="22"/>
          <w:highlight w:val="none"/>
          <w:lang w:val="en-US" w:eastAsia="zh-CN" w:bidi="ar-SA"/>
        </w:rPr>
        <w:t>依托民房防渗旱厕</w:t>
      </w:r>
      <w:r>
        <w:rPr>
          <w:rFonts w:hint="eastAsia" w:ascii="Times New Roman"/>
          <w:color w:val="auto"/>
          <w:szCs w:val="24"/>
          <w:highlight w:val="none"/>
        </w:rPr>
        <w:t>，定期</w:t>
      </w:r>
      <w:r>
        <w:rPr>
          <w:rFonts w:hint="eastAsia" w:ascii="Times New Roman"/>
          <w:color w:val="auto"/>
          <w:szCs w:val="24"/>
          <w:highlight w:val="none"/>
          <w:lang w:eastAsia="zh-CN"/>
        </w:rPr>
        <w:t>外运堆肥</w:t>
      </w:r>
      <w:r>
        <w:rPr>
          <w:rFonts w:ascii="Times New Roman"/>
          <w:color w:val="auto"/>
          <w:szCs w:val="24"/>
          <w:highlight w:val="none"/>
        </w:rPr>
        <w:t>。</w:t>
      </w:r>
    </w:p>
    <w:p w14:paraId="15B4ACDF">
      <w:pPr>
        <w:spacing w:line="360" w:lineRule="auto"/>
        <w:ind w:firstLine="480"/>
        <w:rPr>
          <w:rFonts w:ascii="Times New Roman"/>
          <w:color w:val="auto"/>
          <w:szCs w:val="24"/>
          <w:highlight w:val="none"/>
        </w:rPr>
      </w:pPr>
      <w:r>
        <w:rPr>
          <w:rFonts w:hint="eastAsia" w:cs="Times New Roman"/>
          <w:color w:val="auto"/>
          <w:highlight w:val="none"/>
          <w:lang w:val="en-US" w:eastAsia="zh-CN"/>
        </w:rPr>
        <w:t>初期雨水经</w:t>
      </w:r>
      <w:r>
        <w:rPr>
          <w:rFonts w:cs="Times New Roman"/>
          <w:color w:val="auto"/>
          <w:highlight w:val="none"/>
        </w:rPr>
        <w:t>回填区</w:t>
      </w:r>
      <w:r>
        <w:rPr>
          <w:rFonts w:hint="eastAsia" w:cs="Times New Roman"/>
          <w:color w:val="auto"/>
          <w:highlight w:val="none"/>
          <w:lang w:eastAsia="zh-CN"/>
        </w:rPr>
        <w:t>拦挡埂</w:t>
      </w:r>
      <w:r>
        <w:rPr>
          <w:rFonts w:cs="Times New Roman"/>
          <w:color w:val="auto"/>
          <w:highlight w:val="none"/>
        </w:rPr>
        <w:t>，排入</w:t>
      </w:r>
      <w:r>
        <w:rPr>
          <w:rFonts w:hint="eastAsia" w:cs="Times New Roman"/>
          <w:color w:val="auto"/>
          <w:highlight w:val="none"/>
          <w:lang w:val="en-US" w:eastAsia="zh-CN"/>
        </w:rPr>
        <w:t>回填区东侧和南</w:t>
      </w:r>
      <w:r>
        <w:rPr>
          <w:rFonts w:cs="Times New Roman"/>
          <w:color w:val="auto"/>
          <w:highlight w:val="none"/>
        </w:rPr>
        <w:t>侧自然冲沟内</w:t>
      </w:r>
      <w:r>
        <w:rPr>
          <w:rFonts w:hint="eastAsia" w:cs="Times New Roman"/>
          <w:color w:val="auto"/>
          <w:highlight w:val="none"/>
          <w:lang w:eastAsia="zh-CN"/>
        </w:rPr>
        <w:t>，</w:t>
      </w:r>
      <w:r>
        <w:rPr>
          <w:rFonts w:hint="eastAsia" w:cs="Times New Roman"/>
          <w:color w:val="auto"/>
          <w:highlight w:val="none"/>
          <w:lang w:val="en-US" w:eastAsia="zh-CN"/>
        </w:rPr>
        <w:t>不会流入回填区域</w:t>
      </w:r>
      <w:r>
        <w:rPr>
          <w:rFonts w:ascii="Times New Roman"/>
          <w:color w:val="auto"/>
          <w:szCs w:val="24"/>
          <w:highlight w:val="none"/>
        </w:rPr>
        <w:t>。</w:t>
      </w:r>
    </w:p>
    <w:p w14:paraId="156E4BFD">
      <w:pPr>
        <w:spacing w:line="360" w:lineRule="auto"/>
        <w:ind w:firstLine="472" w:firstLineChars="200"/>
        <w:rPr>
          <w:rFonts w:hint="eastAsia"/>
          <w:color w:val="auto"/>
          <w:sz w:val="24"/>
          <w:szCs w:val="24"/>
          <w:highlight w:val="none"/>
        </w:rPr>
      </w:pPr>
      <w:r>
        <w:rPr>
          <w:b w:val="0"/>
          <w:color w:val="auto"/>
          <w:spacing w:val="-2"/>
          <w:szCs w:val="24"/>
          <w:highlight w:val="none"/>
        </w:rPr>
        <w:t>本项目雨水</w:t>
      </w:r>
      <w:r>
        <w:rPr>
          <w:rFonts w:hint="eastAsia"/>
          <w:b w:val="0"/>
          <w:color w:val="auto"/>
          <w:spacing w:val="-2"/>
          <w:szCs w:val="24"/>
          <w:highlight w:val="none"/>
          <w:lang w:val="en-US" w:eastAsia="zh-CN"/>
        </w:rPr>
        <w:t>渗水</w:t>
      </w:r>
      <w:r>
        <w:rPr>
          <w:b w:val="0"/>
          <w:color w:val="auto"/>
          <w:spacing w:val="-2"/>
          <w:szCs w:val="24"/>
          <w:highlight w:val="none"/>
        </w:rPr>
        <w:t>产生量为</w:t>
      </w:r>
      <w:r>
        <w:rPr>
          <w:rFonts w:hint="eastAsia" w:eastAsia="宋体"/>
          <w:b w:val="0"/>
          <w:color w:val="auto"/>
          <w:spacing w:val="-2"/>
          <w:szCs w:val="24"/>
          <w:highlight w:val="none"/>
          <w:lang w:val="en-US" w:eastAsia="zh-CN"/>
        </w:rPr>
        <w:t>3.16</w:t>
      </w:r>
      <w:r>
        <w:rPr>
          <w:rFonts w:eastAsia="Times New Roman"/>
          <w:b w:val="0"/>
          <w:color w:val="auto"/>
          <w:spacing w:val="-2"/>
          <w:szCs w:val="24"/>
          <w:highlight w:val="none"/>
        </w:rPr>
        <w:t>m</w:t>
      </w:r>
      <w:r>
        <w:rPr>
          <w:rFonts w:hint="eastAsia"/>
          <w:b w:val="0"/>
          <w:color w:val="auto"/>
          <w:spacing w:val="-2"/>
          <w:szCs w:val="24"/>
          <w:highlight w:val="none"/>
          <w:vertAlign w:val="superscript"/>
        </w:rPr>
        <w:t>3</w:t>
      </w:r>
      <w:r>
        <w:rPr>
          <w:rFonts w:eastAsia="Times New Roman"/>
          <w:b w:val="0"/>
          <w:color w:val="auto"/>
          <w:spacing w:val="-2"/>
          <w:szCs w:val="24"/>
          <w:highlight w:val="none"/>
        </w:rPr>
        <w:t>/d</w:t>
      </w:r>
      <w:r>
        <w:rPr>
          <w:rFonts w:hint="eastAsia"/>
          <w:b w:val="0"/>
          <w:color w:val="auto"/>
          <w:spacing w:val="-2"/>
          <w:szCs w:val="24"/>
          <w:highlight w:val="none"/>
          <w:lang w:eastAsia="zh-CN"/>
        </w:rPr>
        <w:t>，</w:t>
      </w:r>
      <w:r>
        <w:rPr>
          <w:rFonts w:hint="eastAsia"/>
          <w:b w:val="0"/>
          <w:color w:val="auto"/>
          <w:spacing w:val="-2"/>
          <w:szCs w:val="24"/>
          <w:highlight w:val="none"/>
          <w:lang w:val="en-US" w:eastAsia="zh-CN"/>
        </w:rPr>
        <w:t>664</w:t>
      </w:r>
      <w:r>
        <w:rPr>
          <w:rFonts w:eastAsia="Times New Roman"/>
          <w:b w:val="0"/>
          <w:color w:val="auto"/>
          <w:spacing w:val="-2"/>
          <w:szCs w:val="24"/>
          <w:highlight w:val="none"/>
        </w:rPr>
        <w:t>m</w:t>
      </w:r>
      <w:r>
        <w:rPr>
          <w:rFonts w:hint="eastAsia"/>
          <w:b w:val="0"/>
          <w:color w:val="auto"/>
          <w:spacing w:val="-2"/>
          <w:szCs w:val="24"/>
          <w:highlight w:val="none"/>
          <w:vertAlign w:val="superscript"/>
        </w:rPr>
        <w:t>3</w:t>
      </w:r>
      <w:r>
        <w:rPr>
          <w:rFonts w:eastAsia="Times New Roman"/>
          <w:b w:val="0"/>
          <w:color w:val="auto"/>
          <w:spacing w:val="-2"/>
          <w:szCs w:val="24"/>
          <w:highlight w:val="none"/>
        </w:rPr>
        <w:t>/</w:t>
      </w:r>
      <w:r>
        <w:rPr>
          <w:rFonts w:hint="eastAsia"/>
          <w:b w:val="0"/>
          <w:color w:val="auto"/>
          <w:spacing w:val="-2"/>
          <w:szCs w:val="24"/>
          <w:highlight w:val="none"/>
          <w:lang w:val="en-US" w:eastAsia="zh-CN"/>
        </w:rPr>
        <w:t>a</w:t>
      </w:r>
      <w:r>
        <w:rPr>
          <w:b w:val="0"/>
          <w:color w:val="auto"/>
          <w:spacing w:val="-3"/>
          <w:szCs w:val="24"/>
          <w:highlight w:val="none"/>
        </w:rPr>
        <w:t>。</w:t>
      </w:r>
      <w:r>
        <w:rPr>
          <w:rFonts w:hint="eastAsia"/>
          <w:color w:val="auto"/>
          <w:sz w:val="24"/>
          <w:szCs w:val="24"/>
          <w:highlight w:val="none"/>
          <w:lang w:val="en-US" w:eastAsia="zh-CN"/>
        </w:rPr>
        <w:t>雨水渗水排入沉淀</w:t>
      </w:r>
      <w:r>
        <w:rPr>
          <w:rFonts w:hint="eastAsia"/>
          <w:color w:val="auto"/>
          <w:sz w:val="24"/>
          <w:szCs w:val="24"/>
          <w:highlight w:val="none"/>
        </w:rPr>
        <w:t>池</w:t>
      </w:r>
      <w:r>
        <w:rPr>
          <w:rFonts w:hint="eastAsia"/>
          <w:color w:val="auto"/>
          <w:sz w:val="24"/>
          <w:szCs w:val="24"/>
          <w:highlight w:val="none"/>
          <w:lang w:val="en-US" w:eastAsia="zh-CN"/>
        </w:rPr>
        <w:t>经</w:t>
      </w:r>
      <w:r>
        <w:rPr>
          <w:rFonts w:hint="eastAsia"/>
          <w:color w:val="auto"/>
          <w:sz w:val="24"/>
          <w:szCs w:val="24"/>
          <w:highlight w:val="none"/>
        </w:rPr>
        <w:t>沉淀处理</w:t>
      </w:r>
      <w:r>
        <w:rPr>
          <w:rFonts w:hint="eastAsia"/>
          <w:color w:val="auto"/>
          <w:sz w:val="24"/>
          <w:szCs w:val="24"/>
          <w:highlight w:val="none"/>
          <w:lang w:val="en-US" w:eastAsia="zh-CN"/>
        </w:rPr>
        <w:t>后用于回填区洒水降尘，不外排</w:t>
      </w:r>
    </w:p>
    <w:p w14:paraId="0413989D">
      <w:pPr>
        <w:ind w:firstLine="480"/>
        <w:rPr>
          <w:rFonts w:hint="eastAsia" w:ascii="Times New Roman"/>
          <w:color w:val="auto"/>
          <w:spacing w:val="-2"/>
          <w:highlight w:val="none"/>
          <w:lang w:eastAsia="zh-CN"/>
        </w:rPr>
      </w:pPr>
    </w:p>
    <w:p w14:paraId="7C7CE81A">
      <w:pPr>
        <w:ind w:firstLine="480"/>
        <w:rPr>
          <w:rFonts w:ascii="Times New Roman"/>
          <w:color w:val="auto"/>
          <w:spacing w:val="-2"/>
          <w:highlight w:val="none"/>
        </w:rPr>
      </w:pPr>
    </w:p>
    <w:p w14:paraId="37AD4C50">
      <w:pPr>
        <w:ind w:firstLine="480"/>
        <w:rPr>
          <w:rFonts w:ascii="Times New Roman"/>
          <w:color w:val="auto"/>
          <w:spacing w:val="-2"/>
          <w:highlight w:val="none"/>
        </w:rPr>
      </w:pPr>
      <w:r>
        <w:rPr>
          <w:rFonts w:ascii="Times New Roman"/>
          <w:color w:val="auto"/>
          <w:spacing w:val="-2"/>
          <w:highlight w:val="none"/>
        </w:rPr>
        <mc:AlternateContent>
          <mc:Choice Requires="wps">
            <w:drawing>
              <wp:anchor distT="0" distB="0" distL="114300" distR="114300" simplePos="0" relativeHeight="251672576" behindDoc="0" locked="0" layoutInCell="1" allowOverlap="1">
                <wp:simplePos x="0" y="0"/>
                <wp:positionH relativeFrom="column">
                  <wp:posOffset>1045845</wp:posOffset>
                </wp:positionH>
                <wp:positionV relativeFrom="paragraph">
                  <wp:posOffset>43994070</wp:posOffset>
                </wp:positionV>
                <wp:extent cx="3006090" cy="95885"/>
                <wp:effectExtent l="0" t="4445" r="3810" b="39370"/>
                <wp:wrapNone/>
                <wp:docPr id="136" name="直接箭头连接符 136"/>
                <wp:cNvGraphicFramePr/>
                <a:graphic xmlns:a="http://schemas.openxmlformats.org/drawingml/2006/main">
                  <a:graphicData uri="http://schemas.microsoft.com/office/word/2010/wordprocessingShape">
                    <wps:wsp>
                      <wps:cNvCnPr/>
                      <wps:spPr>
                        <a:xfrm>
                          <a:off x="0" y="0"/>
                          <a:ext cx="3006090" cy="95885"/>
                        </a:xfrm>
                        <a:prstGeom prst="straightConnector1">
                          <a:avLst/>
                        </a:prstGeom>
                        <a:ln w="9525" cap="flat" cmpd="sng">
                          <a:solidFill>
                            <a:srgbClr val="000000"/>
                          </a:solidFill>
                          <a:prstDash val="dash"/>
                          <a:headEnd type="none" w="med" len="med"/>
                          <a:tailEnd type="triangle" w="med" len="med"/>
                        </a:ln>
                      </wps:spPr>
                      <wps:bodyPr/>
                    </wps:wsp>
                  </a:graphicData>
                </a:graphic>
              </wp:anchor>
            </w:drawing>
          </mc:Choice>
          <mc:Fallback>
            <w:pict>
              <v:shape id="_x0000_s1026" o:spid="_x0000_s1026" o:spt="32" type="#_x0000_t32" style="position:absolute;left:0pt;margin-left:82.35pt;margin-top:3464.1pt;height:7.55pt;width:236.7pt;z-index:251672576;mso-width-relative:page;mso-height-relative:page;" filled="f" stroked="t" coordsize="21600,21600" o:gfxdata="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N7daG2QAAAA0BAAAPAAAAAAAAAAEAIAAAACIA&#10;AABkcnMvZG93bnJldi54bWxQSwECFAAUAAAACACHTuJA0gIYGwgCAAD3AwAADgAAAAAAAAABACAA&#10;AAAoAQAAZHJzL2Uyb0RvYy54bWxQSwUGAAAAAAYABgBZAQAAogUAAAAA&#10;">
                <v:fill on="f" focussize="0,0"/>
                <v:stroke color="#000000" joinstyle="round" dashstyle="dash" endarrow="block"/>
                <v:imagedata o:title=""/>
                <o:lock v:ext="edit" aspectratio="f"/>
              </v:shape>
            </w:pict>
          </mc:Fallback>
        </mc:AlternateContent>
      </w:r>
    </w:p>
    <w:p w14:paraId="593F8DA5">
      <w:pPr>
        <w:ind w:left="0" w:leftChars="0" w:firstLine="0" w:firstLineChars="0"/>
        <w:rPr>
          <w:rFonts w:ascii="Times New Roman"/>
          <w:color w:val="auto"/>
          <w:spacing w:val="-2"/>
          <w:highlight w:val="none"/>
        </w:rPr>
      </w:pPr>
      <w:r>
        <w:rPr>
          <w:rFonts w:ascii="Times New Roman"/>
          <w:color w:val="auto"/>
          <w:spacing w:val="-2"/>
          <w:highlight w:val="none"/>
        </w:rPr>
        <mc:AlternateContent>
          <mc:Choice Requires="wps">
            <w:drawing>
              <wp:anchor distT="0" distB="0" distL="114300" distR="114300" simplePos="0" relativeHeight="251673600" behindDoc="0" locked="0" layoutInCell="1" allowOverlap="1">
                <wp:simplePos x="0" y="0"/>
                <wp:positionH relativeFrom="column">
                  <wp:posOffset>1844675</wp:posOffset>
                </wp:positionH>
                <wp:positionV relativeFrom="paragraph">
                  <wp:posOffset>53340</wp:posOffset>
                </wp:positionV>
                <wp:extent cx="937260" cy="285750"/>
                <wp:effectExtent l="0" t="0" r="0" b="0"/>
                <wp:wrapNone/>
                <wp:docPr id="170" name="文本框 170"/>
                <wp:cNvGraphicFramePr/>
                <a:graphic xmlns:a="http://schemas.openxmlformats.org/drawingml/2006/main">
                  <a:graphicData uri="http://schemas.microsoft.com/office/word/2010/wordprocessingShape">
                    <wps:wsp>
                      <wps:cNvSpPr txBox="1"/>
                      <wps:spPr>
                        <a:xfrm>
                          <a:off x="0" y="0"/>
                          <a:ext cx="937260" cy="285750"/>
                        </a:xfrm>
                        <a:prstGeom prst="rect">
                          <a:avLst/>
                        </a:prstGeom>
                        <a:noFill/>
                        <a:ln w="6350">
                          <a:noFill/>
                        </a:ln>
                        <a:effectLst/>
                      </wps:spPr>
                      <wps:txbx>
                        <w:txbxContent>
                          <w:p w14:paraId="6D51861B">
                            <w:pPr>
                              <w:spacing w:line="240" w:lineRule="auto"/>
                              <w:ind w:firstLine="0" w:firstLineChars="0"/>
                              <w:rPr>
                                <w:rFonts w:hint="default" w:ascii="Times New Roman" w:eastAsia="宋体"/>
                                <w:spacing w:val="-2"/>
                                <w:sz w:val="21"/>
                                <w:szCs w:val="21"/>
                                <w:lang w:val="en-US" w:eastAsia="zh-CN"/>
                              </w:rPr>
                            </w:pPr>
                            <w:r>
                              <w:rPr>
                                <w:rFonts w:hint="eastAsia" w:ascii="Times New Roman"/>
                                <w:spacing w:val="-2"/>
                                <w:sz w:val="21"/>
                                <w:szCs w:val="21"/>
                              </w:rPr>
                              <w:t>损耗</w:t>
                            </w:r>
                            <w:r>
                              <w:rPr>
                                <w:rFonts w:hint="eastAsia" w:ascii="Times New Roman"/>
                                <w:spacing w:val="-2"/>
                                <w:sz w:val="21"/>
                                <w:szCs w:val="21"/>
                                <w:lang w:val="en-US" w:eastAsia="zh-CN"/>
                              </w:rPr>
                              <w:t>0.16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5.25pt;margin-top:4.2pt;height:22.5pt;width:73.8pt;z-index:251673600;mso-width-relative:page;mso-height-relative:page;" filled="f" stroked="f" coordsize="21600,21600" o:gfxdata="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NCkr9NoAAAAIAQAADwAAAAAAAAABACAAAAAi&#10;AAAAZHJzL2Rvd25yZXYueG1sUEsBAhQAFAAAAAgAh07iQIwT/QNBAgAAdwQAAA4AAAAAAAAAAQAg&#10;AAAAKQEAAGRycy9lMm9Eb2MueG1sUEsFBgAAAAAGAAYAWQEAANwFAAAAAA==&#10;">
                <v:fill on="f" focussize="0,0"/>
                <v:stroke on="f" weight="0.5pt"/>
                <v:imagedata o:title=""/>
                <o:lock v:ext="edit" aspectratio="f"/>
                <v:textbox>
                  <w:txbxContent>
                    <w:p w14:paraId="6D51861B">
                      <w:pPr>
                        <w:spacing w:line="240" w:lineRule="auto"/>
                        <w:ind w:firstLine="0" w:firstLineChars="0"/>
                        <w:rPr>
                          <w:rFonts w:hint="default" w:ascii="Times New Roman" w:eastAsia="宋体"/>
                          <w:spacing w:val="-2"/>
                          <w:sz w:val="21"/>
                          <w:szCs w:val="21"/>
                          <w:lang w:val="en-US" w:eastAsia="zh-CN"/>
                        </w:rPr>
                      </w:pPr>
                      <w:r>
                        <w:rPr>
                          <w:rFonts w:hint="eastAsia" w:ascii="Times New Roman"/>
                          <w:spacing w:val="-2"/>
                          <w:sz w:val="21"/>
                          <w:szCs w:val="21"/>
                        </w:rPr>
                        <w:t>损耗</w:t>
                      </w:r>
                      <w:r>
                        <w:rPr>
                          <w:rFonts w:hint="eastAsia" w:ascii="Times New Roman"/>
                          <w:spacing w:val="-2"/>
                          <w:sz w:val="21"/>
                          <w:szCs w:val="21"/>
                          <w:lang w:val="en-US" w:eastAsia="zh-CN"/>
                        </w:rPr>
                        <w:t>0.16</w:t>
                      </w:r>
                    </w:p>
                  </w:txbxContent>
                </v:textbox>
              </v:shape>
            </w:pict>
          </mc:Fallback>
        </mc:AlternateContent>
      </w:r>
    </w:p>
    <w:p w14:paraId="59B3F456">
      <w:pPr>
        <w:ind w:firstLine="480"/>
        <w:rPr>
          <w:rFonts w:ascii="Times New Roman"/>
          <w:color w:val="auto"/>
          <w:spacing w:val="-2"/>
          <w:highlight w:val="none"/>
        </w:rPr>
      </w:pPr>
      <w:r>
        <w:rPr>
          <w:rFonts w:ascii="Times New Roman"/>
          <w:color w:val="auto"/>
          <w:highlight w:val="none"/>
        </w:rPr>
        <mc:AlternateContent>
          <mc:Choice Requires="wps">
            <w:drawing>
              <wp:anchor distT="0" distB="0" distL="114300" distR="114300" simplePos="0" relativeHeight="251680768" behindDoc="0" locked="0" layoutInCell="1" allowOverlap="1">
                <wp:simplePos x="0" y="0"/>
                <wp:positionH relativeFrom="column">
                  <wp:posOffset>4233545</wp:posOffset>
                </wp:positionH>
                <wp:positionV relativeFrom="paragraph">
                  <wp:posOffset>168910</wp:posOffset>
                </wp:positionV>
                <wp:extent cx="773430" cy="467995"/>
                <wp:effectExtent l="0" t="0" r="0" b="0"/>
                <wp:wrapNone/>
                <wp:docPr id="99" name="文本框 99"/>
                <wp:cNvGraphicFramePr/>
                <a:graphic xmlns:a="http://schemas.openxmlformats.org/drawingml/2006/main">
                  <a:graphicData uri="http://schemas.microsoft.com/office/word/2010/wordprocessingShape">
                    <wps:wsp>
                      <wps:cNvSpPr txBox="1"/>
                      <wps:spPr>
                        <a:xfrm>
                          <a:off x="0" y="0"/>
                          <a:ext cx="773430" cy="467995"/>
                        </a:xfrm>
                        <a:prstGeom prst="rect">
                          <a:avLst/>
                        </a:prstGeom>
                        <a:noFill/>
                        <a:ln>
                          <a:noFill/>
                        </a:ln>
                      </wps:spPr>
                      <wps:txbx>
                        <w:txbxContent>
                          <w:p w14:paraId="79FE9F19">
                            <w:pPr>
                              <w:spacing w:line="240" w:lineRule="auto"/>
                              <w:ind w:firstLine="0" w:firstLineChars="0"/>
                              <w:jc w:val="center"/>
                              <w:rPr>
                                <w:rFonts w:ascii="Times New Roman"/>
                                <w:spacing w:val="-2"/>
                                <w:sz w:val="21"/>
                                <w:szCs w:val="21"/>
                              </w:rPr>
                            </w:pPr>
                            <w:r>
                              <w:rPr>
                                <w:rFonts w:hint="eastAsia" w:ascii="Times New Roman"/>
                                <w:sz w:val="21"/>
                                <w:szCs w:val="21"/>
                              </w:rPr>
                              <w:t>定期外运堆肥</w:t>
                            </w:r>
                          </w:p>
                        </w:txbxContent>
                      </wps:txbx>
                      <wps:bodyPr upright="1"/>
                    </wps:wsp>
                  </a:graphicData>
                </a:graphic>
              </wp:anchor>
            </w:drawing>
          </mc:Choice>
          <mc:Fallback>
            <w:pict>
              <v:shape id="_x0000_s1026" o:spid="_x0000_s1026" o:spt="202" type="#_x0000_t202" style="position:absolute;left:0pt;margin-left:333.35pt;margin-top:13.3pt;height:36.85pt;width:60.9pt;z-index:251680768;mso-width-relative:page;mso-height-relative:page;" filled="f" stroked="f" coordsize="21600,21600" o:gfxdata="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Qwon39cA&#10;AAAKAQAADwAAAAAAAAABACAAAAAiAAAAZHJzL2Rvd25yZXYueG1sUEsBAhQAFAAAAAgAh07iQMH2&#10;Fn6uAQAATwMAAA4AAAAAAAAAAQAgAAAAJgEAAGRycy9lMm9Eb2MueG1sUEsFBgAAAAAGAAYAWQEA&#10;AEYFAAAAAA==&#10;">
                <v:fill on="f" focussize="0,0"/>
                <v:stroke on="f"/>
                <v:imagedata o:title=""/>
                <o:lock v:ext="edit" aspectratio="f"/>
                <v:textbox>
                  <w:txbxContent>
                    <w:p w14:paraId="79FE9F19">
                      <w:pPr>
                        <w:spacing w:line="240" w:lineRule="auto"/>
                        <w:ind w:firstLine="0" w:firstLineChars="0"/>
                        <w:jc w:val="center"/>
                        <w:rPr>
                          <w:rFonts w:ascii="Times New Roman"/>
                          <w:spacing w:val="-2"/>
                          <w:sz w:val="21"/>
                          <w:szCs w:val="21"/>
                        </w:rPr>
                      </w:pPr>
                      <w:r>
                        <w:rPr>
                          <w:rFonts w:hint="eastAsia" w:ascii="Times New Roman"/>
                          <w:sz w:val="21"/>
                          <w:szCs w:val="21"/>
                        </w:rPr>
                        <w:t>定期外运堆肥</w:t>
                      </w:r>
                    </w:p>
                  </w:txbxContent>
                </v:textbox>
              </v:shape>
            </w:pict>
          </mc:Fallback>
        </mc:AlternateContent>
      </w:r>
      <w:r>
        <w:rPr>
          <w:rFonts w:ascii="Times New Roman"/>
          <w:color w:val="auto"/>
          <w:spacing w:val="-2"/>
          <w:highlight w:val="none"/>
        </w:rPr>
        <mc:AlternateContent>
          <mc:Choice Requires="wps">
            <w:drawing>
              <wp:anchor distT="0" distB="0" distL="114300" distR="114300" simplePos="0" relativeHeight="251685888" behindDoc="0" locked="0" layoutInCell="1" allowOverlap="1">
                <wp:simplePos x="0" y="0"/>
                <wp:positionH relativeFrom="column">
                  <wp:posOffset>2750820</wp:posOffset>
                </wp:positionH>
                <wp:positionV relativeFrom="paragraph">
                  <wp:posOffset>126365</wp:posOffset>
                </wp:positionV>
                <wp:extent cx="563245" cy="28575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828040" cy="285750"/>
                        </a:xfrm>
                        <a:prstGeom prst="rect">
                          <a:avLst/>
                        </a:prstGeom>
                        <a:noFill/>
                        <a:ln w="6350">
                          <a:noFill/>
                        </a:ln>
                        <a:effectLst/>
                      </wps:spPr>
                      <wps:txbx>
                        <w:txbxContent>
                          <w:p w14:paraId="007A2CAE">
                            <w:pPr>
                              <w:spacing w:line="240" w:lineRule="auto"/>
                              <w:ind w:firstLine="0" w:firstLineChars="0"/>
                              <w:rPr>
                                <w:rFonts w:hint="default" w:ascii="Times New Roman" w:eastAsia="宋体"/>
                                <w:spacing w:val="-2"/>
                                <w:sz w:val="21"/>
                                <w:szCs w:val="21"/>
                                <w:lang w:val="en-US" w:eastAsia="zh-CN"/>
                              </w:rPr>
                            </w:pPr>
                            <w:r>
                              <w:rPr>
                                <w:rFonts w:hint="eastAsia" w:ascii="Times New Roman"/>
                                <w:spacing w:val="-2"/>
                                <w:sz w:val="21"/>
                                <w:szCs w:val="21"/>
                                <w:lang w:val="en-US" w:eastAsia="zh-CN"/>
                              </w:rPr>
                              <w:t>0.64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6.6pt;margin-top:9.95pt;height:22.5pt;width:44.35pt;z-index:251685888;mso-width-relative:page;mso-height-relative:page;" filled="f" stroked="f" coordsize="21600,21600" o:gfxdata="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Nd38JnbAAAACQEAAA8AAAAAAAAAAQAgAAAA&#10;IgAAAGRycy9kb3ducmV2LnhtbFBLAQIUABQAAAAIAIdO4kDX+6m/QQIAAHUEAAAOAAAAAAAAAAEA&#10;IAAAACoBAABkcnMvZTJvRG9jLnhtbFBLBQYAAAAABgAGAFkBAADdBQAAAAA=&#10;">
                <v:fill on="f" focussize="0,0"/>
                <v:stroke on="f" weight="0.5pt"/>
                <v:imagedata o:title=""/>
                <o:lock v:ext="edit" aspectratio="f"/>
                <v:textbox>
                  <w:txbxContent>
                    <w:p w14:paraId="007A2CAE">
                      <w:pPr>
                        <w:spacing w:line="240" w:lineRule="auto"/>
                        <w:ind w:firstLine="0" w:firstLineChars="0"/>
                        <w:rPr>
                          <w:rFonts w:hint="default" w:ascii="Times New Roman" w:eastAsia="宋体"/>
                          <w:spacing w:val="-2"/>
                          <w:sz w:val="21"/>
                          <w:szCs w:val="21"/>
                          <w:lang w:val="en-US" w:eastAsia="zh-CN"/>
                        </w:rPr>
                      </w:pPr>
                      <w:r>
                        <w:rPr>
                          <w:rFonts w:hint="eastAsia" w:ascii="Times New Roman"/>
                          <w:spacing w:val="-2"/>
                          <w:sz w:val="21"/>
                          <w:szCs w:val="21"/>
                          <w:lang w:val="en-US" w:eastAsia="zh-CN"/>
                        </w:rPr>
                        <w:t>0.64</w:t>
                      </w:r>
                    </w:p>
                  </w:txbxContent>
                </v:textbox>
              </v:shape>
            </w:pict>
          </mc:Fallback>
        </mc:AlternateContent>
      </w:r>
      <w:r>
        <w:rPr>
          <w:rFonts w:ascii="Times New Roman"/>
          <w:color w:val="auto"/>
          <w:spacing w:val="-2"/>
          <w:highlight w:val="none"/>
        </w:rPr>
        <mc:AlternateContent>
          <mc:Choice Requires="wps">
            <w:drawing>
              <wp:anchor distT="0" distB="0" distL="114300" distR="114300" simplePos="0" relativeHeight="251681792" behindDoc="0" locked="0" layoutInCell="1" allowOverlap="1">
                <wp:simplePos x="0" y="0"/>
                <wp:positionH relativeFrom="column">
                  <wp:posOffset>1074420</wp:posOffset>
                </wp:positionH>
                <wp:positionV relativeFrom="paragraph">
                  <wp:posOffset>159385</wp:posOffset>
                </wp:positionV>
                <wp:extent cx="563245" cy="285750"/>
                <wp:effectExtent l="0" t="0" r="0" b="0"/>
                <wp:wrapNone/>
                <wp:docPr id="134" name="文本框 134"/>
                <wp:cNvGraphicFramePr/>
                <a:graphic xmlns:a="http://schemas.openxmlformats.org/drawingml/2006/main">
                  <a:graphicData uri="http://schemas.microsoft.com/office/word/2010/wordprocessingShape">
                    <wps:wsp>
                      <wps:cNvSpPr txBox="1"/>
                      <wps:spPr>
                        <a:xfrm>
                          <a:off x="0" y="0"/>
                          <a:ext cx="828040" cy="285750"/>
                        </a:xfrm>
                        <a:prstGeom prst="rect">
                          <a:avLst/>
                        </a:prstGeom>
                        <a:noFill/>
                        <a:ln w="6350">
                          <a:noFill/>
                        </a:ln>
                        <a:effectLst/>
                      </wps:spPr>
                      <wps:txbx>
                        <w:txbxContent>
                          <w:p w14:paraId="4BCE7420">
                            <w:pPr>
                              <w:spacing w:line="240" w:lineRule="auto"/>
                              <w:ind w:firstLine="0" w:firstLineChars="0"/>
                              <w:rPr>
                                <w:rFonts w:hint="default" w:ascii="Times New Roman" w:eastAsia="宋体"/>
                                <w:spacing w:val="-2"/>
                                <w:sz w:val="21"/>
                                <w:szCs w:val="21"/>
                                <w:lang w:val="en-US" w:eastAsia="zh-CN"/>
                              </w:rPr>
                            </w:pPr>
                            <w:r>
                              <w:rPr>
                                <w:rFonts w:hint="eastAsia" w:ascii="Times New Roman"/>
                                <w:spacing w:val="-2"/>
                                <w:sz w:val="21"/>
                                <w:szCs w:val="21"/>
                                <w:lang w:val="en-US" w:eastAsia="zh-CN"/>
                              </w:rPr>
                              <w:t>0.8</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4.6pt;margin-top:12.55pt;height:22.5pt;width:44.35pt;z-index:251681792;mso-width-relative:page;mso-height-relative:page;" filled="f" stroked="f" coordsize="21600,21600" o:gfxdata="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hjLqQNoAAAAJAQAADwAAAAAAAAABACAAAAAi&#10;AAAAZHJzL2Rvd25yZXYueG1sUEsBAhQAFAAAAAgAh07iQN875BpBAgAAdwQAAA4AAAAAAAAAAQAg&#10;AAAAKQEAAGRycy9lMm9Eb2MueG1sUEsFBgAAAAAGAAYAWQEAANwFAAAAAA==&#10;">
                <v:fill on="f" focussize="0,0"/>
                <v:stroke on="f" weight="0.5pt"/>
                <v:imagedata o:title=""/>
                <o:lock v:ext="edit" aspectratio="f"/>
                <v:textbox>
                  <w:txbxContent>
                    <w:p w14:paraId="4BCE7420">
                      <w:pPr>
                        <w:spacing w:line="240" w:lineRule="auto"/>
                        <w:ind w:firstLine="0" w:firstLineChars="0"/>
                        <w:rPr>
                          <w:rFonts w:hint="default" w:ascii="Times New Roman" w:eastAsia="宋体"/>
                          <w:spacing w:val="-2"/>
                          <w:sz w:val="21"/>
                          <w:szCs w:val="21"/>
                          <w:lang w:val="en-US" w:eastAsia="zh-CN"/>
                        </w:rPr>
                      </w:pPr>
                      <w:r>
                        <w:rPr>
                          <w:rFonts w:hint="eastAsia" w:ascii="Times New Roman"/>
                          <w:spacing w:val="-2"/>
                          <w:sz w:val="21"/>
                          <w:szCs w:val="21"/>
                          <w:lang w:val="en-US" w:eastAsia="zh-CN"/>
                        </w:rPr>
                        <w:t>0.8</w:t>
                      </w:r>
                    </w:p>
                  </w:txbxContent>
                </v:textbox>
              </v:shape>
            </w:pict>
          </mc:Fallback>
        </mc:AlternateContent>
      </w:r>
      <w:r>
        <w:rPr>
          <w:rFonts w:ascii="Times New Roman"/>
          <w:color w:val="auto"/>
          <w:highlight w:val="none"/>
        </w:rPr>
        <mc:AlternateContent>
          <mc:Choice Requires="wps">
            <w:drawing>
              <wp:anchor distT="0" distB="0" distL="114300" distR="114300" simplePos="0" relativeHeight="251676672" behindDoc="0" locked="0" layoutInCell="1" allowOverlap="1">
                <wp:simplePos x="0" y="0"/>
                <wp:positionH relativeFrom="column">
                  <wp:posOffset>1666875</wp:posOffset>
                </wp:positionH>
                <wp:positionV relativeFrom="paragraph">
                  <wp:posOffset>296545</wp:posOffset>
                </wp:positionV>
                <wp:extent cx="1074420" cy="290830"/>
                <wp:effectExtent l="4445" t="5080" r="13335" b="8890"/>
                <wp:wrapNone/>
                <wp:docPr id="140" name="文本框 140"/>
                <wp:cNvGraphicFramePr/>
                <a:graphic xmlns:a="http://schemas.openxmlformats.org/drawingml/2006/main">
                  <a:graphicData uri="http://schemas.microsoft.com/office/word/2010/wordprocessingShape">
                    <wps:wsp>
                      <wps:cNvSpPr txBox="1"/>
                      <wps:spPr>
                        <a:xfrm>
                          <a:off x="0" y="0"/>
                          <a:ext cx="1074420" cy="290830"/>
                        </a:xfrm>
                        <a:prstGeom prst="rect">
                          <a:avLst/>
                        </a:prstGeom>
                        <a:noFill/>
                        <a:ln w="9525" cap="flat" cmpd="sng">
                          <a:solidFill>
                            <a:srgbClr val="000000"/>
                          </a:solidFill>
                          <a:prstDash val="solid"/>
                          <a:miter/>
                          <a:headEnd type="none" w="med" len="med"/>
                          <a:tailEnd type="none" w="med" len="med"/>
                        </a:ln>
                      </wps:spPr>
                      <wps:txbx>
                        <w:txbxContent>
                          <w:p w14:paraId="3DF033F8">
                            <w:pPr>
                              <w:spacing w:line="240" w:lineRule="auto"/>
                              <w:ind w:firstLine="0" w:firstLineChars="0"/>
                              <w:jc w:val="center"/>
                              <w:rPr>
                                <w:rFonts w:ascii="Times New Roman"/>
                                <w:spacing w:val="-2"/>
                                <w:sz w:val="28"/>
                              </w:rPr>
                            </w:pPr>
                            <w:r>
                              <w:rPr>
                                <w:rFonts w:hint="eastAsia" w:ascii="Times New Roman"/>
                                <w:sz w:val="21"/>
                                <w:szCs w:val="24"/>
                                <w:lang w:bidi="ar"/>
                              </w:rPr>
                              <w:t>生活用水</w:t>
                            </w:r>
                          </w:p>
                        </w:txbxContent>
                      </wps:txbx>
                      <wps:bodyPr upright="1"/>
                    </wps:wsp>
                  </a:graphicData>
                </a:graphic>
              </wp:anchor>
            </w:drawing>
          </mc:Choice>
          <mc:Fallback>
            <w:pict>
              <v:shape id="_x0000_s1026" o:spid="_x0000_s1026" o:spt="202" type="#_x0000_t202" style="position:absolute;left:0pt;margin-left:131.25pt;margin-top:23.35pt;height:22.9pt;width:84.6pt;z-index:251676672;mso-width-relative:page;mso-height-relative:page;" filled="f" stroked="t" coordsize="21600,21600" o:gfxdata="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juFgb1wAAAAkBAAAPAAAAAAAAAAEAIAAAACIAAABk&#10;cnMvZG93bnJldi54bWxQSwECFAAUAAAACACHTuJAqaN3SQcCAAARBAAADgAAAAAAAAABACAAAAAm&#10;AQAAZHJzL2Uyb0RvYy54bWxQSwUGAAAAAAYABgBZAQAAnwUAAAAA&#10;">
                <v:fill on="f" focussize="0,0"/>
                <v:stroke color="#000000" joinstyle="miter"/>
                <v:imagedata o:title=""/>
                <o:lock v:ext="edit" aspectratio="f"/>
                <v:textbox>
                  <w:txbxContent>
                    <w:p w14:paraId="3DF033F8">
                      <w:pPr>
                        <w:spacing w:line="240" w:lineRule="auto"/>
                        <w:ind w:firstLine="0" w:firstLineChars="0"/>
                        <w:jc w:val="center"/>
                        <w:rPr>
                          <w:rFonts w:ascii="Times New Roman"/>
                          <w:spacing w:val="-2"/>
                          <w:sz w:val="28"/>
                        </w:rPr>
                      </w:pPr>
                      <w:r>
                        <w:rPr>
                          <w:rFonts w:hint="eastAsia" w:ascii="Times New Roman"/>
                          <w:sz w:val="21"/>
                          <w:szCs w:val="24"/>
                          <w:lang w:bidi="ar"/>
                        </w:rPr>
                        <w:t>生活用水</w:t>
                      </w:r>
                    </w:p>
                  </w:txbxContent>
                </v:textbox>
              </v:shape>
            </w:pict>
          </mc:Fallback>
        </mc:AlternateContent>
      </w:r>
      <w:r>
        <w:rPr>
          <w:rFonts w:ascii="Times New Roman"/>
          <w:color w:val="auto"/>
          <w:spacing w:val="-2"/>
          <w:highlight w:val="none"/>
        </w:rPr>
        <mc:AlternateContent>
          <mc:Choice Requires="wps">
            <w:drawing>
              <wp:anchor distT="0" distB="0" distL="114300" distR="114300" simplePos="0" relativeHeight="251674624" behindDoc="0" locked="0" layoutInCell="1" allowOverlap="1">
                <wp:simplePos x="0" y="0"/>
                <wp:positionH relativeFrom="column">
                  <wp:posOffset>1045845</wp:posOffset>
                </wp:positionH>
                <wp:positionV relativeFrom="paragraph">
                  <wp:posOffset>43399710</wp:posOffset>
                </wp:positionV>
                <wp:extent cx="3006090" cy="95885"/>
                <wp:effectExtent l="0" t="4445" r="3810" b="39370"/>
                <wp:wrapNone/>
                <wp:docPr id="147" name="直接箭头连接符 147"/>
                <wp:cNvGraphicFramePr/>
                <a:graphic xmlns:a="http://schemas.openxmlformats.org/drawingml/2006/main">
                  <a:graphicData uri="http://schemas.microsoft.com/office/word/2010/wordprocessingShape">
                    <wps:wsp>
                      <wps:cNvCnPr/>
                      <wps:spPr>
                        <a:xfrm>
                          <a:off x="0" y="0"/>
                          <a:ext cx="3006090" cy="958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82.35pt;margin-top:3417.3pt;height:7.55pt;width:236.7pt;z-index:251674624;mso-width-relative:page;mso-height-relative:page;" filled="f" stroked="t" coordsize="21600,21600" o:gfxdata="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UINwjcAAAADQEAAA8AAAAAAAAAAQAgAAAA&#10;IgAAAGRycy9kb3ducmV2LnhtbFBLAQIUABQAAAAIAIdO4kCoDk/PBwIAAPgDAAAOAAAAAAAAAAEA&#10;IAAAACsBAABkcnMvZTJvRG9jLnhtbFBLBQYAAAAABgAGAFkBAACkBQAAAAA=&#10;">
                <v:fill on="f" focussize="0,0"/>
                <v:stroke color="#000000" joinstyle="round" endarrow="block"/>
                <v:imagedata o:title=""/>
                <o:lock v:ext="edit" aspectratio="f"/>
              </v:shape>
            </w:pict>
          </mc:Fallback>
        </mc:AlternateContent>
      </w:r>
    </w:p>
    <w:p w14:paraId="4952C126">
      <w:pPr>
        <w:ind w:firstLine="480"/>
        <w:rPr>
          <w:rFonts w:ascii="Times New Roman"/>
          <w:color w:val="auto"/>
          <w:spacing w:val="-2"/>
          <w:highlight w:val="none"/>
        </w:rPr>
      </w:pPr>
      <w:r>
        <w:rPr>
          <w:rFonts w:ascii="Times New Roman"/>
          <w:color w:val="auto"/>
          <w:highlight w:val="none"/>
        </w:rPr>
        <mc:AlternateContent>
          <mc:Choice Requires="wps">
            <w:drawing>
              <wp:anchor distT="0" distB="0" distL="114300" distR="114300" simplePos="0" relativeHeight="251678720" behindDoc="0" locked="0" layoutInCell="1" allowOverlap="1">
                <wp:simplePos x="0" y="0"/>
                <wp:positionH relativeFrom="column">
                  <wp:posOffset>3239770</wp:posOffset>
                </wp:positionH>
                <wp:positionV relativeFrom="paragraph">
                  <wp:posOffset>94615</wp:posOffset>
                </wp:positionV>
                <wp:extent cx="789305" cy="290830"/>
                <wp:effectExtent l="4445" t="5080" r="6350" b="8890"/>
                <wp:wrapNone/>
                <wp:docPr id="141" name="文本框 141"/>
                <wp:cNvGraphicFramePr/>
                <a:graphic xmlns:a="http://schemas.openxmlformats.org/drawingml/2006/main">
                  <a:graphicData uri="http://schemas.microsoft.com/office/word/2010/wordprocessingShape">
                    <wps:wsp>
                      <wps:cNvSpPr txBox="1"/>
                      <wps:spPr>
                        <a:xfrm>
                          <a:off x="0" y="0"/>
                          <a:ext cx="789305" cy="290830"/>
                        </a:xfrm>
                        <a:prstGeom prst="rect">
                          <a:avLst/>
                        </a:prstGeom>
                        <a:noFill/>
                        <a:ln w="9525" cap="flat" cmpd="sng">
                          <a:solidFill>
                            <a:srgbClr val="000000"/>
                          </a:solidFill>
                          <a:prstDash val="solid"/>
                          <a:miter/>
                          <a:headEnd type="none" w="med" len="med"/>
                          <a:tailEnd type="none" w="med" len="med"/>
                        </a:ln>
                      </wps:spPr>
                      <wps:txbx>
                        <w:txbxContent>
                          <w:p w14:paraId="3E34FEF2">
                            <w:pPr>
                              <w:spacing w:line="240" w:lineRule="auto"/>
                              <w:ind w:firstLine="0" w:firstLineChars="0"/>
                              <w:jc w:val="center"/>
                              <w:rPr>
                                <w:rFonts w:ascii="Times New Roman"/>
                                <w:spacing w:val="-2"/>
                                <w:sz w:val="28"/>
                              </w:rPr>
                            </w:pPr>
                            <w:r>
                              <w:rPr>
                                <w:rFonts w:hint="eastAsia" w:ascii="Times New Roman"/>
                                <w:sz w:val="21"/>
                                <w:szCs w:val="24"/>
                                <w:lang w:bidi="ar"/>
                              </w:rPr>
                              <w:t>防渗旱厕</w:t>
                            </w:r>
                          </w:p>
                        </w:txbxContent>
                      </wps:txbx>
                      <wps:bodyPr upright="1"/>
                    </wps:wsp>
                  </a:graphicData>
                </a:graphic>
              </wp:anchor>
            </w:drawing>
          </mc:Choice>
          <mc:Fallback>
            <w:pict>
              <v:shape id="_x0000_s1026" o:spid="_x0000_s1026" o:spt="202" type="#_x0000_t202" style="position:absolute;left:0pt;margin-left:255.1pt;margin-top:7.45pt;height:22.9pt;width:62.15pt;z-index:251678720;mso-width-relative:page;mso-height-relative:page;" filled="f" stroked="t" coordsize="21600,21600" o:gfxdata="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Ot3T1dcAAAAJAQAADwAAAAAAAAABACAAAAAiAAAA&#10;ZHJzL2Rvd25yZXYueG1sUEsBAhQAFAAAAAgAh07iQP0RHQMIAgAAEAQAAA4AAAAAAAAAAQAgAAAA&#10;JgEAAGRycy9lMm9Eb2MueG1sUEsFBgAAAAAGAAYAWQEAAKAFAAAAAA==&#10;">
                <v:fill on="f" focussize="0,0"/>
                <v:stroke color="#000000" joinstyle="miter"/>
                <v:imagedata o:title=""/>
                <o:lock v:ext="edit" aspectratio="f"/>
                <v:textbox>
                  <w:txbxContent>
                    <w:p w14:paraId="3E34FEF2">
                      <w:pPr>
                        <w:spacing w:line="240" w:lineRule="auto"/>
                        <w:ind w:firstLine="0" w:firstLineChars="0"/>
                        <w:jc w:val="center"/>
                        <w:rPr>
                          <w:rFonts w:ascii="Times New Roman"/>
                          <w:spacing w:val="-2"/>
                          <w:sz w:val="28"/>
                        </w:rPr>
                      </w:pPr>
                      <w:r>
                        <w:rPr>
                          <w:rFonts w:hint="eastAsia" w:ascii="Times New Roman"/>
                          <w:sz w:val="21"/>
                          <w:szCs w:val="24"/>
                          <w:lang w:bidi="ar"/>
                        </w:rPr>
                        <w:t>防渗旱厕</w:t>
                      </w:r>
                    </w:p>
                  </w:txbxContent>
                </v:textbox>
              </v:shape>
            </w:pict>
          </mc:Fallback>
        </mc:AlternateContent>
      </w:r>
      <w:r>
        <w:rPr>
          <w:rFonts w:ascii="Times New Roman"/>
          <w:color w:val="auto"/>
          <w:spacing w:val="-2"/>
          <w:highlight w:val="none"/>
        </w:rPr>
        <mc:AlternateContent>
          <mc:Choice Requires="wps">
            <w:drawing>
              <wp:anchor distT="0" distB="0" distL="114300" distR="114300" simplePos="0" relativeHeight="251684864" behindDoc="0" locked="0" layoutInCell="1" allowOverlap="1">
                <wp:simplePos x="0" y="0"/>
                <wp:positionH relativeFrom="column">
                  <wp:posOffset>95250</wp:posOffset>
                </wp:positionH>
                <wp:positionV relativeFrom="paragraph">
                  <wp:posOffset>99060</wp:posOffset>
                </wp:positionV>
                <wp:extent cx="1056640" cy="327025"/>
                <wp:effectExtent l="0" t="0" r="0" b="0"/>
                <wp:wrapNone/>
                <wp:docPr id="145" name="文本框 145"/>
                <wp:cNvGraphicFramePr/>
                <a:graphic xmlns:a="http://schemas.openxmlformats.org/drawingml/2006/main">
                  <a:graphicData uri="http://schemas.microsoft.com/office/word/2010/wordprocessingShape">
                    <wps:wsp>
                      <wps:cNvSpPr txBox="1"/>
                      <wps:spPr>
                        <a:xfrm>
                          <a:off x="0" y="0"/>
                          <a:ext cx="760095" cy="549275"/>
                        </a:xfrm>
                        <a:prstGeom prst="rect">
                          <a:avLst/>
                        </a:prstGeom>
                        <a:noFill/>
                        <a:ln w="9525" cap="flat" cmpd="sng">
                          <a:noFill/>
                          <a:prstDash val="solid"/>
                          <a:miter/>
                          <a:headEnd type="none" w="med" len="med"/>
                          <a:tailEnd type="none" w="med" len="med"/>
                        </a:ln>
                        <a:effectLst/>
                      </wps:spPr>
                      <wps:txbx>
                        <w:txbxContent>
                          <w:p w14:paraId="2063C0D5">
                            <w:pPr>
                              <w:ind w:firstLine="440"/>
                              <w:rPr>
                                <w:rFonts w:hint="eastAsia" w:ascii="Times New Roman"/>
                                <w:sz w:val="22"/>
                                <w:szCs w:val="22"/>
                              </w:rPr>
                            </w:pPr>
                            <w:r>
                              <w:rPr>
                                <w:rFonts w:hint="eastAsia" w:ascii="Times New Roman"/>
                                <w:sz w:val="22"/>
                                <w:szCs w:val="22"/>
                              </w:rPr>
                              <w:t>桶装水</w:t>
                            </w:r>
                          </w:p>
                        </w:txbxContent>
                      </wps:txbx>
                      <wps:bodyPr upright="1"/>
                    </wps:wsp>
                  </a:graphicData>
                </a:graphic>
              </wp:anchor>
            </w:drawing>
          </mc:Choice>
          <mc:Fallback>
            <w:pict>
              <v:shape id="_x0000_s1026" o:spid="_x0000_s1026" o:spt="202" type="#_x0000_t202" style="position:absolute;left:0pt;margin-left:7.5pt;margin-top:7.8pt;height:25.75pt;width:83.2pt;z-index:251684864;mso-width-relative:page;mso-height-relative:page;" filled="f" stroked="f" coordsize="21600,21600" o:gfxdata="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1M5oO1QAAAAgBAAAPAAAAAAAAAAEAIAAAACIAAABkcnMvZG93bnJldi54bWxQ&#10;SwECFAAUAAAACACHTuJAfHD/ePoBAAD1AwAADgAAAAAAAAABACAAAAAkAQAAZHJzL2Uyb0RvYy54&#10;bWxQSwUGAAAAAAYABgBZAQAAkAUAAAAA&#10;">
                <v:fill on="f" focussize="0,0"/>
                <v:stroke on="f" joinstyle="miter"/>
                <v:imagedata o:title=""/>
                <o:lock v:ext="edit" aspectratio="f"/>
                <v:textbox>
                  <w:txbxContent>
                    <w:p w14:paraId="2063C0D5">
                      <w:pPr>
                        <w:ind w:firstLine="440"/>
                        <w:rPr>
                          <w:rFonts w:hint="eastAsia" w:ascii="Times New Roman"/>
                          <w:sz w:val="22"/>
                          <w:szCs w:val="22"/>
                        </w:rPr>
                      </w:pPr>
                      <w:r>
                        <w:rPr>
                          <w:rFonts w:hint="eastAsia" w:ascii="Times New Roman"/>
                          <w:sz w:val="22"/>
                          <w:szCs w:val="22"/>
                        </w:rPr>
                        <w:t>桶装水</w:t>
                      </w:r>
                    </w:p>
                  </w:txbxContent>
                </v:textbox>
              </v:shape>
            </w:pict>
          </mc:Fallback>
        </mc:AlternateContent>
      </w:r>
      <w:r>
        <w:rPr>
          <w:rFonts w:ascii="Times New Roman"/>
          <w:color w:val="auto"/>
          <w:highlight w:val="none"/>
        </w:rPr>
        <mc:AlternateContent>
          <mc:Choice Requires="wps">
            <w:drawing>
              <wp:anchor distT="0" distB="0" distL="114300" distR="114300" simplePos="0" relativeHeight="251683840" behindDoc="0" locked="0" layoutInCell="1" allowOverlap="1">
                <wp:simplePos x="0" y="0"/>
                <wp:positionH relativeFrom="column">
                  <wp:posOffset>2051685</wp:posOffset>
                </wp:positionH>
                <wp:positionV relativeFrom="paragraph">
                  <wp:posOffset>23495</wp:posOffset>
                </wp:positionV>
                <wp:extent cx="267970" cy="8890"/>
                <wp:effectExtent l="0" t="55245" r="0" b="62865"/>
                <wp:wrapNone/>
                <wp:docPr id="137" name="直接连接符 137"/>
                <wp:cNvGraphicFramePr/>
                <a:graphic xmlns:a="http://schemas.openxmlformats.org/drawingml/2006/main">
                  <a:graphicData uri="http://schemas.microsoft.com/office/word/2010/wordprocessingShape">
                    <wps:wsp>
                      <wps:cNvCnPr/>
                      <wps:spPr>
                        <a:xfrm rot="9360000" flipH="1">
                          <a:off x="0" y="0"/>
                          <a:ext cx="267970" cy="8890"/>
                        </a:xfrm>
                        <a:prstGeom prst="line">
                          <a:avLst/>
                        </a:prstGeom>
                        <a:ln w="9525" cap="flat" cmpd="sng">
                          <a:solidFill>
                            <a:srgbClr val="000000"/>
                          </a:solidFill>
                          <a:prstDash val="dash"/>
                          <a:headEnd type="none" w="med" len="med"/>
                          <a:tailEnd type="triangle" w="med" len="med"/>
                        </a:ln>
                      </wps:spPr>
                      <wps:bodyPr upright="1"/>
                    </wps:wsp>
                  </a:graphicData>
                </a:graphic>
              </wp:anchor>
            </w:drawing>
          </mc:Choice>
          <mc:Fallback>
            <w:pict>
              <v:line id="_x0000_s1026" o:spid="_x0000_s1026" o:spt="20" style="position:absolute;left:0pt;flip:x;margin-left:161.55pt;margin-top:1.85pt;height:0.7pt;width:21.1pt;rotation:-10223616f;z-index:251683840;mso-width-relative:page;mso-height-relative:page;" filled="f" stroked="t" coordsize="21600,21600" o:gfxdata="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O60LsDWAAAABwEAAA8AAAAAAAAA&#10;AQAgAAAAIgAAAGRycy9kb3ducmV2LnhtbFBLAQIUABQAAAAIAIdO4kAekcPEEwIAAAUEAAAOAAAA&#10;AAAAAAEAIAAAACUBAABkcnMvZTJvRG9jLnhtbFBLBQYAAAAABgAGAFkBAACqBQAAAAA=&#10;">
                <v:fill on="f" focussize="0,0"/>
                <v:stroke color="#000000" joinstyle="round" dashstyle="dash" endarrow="block"/>
                <v:imagedata o:title=""/>
                <o:lock v:ext="edit" aspectratio="f"/>
              </v:line>
            </w:pict>
          </mc:Fallback>
        </mc:AlternateContent>
      </w:r>
      <w:r>
        <w:rPr>
          <w:rFonts w:ascii="Times New Roman"/>
          <w:color w:val="auto"/>
          <w:spacing w:val="-2"/>
          <w:highlight w:val="none"/>
        </w:rPr>
        <mc:AlternateContent>
          <mc:Choice Requires="wps">
            <w:drawing>
              <wp:anchor distT="0" distB="0" distL="114300" distR="114300" simplePos="0" relativeHeight="251675648" behindDoc="0" locked="0" layoutInCell="1" allowOverlap="1">
                <wp:simplePos x="0" y="0"/>
                <wp:positionH relativeFrom="column">
                  <wp:posOffset>1045845</wp:posOffset>
                </wp:positionH>
                <wp:positionV relativeFrom="paragraph">
                  <wp:posOffset>43102530</wp:posOffset>
                </wp:positionV>
                <wp:extent cx="3006090" cy="95885"/>
                <wp:effectExtent l="0" t="4445" r="3810" b="39370"/>
                <wp:wrapNone/>
                <wp:docPr id="143" name="直接箭头连接符 143"/>
                <wp:cNvGraphicFramePr/>
                <a:graphic xmlns:a="http://schemas.openxmlformats.org/drawingml/2006/main">
                  <a:graphicData uri="http://schemas.microsoft.com/office/word/2010/wordprocessingShape">
                    <wps:wsp>
                      <wps:cNvCnPr/>
                      <wps:spPr>
                        <a:xfrm>
                          <a:off x="0" y="0"/>
                          <a:ext cx="3006090" cy="958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82.35pt;margin-top:3393.9pt;height:7.55pt;width:236.7pt;z-index:251675648;mso-width-relative:page;mso-height-relative:page;" filled="f" stroked="t" coordsize="21600,21600" o:gfxdata="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7DOpy9sAAAANAQAADwAAAAAAAAABACAAAAAi&#10;AAAAZHJzL2Rvd25yZXYueG1sUEsBAhQAFAAAAAgAh07iQB0QZcoHAgAA+AMAAA4AAAAAAAAAAQAg&#10;AAAAKgEAAGRycy9lMm9Eb2MueG1sUEsFBgAAAAAGAAYAWQEAAKMFAAAAAA==&#10;">
                <v:fill on="f" focussize="0,0"/>
                <v:stroke color="#000000" joinstyle="round" endarrow="block"/>
                <v:imagedata o:title=""/>
                <o:lock v:ext="edit" aspectratio="f"/>
              </v:shape>
            </w:pict>
          </mc:Fallback>
        </mc:AlternateContent>
      </w:r>
      <w:r>
        <w:rPr>
          <w:rFonts w:ascii="Times New Roman"/>
          <w:color w:val="auto"/>
          <w:spacing w:val="-2"/>
          <w:highlight w:val="none"/>
        </w:rPr>
        <mc:AlternateContent>
          <mc:Choice Requires="wps">
            <w:drawing>
              <wp:anchor distT="0" distB="0" distL="114300" distR="114300" simplePos="0" relativeHeight="251671552" behindDoc="0" locked="0" layoutInCell="1" allowOverlap="1">
                <wp:simplePos x="0" y="0"/>
                <wp:positionH relativeFrom="column">
                  <wp:posOffset>1045845</wp:posOffset>
                </wp:positionH>
                <wp:positionV relativeFrom="paragraph">
                  <wp:posOffset>43102530</wp:posOffset>
                </wp:positionV>
                <wp:extent cx="3006090" cy="95885"/>
                <wp:effectExtent l="0" t="4445" r="3810" b="39370"/>
                <wp:wrapNone/>
                <wp:docPr id="138" name="直接箭头连接符 138"/>
                <wp:cNvGraphicFramePr/>
                <a:graphic xmlns:a="http://schemas.openxmlformats.org/drawingml/2006/main">
                  <a:graphicData uri="http://schemas.microsoft.com/office/word/2010/wordprocessingShape">
                    <wps:wsp>
                      <wps:cNvCnPr/>
                      <wps:spPr>
                        <a:xfrm>
                          <a:off x="0" y="0"/>
                          <a:ext cx="3006090" cy="95885"/>
                        </a:xfrm>
                        <a:prstGeom prst="straightConnector1">
                          <a:avLst/>
                        </a:prstGeom>
                        <a:ln w="9525" cap="flat" cmpd="sng">
                          <a:solidFill>
                            <a:srgbClr val="000000"/>
                          </a:solidFill>
                          <a:prstDash val="dash"/>
                          <a:headEnd type="none" w="med" len="med"/>
                          <a:tailEnd type="triangle" w="med" len="med"/>
                        </a:ln>
                      </wps:spPr>
                      <wps:bodyPr/>
                    </wps:wsp>
                  </a:graphicData>
                </a:graphic>
              </wp:anchor>
            </w:drawing>
          </mc:Choice>
          <mc:Fallback>
            <w:pict>
              <v:shape id="_x0000_s1026" o:spid="_x0000_s1026" o:spt="32" type="#_x0000_t32" style="position:absolute;left:0pt;margin-left:82.35pt;margin-top:3393.9pt;height:7.55pt;width:236.7pt;z-index:251671552;mso-width-relative:page;mso-height-relative:page;" filled="f" stroked="t" coordsize="21600,21600" o:gfxdata="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9wCNgAAAANAQAADwAAAAAAAAABACAAAAAiAAAA&#10;ZHJzL2Rvd25yZXYueG1sUEsBAhQAFAAAAAgAh07iQNi5Xp0HAgAA9wMAAA4AAAAAAAAAAQAgAAAA&#10;JwEAAGRycy9lMm9Eb2MueG1sUEsFBgAAAAAGAAYAWQEAAKAFAAAAAA==&#10;">
                <v:fill on="f" focussize="0,0"/>
                <v:stroke color="#000000" joinstyle="round" dashstyle="dash" endarrow="block"/>
                <v:imagedata o:title=""/>
                <o:lock v:ext="edit" aspectratio="f"/>
              </v:shape>
            </w:pict>
          </mc:Fallback>
        </mc:AlternateContent>
      </w:r>
    </w:p>
    <w:p w14:paraId="44865D56">
      <w:pPr>
        <w:ind w:firstLine="480"/>
        <w:rPr>
          <w:rFonts w:ascii="Times New Roman"/>
          <w:color w:val="auto"/>
          <w:spacing w:val="-2"/>
          <w:highlight w:val="none"/>
        </w:rPr>
      </w:pPr>
      <w:r>
        <w:rPr>
          <w:rFonts w:ascii="Times New Roman"/>
          <w:color w:val="auto"/>
          <w:highlight w:val="none"/>
        </w:rPr>
        <mc:AlternateContent>
          <mc:Choice Requires="wps">
            <w:drawing>
              <wp:anchor distT="0" distB="0" distL="114300" distR="114300" simplePos="0" relativeHeight="251679744" behindDoc="0" locked="0" layoutInCell="1" allowOverlap="1">
                <wp:simplePos x="0" y="0"/>
                <wp:positionH relativeFrom="column">
                  <wp:posOffset>4042410</wp:posOffset>
                </wp:positionH>
                <wp:positionV relativeFrom="paragraph">
                  <wp:posOffset>49530</wp:posOffset>
                </wp:positionV>
                <wp:extent cx="278130" cy="8255"/>
                <wp:effectExtent l="0" t="35560" r="1270" b="32385"/>
                <wp:wrapNone/>
                <wp:docPr id="149" name="直接连接符 149"/>
                <wp:cNvGraphicFramePr/>
                <a:graphic xmlns:a="http://schemas.openxmlformats.org/drawingml/2006/main">
                  <a:graphicData uri="http://schemas.microsoft.com/office/word/2010/wordprocessingShape">
                    <wps:wsp>
                      <wps:cNvCnPr/>
                      <wps:spPr>
                        <a:xfrm flipV="1">
                          <a:off x="0" y="0"/>
                          <a:ext cx="278130" cy="8255"/>
                        </a:xfrm>
                        <a:prstGeom prst="line">
                          <a:avLst/>
                        </a:prstGeom>
                        <a:ln w="9525" cap="flat" cmpd="sng">
                          <a:solidFill>
                            <a:srgbClr val="000000"/>
                          </a:solidFill>
                          <a:prstDash val="dash"/>
                          <a:headEnd type="none" w="med" len="med"/>
                          <a:tailEnd type="triangle" w="med" len="med"/>
                        </a:ln>
                      </wps:spPr>
                      <wps:bodyPr upright="1"/>
                    </wps:wsp>
                  </a:graphicData>
                </a:graphic>
              </wp:anchor>
            </w:drawing>
          </mc:Choice>
          <mc:Fallback>
            <w:pict>
              <v:line id="_x0000_s1026" o:spid="_x0000_s1026" o:spt="20" style="position:absolute;left:0pt;flip:y;margin-left:318.3pt;margin-top:3.9pt;height:0.65pt;width:21.9pt;z-index:251679744;mso-width-relative:page;mso-height-relative:page;" filled="f" stroked="t" coordsize="21600,21600" o:gfxdata="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&#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FJ+KtUAAAAHAQAADwAAAAAAAAABACAAAAAiAAAAZHJz&#10;L2Rvd25yZXYueG1sUEsBAhQAFAAAAAgAh07iQBlGrPwHAgAA9wMAAA4AAAAAAAAAAQAgAAAAJAEA&#10;AGRycy9lMm9Eb2MueG1sUEsFBgAAAAAGAAYAWQEAAJ0FAAAAAA==&#10;">
                <v:fill on="f" focussize="0,0"/>
                <v:stroke color="#000000" joinstyle="round" dashstyle="dash" endarrow="block"/>
                <v:imagedata o:title=""/>
                <o:lock v:ext="edit" aspectratio="f"/>
              </v:line>
            </w:pict>
          </mc:Fallback>
        </mc:AlternateContent>
      </w:r>
      <w:r>
        <w:rPr>
          <w:rFonts w:ascii="Times New Roman"/>
          <w:color w:val="auto"/>
          <w:highlight w:val="none"/>
        </w:rPr>
        <mc:AlternateContent>
          <mc:Choice Requires="wps">
            <w:drawing>
              <wp:anchor distT="0" distB="0" distL="114300" distR="114300" simplePos="0" relativeHeight="251677696" behindDoc="0" locked="0" layoutInCell="1" allowOverlap="1">
                <wp:simplePos x="0" y="0"/>
                <wp:positionH relativeFrom="column">
                  <wp:posOffset>2754630</wp:posOffset>
                </wp:positionH>
                <wp:positionV relativeFrom="paragraph">
                  <wp:posOffset>38100</wp:posOffset>
                </wp:positionV>
                <wp:extent cx="478790" cy="2540"/>
                <wp:effectExtent l="0" t="36195" r="3810" b="37465"/>
                <wp:wrapNone/>
                <wp:docPr id="153" name="直接连接符 153"/>
                <wp:cNvGraphicFramePr/>
                <a:graphic xmlns:a="http://schemas.openxmlformats.org/drawingml/2006/main">
                  <a:graphicData uri="http://schemas.microsoft.com/office/word/2010/wordprocessingShape">
                    <wps:wsp>
                      <wps:cNvCnPr/>
                      <wps:spPr>
                        <a:xfrm>
                          <a:off x="0" y="0"/>
                          <a:ext cx="478790" cy="25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6.9pt;margin-top:3pt;height:0.2pt;width:37.7pt;z-index:251677696;mso-width-relative:page;mso-height-relative:page;" filled="f" stroked="t" coordsize="21600,21600" o:gfxdata="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xMwHZ2AAAAAcBAAAPAAAAAAAAAAEAIAAAACIAAABkcnMv&#10;ZG93bnJldi54bWxQSwECFAAUAAAACACHTuJALCOSKgMCAADuAwAADgAAAAAAAAABACAAAAAnAQAA&#10;ZHJzL2Uyb0RvYy54bWxQSwUGAAAAAAYABgBZAQAAnAUAAAAA&#10;">
                <v:fill on="f" focussize="0,0"/>
                <v:stroke color="#000000" joinstyle="round" endarrow="block"/>
                <v:imagedata o:title=""/>
                <o:lock v:ext="edit" aspectratio="f"/>
              </v:line>
            </w:pict>
          </mc:Fallback>
        </mc:AlternateContent>
      </w:r>
      <w:r>
        <w:rPr>
          <w:rFonts w:ascii="Times New Roman"/>
          <w:color w:val="auto"/>
          <w:spacing w:val="-2"/>
          <w:highlight w:val="none"/>
        </w:rPr>
        <mc:AlternateContent>
          <mc:Choice Requires="wps">
            <w:drawing>
              <wp:anchor distT="0" distB="0" distL="114300" distR="114300" simplePos="0" relativeHeight="251700224" behindDoc="0" locked="0" layoutInCell="1" allowOverlap="1">
                <wp:simplePos x="0" y="0"/>
                <wp:positionH relativeFrom="column">
                  <wp:posOffset>4228465</wp:posOffset>
                </wp:positionH>
                <wp:positionV relativeFrom="paragraph">
                  <wp:posOffset>147320</wp:posOffset>
                </wp:positionV>
                <wp:extent cx="563245" cy="285750"/>
                <wp:effectExtent l="0" t="0" r="0" b="0"/>
                <wp:wrapNone/>
                <wp:docPr id="235" name="文本框 235"/>
                <wp:cNvGraphicFramePr/>
                <a:graphic xmlns:a="http://schemas.openxmlformats.org/drawingml/2006/main">
                  <a:graphicData uri="http://schemas.microsoft.com/office/word/2010/wordprocessingShape">
                    <wps:wsp>
                      <wps:cNvSpPr txBox="1"/>
                      <wps:spPr>
                        <a:xfrm>
                          <a:off x="0" y="0"/>
                          <a:ext cx="563245" cy="285750"/>
                        </a:xfrm>
                        <a:prstGeom prst="rect">
                          <a:avLst/>
                        </a:prstGeom>
                        <a:noFill/>
                        <a:ln w="6350">
                          <a:noFill/>
                        </a:ln>
                        <a:effectLst/>
                      </wps:spPr>
                      <wps:txbx>
                        <w:txbxContent>
                          <w:p w14:paraId="0BC174D0">
                            <w:pPr>
                              <w:spacing w:line="240" w:lineRule="auto"/>
                              <w:ind w:firstLine="0" w:firstLineChars="0"/>
                              <w:rPr>
                                <w:rFonts w:hint="default" w:ascii="Times New Roman" w:eastAsia="宋体"/>
                                <w:spacing w:val="-2"/>
                                <w:sz w:val="21"/>
                                <w:szCs w:val="21"/>
                                <w:lang w:val="en-US" w:eastAsia="zh-CN"/>
                              </w:rPr>
                            </w:pPr>
                            <w:r>
                              <w:rPr>
                                <w:rFonts w:hint="eastAsia" w:ascii="Times New Roman"/>
                                <w:spacing w:val="-2"/>
                                <w:sz w:val="21"/>
                                <w:szCs w:val="21"/>
                                <w:lang w:val="en-US" w:eastAsia="zh-CN"/>
                              </w:rPr>
                              <w:t>3.16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95pt;margin-top:11.6pt;height:22.5pt;width:44.35pt;z-index:251700224;mso-width-relative:page;mso-height-relative:page;" filled="f" stroked="f" coordsize="21600,21600" o:gfxdata="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OddjiDaAAAACQEAAA8AAAAAAAAAAQAgAAAA&#10;IgAAAGRycy9kb3ducmV2LnhtbFBLAQIUABQAAAAIAIdO4kAFsQLeQgIAAHcEAAAOAAAAAAAAAAEA&#10;IAAAACkBAABkcnMvZTJvRG9jLnhtbFBLBQYAAAAABgAGAFkBAADdBQAAAAA=&#10;">
                <v:fill on="f" focussize="0,0"/>
                <v:stroke on="f" weight="0.5pt"/>
                <v:imagedata o:title=""/>
                <o:lock v:ext="edit" aspectratio="f"/>
                <v:textbox>
                  <w:txbxContent>
                    <w:p w14:paraId="0BC174D0">
                      <w:pPr>
                        <w:spacing w:line="240" w:lineRule="auto"/>
                        <w:ind w:firstLine="0" w:firstLineChars="0"/>
                        <w:rPr>
                          <w:rFonts w:hint="default" w:ascii="Times New Roman" w:eastAsia="宋体"/>
                          <w:spacing w:val="-2"/>
                          <w:sz w:val="21"/>
                          <w:szCs w:val="21"/>
                          <w:lang w:val="en-US" w:eastAsia="zh-CN"/>
                        </w:rPr>
                      </w:pPr>
                      <w:r>
                        <w:rPr>
                          <w:rFonts w:hint="eastAsia" w:ascii="Times New Roman"/>
                          <w:spacing w:val="-2"/>
                          <w:sz w:val="21"/>
                          <w:szCs w:val="21"/>
                          <w:lang w:val="en-US" w:eastAsia="zh-CN"/>
                        </w:rPr>
                        <w:t>3.16</w:t>
                      </w:r>
                    </w:p>
                  </w:txbxContent>
                </v:textbox>
              </v:shape>
            </w:pict>
          </mc:Fallback>
        </mc:AlternateContent>
      </w:r>
      <w:r>
        <w:rPr>
          <w:color w:val="auto"/>
          <w:highlight w:val="none"/>
        </w:rPr>
        <mc:AlternateContent>
          <mc:Choice Requires="wps">
            <w:drawing>
              <wp:anchor distT="0" distB="0" distL="114300" distR="114300" simplePos="0" relativeHeight="251682816" behindDoc="0" locked="0" layoutInCell="1" allowOverlap="1">
                <wp:simplePos x="0" y="0"/>
                <wp:positionH relativeFrom="column">
                  <wp:posOffset>963930</wp:posOffset>
                </wp:positionH>
                <wp:positionV relativeFrom="paragraph">
                  <wp:posOffset>45085</wp:posOffset>
                </wp:positionV>
                <wp:extent cx="704215" cy="1905"/>
                <wp:effectExtent l="0" t="36195" r="6985" b="38100"/>
                <wp:wrapNone/>
                <wp:docPr id="139" name="直接连接符 139"/>
                <wp:cNvGraphicFramePr/>
                <a:graphic xmlns:a="http://schemas.openxmlformats.org/drawingml/2006/main">
                  <a:graphicData uri="http://schemas.microsoft.com/office/word/2010/wordprocessingShape">
                    <wps:wsp>
                      <wps:cNvCnPr/>
                      <wps:spPr>
                        <a:xfrm>
                          <a:off x="0" y="0"/>
                          <a:ext cx="704215" cy="1905"/>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75.9pt;margin-top:3.55pt;height:0.15pt;width:55.45pt;z-index:251682816;mso-width-relative:page;mso-height-relative:page;" filled="f" stroked="t" coordsize="21600,21600" o:gfxdata="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vUHPS0wAAAAcBAAAPAAAAAAAAAAEAIAAAACIAAABkcnMvZG93bnJldi54&#10;bWxQSwECFAAUAAAACACHTuJAMKNBPf8BAADvAwAADgAAAAAAAAABACAAAAAiAQAAZHJzL2Uyb0Rv&#10;Yy54bWxQSwUGAAAAAAYABgBZAQAAkwUAAAAA&#10;">
                <v:fill on="f" focussize="0,0"/>
                <v:stroke weight="1.25pt" color="#000000" joinstyle="round" endarrow="block"/>
                <v:imagedata o:title=""/>
                <o:lock v:ext="edit" aspectratio="f"/>
              </v:line>
            </w:pict>
          </mc:Fallback>
        </mc:AlternateContent>
      </w:r>
    </w:p>
    <w:p w14:paraId="47A69BE3">
      <w:pPr>
        <w:pStyle w:val="2"/>
        <w:rPr>
          <w:rFonts w:ascii="Times New Roman"/>
          <w:color w:val="auto"/>
          <w:spacing w:val="-2"/>
          <w:highlight w:val="none"/>
        </w:rPr>
      </w:pPr>
      <w:r>
        <w:rPr>
          <w:rFonts w:ascii="Times New Roman"/>
          <w:color w:val="auto"/>
          <w:spacing w:val="-2"/>
          <w:highlight w:val="none"/>
        </w:rPr>
        <mc:AlternateContent>
          <mc:Choice Requires="wps">
            <w:drawing>
              <wp:anchor distT="0" distB="0" distL="114300" distR="114300" simplePos="0" relativeHeight="251686912" behindDoc="0" locked="0" layoutInCell="1" allowOverlap="1">
                <wp:simplePos x="0" y="0"/>
                <wp:positionH relativeFrom="column">
                  <wp:posOffset>146685</wp:posOffset>
                </wp:positionH>
                <wp:positionV relativeFrom="paragraph">
                  <wp:posOffset>255270</wp:posOffset>
                </wp:positionV>
                <wp:extent cx="1056640" cy="309880"/>
                <wp:effectExtent l="0" t="0" r="0" b="0"/>
                <wp:wrapNone/>
                <wp:docPr id="152" name="文本框 152"/>
                <wp:cNvGraphicFramePr/>
                <a:graphic xmlns:a="http://schemas.openxmlformats.org/drawingml/2006/main">
                  <a:graphicData uri="http://schemas.microsoft.com/office/word/2010/wordprocessingShape">
                    <wps:wsp>
                      <wps:cNvSpPr txBox="1"/>
                      <wps:spPr>
                        <a:xfrm>
                          <a:off x="0" y="0"/>
                          <a:ext cx="760095" cy="549275"/>
                        </a:xfrm>
                        <a:prstGeom prst="rect">
                          <a:avLst/>
                        </a:prstGeom>
                        <a:noFill/>
                        <a:ln w="9525" cap="flat" cmpd="sng">
                          <a:noFill/>
                          <a:prstDash val="solid"/>
                          <a:miter/>
                          <a:headEnd type="none" w="med" len="med"/>
                          <a:tailEnd type="none" w="med" len="med"/>
                        </a:ln>
                        <a:effectLst/>
                      </wps:spPr>
                      <wps:txbx>
                        <w:txbxContent>
                          <w:p w14:paraId="62E68D8A">
                            <w:pPr>
                              <w:ind w:firstLine="440"/>
                              <w:rPr>
                                <w:rFonts w:hint="eastAsia" w:ascii="Times New Roman"/>
                                <w:sz w:val="22"/>
                                <w:szCs w:val="22"/>
                              </w:rPr>
                            </w:pPr>
                            <w:r>
                              <w:rPr>
                                <w:rFonts w:hint="eastAsia" w:ascii="Times New Roman"/>
                                <w:sz w:val="22"/>
                                <w:szCs w:val="22"/>
                                <w:lang w:val="en-US" w:eastAsia="zh-CN"/>
                              </w:rPr>
                              <w:t>雨</w:t>
                            </w:r>
                            <w:r>
                              <w:rPr>
                                <w:rFonts w:hint="eastAsia" w:ascii="Times New Roman"/>
                                <w:sz w:val="22"/>
                                <w:szCs w:val="22"/>
                              </w:rPr>
                              <w:t>水</w:t>
                            </w:r>
                          </w:p>
                        </w:txbxContent>
                      </wps:txbx>
                      <wps:bodyPr upright="1"/>
                    </wps:wsp>
                  </a:graphicData>
                </a:graphic>
              </wp:anchor>
            </w:drawing>
          </mc:Choice>
          <mc:Fallback>
            <w:pict>
              <v:shape id="_x0000_s1026" o:spid="_x0000_s1026" o:spt="202" type="#_x0000_t202" style="position:absolute;left:0pt;margin-left:11.55pt;margin-top:20.1pt;height:24.4pt;width:83.2pt;z-index:251686912;mso-width-relative:page;mso-height-relative:page;" filled="f" stroked="f" coordsize="21600,21600" o:gfxdata="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wd0Ol1gAAAAgBAAAPAAAAAAAAAAEAIAAAACIAAABkcnMvZG93bnJldi54bWxQ&#10;SwECFAAUAAAACACHTuJAqZPVEfkBAAD1AwAADgAAAAAAAAABACAAAAAlAQAAZHJzL2Uyb0RvYy54&#10;bWxQSwUGAAAAAAYABgBZAQAAkAUAAAAA&#10;">
                <v:fill on="f" focussize="0,0"/>
                <v:stroke on="f" joinstyle="miter"/>
                <v:imagedata o:title=""/>
                <o:lock v:ext="edit" aspectratio="f"/>
                <v:textbox>
                  <w:txbxContent>
                    <w:p w14:paraId="62E68D8A">
                      <w:pPr>
                        <w:ind w:firstLine="440"/>
                        <w:rPr>
                          <w:rFonts w:hint="eastAsia" w:ascii="Times New Roman"/>
                          <w:sz w:val="22"/>
                          <w:szCs w:val="22"/>
                        </w:rPr>
                      </w:pPr>
                      <w:r>
                        <w:rPr>
                          <w:rFonts w:hint="eastAsia" w:ascii="Times New Roman"/>
                          <w:sz w:val="22"/>
                          <w:szCs w:val="22"/>
                          <w:lang w:val="en-US" w:eastAsia="zh-CN"/>
                        </w:rPr>
                        <w:t>雨</w:t>
                      </w:r>
                      <w:r>
                        <w:rPr>
                          <w:rFonts w:hint="eastAsia" w:ascii="Times New Roman"/>
                          <w:sz w:val="22"/>
                          <w:szCs w:val="22"/>
                        </w:rPr>
                        <w:t>水</w:t>
                      </w:r>
                    </w:p>
                  </w:txbxContent>
                </v:textbox>
              </v:shape>
            </w:pict>
          </mc:Fallback>
        </mc:AlternateContent>
      </w:r>
      <w:r>
        <w:rPr>
          <w:rFonts w:ascii="Times New Roman"/>
          <w:color w:val="auto"/>
          <w:highlight w:val="none"/>
        </w:rPr>
        <mc:AlternateContent>
          <mc:Choice Requires="wps">
            <w:drawing>
              <wp:anchor distT="0" distB="0" distL="114300" distR="114300" simplePos="0" relativeHeight="251699200" behindDoc="0" locked="0" layoutInCell="1" allowOverlap="1">
                <wp:simplePos x="0" y="0"/>
                <wp:positionH relativeFrom="column">
                  <wp:posOffset>4206875</wp:posOffset>
                </wp:positionH>
                <wp:positionV relativeFrom="paragraph">
                  <wp:posOffset>230505</wp:posOffset>
                </wp:positionV>
                <wp:extent cx="267970" cy="8890"/>
                <wp:effectExtent l="0" t="55245" r="0" b="62865"/>
                <wp:wrapNone/>
                <wp:docPr id="234" name="直接连接符 234"/>
                <wp:cNvGraphicFramePr/>
                <a:graphic xmlns:a="http://schemas.openxmlformats.org/drawingml/2006/main">
                  <a:graphicData uri="http://schemas.microsoft.com/office/word/2010/wordprocessingShape">
                    <wps:wsp>
                      <wps:cNvCnPr/>
                      <wps:spPr>
                        <a:xfrm rot="9360000" flipH="1">
                          <a:off x="0" y="0"/>
                          <a:ext cx="267970" cy="8890"/>
                        </a:xfrm>
                        <a:prstGeom prst="line">
                          <a:avLst/>
                        </a:prstGeom>
                        <a:ln w="9525" cap="flat" cmpd="sng">
                          <a:solidFill>
                            <a:srgbClr val="000000"/>
                          </a:solidFill>
                          <a:prstDash val="dash"/>
                          <a:headEnd type="none" w="med" len="med"/>
                          <a:tailEnd type="triangle" w="med" len="med"/>
                        </a:ln>
                      </wps:spPr>
                      <wps:bodyPr upright="1"/>
                    </wps:wsp>
                  </a:graphicData>
                </a:graphic>
              </wp:anchor>
            </w:drawing>
          </mc:Choice>
          <mc:Fallback>
            <w:pict>
              <v:line id="_x0000_s1026" o:spid="_x0000_s1026" o:spt="20" style="position:absolute;left:0pt;flip:x;margin-left:331.25pt;margin-top:18.15pt;height:0.7pt;width:21.1pt;rotation:-10223616f;z-index:251699200;mso-width-relative:page;mso-height-relative:page;" filled="f" stroked="t" coordsize="21600,21600" o:gfxdata="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6jJNPZAAAACQEAAA8AAAAA&#10;AAAAAQAgAAAAIgAAAGRycy9kb3ducmV2LnhtbFBLAQIUABQAAAAIAIdO4kCbFxc4EwIAAAUEAAAO&#10;AAAAAAAAAAEAIAAAACgBAABkcnMvZTJvRG9jLnhtbFBLBQYAAAAABgAGAFkBAACtBQAAAAA=&#10;">
                <v:fill on="f" focussize="0,0"/>
                <v:stroke color="#000000" joinstyle="round" dashstyle="dash" endarrow="block"/>
                <v:imagedata o:title=""/>
                <o:lock v:ext="edit" aspectratio="f"/>
              </v:line>
            </w:pict>
          </mc:Fallback>
        </mc:AlternateContent>
      </w:r>
      <w:r>
        <w:rPr>
          <w:rFonts w:ascii="Times New Roman"/>
          <w:color w:val="auto"/>
          <w:spacing w:val="-2"/>
          <w:highlight w:val="none"/>
        </w:rPr>
        <mc:AlternateContent>
          <mc:Choice Requires="wps">
            <w:drawing>
              <wp:anchor distT="0" distB="0" distL="114300" distR="114300" simplePos="0" relativeHeight="251698176" behindDoc="0" locked="0" layoutInCell="1" allowOverlap="1">
                <wp:simplePos x="0" y="0"/>
                <wp:positionH relativeFrom="column">
                  <wp:posOffset>2869565</wp:posOffset>
                </wp:positionH>
                <wp:positionV relativeFrom="paragraph">
                  <wp:posOffset>120015</wp:posOffset>
                </wp:positionV>
                <wp:extent cx="563245" cy="285750"/>
                <wp:effectExtent l="0" t="0" r="0" b="0"/>
                <wp:wrapNone/>
                <wp:docPr id="233" name="文本框 233"/>
                <wp:cNvGraphicFramePr/>
                <a:graphic xmlns:a="http://schemas.openxmlformats.org/drawingml/2006/main">
                  <a:graphicData uri="http://schemas.microsoft.com/office/word/2010/wordprocessingShape">
                    <wps:wsp>
                      <wps:cNvSpPr txBox="1"/>
                      <wps:spPr>
                        <a:xfrm>
                          <a:off x="0" y="0"/>
                          <a:ext cx="563245" cy="285750"/>
                        </a:xfrm>
                        <a:prstGeom prst="rect">
                          <a:avLst/>
                        </a:prstGeom>
                        <a:noFill/>
                        <a:ln w="6350">
                          <a:noFill/>
                        </a:ln>
                        <a:effectLst/>
                      </wps:spPr>
                      <wps:txbx>
                        <w:txbxContent>
                          <w:p w14:paraId="1299FB65">
                            <w:pPr>
                              <w:spacing w:line="240" w:lineRule="auto"/>
                              <w:ind w:firstLine="0" w:firstLineChars="0"/>
                              <w:rPr>
                                <w:rFonts w:hint="default" w:ascii="Times New Roman" w:eastAsia="宋体"/>
                                <w:spacing w:val="-2"/>
                                <w:sz w:val="21"/>
                                <w:szCs w:val="21"/>
                                <w:lang w:val="en-US" w:eastAsia="zh-CN"/>
                              </w:rPr>
                            </w:pPr>
                            <w:r>
                              <w:rPr>
                                <w:rFonts w:hint="eastAsia" w:ascii="Times New Roman"/>
                                <w:spacing w:val="-2"/>
                                <w:sz w:val="21"/>
                                <w:szCs w:val="21"/>
                                <w:lang w:val="en-US" w:eastAsia="zh-CN"/>
                              </w:rPr>
                              <w:t>3.16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5.95pt;margin-top:9.45pt;height:22.5pt;width:44.35pt;z-index:251698176;mso-width-relative:page;mso-height-relative:page;" filled="f" stroked="f" coordsize="21600,21600" o:gfxdata="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W/xbL2wAAAAkBAAAPAAAAAAAAAAEAIAAA&#10;ACIAAABkcnMvZG93bnJldi54bWxQSwECFAAUAAAACACHTuJAIFk8ZUICAAB3BAAADgAAAAAAAAAB&#10;ACAAAAAqAQAAZHJzL2Uyb0RvYy54bWxQSwUGAAAAAAYABgBZAQAA3gUAAAAA&#10;">
                <v:fill on="f" focussize="0,0"/>
                <v:stroke on="f" weight="0.5pt"/>
                <v:imagedata o:title=""/>
                <o:lock v:ext="edit" aspectratio="f"/>
                <v:textbox>
                  <w:txbxContent>
                    <w:p w14:paraId="1299FB65">
                      <w:pPr>
                        <w:spacing w:line="240" w:lineRule="auto"/>
                        <w:ind w:firstLine="0" w:firstLineChars="0"/>
                        <w:rPr>
                          <w:rFonts w:hint="default" w:ascii="Times New Roman" w:eastAsia="宋体"/>
                          <w:spacing w:val="-2"/>
                          <w:sz w:val="21"/>
                          <w:szCs w:val="21"/>
                          <w:lang w:val="en-US" w:eastAsia="zh-CN"/>
                        </w:rPr>
                      </w:pPr>
                      <w:r>
                        <w:rPr>
                          <w:rFonts w:hint="eastAsia" w:ascii="Times New Roman"/>
                          <w:spacing w:val="-2"/>
                          <w:sz w:val="21"/>
                          <w:szCs w:val="21"/>
                          <w:lang w:val="en-US" w:eastAsia="zh-CN"/>
                        </w:rPr>
                        <w:t>3.16</w:t>
                      </w:r>
                    </w:p>
                  </w:txbxContent>
                </v:textbox>
              </v:shape>
            </w:pict>
          </mc:Fallback>
        </mc:AlternateContent>
      </w:r>
      <w:r>
        <w:rPr>
          <w:rFonts w:ascii="Times New Roman"/>
          <w:color w:val="auto"/>
          <w:spacing w:val="-2"/>
          <w:highlight w:val="none"/>
        </w:rPr>
        <mc:AlternateContent>
          <mc:Choice Requires="wps">
            <w:drawing>
              <wp:anchor distT="0" distB="0" distL="114300" distR="114300" simplePos="0" relativeHeight="251691008" behindDoc="0" locked="0" layoutInCell="1" allowOverlap="1">
                <wp:simplePos x="0" y="0"/>
                <wp:positionH relativeFrom="column">
                  <wp:posOffset>1025525</wp:posOffset>
                </wp:positionH>
                <wp:positionV relativeFrom="paragraph">
                  <wp:posOffset>100330</wp:posOffset>
                </wp:positionV>
                <wp:extent cx="563245" cy="285750"/>
                <wp:effectExtent l="0" t="0" r="0" b="0"/>
                <wp:wrapNone/>
                <wp:docPr id="142" name="文本框 142"/>
                <wp:cNvGraphicFramePr/>
                <a:graphic xmlns:a="http://schemas.openxmlformats.org/drawingml/2006/main">
                  <a:graphicData uri="http://schemas.microsoft.com/office/word/2010/wordprocessingShape">
                    <wps:wsp>
                      <wps:cNvSpPr txBox="1"/>
                      <wps:spPr>
                        <a:xfrm>
                          <a:off x="0" y="0"/>
                          <a:ext cx="828040" cy="285750"/>
                        </a:xfrm>
                        <a:prstGeom prst="rect">
                          <a:avLst/>
                        </a:prstGeom>
                        <a:noFill/>
                        <a:ln w="6350">
                          <a:noFill/>
                        </a:ln>
                        <a:effectLst/>
                      </wps:spPr>
                      <wps:txbx>
                        <w:txbxContent>
                          <w:p w14:paraId="3F69BA6C">
                            <w:pPr>
                              <w:spacing w:line="240" w:lineRule="auto"/>
                              <w:ind w:firstLine="0" w:firstLineChars="0"/>
                              <w:rPr>
                                <w:rFonts w:hint="default" w:ascii="Times New Roman" w:eastAsia="宋体"/>
                                <w:spacing w:val="-2"/>
                                <w:sz w:val="21"/>
                                <w:szCs w:val="21"/>
                                <w:lang w:val="en-US" w:eastAsia="zh-CN"/>
                              </w:rPr>
                            </w:pPr>
                            <w:r>
                              <w:rPr>
                                <w:rFonts w:hint="eastAsia" w:ascii="Times New Roman"/>
                                <w:spacing w:val="-2"/>
                                <w:sz w:val="21"/>
                                <w:szCs w:val="21"/>
                                <w:lang w:val="en-US" w:eastAsia="zh-CN"/>
                              </w:rPr>
                              <w:t>3.16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0.75pt;margin-top:7.9pt;height:22.5pt;width:44.35pt;z-index:251691008;mso-width-relative:page;mso-height-relative:page;" filled="f" stroked="f" coordsize="21600,21600" o:gfxdata="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irlqFtcAAAAJAQAADwAAAAAAAAABACAAAAAiAAAA&#10;ZHJzL2Rvd25yZXYueG1sUEsBAhQAFAAAAAgAh07iQEfpaBtBAgAAdwQAAA4AAAAAAAAAAQAgAAAA&#10;JgEAAGRycy9lMm9Eb2MueG1sUEsFBgAAAAAGAAYAWQEAANkFAAAAAA==&#10;">
                <v:fill on="f" focussize="0,0"/>
                <v:stroke on="f" weight="0.5pt"/>
                <v:imagedata o:title=""/>
                <o:lock v:ext="edit" aspectratio="f"/>
                <v:textbox>
                  <w:txbxContent>
                    <w:p w14:paraId="3F69BA6C">
                      <w:pPr>
                        <w:spacing w:line="240" w:lineRule="auto"/>
                        <w:ind w:firstLine="0" w:firstLineChars="0"/>
                        <w:rPr>
                          <w:rFonts w:hint="default" w:ascii="Times New Roman" w:eastAsia="宋体"/>
                          <w:spacing w:val="-2"/>
                          <w:sz w:val="21"/>
                          <w:szCs w:val="21"/>
                          <w:lang w:val="en-US" w:eastAsia="zh-CN"/>
                        </w:rPr>
                      </w:pPr>
                      <w:r>
                        <w:rPr>
                          <w:rFonts w:hint="eastAsia" w:ascii="Times New Roman"/>
                          <w:spacing w:val="-2"/>
                          <w:sz w:val="21"/>
                          <w:szCs w:val="21"/>
                          <w:lang w:val="en-US" w:eastAsia="zh-CN"/>
                        </w:rPr>
                        <w:t>3.16</w:t>
                      </w:r>
                    </w:p>
                  </w:txbxContent>
                </v:textbox>
              </v:shape>
            </w:pict>
          </mc:Fallback>
        </mc:AlternateContent>
      </w:r>
      <w:r>
        <w:rPr>
          <w:rFonts w:ascii="Times New Roman"/>
          <w:color w:val="auto"/>
          <w:highlight w:val="none"/>
        </w:rPr>
        <mc:AlternateContent>
          <mc:Choice Requires="wps">
            <w:drawing>
              <wp:anchor distT="0" distB="0" distL="114300" distR="114300" simplePos="0" relativeHeight="251688960" behindDoc="0" locked="0" layoutInCell="1" allowOverlap="1">
                <wp:simplePos x="0" y="0"/>
                <wp:positionH relativeFrom="column">
                  <wp:posOffset>1682115</wp:posOffset>
                </wp:positionH>
                <wp:positionV relativeFrom="paragraph">
                  <wp:posOffset>259715</wp:posOffset>
                </wp:positionV>
                <wp:extent cx="1074420" cy="290830"/>
                <wp:effectExtent l="4445" t="5080" r="13335" b="8890"/>
                <wp:wrapNone/>
                <wp:docPr id="144" name="文本框 144"/>
                <wp:cNvGraphicFramePr/>
                <a:graphic xmlns:a="http://schemas.openxmlformats.org/drawingml/2006/main">
                  <a:graphicData uri="http://schemas.microsoft.com/office/word/2010/wordprocessingShape">
                    <wps:wsp>
                      <wps:cNvSpPr txBox="1"/>
                      <wps:spPr>
                        <a:xfrm>
                          <a:off x="0" y="0"/>
                          <a:ext cx="1074420" cy="290830"/>
                        </a:xfrm>
                        <a:prstGeom prst="rect">
                          <a:avLst/>
                        </a:prstGeom>
                        <a:noFill/>
                        <a:ln w="9525" cap="flat" cmpd="sng">
                          <a:solidFill>
                            <a:srgbClr val="000000"/>
                          </a:solidFill>
                          <a:prstDash val="solid"/>
                          <a:miter/>
                          <a:headEnd type="none" w="med" len="med"/>
                          <a:tailEnd type="none" w="med" len="med"/>
                        </a:ln>
                      </wps:spPr>
                      <wps:txbx>
                        <w:txbxContent>
                          <w:p w14:paraId="323CAA4A">
                            <w:pPr>
                              <w:spacing w:line="240" w:lineRule="auto"/>
                              <w:ind w:firstLine="0" w:firstLineChars="0"/>
                              <w:jc w:val="center"/>
                              <w:rPr>
                                <w:rFonts w:hint="eastAsia" w:ascii="Times New Roman" w:eastAsia="宋体"/>
                                <w:spacing w:val="-2"/>
                                <w:sz w:val="28"/>
                                <w:lang w:val="en-US" w:eastAsia="zh-CN"/>
                              </w:rPr>
                            </w:pPr>
                            <w:r>
                              <w:rPr>
                                <w:rFonts w:hint="eastAsia" w:ascii="Times New Roman"/>
                                <w:sz w:val="21"/>
                                <w:szCs w:val="24"/>
                                <w:lang w:val="en-US" w:eastAsia="zh-CN" w:bidi="ar"/>
                              </w:rPr>
                              <w:t>沉淀池</w:t>
                            </w:r>
                          </w:p>
                        </w:txbxContent>
                      </wps:txbx>
                      <wps:bodyPr upright="1"/>
                    </wps:wsp>
                  </a:graphicData>
                </a:graphic>
              </wp:anchor>
            </w:drawing>
          </mc:Choice>
          <mc:Fallback>
            <w:pict>
              <v:shape id="_x0000_s1026" o:spid="_x0000_s1026" o:spt="202" type="#_x0000_t202" style="position:absolute;left:0pt;margin-left:132.45pt;margin-top:20.45pt;height:22.9pt;width:84.6pt;z-index:251688960;mso-width-relative:page;mso-height-relative:page;" filled="f" stroked="t" coordsize="21600,21600" o:gfxdata="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2mNEVdcAAAAJAQAADwAAAAAAAAABACAAAAAiAAAA&#10;ZHJzL2Rvd25yZXYueG1sUEsBAhQAFAAAAAgAh07iQJdwGUQIAgAAEQQAAA4AAAAAAAAAAQAgAAAA&#10;JgEAAGRycy9lMm9Eb2MueG1sUEsFBgAAAAAGAAYAWQEAAKAFAAAAAA==&#10;">
                <v:fill on="f" focussize="0,0"/>
                <v:stroke color="#000000" joinstyle="miter"/>
                <v:imagedata o:title=""/>
                <o:lock v:ext="edit" aspectratio="f"/>
                <v:textbox>
                  <w:txbxContent>
                    <w:p w14:paraId="323CAA4A">
                      <w:pPr>
                        <w:spacing w:line="240" w:lineRule="auto"/>
                        <w:ind w:firstLine="0" w:firstLineChars="0"/>
                        <w:jc w:val="center"/>
                        <w:rPr>
                          <w:rFonts w:hint="eastAsia" w:ascii="Times New Roman" w:eastAsia="宋体"/>
                          <w:spacing w:val="-2"/>
                          <w:sz w:val="28"/>
                          <w:lang w:val="en-US" w:eastAsia="zh-CN"/>
                        </w:rPr>
                      </w:pPr>
                      <w:r>
                        <w:rPr>
                          <w:rFonts w:hint="eastAsia" w:ascii="Times New Roman"/>
                          <w:sz w:val="21"/>
                          <w:szCs w:val="24"/>
                          <w:lang w:val="en-US" w:eastAsia="zh-CN" w:bidi="ar"/>
                        </w:rPr>
                        <w:t>沉淀池</w:t>
                      </w:r>
                    </w:p>
                  </w:txbxContent>
                </v:textbox>
              </v:shape>
            </w:pict>
          </mc:Fallback>
        </mc:AlternateContent>
      </w:r>
    </w:p>
    <w:p w14:paraId="2CB5FA3A">
      <w:pPr>
        <w:pStyle w:val="2"/>
        <w:rPr>
          <w:rFonts w:ascii="Times New Roman"/>
          <w:color w:val="auto"/>
          <w:spacing w:val="-2"/>
          <w:highlight w:val="none"/>
        </w:rPr>
      </w:pPr>
      <w:r>
        <w:rPr>
          <w:rFonts w:ascii="Times New Roman"/>
          <w:color w:val="auto"/>
          <w:spacing w:val="-2"/>
          <w:highlight w:val="none"/>
        </w:rPr>
        <mc:AlternateContent>
          <mc:Choice Requires="wps">
            <w:drawing>
              <wp:anchor distT="0" distB="0" distL="114300" distR="114300" simplePos="0" relativeHeight="251670528" behindDoc="0" locked="0" layoutInCell="1" allowOverlap="1">
                <wp:simplePos x="0" y="0"/>
                <wp:positionH relativeFrom="column">
                  <wp:posOffset>3470275</wp:posOffset>
                </wp:positionH>
                <wp:positionV relativeFrom="paragraph">
                  <wp:posOffset>17780</wp:posOffset>
                </wp:positionV>
                <wp:extent cx="1749425" cy="290830"/>
                <wp:effectExtent l="4445" t="5080" r="11430" b="8890"/>
                <wp:wrapNone/>
                <wp:docPr id="164" name="文本框 164"/>
                <wp:cNvGraphicFramePr/>
                <a:graphic xmlns:a="http://schemas.openxmlformats.org/drawingml/2006/main">
                  <a:graphicData uri="http://schemas.microsoft.com/office/word/2010/wordprocessingShape">
                    <wps:wsp>
                      <wps:cNvSpPr txBox="1"/>
                      <wps:spPr>
                        <a:xfrm>
                          <a:off x="0" y="0"/>
                          <a:ext cx="1749425" cy="290830"/>
                        </a:xfrm>
                        <a:prstGeom prst="rect">
                          <a:avLst/>
                        </a:prstGeom>
                        <a:noFill/>
                        <a:ln w="9525" cap="flat" cmpd="sng">
                          <a:solidFill>
                            <a:srgbClr val="000000"/>
                          </a:solidFill>
                          <a:prstDash val="solid"/>
                          <a:miter/>
                          <a:headEnd type="none" w="med" len="med"/>
                          <a:tailEnd type="none" w="med" len="med"/>
                        </a:ln>
                        <a:effectLst/>
                      </wps:spPr>
                      <wps:txbx>
                        <w:txbxContent>
                          <w:p w14:paraId="09978236">
                            <w:pPr>
                              <w:spacing w:line="240" w:lineRule="auto"/>
                              <w:ind w:firstLine="0" w:firstLineChars="0"/>
                              <w:jc w:val="center"/>
                              <w:rPr>
                                <w:rFonts w:ascii="Times New Roman"/>
                                <w:spacing w:val="-2"/>
                                <w:sz w:val="21"/>
                                <w:szCs w:val="21"/>
                              </w:rPr>
                            </w:pPr>
                            <w:r>
                              <w:rPr>
                                <w:rFonts w:hint="eastAsia" w:ascii="Times New Roman"/>
                                <w:spacing w:val="-2"/>
                                <w:sz w:val="21"/>
                                <w:szCs w:val="21"/>
                                <w:lang w:val="en-US" w:eastAsia="zh-CN"/>
                              </w:rPr>
                              <w:t>回填</w:t>
                            </w:r>
                            <w:r>
                              <w:rPr>
                                <w:rFonts w:hint="eastAsia" w:ascii="Times New Roman"/>
                                <w:spacing w:val="-2"/>
                                <w:sz w:val="21"/>
                                <w:szCs w:val="21"/>
                              </w:rPr>
                              <w:t>作业区洒水抑尘用水</w:t>
                            </w:r>
                          </w:p>
                        </w:txbxContent>
                      </wps:txbx>
                      <wps:bodyPr upright="1"/>
                    </wps:wsp>
                  </a:graphicData>
                </a:graphic>
              </wp:anchor>
            </w:drawing>
          </mc:Choice>
          <mc:Fallback>
            <w:pict>
              <v:shape id="_x0000_s1026" o:spid="_x0000_s1026" o:spt="202" type="#_x0000_t202" style="position:absolute;left:0pt;margin-left:273.25pt;margin-top:1.4pt;height:22.9pt;width:137.75pt;z-index:251670528;mso-width-relative:page;mso-height-relative:page;" filled="f" stroked="t" coordsize="21600,21600" o:gfxdata="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NdSg9UAAAAIAQAADwAAAAAAAAABACAAAAAi&#10;AAAAZHJzL2Rvd25yZXYueG1sUEsBAhQAFAAAAAgAh07iQInXCxwNAgAAHwQAAA4AAAAAAAAAAQAg&#10;AAAAJAEAAGRycy9lMm9Eb2MueG1sUEsFBgAAAAAGAAYAWQEAAKMFAAAAAA==&#10;">
                <v:fill on="f" focussize="0,0"/>
                <v:stroke color="#000000" joinstyle="miter"/>
                <v:imagedata o:title=""/>
                <o:lock v:ext="edit" aspectratio="f"/>
                <v:textbox>
                  <w:txbxContent>
                    <w:p w14:paraId="09978236">
                      <w:pPr>
                        <w:spacing w:line="240" w:lineRule="auto"/>
                        <w:ind w:firstLine="0" w:firstLineChars="0"/>
                        <w:jc w:val="center"/>
                        <w:rPr>
                          <w:rFonts w:ascii="Times New Roman"/>
                          <w:spacing w:val="-2"/>
                          <w:sz w:val="21"/>
                          <w:szCs w:val="21"/>
                        </w:rPr>
                      </w:pPr>
                      <w:r>
                        <w:rPr>
                          <w:rFonts w:hint="eastAsia" w:ascii="Times New Roman"/>
                          <w:spacing w:val="-2"/>
                          <w:sz w:val="21"/>
                          <w:szCs w:val="21"/>
                          <w:lang w:val="en-US" w:eastAsia="zh-CN"/>
                        </w:rPr>
                        <w:t>回填</w:t>
                      </w:r>
                      <w:r>
                        <w:rPr>
                          <w:rFonts w:hint="eastAsia" w:ascii="Times New Roman"/>
                          <w:spacing w:val="-2"/>
                          <w:sz w:val="21"/>
                          <w:szCs w:val="21"/>
                        </w:rPr>
                        <w:t>作业区洒水抑尘用水</w:t>
                      </w:r>
                    </w:p>
                  </w:txbxContent>
                </v:textbox>
              </v:shape>
            </w:pict>
          </mc:Fallback>
        </mc:AlternateContent>
      </w:r>
      <w:r>
        <w:rPr>
          <w:color w:val="auto"/>
          <w:highlight w:val="none"/>
        </w:rPr>
        <mc:AlternateContent>
          <mc:Choice Requires="wps">
            <w:drawing>
              <wp:anchor distT="0" distB="0" distL="114300" distR="114300" simplePos="0" relativeHeight="251689984" behindDoc="0" locked="0" layoutInCell="1" allowOverlap="1">
                <wp:simplePos x="0" y="0"/>
                <wp:positionH relativeFrom="column">
                  <wp:posOffset>2757805</wp:posOffset>
                </wp:positionH>
                <wp:positionV relativeFrom="paragraph">
                  <wp:posOffset>146050</wp:posOffset>
                </wp:positionV>
                <wp:extent cx="704215" cy="1905"/>
                <wp:effectExtent l="0" t="36195" r="6985" b="38100"/>
                <wp:wrapNone/>
                <wp:docPr id="155" name="直接连接符 155"/>
                <wp:cNvGraphicFramePr/>
                <a:graphic xmlns:a="http://schemas.openxmlformats.org/drawingml/2006/main">
                  <a:graphicData uri="http://schemas.microsoft.com/office/word/2010/wordprocessingShape">
                    <wps:wsp>
                      <wps:cNvCnPr/>
                      <wps:spPr>
                        <a:xfrm>
                          <a:off x="0" y="0"/>
                          <a:ext cx="704215" cy="1905"/>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7.15pt;margin-top:11.5pt;height:0.15pt;width:55.45pt;z-index:251689984;mso-width-relative:page;mso-height-relative:page;" filled="f" stroked="t" coordsize="21600,21600" o:gfxdata="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4F/IXXAAAACQEAAA8AAAAAAAAAAQAgAAAAIgAAAGRycy9kb3du&#10;cmV2LnhtbFBLAQIUABQAAAAIAIdO4kBONcafAAIAAO8DAAAOAAAAAAAAAAEAIAAAACYBAABkcnMv&#10;ZTJvRG9jLnhtbFBLBQYAAAAABgAGAFkBAACYBQAAAAA=&#10;">
                <v:fill on="f" focussize="0,0"/>
                <v:stroke weight="1.25pt" color="#000000" joinstyle="round" endarrow="block"/>
                <v:imagedata o:title=""/>
                <o:lock v:ext="edit" aspectratio="f"/>
              </v:line>
            </w:pict>
          </mc:Fallback>
        </mc:AlternateContent>
      </w:r>
      <w:r>
        <w:rPr>
          <w:color w:val="auto"/>
          <w:highlight w:val="none"/>
        </w:rPr>
        <mc:AlternateContent>
          <mc:Choice Requires="wps">
            <w:drawing>
              <wp:anchor distT="0" distB="0" distL="114300" distR="114300" simplePos="0" relativeHeight="251687936" behindDoc="0" locked="0" layoutInCell="1" allowOverlap="1">
                <wp:simplePos x="0" y="0"/>
                <wp:positionH relativeFrom="column">
                  <wp:posOffset>967740</wp:posOffset>
                </wp:positionH>
                <wp:positionV relativeFrom="paragraph">
                  <wp:posOffset>136525</wp:posOffset>
                </wp:positionV>
                <wp:extent cx="704215" cy="1905"/>
                <wp:effectExtent l="0" t="36195" r="6985" b="38100"/>
                <wp:wrapNone/>
                <wp:docPr id="150" name="直接连接符 150"/>
                <wp:cNvGraphicFramePr/>
                <a:graphic xmlns:a="http://schemas.openxmlformats.org/drawingml/2006/main">
                  <a:graphicData uri="http://schemas.microsoft.com/office/word/2010/wordprocessingShape">
                    <wps:wsp>
                      <wps:cNvCnPr/>
                      <wps:spPr>
                        <a:xfrm>
                          <a:off x="0" y="0"/>
                          <a:ext cx="704215" cy="1905"/>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76.2pt;margin-top:10.75pt;height:0.15pt;width:55.45pt;z-index:251687936;mso-width-relative:page;mso-height-relative:page;" filled="f" stroked="t" coordsize="21600,21600" o:gfxdata="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zaQ/v1wAAAAkBAAAPAAAAAAAAAAEAIAAAACIAAABkcnMvZG93bnJl&#10;di54bWxQSwECFAAUAAAACACHTuJAx+IPrP4BAADvAwAADgAAAAAAAAABACAAAAAmAQAAZHJzL2Uy&#10;b0RvYy54bWxQSwUGAAAAAAYABgBZAQAAlgUAAAAA&#10;">
                <v:fill on="f" focussize="0,0"/>
                <v:stroke weight="1.25pt" color="#000000" joinstyle="round" endarrow="block"/>
                <v:imagedata o:title=""/>
                <o:lock v:ext="edit" aspectratio="f"/>
              </v:line>
            </w:pict>
          </mc:Fallback>
        </mc:AlternateContent>
      </w:r>
    </w:p>
    <w:p w14:paraId="62B60F92">
      <w:pPr>
        <w:adjustRightInd w:val="0"/>
        <w:snapToGrid w:val="0"/>
        <w:spacing w:line="500" w:lineRule="exact"/>
        <w:ind w:firstLine="0" w:firstLineChars="0"/>
        <w:jc w:val="center"/>
        <w:rPr>
          <w:rFonts w:ascii="Times New Roman"/>
          <w:b w:val="0"/>
          <w:bCs/>
          <w:color w:val="auto"/>
          <w:spacing w:val="-2"/>
          <w:szCs w:val="24"/>
          <w:highlight w:val="none"/>
        </w:rPr>
      </w:pPr>
    </w:p>
    <w:p w14:paraId="14D05E1D">
      <w:pPr>
        <w:adjustRightInd w:val="0"/>
        <w:snapToGrid w:val="0"/>
        <w:spacing w:line="500" w:lineRule="exact"/>
        <w:ind w:firstLine="0" w:firstLineChars="0"/>
        <w:jc w:val="center"/>
        <w:rPr>
          <w:rFonts w:hint="eastAsia"/>
          <w:b/>
          <w:bCs w:val="0"/>
          <w:color w:val="auto"/>
          <w:highlight w:val="none"/>
        </w:rPr>
      </w:pPr>
      <w:r>
        <w:rPr>
          <w:rFonts w:ascii="Times New Roman"/>
          <w:b/>
          <w:bCs w:val="0"/>
          <w:color w:val="auto"/>
          <w:spacing w:val="-2"/>
          <w:szCs w:val="24"/>
          <w:highlight w:val="none"/>
        </w:rPr>
        <w:t>图3</w:t>
      </w:r>
      <w:r>
        <w:rPr>
          <w:rFonts w:hint="eastAsia" w:ascii="Times New Roman"/>
          <w:b/>
          <w:bCs w:val="0"/>
          <w:color w:val="auto"/>
          <w:spacing w:val="-2"/>
          <w:szCs w:val="24"/>
          <w:highlight w:val="none"/>
          <w:lang w:val="en-US" w:eastAsia="zh-CN"/>
        </w:rPr>
        <w:t>.</w:t>
      </w:r>
      <w:r>
        <w:rPr>
          <w:rFonts w:ascii="Times New Roman"/>
          <w:b/>
          <w:bCs w:val="0"/>
          <w:color w:val="auto"/>
          <w:spacing w:val="-2"/>
          <w:szCs w:val="24"/>
          <w:highlight w:val="none"/>
        </w:rPr>
        <w:t>1-</w:t>
      </w:r>
      <w:r>
        <w:rPr>
          <w:rFonts w:hint="eastAsia" w:ascii="Times New Roman"/>
          <w:b/>
          <w:bCs w:val="0"/>
          <w:color w:val="auto"/>
          <w:spacing w:val="-2"/>
          <w:szCs w:val="24"/>
          <w:highlight w:val="none"/>
          <w:lang w:val="en-US" w:eastAsia="zh-CN"/>
        </w:rPr>
        <w:t xml:space="preserve">1  </w:t>
      </w:r>
      <w:r>
        <w:rPr>
          <w:rFonts w:ascii="Times New Roman"/>
          <w:b/>
          <w:bCs w:val="0"/>
          <w:color w:val="auto"/>
          <w:spacing w:val="-2"/>
          <w:szCs w:val="24"/>
          <w:highlight w:val="none"/>
        </w:rPr>
        <w:t>本项目水平衡图</w:t>
      </w:r>
      <w:r>
        <w:rPr>
          <w:rFonts w:hint="eastAsia" w:ascii="Times New Roman"/>
          <w:b/>
          <w:bCs w:val="0"/>
          <w:color w:val="auto"/>
          <w:spacing w:val="-2"/>
          <w:szCs w:val="24"/>
          <w:highlight w:val="none"/>
          <w:lang w:val="en-US" w:eastAsia="zh-CN"/>
        </w:rPr>
        <w:t xml:space="preserve">     </w:t>
      </w:r>
      <w:r>
        <w:rPr>
          <w:rFonts w:ascii="Times New Roman"/>
          <w:b/>
          <w:bCs w:val="0"/>
          <w:color w:val="auto"/>
          <w:spacing w:val="-2"/>
          <w:szCs w:val="24"/>
          <w:highlight w:val="none"/>
        </w:rPr>
        <w:t>单位：m</w:t>
      </w:r>
      <w:r>
        <w:rPr>
          <w:rFonts w:ascii="Times New Roman"/>
          <w:b/>
          <w:bCs w:val="0"/>
          <w:color w:val="auto"/>
          <w:spacing w:val="-2"/>
          <w:szCs w:val="24"/>
          <w:highlight w:val="none"/>
          <w:vertAlign w:val="superscript"/>
        </w:rPr>
        <w:t>3</w:t>
      </w:r>
      <w:r>
        <w:rPr>
          <w:rFonts w:ascii="Times New Roman"/>
          <w:b/>
          <w:bCs w:val="0"/>
          <w:color w:val="auto"/>
          <w:spacing w:val="-2"/>
          <w:szCs w:val="24"/>
          <w:highlight w:val="none"/>
        </w:rPr>
        <w:t>/d</w:t>
      </w:r>
    </w:p>
    <w:p w14:paraId="64E912F6">
      <w:pPr>
        <w:bidi w:val="0"/>
        <w:spacing w:line="360" w:lineRule="auto"/>
        <w:rPr>
          <w:rFonts w:hint="eastAsia" w:asciiTheme="minorEastAsia" w:hAnsiTheme="minorEastAsia" w:eastAsiaTheme="minorEastAsia" w:cstheme="minorEastAsia"/>
          <w:color w:val="auto"/>
          <w:kern w:val="0"/>
          <w:sz w:val="24"/>
          <w:szCs w:val="24"/>
          <w:highlight w:val="none"/>
          <w:lang w:val="en-US" w:eastAsia="zh-CN" w:bidi="ar"/>
        </w:rPr>
      </w:pPr>
      <w:r>
        <w:rPr>
          <w:rFonts w:hint="eastAsia" w:asciiTheme="minorEastAsia" w:hAnsiTheme="minorEastAsia" w:eastAsiaTheme="minorEastAsia" w:cstheme="minorEastAsia"/>
          <w:color w:val="auto"/>
          <w:kern w:val="0"/>
          <w:sz w:val="24"/>
          <w:szCs w:val="24"/>
          <w:highlight w:val="none"/>
          <w:lang w:val="en-US" w:eastAsia="zh-CN" w:bidi="ar"/>
        </w:rPr>
        <w:t>（3）供热</w:t>
      </w:r>
    </w:p>
    <w:p w14:paraId="5AC47699">
      <w:pPr>
        <w:bidi w:val="0"/>
        <w:spacing w:line="360" w:lineRule="auto"/>
        <w:ind w:firstLine="480" w:firstLineChars="200"/>
        <w:rPr>
          <w:rFonts w:hint="eastAsia" w:asciiTheme="minorEastAsia" w:hAnsiTheme="minorEastAsia" w:eastAsiaTheme="minorEastAsia" w:cstheme="minorEastAsia"/>
          <w:color w:val="auto"/>
          <w:kern w:val="0"/>
          <w:sz w:val="24"/>
          <w:szCs w:val="24"/>
          <w:highlight w:val="none"/>
          <w:lang w:val="en-US" w:eastAsia="zh-CN" w:bidi="ar"/>
        </w:rPr>
      </w:pPr>
      <w:r>
        <w:rPr>
          <w:rFonts w:hint="eastAsia" w:asciiTheme="minorEastAsia" w:hAnsiTheme="minorEastAsia" w:eastAsiaTheme="minorEastAsia" w:cstheme="minorEastAsia"/>
          <w:color w:val="auto"/>
          <w:kern w:val="0"/>
          <w:sz w:val="24"/>
          <w:szCs w:val="24"/>
          <w:highlight w:val="none"/>
          <w:lang w:val="en-US" w:eastAsia="zh-CN" w:bidi="ar"/>
        </w:rPr>
        <w:t>本项目无办公室等构筑物，无需采暖。</w:t>
      </w:r>
    </w:p>
    <w:p w14:paraId="3DB7C69A">
      <w:pPr>
        <w:bidi w:val="0"/>
        <w:spacing w:line="360" w:lineRule="auto"/>
        <w:rPr>
          <w:rFonts w:hint="eastAsia" w:asciiTheme="minorEastAsia" w:hAnsiTheme="minorEastAsia" w:eastAsiaTheme="minorEastAsia" w:cstheme="minorEastAsia"/>
          <w:color w:val="auto"/>
          <w:kern w:val="0"/>
          <w:sz w:val="24"/>
          <w:szCs w:val="24"/>
          <w:highlight w:val="none"/>
          <w:lang w:val="en-US" w:eastAsia="zh-CN" w:bidi="ar"/>
        </w:rPr>
      </w:pPr>
      <w:r>
        <w:rPr>
          <w:rFonts w:hint="eastAsia" w:asciiTheme="minorEastAsia" w:hAnsiTheme="minorEastAsia" w:eastAsiaTheme="minorEastAsia" w:cstheme="minorEastAsia"/>
          <w:color w:val="auto"/>
          <w:kern w:val="0"/>
          <w:sz w:val="24"/>
          <w:szCs w:val="24"/>
          <w:highlight w:val="none"/>
          <w:lang w:val="en-US" w:eastAsia="zh-CN" w:bidi="ar"/>
        </w:rPr>
        <w:t>（4）供电</w:t>
      </w:r>
    </w:p>
    <w:p w14:paraId="2FD12DC0">
      <w:pPr>
        <w:pStyle w:val="217"/>
        <w:widowControl w:val="0"/>
        <w:adjustRightInd w:val="0"/>
        <w:snapToGrid w:val="0"/>
        <w:spacing w:line="360" w:lineRule="auto"/>
        <w:ind w:firstLine="480" w:firstLineChars="200"/>
        <w:jc w:val="both"/>
        <w:rPr>
          <w:rFonts w:hint="default" w:asciiTheme="minorEastAsia" w:hAnsiTheme="minorEastAsia" w:eastAsiaTheme="minorEastAsia" w:cstheme="minorEastAsia"/>
          <w:color w:val="auto"/>
          <w:kern w:val="2"/>
          <w:szCs w:val="22"/>
          <w:highlight w:val="none"/>
          <w:lang w:val="en-US" w:eastAsia="zh-CN" w:bidi="ar"/>
        </w:rPr>
      </w:pPr>
      <w:r>
        <w:rPr>
          <w:rFonts w:hint="eastAsia" w:asciiTheme="minorEastAsia" w:hAnsiTheme="minorEastAsia" w:eastAsiaTheme="minorEastAsia" w:cstheme="minorEastAsia"/>
          <w:color w:val="auto"/>
          <w:kern w:val="0"/>
          <w:sz w:val="24"/>
          <w:szCs w:val="24"/>
          <w:highlight w:val="none"/>
          <w:lang w:val="en-US" w:eastAsia="zh-CN" w:bidi="ar"/>
        </w:rPr>
        <w:t>本项目用电从当地电网接入，采用电缆进线。项目修复后无需用电。</w:t>
      </w:r>
    </w:p>
    <w:p w14:paraId="7B2BCCDE">
      <w:pPr>
        <w:pStyle w:val="7"/>
        <w:widowControl w:val="0"/>
        <w:numPr>
          <w:ilvl w:val="2"/>
          <w:numId w:val="0"/>
        </w:numPr>
        <w:adjustRightInd w:val="0"/>
        <w:snapToGrid w:val="0"/>
        <w:spacing w:before="0" w:after="0" w:line="360" w:lineRule="auto"/>
        <w:ind w:leftChars="0"/>
        <w:rPr>
          <w:rFonts w:hint="eastAsia" w:ascii="宋体" w:hAnsi="宋体" w:eastAsia="宋体" w:cs="宋体"/>
          <w:color w:val="auto"/>
          <w:kern w:val="2"/>
          <w:szCs w:val="22"/>
          <w:highlight w:val="none"/>
          <w:lang w:val="en-US" w:eastAsia="zh-CN" w:bidi="ar"/>
        </w:rPr>
      </w:pPr>
      <w:r>
        <w:rPr>
          <w:rFonts w:hint="eastAsia" w:asciiTheme="minorEastAsia" w:hAnsiTheme="minorEastAsia" w:eastAsiaTheme="minorEastAsia" w:cstheme="minorEastAsia"/>
          <w:color w:val="auto"/>
          <w:highlight w:val="none"/>
        </w:rPr>
        <w:t>3.1.</w:t>
      </w:r>
      <w:r>
        <w:rPr>
          <w:rFonts w:hint="eastAsia" w:ascii="宋体" w:hAnsi="宋体" w:cs="宋体"/>
          <w:color w:val="auto"/>
          <w:highlight w:val="none"/>
          <w:lang w:val="en-US" w:eastAsia="zh-CN"/>
        </w:rPr>
        <w:t>7</w:t>
      </w:r>
      <w:r>
        <w:rPr>
          <w:rFonts w:hint="eastAsia" w:ascii="宋体" w:hAnsi="宋体" w:eastAsia="宋体" w:cs="宋体"/>
          <w:color w:val="auto"/>
          <w:highlight w:val="none"/>
          <w:lang w:val="en-US" w:eastAsia="zh-CN"/>
        </w:rPr>
        <w:t xml:space="preserve"> 土石方平衡</w:t>
      </w:r>
    </w:p>
    <w:p w14:paraId="0218C178">
      <w:pPr>
        <w:pStyle w:val="1350"/>
        <w:bidi w:val="0"/>
        <w:rPr>
          <w:rFonts w:hint="eastAsia" w:ascii="宋体" w:hAnsi="宋体" w:eastAsia="宋体" w:cs="宋体"/>
          <w:b/>
          <w:color w:val="auto"/>
          <w:kern w:val="0"/>
          <w:sz w:val="24"/>
          <w:szCs w:val="24"/>
          <w:highlight w:val="none"/>
          <w:lang w:val="en-US" w:eastAsia="zh-CN" w:bidi="ar-SA"/>
        </w:rPr>
      </w:pPr>
      <w:r>
        <w:rPr>
          <w:rFonts w:hint="eastAsia" w:ascii="宋体" w:hAnsi="宋体" w:eastAsia="宋体" w:cs="宋体"/>
          <w:b/>
          <w:color w:val="auto"/>
          <w:kern w:val="0"/>
          <w:sz w:val="24"/>
          <w:szCs w:val="24"/>
          <w:highlight w:val="none"/>
          <w:lang w:val="en-US" w:eastAsia="zh-CN" w:bidi="ar-SA"/>
        </w:rPr>
        <w:t>表3.1-8  土方平衡一览表（m</w:t>
      </w:r>
      <w:r>
        <w:rPr>
          <w:rFonts w:hint="eastAsia" w:ascii="宋体" w:hAnsi="宋体" w:eastAsia="宋体" w:cs="宋体"/>
          <w:b/>
          <w:color w:val="auto"/>
          <w:kern w:val="0"/>
          <w:sz w:val="24"/>
          <w:szCs w:val="24"/>
          <w:highlight w:val="none"/>
          <w:vertAlign w:val="superscript"/>
          <w:lang w:val="en-US" w:eastAsia="zh-CN" w:bidi="ar-SA"/>
        </w:rPr>
        <w:t>3</w:t>
      </w:r>
      <w:r>
        <w:rPr>
          <w:rFonts w:hint="eastAsia" w:ascii="宋体" w:hAnsi="宋体" w:eastAsia="宋体" w:cs="宋体"/>
          <w:b/>
          <w:color w:val="auto"/>
          <w:kern w:val="0"/>
          <w:sz w:val="24"/>
          <w:szCs w:val="24"/>
          <w:highlight w:val="none"/>
          <w:lang w:val="en-US" w:eastAsia="zh-CN" w:bidi="ar-SA"/>
        </w:rPr>
        <w:t>）</w:t>
      </w:r>
    </w:p>
    <w:tbl>
      <w:tblPr>
        <w:tblStyle w:val="84"/>
        <w:tblW w:w="4996" w:type="pct"/>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4"/>
        <w:gridCol w:w="1298"/>
        <w:gridCol w:w="1079"/>
        <w:gridCol w:w="1232"/>
        <w:gridCol w:w="2097"/>
        <w:gridCol w:w="660"/>
        <w:gridCol w:w="740"/>
      </w:tblGrid>
      <w:tr w14:paraId="082B0FC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829" w:type="pct"/>
            <w:vMerge w:val="restart"/>
            <w:tcBorders>
              <w:tl2br w:val="nil"/>
              <w:tr2bl w:val="nil"/>
            </w:tcBorders>
            <w:noWrap w:val="0"/>
            <w:vAlign w:val="center"/>
          </w:tcPr>
          <w:p w14:paraId="18AFBE73">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工程内容</w:t>
            </w:r>
          </w:p>
        </w:tc>
        <w:tc>
          <w:tcPr>
            <w:tcW w:w="761" w:type="pct"/>
            <w:vMerge w:val="restart"/>
            <w:tcBorders>
              <w:tl2br w:val="nil"/>
              <w:tr2bl w:val="nil"/>
            </w:tcBorders>
            <w:noWrap w:val="0"/>
            <w:vAlign w:val="center"/>
          </w:tcPr>
          <w:p w14:paraId="05A89C9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挖方（m</w:t>
            </w:r>
            <w:r>
              <w:rPr>
                <w:rFonts w:ascii="Times New Roman"/>
                <w:color w:val="auto"/>
                <w:sz w:val="21"/>
                <w:szCs w:val="21"/>
                <w:highlight w:val="none"/>
                <w:vertAlign w:val="superscript"/>
                <w:lang w:bidi="ar"/>
              </w:rPr>
              <w:t>3</w:t>
            </w:r>
            <w:r>
              <w:rPr>
                <w:rFonts w:ascii="Times New Roman"/>
                <w:color w:val="auto"/>
                <w:sz w:val="21"/>
                <w:szCs w:val="21"/>
                <w:highlight w:val="none"/>
                <w:lang w:bidi="ar"/>
              </w:rPr>
              <w:t>）</w:t>
            </w:r>
          </w:p>
        </w:tc>
        <w:tc>
          <w:tcPr>
            <w:tcW w:w="633" w:type="pct"/>
            <w:vMerge w:val="restart"/>
            <w:tcBorders>
              <w:tl2br w:val="nil"/>
              <w:tr2bl w:val="nil"/>
            </w:tcBorders>
            <w:noWrap w:val="0"/>
            <w:vAlign w:val="center"/>
          </w:tcPr>
          <w:p w14:paraId="0DA960C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填方（m</w:t>
            </w:r>
            <w:r>
              <w:rPr>
                <w:rFonts w:ascii="Times New Roman"/>
                <w:color w:val="auto"/>
                <w:sz w:val="21"/>
                <w:szCs w:val="21"/>
                <w:highlight w:val="none"/>
                <w:vertAlign w:val="superscript"/>
                <w:lang w:bidi="ar"/>
              </w:rPr>
              <w:t>3</w:t>
            </w:r>
            <w:r>
              <w:rPr>
                <w:rFonts w:ascii="Times New Roman"/>
                <w:color w:val="auto"/>
                <w:sz w:val="21"/>
                <w:szCs w:val="21"/>
                <w:highlight w:val="none"/>
                <w:lang w:bidi="ar"/>
              </w:rPr>
              <w:t>）</w:t>
            </w:r>
          </w:p>
        </w:tc>
        <w:tc>
          <w:tcPr>
            <w:tcW w:w="1953" w:type="pct"/>
            <w:gridSpan w:val="2"/>
            <w:tcBorders>
              <w:tl2br w:val="nil"/>
              <w:tr2bl w:val="nil"/>
            </w:tcBorders>
            <w:noWrap w:val="0"/>
            <w:vAlign w:val="center"/>
          </w:tcPr>
          <w:p w14:paraId="55D5079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借方（m</w:t>
            </w:r>
            <w:r>
              <w:rPr>
                <w:rFonts w:ascii="Times New Roman"/>
                <w:color w:val="auto"/>
                <w:sz w:val="21"/>
                <w:szCs w:val="21"/>
                <w:highlight w:val="none"/>
                <w:vertAlign w:val="superscript"/>
                <w:lang w:bidi="ar"/>
              </w:rPr>
              <w:t>3</w:t>
            </w:r>
            <w:r>
              <w:rPr>
                <w:rFonts w:ascii="Times New Roman"/>
                <w:color w:val="auto"/>
                <w:sz w:val="21"/>
                <w:szCs w:val="21"/>
                <w:highlight w:val="none"/>
                <w:lang w:bidi="ar"/>
              </w:rPr>
              <w:t>）</w:t>
            </w:r>
          </w:p>
        </w:tc>
        <w:tc>
          <w:tcPr>
            <w:tcW w:w="821" w:type="pct"/>
            <w:gridSpan w:val="2"/>
            <w:tcBorders>
              <w:tl2br w:val="nil"/>
              <w:tr2bl w:val="nil"/>
            </w:tcBorders>
            <w:noWrap w:val="0"/>
            <w:vAlign w:val="center"/>
          </w:tcPr>
          <w:p w14:paraId="3EFD13B9">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弃方（m</w:t>
            </w:r>
            <w:r>
              <w:rPr>
                <w:rFonts w:ascii="Times New Roman"/>
                <w:color w:val="auto"/>
                <w:sz w:val="21"/>
                <w:szCs w:val="21"/>
                <w:highlight w:val="none"/>
                <w:vertAlign w:val="superscript"/>
                <w:lang w:bidi="ar"/>
              </w:rPr>
              <w:t>3</w:t>
            </w:r>
            <w:r>
              <w:rPr>
                <w:rFonts w:ascii="Times New Roman"/>
                <w:color w:val="auto"/>
                <w:sz w:val="21"/>
                <w:szCs w:val="21"/>
                <w:highlight w:val="none"/>
                <w:lang w:bidi="ar"/>
              </w:rPr>
              <w:t>）</w:t>
            </w:r>
          </w:p>
        </w:tc>
      </w:tr>
      <w:tr w14:paraId="64DD55D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29" w:type="pct"/>
            <w:vMerge w:val="continue"/>
            <w:tcBorders>
              <w:tl2br w:val="nil"/>
              <w:tr2bl w:val="nil"/>
            </w:tcBorders>
            <w:noWrap w:val="0"/>
            <w:vAlign w:val="center"/>
          </w:tcPr>
          <w:p w14:paraId="4CD74F8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761" w:type="pct"/>
            <w:vMerge w:val="continue"/>
            <w:tcBorders>
              <w:tl2br w:val="nil"/>
              <w:tr2bl w:val="nil"/>
            </w:tcBorders>
            <w:noWrap w:val="0"/>
            <w:vAlign w:val="center"/>
          </w:tcPr>
          <w:p w14:paraId="4A6B8052">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633" w:type="pct"/>
            <w:vMerge w:val="continue"/>
            <w:tcBorders>
              <w:tl2br w:val="nil"/>
              <w:tr2bl w:val="nil"/>
            </w:tcBorders>
            <w:noWrap w:val="0"/>
            <w:vAlign w:val="center"/>
          </w:tcPr>
          <w:p w14:paraId="310D4A2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723" w:type="pct"/>
            <w:tcBorders>
              <w:tl2br w:val="nil"/>
              <w:tr2bl w:val="nil"/>
            </w:tcBorders>
            <w:noWrap w:val="0"/>
            <w:vAlign w:val="center"/>
          </w:tcPr>
          <w:p w14:paraId="3312C55F">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数量</w:t>
            </w:r>
          </w:p>
        </w:tc>
        <w:tc>
          <w:tcPr>
            <w:tcW w:w="1230" w:type="pct"/>
            <w:tcBorders>
              <w:tl2br w:val="nil"/>
              <w:tr2bl w:val="nil"/>
            </w:tcBorders>
            <w:noWrap w:val="0"/>
            <w:vAlign w:val="center"/>
          </w:tcPr>
          <w:p w14:paraId="7231DF7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来源</w:t>
            </w:r>
          </w:p>
        </w:tc>
        <w:tc>
          <w:tcPr>
            <w:tcW w:w="387" w:type="pct"/>
            <w:tcBorders>
              <w:tl2br w:val="nil"/>
              <w:tr2bl w:val="nil"/>
            </w:tcBorders>
            <w:noWrap w:val="0"/>
            <w:vAlign w:val="center"/>
          </w:tcPr>
          <w:p w14:paraId="21D0C192">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数量</w:t>
            </w:r>
          </w:p>
        </w:tc>
        <w:tc>
          <w:tcPr>
            <w:tcW w:w="434" w:type="pct"/>
            <w:tcBorders>
              <w:tl2br w:val="nil"/>
              <w:tr2bl w:val="nil"/>
            </w:tcBorders>
            <w:noWrap w:val="0"/>
            <w:vAlign w:val="center"/>
          </w:tcPr>
          <w:p w14:paraId="515684F8">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去向</w:t>
            </w:r>
          </w:p>
        </w:tc>
      </w:tr>
      <w:tr w14:paraId="2A51A95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4" w:hRule="atLeast"/>
          <w:jc w:val="center"/>
        </w:trPr>
        <w:tc>
          <w:tcPr>
            <w:tcW w:w="829" w:type="pct"/>
            <w:tcBorders>
              <w:tl2br w:val="nil"/>
              <w:tr2bl w:val="nil"/>
            </w:tcBorders>
            <w:noWrap w:val="0"/>
            <w:vAlign w:val="center"/>
          </w:tcPr>
          <w:p w14:paraId="6E70414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场地平整工程</w:t>
            </w:r>
          </w:p>
        </w:tc>
        <w:tc>
          <w:tcPr>
            <w:tcW w:w="761" w:type="pct"/>
            <w:tcBorders>
              <w:tl2br w:val="nil"/>
              <w:tr2bl w:val="nil"/>
            </w:tcBorders>
            <w:noWrap w:val="0"/>
            <w:vAlign w:val="center"/>
          </w:tcPr>
          <w:p w14:paraId="6FC52960">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sz w:val="21"/>
                <w:szCs w:val="21"/>
                <w:highlight w:val="none"/>
                <w:lang w:val="en-US" w:eastAsia="zh-CN" w:bidi="ar"/>
              </w:rPr>
            </w:pPr>
            <w:r>
              <w:rPr>
                <w:rFonts w:hint="eastAsia" w:ascii="Times New Roman"/>
                <w:color w:val="auto"/>
                <w:sz w:val="21"/>
                <w:szCs w:val="21"/>
                <w:highlight w:val="none"/>
                <w:lang w:val="en-US" w:eastAsia="zh-CN" w:bidi="ar"/>
              </w:rPr>
              <w:t>17114</w:t>
            </w:r>
          </w:p>
        </w:tc>
        <w:tc>
          <w:tcPr>
            <w:tcW w:w="633" w:type="pct"/>
            <w:tcBorders>
              <w:tl2br w:val="nil"/>
              <w:tr2bl w:val="nil"/>
            </w:tcBorders>
            <w:noWrap w:val="0"/>
            <w:vAlign w:val="center"/>
          </w:tcPr>
          <w:p w14:paraId="4C95CF51">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val="en-US" w:eastAsia="zh-CN" w:bidi="ar"/>
              </w:rPr>
              <w:t>17114</w:t>
            </w:r>
          </w:p>
        </w:tc>
        <w:tc>
          <w:tcPr>
            <w:tcW w:w="723" w:type="pct"/>
            <w:tcBorders>
              <w:tl2br w:val="nil"/>
              <w:tr2bl w:val="nil"/>
            </w:tcBorders>
            <w:noWrap w:val="0"/>
            <w:vAlign w:val="center"/>
          </w:tcPr>
          <w:p w14:paraId="60F7242B">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val="en-US" w:eastAsia="zh-CN" w:bidi="ar"/>
              </w:rPr>
            </w:pPr>
            <w:r>
              <w:rPr>
                <w:rFonts w:hint="eastAsia" w:ascii="Times New Roman"/>
                <w:color w:val="auto"/>
                <w:sz w:val="21"/>
                <w:szCs w:val="21"/>
                <w:highlight w:val="none"/>
                <w:lang w:val="en-US" w:eastAsia="zh-CN" w:bidi="ar"/>
              </w:rPr>
              <w:t>/</w:t>
            </w:r>
          </w:p>
        </w:tc>
        <w:tc>
          <w:tcPr>
            <w:tcW w:w="1230" w:type="pct"/>
            <w:tcBorders>
              <w:tl2br w:val="nil"/>
              <w:tr2bl w:val="nil"/>
            </w:tcBorders>
            <w:noWrap w:val="0"/>
            <w:vAlign w:val="center"/>
          </w:tcPr>
          <w:p w14:paraId="1B2C728E">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val="en-US" w:eastAsia="zh-CN" w:bidi="ar"/>
              </w:rPr>
            </w:pPr>
            <w:r>
              <w:rPr>
                <w:rFonts w:hint="eastAsia" w:ascii="Times New Roman"/>
                <w:color w:val="auto"/>
                <w:sz w:val="21"/>
                <w:szCs w:val="21"/>
                <w:highlight w:val="none"/>
                <w:lang w:val="en-US" w:eastAsia="zh-CN" w:bidi="ar"/>
              </w:rPr>
              <w:t>/</w:t>
            </w:r>
          </w:p>
        </w:tc>
        <w:tc>
          <w:tcPr>
            <w:tcW w:w="387" w:type="pct"/>
            <w:tcBorders>
              <w:tl2br w:val="nil"/>
              <w:tr2bl w:val="nil"/>
            </w:tcBorders>
            <w:noWrap w:val="0"/>
            <w:vAlign w:val="center"/>
          </w:tcPr>
          <w:p w14:paraId="1B3EF7EF">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0</w:t>
            </w:r>
          </w:p>
        </w:tc>
        <w:tc>
          <w:tcPr>
            <w:tcW w:w="434" w:type="pct"/>
            <w:vMerge w:val="restart"/>
            <w:tcBorders>
              <w:tl2br w:val="nil"/>
              <w:tr2bl w:val="nil"/>
            </w:tcBorders>
            <w:noWrap w:val="0"/>
            <w:vAlign w:val="center"/>
          </w:tcPr>
          <w:p w14:paraId="7C8E094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w:t>
            </w:r>
          </w:p>
        </w:tc>
      </w:tr>
      <w:tr w14:paraId="13DDF2C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68" w:hRule="atLeast"/>
          <w:jc w:val="center"/>
        </w:trPr>
        <w:tc>
          <w:tcPr>
            <w:tcW w:w="829" w:type="pct"/>
            <w:tcBorders>
              <w:tl2br w:val="nil"/>
              <w:tr2bl w:val="nil"/>
            </w:tcBorders>
            <w:noWrap w:val="0"/>
            <w:vAlign w:val="center"/>
          </w:tcPr>
          <w:p w14:paraId="3AB13B52">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val="en-US" w:eastAsia="zh-CN" w:bidi="ar"/>
              </w:rPr>
              <w:t>回填</w:t>
            </w:r>
            <w:r>
              <w:rPr>
                <w:rFonts w:hint="eastAsia" w:ascii="Times New Roman"/>
                <w:color w:val="auto"/>
                <w:sz w:val="21"/>
                <w:szCs w:val="21"/>
                <w:highlight w:val="none"/>
                <w:lang w:bidi="ar"/>
              </w:rPr>
              <w:t>工程</w:t>
            </w:r>
          </w:p>
        </w:tc>
        <w:tc>
          <w:tcPr>
            <w:tcW w:w="761" w:type="pct"/>
            <w:tcBorders>
              <w:tl2br w:val="nil"/>
              <w:tr2bl w:val="nil"/>
            </w:tcBorders>
            <w:noWrap w:val="0"/>
            <w:vAlign w:val="center"/>
          </w:tcPr>
          <w:p w14:paraId="7E704030">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val="en-US" w:eastAsia="zh-CN" w:bidi="ar"/>
              </w:rPr>
            </w:pPr>
            <w:r>
              <w:rPr>
                <w:rFonts w:hint="eastAsia" w:ascii="Times New Roman"/>
                <w:color w:val="auto"/>
                <w:sz w:val="21"/>
                <w:szCs w:val="21"/>
                <w:highlight w:val="none"/>
                <w:lang w:val="en-US" w:eastAsia="zh-CN" w:bidi="ar"/>
              </w:rPr>
              <w:t>/</w:t>
            </w:r>
          </w:p>
        </w:tc>
        <w:tc>
          <w:tcPr>
            <w:tcW w:w="633" w:type="pct"/>
            <w:tcBorders>
              <w:tl2br w:val="nil"/>
              <w:tr2bl w:val="nil"/>
            </w:tcBorders>
            <w:noWrap w:val="0"/>
            <w:vAlign w:val="center"/>
          </w:tcPr>
          <w:p w14:paraId="244B3E01">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val="en-US" w:eastAsia="zh-CN" w:bidi="ar"/>
              </w:rPr>
            </w:pPr>
            <w:r>
              <w:rPr>
                <w:rFonts w:hint="eastAsia" w:ascii="Times New Roman" w:eastAsia="宋体"/>
                <w:color w:val="auto"/>
                <w:sz w:val="21"/>
                <w:szCs w:val="21"/>
                <w:highlight w:val="none"/>
                <w:lang w:val="en-US" w:eastAsia="zh-CN" w:bidi="ar"/>
              </w:rPr>
              <w:t>/</w:t>
            </w:r>
          </w:p>
        </w:tc>
        <w:tc>
          <w:tcPr>
            <w:tcW w:w="723" w:type="pct"/>
            <w:tcBorders>
              <w:tl2br w:val="nil"/>
              <w:tr2bl w:val="nil"/>
            </w:tcBorders>
            <w:noWrap w:val="0"/>
            <w:vAlign w:val="center"/>
          </w:tcPr>
          <w:p w14:paraId="130AF390">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sz w:val="21"/>
                <w:szCs w:val="21"/>
                <w:highlight w:val="none"/>
                <w:lang w:val="en-US" w:eastAsia="zh-CN" w:bidi="ar"/>
              </w:rPr>
            </w:pPr>
            <w:r>
              <w:rPr>
                <w:rFonts w:hint="eastAsia" w:ascii="Times New Roman" w:hAnsi="Times New Roman" w:cs="Times New Roman"/>
                <w:color w:val="auto"/>
                <w:spacing w:val="2"/>
                <w:sz w:val="21"/>
                <w:szCs w:val="21"/>
                <w:highlight w:val="none"/>
                <w:lang w:val="en-US" w:eastAsia="zh-CN"/>
              </w:rPr>
              <w:t>80760.03</w:t>
            </w:r>
          </w:p>
        </w:tc>
        <w:tc>
          <w:tcPr>
            <w:tcW w:w="1230" w:type="pct"/>
            <w:tcBorders>
              <w:tl2br w:val="nil"/>
              <w:tr2bl w:val="nil"/>
            </w:tcBorders>
            <w:noWrap w:val="0"/>
            <w:vAlign w:val="center"/>
          </w:tcPr>
          <w:p w14:paraId="6B81873D">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sz w:val="21"/>
                <w:szCs w:val="21"/>
                <w:highlight w:val="none"/>
                <w:lang w:val="en-US" w:eastAsia="zh-CN" w:bidi="ar"/>
              </w:rPr>
            </w:pPr>
            <w:r>
              <w:rPr>
                <w:rFonts w:hint="eastAsia" w:ascii="Times New Roman"/>
                <w:color w:val="auto"/>
                <w:sz w:val="21"/>
                <w:szCs w:val="21"/>
                <w:highlight w:val="none"/>
                <w:lang w:val="en-US" w:eastAsia="zh-CN"/>
              </w:rPr>
              <w:t>黑龙江瑞和热电有限公司、尚志市正德金环境科技有限公司、</w:t>
            </w:r>
            <w:r>
              <w:rPr>
                <w:rFonts w:hint="eastAsia"/>
                <w:color w:val="auto"/>
                <w:sz w:val="21"/>
                <w:szCs w:val="21"/>
                <w:highlight w:val="none"/>
                <w:lang w:val="en-US" w:eastAsia="zh-CN"/>
              </w:rPr>
              <w:t>黑龙江省苇河林业局供热站</w:t>
            </w:r>
          </w:p>
        </w:tc>
        <w:tc>
          <w:tcPr>
            <w:tcW w:w="387" w:type="pct"/>
            <w:tcBorders>
              <w:tl2br w:val="nil"/>
              <w:tr2bl w:val="nil"/>
            </w:tcBorders>
            <w:noWrap w:val="0"/>
            <w:vAlign w:val="center"/>
          </w:tcPr>
          <w:p w14:paraId="31D93D58">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0</w:t>
            </w:r>
          </w:p>
        </w:tc>
        <w:tc>
          <w:tcPr>
            <w:tcW w:w="434" w:type="pct"/>
            <w:vMerge w:val="continue"/>
            <w:tcBorders>
              <w:tl2br w:val="nil"/>
              <w:tr2bl w:val="nil"/>
            </w:tcBorders>
            <w:noWrap w:val="0"/>
            <w:vAlign w:val="center"/>
          </w:tcPr>
          <w:p w14:paraId="41B7E82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r>
      <w:tr w14:paraId="40BAAF3F">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29" w:type="pct"/>
            <w:tcBorders>
              <w:tl2br w:val="nil"/>
              <w:tr2bl w:val="nil"/>
            </w:tcBorders>
            <w:noWrap w:val="0"/>
            <w:vAlign w:val="center"/>
          </w:tcPr>
          <w:p w14:paraId="13604E5A">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覆土工程</w:t>
            </w:r>
          </w:p>
        </w:tc>
        <w:tc>
          <w:tcPr>
            <w:tcW w:w="761" w:type="pct"/>
            <w:tcBorders>
              <w:tl2br w:val="nil"/>
              <w:tr2bl w:val="nil"/>
            </w:tcBorders>
            <w:noWrap w:val="0"/>
            <w:vAlign w:val="center"/>
          </w:tcPr>
          <w:p w14:paraId="1ABE2F47">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val="en-US" w:eastAsia="zh-CN" w:bidi="ar"/>
              </w:rPr>
            </w:pPr>
            <w:r>
              <w:rPr>
                <w:rFonts w:hint="eastAsia" w:ascii="Times New Roman"/>
                <w:color w:val="auto"/>
                <w:sz w:val="21"/>
                <w:szCs w:val="21"/>
                <w:highlight w:val="none"/>
                <w:lang w:val="en-US" w:eastAsia="zh-CN" w:bidi="ar"/>
              </w:rPr>
              <w:t>/</w:t>
            </w:r>
          </w:p>
        </w:tc>
        <w:tc>
          <w:tcPr>
            <w:tcW w:w="633" w:type="pct"/>
            <w:tcBorders>
              <w:tl2br w:val="nil"/>
              <w:tr2bl w:val="nil"/>
            </w:tcBorders>
            <w:noWrap w:val="0"/>
            <w:vAlign w:val="center"/>
          </w:tcPr>
          <w:p w14:paraId="7B20E347">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val="en-US" w:eastAsia="zh-CN" w:bidi="ar"/>
              </w:rPr>
            </w:pPr>
            <w:r>
              <w:rPr>
                <w:rFonts w:hint="eastAsia" w:ascii="Times New Roman"/>
                <w:color w:val="auto"/>
                <w:sz w:val="21"/>
                <w:szCs w:val="21"/>
                <w:highlight w:val="none"/>
                <w:lang w:val="en-US" w:eastAsia="zh-CN" w:bidi="ar"/>
              </w:rPr>
              <w:t>/</w:t>
            </w:r>
          </w:p>
        </w:tc>
        <w:tc>
          <w:tcPr>
            <w:tcW w:w="723" w:type="pct"/>
            <w:tcBorders>
              <w:tl2br w:val="nil"/>
              <w:tr2bl w:val="nil"/>
            </w:tcBorders>
            <w:noWrap w:val="0"/>
            <w:vAlign w:val="center"/>
          </w:tcPr>
          <w:p w14:paraId="1CBFE9C9">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color w:val="auto"/>
                <w:sz w:val="21"/>
                <w:szCs w:val="21"/>
                <w:highlight w:val="none"/>
                <w:lang w:val="en-US" w:bidi="ar"/>
              </w:rPr>
            </w:pPr>
            <w:r>
              <w:rPr>
                <w:rFonts w:hint="eastAsia" w:ascii="Times New Roman" w:hAnsi="Times New Roman" w:cs="Times New Roman"/>
                <w:color w:val="auto"/>
                <w:spacing w:val="5"/>
                <w:sz w:val="21"/>
                <w:szCs w:val="21"/>
                <w:highlight w:val="none"/>
                <w:lang w:val="en-US" w:eastAsia="zh-CN"/>
              </w:rPr>
              <w:t>5422</w:t>
            </w:r>
          </w:p>
        </w:tc>
        <w:tc>
          <w:tcPr>
            <w:tcW w:w="1230" w:type="pct"/>
            <w:tcBorders>
              <w:tl2br w:val="nil"/>
              <w:tr2bl w:val="nil"/>
            </w:tcBorders>
            <w:noWrap w:val="0"/>
            <w:vAlign w:val="center"/>
          </w:tcPr>
          <w:p w14:paraId="5A9D152D">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eastAsia="zh-CN" w:bidi="ar"/>
              </w:rPr>
            </w:pPr>
            <w:r>
              <w:rPr>
                <w:rFonts w:hint="default" w:ascii="Times New Roman" w:hAnsi="Times New Roman" w:eastAsia="宋体"/>
                <w:color w:val="auto"/>
                <w:sz w:val="21"/>
                <w:szCs w:val="21"/>
                <w:highlight w:val="none"/>
                <w:lang w:val="en-US" w:eastAsia="zh-CN"/>
              </w:rPr>
              <w:t>来源于</w:t>
            </w:r>
            <w:r>
              <w:rPr>
                <w:rFonts w:hint="eastAsia" w:ascii="Times New Roman" w:hAnsi="Times New Roman" w:eastAsia="宋体" w:cs="Times New Roman"/>
                <w:color w:val="auto"/>
                <w:sz w:val="21"/>
                <w:szCs w:val="21"/>
                <w:highlight w:val="none"/>
                <w:lang w:val="en-US" w:eastAsia="zh-CN"/>
              </w:rPr>
              <w:t>当地高标准农田建设</w:t>
            </w:r>
            <w:r>
              <w:rPr>
                <w:rFonts w:ascii="Times New Roman" w:hAnsi="Times New Roman" w:eastAsia="宋体" w:cs="Times New Roman"/>
                <w:color w:val="auto"/>
                <w:sz w:val="21"/>
                <w:szCs w:val="21"/>
                <w:highlight w:val="none"/>
              </w:rPr>
              <w:t>剥离的</w:t>
            </w:r>
            <w:r>
              <w:rPr>
                <w:rFonts w:hint="eastAsia" w:ascii="Times New Roman" w:hAnsi="Times New Roman" w:eastAsia="宋体" w:cs="Times New Roman"/>
                <w:color w:val="auto"/>
                <w:sz w:val="21"/>
                <w:szCs w:val="21"/>
                <w:highlight w:val="none"/>
                <w:lang w:val="en-US" w:eastAsia="zh-CN"/>
              </w:rPr>
              <w:t>种植</w:t>
            </w:r>
            <w:r>
              <w:rPr>
                <w:rFonts w:ascii="Times New Roman" w:hAnsi="Times New Roman" w:eastAsia="宋体" w:cs="Times New Roman"/>
                <w:color w:val="auto"/>
                <w:sz w:val="21"/>
                <w:szCs w:val="21"/>
                <w:highlight w:val="none"/>
              </w:rPr>
              <w:t>表土</w:t>
            </w:r>
          </w:p>
        </w:tc>
        <w:tc>
          <w:tcPr>
            <w:tcW w:w="387" w:type="pct"/>
            <w:tcBorders>
              <w:tl2br w:val="nil"/>
              <w:tr2bl w:val="nil"/>
            </w:tcBorders>
            <w:noWrap w:val="0"/>
            <w:vAlign w:val="center"/>
          </w:tcPr>
          <w:p w14:paraId="54B0704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0</w:t>
            </w:r>
          </w:p>
        </w:tc>
        <w:tc>
          <w:tcPr>
            <w:tcW w:w="434" w:type="pct"/>
            <w:vMerge w:val="continue"/>
            <w:tcBorders>
              <w:tl2br w:val="nil"/>
              <w:tr2bl w:val="nil"/>
            </w:tcBorders>
            <w:noWrap w:val="0"/>
            <w:vAlign w:val="center"/>
          </w:tcPr>
          <w:p w14:paraId="74DF5574">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r>
      <w:tr w14:paraId="3B21318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29" w:type="pct"/>
            <w:tcBorders>
              <w:tl2br w:val="nil"/>
              <w:tr2bl w:val="nil"/>
            </w:tcBorders>
            <w:noWrap w:val="0"/>
            <w:vAlign w:val="center"/>
          </w:tcPr>
          <w:p w14:paraId="16ADBD2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合计</w:t>
            </w:r>
          </w:p>
        </w:tc>
        <w:tc>
          <w:tcPr>
            <w:tcW w:w="761" w:type="pct"/>
            <w:tcBorders>
              <w:tl2br w:val="nil"/>
              <w:tr2bl w:val="nil"/>
            </w:tcBorders>
            <w:noWrap w:val="0"/>
            <w:vAlign w:val="center"/>
          </w:tcPr>
          <w:p w14:paraId="164555D8">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en-US" w:eastAsia="zh-CN" w:bidi="ar"/>
              </w:rPr>
            </w:pPr>
            <w:r>
              <w:rPr>
                <w:rFonts w:hint="eastAsia" w:ascii="Times New Roman"/>
                <w:color w:val="auto"/>
                <w:sz w:val="21"/>
                <w:szCs w:val="21"/>
                <w:highlight w:val="none"/>
                <w:lang w:val="en-US" w:eastAsia="zh-CN" w:bidi="ar"/>
              </w:rPr>
              <w:t>17114</w:t>
            </w:r>
          </w:p>
        </w:tc>
        <w:tc>
          <w:tcPr>
            <w:tcW w:w="633" w:type="pct"/>
            <w:tcBorders>
              <w:tl2br w:val="nil"/>
              <w:tr2bl w:val="nil"/>
            </w:tcBorders>
            <w:noWrap w:val="0"/>
            <w:vAlign w:val="center"/>
          </w:tcPr>
          <w:p w14:paraId="0E7CAB63">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en-US" w:eastAsia="zh-CN" w:bidi="ar"/>
              </w:rPr>
            </w:pPr>
            <w:r>
              <w:rPr>
                <w:rFonts w:hint="eastAsia" w:ascii="Times New Roman"/>
                <w:color w:val="auto"/>
                <w:sz w:val="21"/>
                <w:szCs w:val="21"/>
                <w:highlight w:val="none"/>
                <w:lang w:val="en-US" w:eastAsia="zh-CN" w:bidi="ar"/>
              </w:rPr>
              <w:t>17114</w:t>
            </w:r>
          </w:p>
        </w:tc>
        <w:tc>
          <w:tcPr>
            <w:tcW w:w="723" w:type="pct"/>
            <w:tcBorders>
              <w:tl2br w:val="nil"/>
              <w:tr2bl w:val="nil"/>
            </w:tcBorders>
            <w:noWrap w:val="0"/>
            <w:vAlign w:val="center"/>
          </w:tcPr>
          <w:p w14:paraId="1DFB7A4D">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sz w:val="21"/>
                <w:szCs w:val="21"/>
                <w:highlight w:val="none"/>
                <w:lang w:val="en-US" w:eastAsia="zh-CN" w:bidi="ar"/>
              </w:rPr>
            </w:pPr>
            <w:r>
              <w:rPr>
                <w:rFonts w:hint="eastAsia" w:ascii="Times New Roman" w:eastAsia="宋体"/>
                <w:color w:val="auto"/>
                <w:sz w:val="21"/>
                <w:szCs w:val="21"/>
                <w:highlight w:val="none"/>
                <w:lang w:val="en-US" w:eastAsia="zh-CN" w:bidi="ar"/>
              </w:rPr>
              <w:t>86182.03</w:t>
            </w:r>
          </w:p>
        </w:tc>
        <w:tc>
          <w:tcPr>
            <w:tcW w:w="1230" w:type="pct"/>
            <w:tcBorders>
              <w:tl2br w:val="nil"/>
              <w:tr2bl w:val="nil"/>
            </w:tcBorders>
            <w:noWrap w:val="0"/>
            <w:vAlign w:val="center"/>
          </w:tcPr>
          <w:p w14:paraId="6C9A646D">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val="en-US" w:eastAsia="zh-CN" w:bidi="ar"/>
              </w:rPr>
            </w:pPr>
            <w:r>
              <w:rPr>
                <w:rFonts w:hint="eastAsia" w:ascii="Times New Roman"/>
                <w:color w:val="auto"/>
                <w:sz w:val="21"/>
                <w:szCs w:val="21"/>
                <w:highlight w:val="none"/>
                <w:lang w:val="en-US" w:eastAsia="zh-CN" w:bidi="ar"/>
              </w:rPr>
              <w:t>/</w:t>
            </w:r>
          </w:p>
        </w:tc>
        <w:tc>
          <w:tcPr>
            <w:tcW w:w="387" w:type="pct"/>
            <w:tcBorders>
              <w:tl2br w:val="nil"/>
              <w:tr2bl w:val="nil"/>
            </w:tcBorders>
            <w:noWrap w:val="0"/>
            <w:vAlign w:val="center"/>
          </w:tcPr>
          <w:p w14:paraId="1C053E41">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0</w:t>
            </w:r>
          </w:p>
        </w:tc>
        <w:tc>
          <w:tcPr>
            <w:tcW w:w="434" w:type="pct"/>
            <w:tcBorders>
              <w:tl2br w:val="nil"/>
              <w:tr2bl w:val="nil"/>
            </w:tcBorders>
            <w:noWrap w:val="0"/>
            <w:vAlign w:val="center"/>
          </w:tcPr>
          <w:p w14:paraId="6A5DB55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w:t>
            </w:r>
          </w:p>
        </w:tc>
      </w:tr>
    </w:tbl>
    <w:p w14:paraId="61EAE22D">
      <w:pPr>
        <w:pStyle w:val="217"/>
        <w:ind w:firstLine="480"/>
        <w:rPr>
          <w:rFonts w:hint="eastAsia" w:ascii="宋体" w:hAnsi="宋体" w:eastAsia="宋体" w:cs="宋体"/>
          <w:color w:val="auto"/>
          <w:highlight w:val="none"/>
          <w:lang w:val="en-US" w:eastAsia="zh-CN"/>
        </w:rPr>
      </w:pPr>
    </w:p>
    <w:p w14:paraId="44A228AD">
      <w:pPr>
        <w:pStyle w:val="7"/>
        <w:widowControl w:val="0"/>
        <w:numPr>
          <w:ilvl w:val="2"/>
          <w:numId w:val="0"/>
        </w:numPr>
        <w:adjustRightInd w:val="0"/>
        <w:snapToGrid w:val="0"/>
        <w:spacing w:before="0" w:after="0" w:line="360" w:lineRule="auto"/>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3.1.</w:t>
      </w:r>
      <w:r>
        <w:rPr>
          <w:rFonts w:hint="eastAsia" w:asciiTheme="minorEastAsia" w:hAnsiTheme="minorEastAsia" w:eastAsiaTheme="minorEastAsia" w:cstheme="minorEastAsia"/>
          <w:color w:val="auto"/>
          <w:highlight w:val="none"/>
          <w:lang w:val="en-US" w:eastAsia="zh-CN"/>
        </w:rPr>
        <w:t>8</w:t>
      </w:r>
      <w:r>
        <w:rPr>
          <w:rFonts w:hint="eastAsia" w:asciiTheme="minorEastAsia" w:hAnsiTheme="minorEastAsia" w:eastAsiaTheme="minorEastAsia" w:cstheme="minorEastAsia"/>
          <w:color w:val="auto"/>
          <w:highlight w:val="none"/>
        </w:rPr>
        <w:t>施工占地情况</w:t>
      </w:r>
    </w:p>
    <w:p w14:paraId="3161C8D3">
      <w:pPr>
        <w:spacing w:line="360" w:lineRule="auto"/>
        <w:ind w:firstLine="480"/>
        <w:rPr>
          <w:color w:val="auto"/>
          <w:highlight w:val="none"/>
        </w:rPr>
      </w:pPr>
      <w:r>
        <w:rPr>
          <w:rFonts w:hint="eastAsia" w:ascii="Times New Roman"/>
          <w:color w:val="auto"/>
          <w:highlight w:val="none"/>
        </w:rPr>
        <w:t>根据区域</w:t>
      </w:r>
      <w:r>
        <w:rPr>
          <w:rFonts w:ascii="Times New Roman"/>
          <w:color w:val="auto"/>
          <w:highlight w:val="none"/>
        </w:rPr>
        <w:t>土地利用现状</w:t>
      </w:r>
      <w:r>
        <w:rPr>
          <w:rFonts w:hint="eastAsia" w:ascii="Times New Roman"/>
          <w:color w:val="auto"/>
          <w:highlight w:val="none"/>
        </w:rPr>
        <w:t>调查可知，</w:t>
      </w:r>
      <w:r>
        <w:rPr>
          <w:rFonts w:ascii="Times New Roman"/>
          <w:color w:val="auto"/>
          <w:highlight w:val="none"/>
        </w:rPr>
        <w:t>评价区土地利用类型</w:t>
      </w:r>
      <w:r>
        <w:rPr>
          <w:rFonts w:hint="eastAsia" w:ascii="Times New Roman"/>
          <w:color w:val="auto"/>
          <w:highlight w:val="none"/>
          <w:lang w:val="en-US" w:eastAsia="zh-CN"/>
        </w:rPr>
        <w:t>为裸土地</w:t>
      </w:r>
      <w:r>
        <w:rPr>
          <w:rFonts w:ascii="Times New Roman"/>
          <w:color w:val="auto"/>
          <w:highlight w:val="none"/>
        </w:rPr>
        <w:t>，</w:t>
      </w:r>
      <w:r>
        <w:rPr>
          <w:rFonts w:hint="eastAsia" w:ascii="Times New Roman"/>
          <w:color w:val="auto"/>
          <w:highlight w:val="none"/>
          <w:lang w:val="en-US" w:eastAsia="zh-CN"/>
        </w:rPr>
        <w:t>本项目</w:t>
      </w:r>
      <w:r>
        <w:rPr>
          <w:rFonts w:hint="eastAsia" w:ascii="Times New Roman"/>
          <w:color w:val="auto"/>
          <w:highlight w:val="none"/>
        </w:rPr>
        <w:t>施工设施、设备均布置在场地内</w:t>
      </w:r>
      <w:r>
        <w:rPr>
          <w:rFonts w:hint="eastAsia" w:ascii="Times New Roman"/>
          <w:color w:val="auto"/>
          <w:highlight w:val="none"/>
          <w:lang w:eastAsia="zh-CN"/>
        </w:rPr>
        <w:t>，</w:t>
      </w:r>
      <w:r>
        <w:rPr>
          <w:rFonts w:hint="eastAsia" w:ascii="Times New Roman"/>
          <w:color w:val="auto"/>
          <w:highlight w:val="none"/>
        </w:rPr>
        <w:t>不新增</w:t>
      </w:r>
      <w:r>
        <w:rPr>
          <w:rFonts w:hint="eastAsia" w:ascii="Times New Roman"/>
          <w:color w:val="auto"/>
          <w:highlight w:val="none"/>
          <w:lang w:val="en-US" w:eastAsia="zh-CN"/>
        </w:rPr>
        <w:t>临时</w:t>
      </w:r>
      <w:r>
        <w:rPr>
          <w:rFonts w:hint="eastAsia" w:ascii="Times New Roman"/>
          <w:color w:val="auto"/>
          <w:highlight w:val="none"/>
        </w:rPr>
        <w:t>用地。</w:t>
      </w:r>
    </w:p>
    <w:p w14:paraId="06CBD1CC">
      <w:pPr>
        <w:pStyle w:val="7"/>
        <w:widowControl w:val="0"/>
        <w:numPr>
          <w:ilvl w:val="2"/>
          <w:numId w:val="0"/>
        </w:numPr>
        <w:adjustRightInd w:val="0"/>
        <w:snapToGrid w:val="0"/>
        <w:spacing w:before="0" w:after="0" w:line="360" w:lineRule="auto"/>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3.1.</w:t>
      </w:r>
      <w:r>
        <w:rPr>
          <w:rFonts w:hint="eastAsia" w:asciiTheme="minorEastAsia" w:hAnsiTheme="minorEastAsia" w:eastAsiaTheme="minorEastAsia" w:cstheme="minorEastAsia"/>
          <w:color w:val="auto"/>
          <w:highlight w:val="none"/>
          <w:lang w:val="en-US" w:eastAsia="zh-CN"/>
        </w:rPr>
        <w:t>9</w:t>
      </w:r>
      <w:r>
        <w:rPr>
          <w:rFonts w:hint="eastAsia" w:asciiTheme="minorEastAsia" w:hAnsiTheme="minorEastAsia" w:eastAsiaTheme="minorEastAsia" w:cstheme="minorEastAsia"/>
          <w:color w:val="auto"/>
          <w:highlight w:val="none"/>
        </w:rPr>
        <w:t>总平面布置</w:t>
      </w:r>
    </w:p>
    <w:p w14:paraId="3D2F0541">
      <w:pPr>
        <w:spacing w:line="360" w:lineRule="auto"/>
        <w:ind w:firstLine="480"/>
        <w:rPr>
          <w:rFonts w:hint="eastAsia" w:ascii="Times New Roman"/>
          <w:color w:val="auto"/>
          <w:sz w:val="24"/>
          <w:szCs w:val="24"/>
          <w:highlight w:val="none"/>
        </w:rPr>
      </w:pPr>
      <w:r>
        <w:rPr>
          <w:rFonts w:hint="eastAsia" w:ascii="Times New Roman"/>
          <w:color w:val="auto"/>
          <w:sz w:val="24"/>
          <w:szCs w:val="24"/>
          <w:highlight w:val="none"/>
        </w:rPr>
        <w:t>按照现有国家的方针、政策，并结合当地情况，在满足使用的要求下，做到经济、合理，尽量减少投资、降低造价，并切实注意节约用地。总图布置中做到合理布置人流、车流的运输路线，以减少能源消耗，确保交通运输安全。</w:t>
      </w:r>
    </w:p>
    <w:p w14:paraId="56D0C712">
      <w:pPr>
        <w:spacing w:line="360" w:lineRule="auto"/>
        <w:ind w:firstLine="480"/>
        <w:rPr>
          <w:rFonts w:hint="eastAsia" w:ascii="Times New Roman"/>
          <w:color w:val="auto"/>
          <w:sz w:val="24"/>
          <w:szCs w:val="24"/>
          <w:highlight w:val="none"/>
        </w:rPr>
      </w:pPr>
      <w:r>
        <w:rPr>
          <w:rFonts w:ascii="Times New Roman"/>
          <w:color w:val="auto"/>
          <w:sz w:val="24"/>
          <w:szCs w:val="24"/>
          <w:highlight w:val="none"/>
        </w:rPr>
        <w:t>本</w:t>
      </w:r>
      <w:r>
        <w:rPr>
          <w:rFonts w:hint="eastAsia" w:ascii="Times New Roman"/>
          <w:color w:val="auto"/>
          <w:sz w:val="24"/>
          <w:szCs w:val="24"/>
          <w:highlight w:val="none"/>
          <w:lang w:val="en-US" w:eastAsia="zh-CN"/>
        </w:rPr>
        <w:t>项目</w:t>
      </w:r>
      <w:r>
        <w:rPr>
          <w:rFonts w:ascii="Times New Roman"/>
          <w:color w:val="auto"/>
          <w:sz w:val="24"/>
          <w:szCs w:val="24"/>
          <w:highlight w:val="none"/>
        </w:rPr>
        <w:t>位于</w:t>
      </w:r>
      <w:r>
        <w:rPr>
          <w:rFonts w:hint="eastAsia" w:ascii="Times New Roman" w:hAnsi="宋体" w:eastAsia="宋体" w:cs="Times New Roman"/>
          <w:color w:val="auto"/>
          <w:kern w:val="0"/>
          <w:sz w:val="24"/>
          <w:szCs w:val="24"/>
          <w:highlight w:val="none"/>
          <w:lang w:val="en-US" w:eastAsia="zh-CN"/>
        </w:rPr>
        <w:t>黑龙江省哈尔滨市</w:t>
      </w:r>
      <w:r>
        <w:rPr>
          <w:rFonts w:hint="default" w:ascii="Times New Roman" w:hAnsi="宋体" w:eastAsia="宋体" w:cs="Times New Roman"/>
          <w:color w:val="auto"/>
          <w:kern w:val="0"/>
          <w:sz w:val="24"/>
          <w:szCs w:val="24"/>
          <w:highlight w:val="none"/>
          <w:lang w:val="en-US" w:eastAsia="zh-CN"/>
        </w:rPr>
        <w:t>尚志市元宝镇元宝村新村北侧</w:t>
      </w:r>
      <w:r>
        <w:rPr>
          <w:rFonts w:ascii="Times New Roman"/>
          <w:color w:val="auto"/>
          <w:sz w:val="24"/>
          <w:szCs w:val="24"/>
          <w:highlight w:val="none"/>
        </w:rPr>
        <w:t>，</w:t>
      </w:r>
      <w:r>
        <w:rPr>
          <w:rFonts w:hint="eastAsia" w:ascii="Times New Roman"/>
          <w:color w:val="auto"/>
          <w:sz w:val="24"/>
          <w:szCs w:val="24"/>
          <w:highlight w:val="none"/>
          <w:lang w:val="en-US" w:eastAsia="zh-CN"/>
        </w:rPr>
        <w:t>地</w:t>
      </w:r>
      <w:r>
        <w:rPr>
          <w:rFonts w:ascii="Times New Roman"/>
          <w:color w:val="auto"/>
          <w:sz w:val="24"/>
          <w:szCs w:val="24"/>
          <w:highlight w:val="none"/>
        </w:rPr>
        <w:t>址为不规则形状，</w:t>
      </w:r>
      <w:r>
        <w:rPr>
          <w:rFonts w:hint="eastAsia" w:ascii="Times New Roman"/>
          <w:color w:val="auto"/>
          <w:sz w:val="24"/>
          <w:szCs w:val="24"/>
          <w:highlight w:val="none"/>
          <w:lang w:val="en-US" w:eastAsia="zh-CN"/>
        </w:rPr>
        <w:t>总</w:t>
      </w:r>
      <w:r>
        <w:rPr>
          <w:rFonts w:ascii="Times New Roman"/>
          <w:color w:val="auto"/>
          <w:sz w:val="24"/>
          <w:szCs w:val="24"/>
          <w:highlight w:val="none"/>
        </w:rPr>
        <w:t>面积</w:t>
      </w:r>
      <w:r>
        <w:rPr>
          <w:rFonts w:hint="eastAsia" w:ascii="Times New Roman" w:hAnsi="宋体" w:eastAsia="宋体" w:cs="Times New Roman"/>
          <w:color w:val="auto"/>
          <w:kern w:val="0"/>
          <w:sz w:val="24"/>
          <w:szCs w:val="24"/>
          <w:highlight w:val="none"/>
          <w:lang w:val="en-US" w:eastAsia="zh-CN"/>
        </w:rPr>
        <w:t>11296.10m</w:t>
      </w:r>
      <w:r>
        <w:rPr>
          <w:rFonts w:hint="eastAsia" w:ascii="Times New Roman" w:hAnsi="宋体" w:eastAsia="宋体" w:cs="Times New Roman"/>
          <w:color w:val="auto"/>
          <w:kern w:val="0"/>
          <w:sz w:val="24"/>
          <w:szCs w:val="24"/>
          <w:highlight w:val="none"/>
          <w:vertAlign w:val="superscript"/>
          <w:lang w:val="en-US" w:eastAsia="zh-CN"/>
        </w:rPr>
        <w:t>2</w:t>
      </w:r>
      <w:r>
        <w:rPr>
          <w:rFonts w:ascii="Times New Roman"/>
          <w:color w:val="auto"/>
          <w:sz w:val="24"/>
          <w:szCs w:val="24"/>
          <w:highlight w:val="none"/>
        </w:rPr>
        <w:t>，</w:t>
      </w:r>
      <w:r>
        <w:rPr>
          <w:rFonts w:hint="eastAsia" w:ascii="Times New Roman"/>
          <w:color w:val="auto"/>
          <w:sz w:val="24"/>
          <w:szCs w:val="24"/>
          <w:highlight w:val="none"/>
        </w:rPr>
        <w:t>区域地势高程呈现</w:t>
      </w:r>
      <w:r>
        <w:rPr>
          <w:rFonts w:ascii="Times New Roman" w:hAnsi="Times New Roman" w:eastAsia="宋体" w:cs="Times New Roman"/>
          <w:color w:val="auto"/>
          <w:sz w:val="24"/>
          <w:szCs w:val="24"/>
          <w:highlight w:val="none"/>
        </w:rPr>
        <w:t>北高南低、西高东低</w:t>
      </w:r>
      <w:r>
        <w:rPr>
          <w:rFonts w:hint="eastAsia" w:ascii="Times New Roman"/>
          <w:color w:val="auto"/>
          <w:sz w:val="24"/>
          <w:szCs w:val="24"/>
          <w:highlight w:val="none"/>
        </w:rPr>
        <w:t>的布局</w:t>
      </w:r>
      <w:r>
        <w:rPr>
          <w:rFonts w:hint="eastAsia" w:ascii="Times New Roman"/>
          <w:color w:val="auto"/>
          <w:sz w:val="24"/>
          <w:szCs w:val="24"/>
          <w:highlight w:val="none"/>
          <w:lang w:eastAsia="zh-CN"/>
        </w:rPr>
        <w:t>。</w:t>
      </w:r>
      <w:r>
        <w:rPr>
          <w:rFonts w:hint="eastAsia" w:ascii="Times New Roman"/>
          <w:color w:val="auto"/>
          <w:sz w:val="24"/>
          <w:szCs w:val="24"/>
          <w:highlight w:val="none"/>
        </w:rPr>
        <w:t>拉运的建筑材料等原料</w:t>
      </w:r>
      <w:r>
        <w:rPr>
          <w:rFonts w:hint="eastAsia" w:ascii="Times New Roman"/>
          <w:color w:val="auto"/>
          <w:sz w:val="24"/>
          <w:szCs w:val="24"/>
          <w:highlight w:val="none"/>
          <w:lang w:val="en-US" w:eastAsia="zh-CN"/>
        </w:rPr>
        <w:t>存放于</w:t>
      </w:r>
      <w:r>
        <w:rPr>
          <w:rFonts w:hint="eastAsia" w:ascii="Times New Roman"/>
          <w:color w:val="auto"/>
          <w:sz w:val="24"/>
          <w:szCs w:val="24"/>
          <w:highlight w:val="none"/>
        </w:rPr>
        <w:t>场地</w:t>
      </w:r>
      <w:r>
        <w:rPr>
          <w:rFonts w:ascii="Times New Roman"/>
          <w:color w:val="auto"/>
          <w:sz w:val="24"/>
          <w:szCs w:val="24"/>
          <w:highlight w:val="none"/>
        </w:rPr>
        <w:t>内</w:t>
      </w:r>
      <w:r>
        <w:rPr>
          <w:rFonts w:hint="eastAsia" w:ascii="Times New Roman"/>
          <w:color w:val="auto"/>
          <w:sz w:val="24"/>
          <w:szCs w:val="24"/>
          <w:highlight w:val="none"/>
          <w:lang w:val="en-US" w:eastAsia="zh-CN"/>
        </w:rPr>
        <w:t>南</w:t>
      </w:r>
      <w:r>
        <w:rPr>
          <w:rFonts w:ascii="Times New Roman"/>
          <w:color w:val="auto"/>
          <w:sz w:val="24"/>
          <w:szCs w:val="24"/>
          <w:highlight w:val="none"/>
        </w:rPr>
        <w:t>侧</w:t>
      </w:r>
      <w:r>
        <w:rPr>
          <w:rFonts w:hint="eastAsia" w:ascii="Times New Roman"/>
          <w:color w:val="auto"/>
          <w:sz w:val="24"/>
          <w:szCs w:val="24"/>
          <w:highlight w:val="none"/>
        </w:rPr>
        <w:t>位置</w:t>
      </w:r>
      <w:r>
        <w:rPr>
          <w:rFonts w:hint="eastAsia" w:ascii="Times New Roman"/>
          <w:color w:val="auto"/>
          <w:sz w:val="24"/>
          <w:szCs w:val="24"/>
          <w:highlight w:val="none"/>
          <w:lang w:eastAsia="zh-CN"/>
        </w:rPr>
        <w:t>，</w:t>
      </w:r>
      <w:r>
        <w:rPr>
          <w:rFonts w:hint="eastAsia" w:ascii="Times New Roman"/>
          <w:color w:val="auto"/>
          <w:sz w:val="24"/>
          <w:szCs w:val="24"/>
          <w:highlight w:val="none"/>
        </w:rPr>
        <w:t>临时堆放。</w:t>
      </w:r>
      <w:r>
        <w:rPr>
          <w:rFonts w:hint="eastAsia"/>
          <w:color w:val="auto"/>
          <w:sz w:val="24"/>
          <w:szCs w:val="24"/>
          <w:highlight w:val="none"/>
        </w:rPr>
        <w:t>在回填区</w:t>
      </w:r>
      <w:r>
        <w:rPr>
          <w:rFonts w:hint="eastAsia"/>
          <w:color w:val="auto"/>
          <w:sz w:val="24"/>
          <w:szCs w:val="24"/>
          <w:highlight w:val="none"/>
          <w:lang w:val="en-US" w:eastAsia="zh-CN"/>
        </w:rPr>
        <w:t>北</w:t>
      </w:r>
      <w:r>
        <w:rPr>
          <w:rFonts w:hint="eastAsia"/>
          <w:color w:val="auto"/>
          <w:sz w:val="24"/>
          <w:szCs w:val="24"/>
          <w:highlight w:val="none"/>
        </w:rPr>
        <w:t>侧和</w:t>
      </w:r>
      <w:r>
        <w:rPr>
          <w:rFonts w:hint="eastAsia"/>
          <w:color w:val="auto"/>
          <w:sz w:val="24"/>
          <w:szCs w:val="24"/>
          <w:highlight w:val="none"/>
          <w:lang w:val="en-US" w:eastAsia="zh-CN"/>
        </w:rPr>
        <w:t>西</w:t>
      </w:r>
      <w:r>
        <w:rPr>
          <w:rFonts w:hint="eastAsia"/>
          <w:color w:val="auto"/>
          <w:sz w:val="24"/>
          <w:szCs w:val="24"/>
          <w:highlight w:val="none"/>
        </w:rPr>
        <w:t>侧</w:t>
      </w:r>
      <w:r>
        <w:rPr>
          <w:rFonts w:hint="default" w:ascii="Times New Roman" w:hAnsi="Times New Roman" w:eastAsia="宋体" w:cs="Times New Roman"/>
          <w:color w:val="auto"/>
          <w:sz w:val="24"/>
          <w:szCs w:val="24"/>
          <w:highlight w:val="none"/>
        </w:rPr>
        <w:t>设置</w:t>
      </w:r>
      <w:r>
        <w:rPr>
          <w:rFonts w:hint="eastAsia" w:ascii="Times New Roman" w:hAnsi="Times New Roman" w:eastAsia="宋体" w:cs="Times New Roman"/>
          <w:color w:val="auto"/>
          <w:sz w:val="24"/>
          <w:szCs w:val="24"/>
          <w:highlight w:val="none"/>
          <w:lang w:eastAsia="zh-CN"/>
        </w:rPr>
        <w:t>拦挡埂</w:t>
      </w:r>
      <w:r>
        <w:rPr>
          <w:rFonts w:hint="default"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eastAsia="zh-CN"/>
        </w:rPr>
        <w:t>拦挡埂</w:t>
      </w:r>
      <w:r>
        <w:rPr>
          <w:rFonts w:hint="default" w:ascii="Times New Roman" w:hAnsi="Times New Roman" w:eastAsia="宋体" w:cs="Times New Roman"/>
          <w:color w:val="auto"/>
          <w:sz w:val="24"/>
          <w:szCs w:val="24"/>
          <w:highlight w:val="none"/>
        </w:rPr>
        <w:t>采用袋装土挡护，挡土袋高0.25m，宽0.4m</w:t>
      </w:r>
      <w:r>
        <w:rPr>
          <w:rFonts w:hint="eastAsia"/>
          <w:color w:val="auto"/>
          <w:sz w:val="24"/>
          <w:szCs w:val="24"/>
          <w:highlight w:val="none"/>
        </w:rPr>
        <w:t>，长度</w:t>
      </w:r>
      <w:r>
        <w:rPr>
          <w:rFonts w:hint="eastAsia"/>
          <w:color w:val="auto"/>
          <w:sz w:val="24"/>
          <w:szCs w:val="24"/>
          <w:highlight w:val="none"/>
          <w:lang w:val="en-US" w:eastAsia="zh-CN"/>
        </w:rPr>
        <w:t>约300</w:t>
      </w:r>
      <w:r>
        <w:rPr>
          <w:color w:val="auto"/>
          <w:sz w:val="24"/>
          <w:szCs w:val="24"/>
          <w:highlight w:val="none"/>
        </w:rPr>
        <w:t>m</w:t>
      </w:r>
      <w:r>
        <w:rPr>
          <w:rFonts w:hint="eastAsia" w:ascii="宋体" w:hAnsi="宋体" w:cs="宋体"/>
          <w:color w:val="auto"/>
          <w:kern w:val="0"/>
          <w:sz w:val="24"/>
          <w:szCs w:val="24"/>
          <w:highlight w:val="none"/>
          <w:lang w:bidi="ar"/>
        </w:rPr>
        <w:t>。</w:t>
      </w:r>
    </w:p>
    <w:p w14:paraId="59CC2E67">
      <w:pPr>
        <w:pStyle w:val="1233"/>
        <w:widowControl w:val="0"/>
        <w:snapToGrid w:val="0"/>
        <w:ind w:firstLine="480"/>
        <w:rPr>
          <w:rFonts w:hint="eastAsia" w:asciiTheme="minorEastAsia" w:hAnsiTheme="minorEastAsia" w:eastAsiaTheme="minorEastAsia" w:cstheme="minorEastAsia"/>
          <w:color w:val="auto"/>
          <w:highlight w:val="none"/>
        </w:rPr>
      </w:pPr>
    </w:p>
    <w:p w14:paraId="015BBDF7">
      <w:pPr>
        <w:pStyle w:val="1233"/>
        <w:widowControl w:val="0"/>
        <w:snapToGrid w:val="0"/>
        <w:ind w:firstLine="480"/>
        <w:rPr>
          <w:rFonts w:hint="eastAsia" w:asciiTheme="minorEastAsia" w:hAnsiTheme="minorEastAsia" w:eastAsiaTheme="minorEastAsia" w:cstheme="minorEastAsia"/>
          <w:color w:val="auto"/>
          <w:highlight w:val="none"/>
        </w:rPr>
      </w:pPr>
    </w:p>
    <w:bookmarkEnd w:id="360"/>
    <w:bookmarkEnd w:id="361"/>
    <w:bookmarkEnd w:id="362"/>
    <w:bookmarkEnd w:id="363"/>
    <w:bookmarkEnd w:id="364"/>
    <w:bookmarkEnd w:id="365"/>
    <w:bookmarkEnd w:id="366"/>
    <w:p w14:paraId="2FF8F735">
      <w:pPr>
        <w:pStyle w:val="6"/>
        <w:widowControl w:val="0"/>
        <w:snapToGrid w:val="0"/>
        <w:spacing w:before="0" w:after="0" w:line="360" w:lineRule="auto"/>
        <w:rPr>
          <w:rFonts w:hint="eastAsia" w:asciiTheme="minorEastAsia" w:hAnsiTheme="minorEastAsia" w:eastAsiaTheme="minorEastAsia" w:cstheme="minorEastAsia"/>
          <w:color w:val="auto"/>
          <w:highlight w:val="none"/>
        </w:rPr>
        <w:sectPr>
          <w:headerReference r:id="rId10" w:type="default"/>
          <w:pgSz w:w="11906" w:h="16838"/>
          <w:pgMar w:top="1440" w:right="1797" w:bottom="1440" w:left="1797" w:header="992" w:footer="992" w:gutter="0"/>
          <w:pgBorders>
            <w:top w:val="none" w:sz="0" w:space="0"/>
            <w:left w:val="none" w:sz="0" w:space="0"/>
            <w:bottom w:val="none" w:sz="0" w:space="0"/>
            <w:right w:val="none" w:sz="0" w:space="0"/>
          </w:pgBorders>
          <w:pgNumType w:fmt="numberInDash"/>
          <w:cols w:space="720" w:num="1"/>
          <w:docGrid w:type="lines" w:linePitch="312" w:charSpace="0"/>
        </w:sectPr>
      </w:pPr>
      <w:bookmarkStart w:id="370" w:name="_Toc509585321"/>
      <w:bookmarkStart w:id="371" w:name="_Toc31579"/>
      <w:bookmarkStart w:id="372" w:name="_Toc4901"/>
    </w:p>
    <w:p w14:paraId="0492F54E">
      <w:pPr>
        <w:pStyle w:val="6"/>
        <w:widowControl w:val="0"/>
        <w:snapToGrid w:val="0"/>
        <w:spacing w:before="0" w:after="0" w:line="360" w:lineRule="auto"/>
        <w:rPr>
          <w:rFonts w:hint="eastAsia" w:asciiTheme="minorEastAsia" w:hAnsiTheme="minorEastAsia" w:eastAsiaTheme="minorEastAsia" w:cstheme="minorEastAsia"/>
          <w:color w:val="auto"/>
          <w:highlight w:val="none"/>
        </w:rPr>
      </w:pPr>
      <w:bookmarkStart w:id="373" w:name="_Toc16903"/>
      <w:r>
        <w:rPr>
          <w:rFonts w:hint="eastAsia" w:asciiTheme="minorEastAsia" w:hAnsiTheme="minorEastAsia" w:eastAsiaTheme="minorEastAsia" w:cstheme="minorEastAsia"/>
          <w:color w:val="auto"/>
          <w:highlight w:val="none"/>
        </w:rPr>
        <w:t>3.</w:t>
      </w:r>
      <w:bookmarkEnd w:id="370"/>
      <w:bookmarkEnd w:id="371"/>
      <w:r>
        <w:rPr>
          <w:rFonts w:hint="eastAsia" w:asciiTheme="minorEastAsia" w:hAnsiTheme="minorEastAsia" w:eastAsiaTheme="minorEastAsia" w:cstheme="minorEastAsia"/>
          <w:color w:val="auto"/>
          <w:highlight w:val="none"/>
        </w:rPr>
        <w:t>2工程分析</w:t>
      </w:r>
      <w:bookmarkEnd w:id="372"/>
      <w:bookmarkEnd w:id="373"/>
    </w:p>
    <w:p w14:paraId="23E3E3D5">
      <w:pPr>
        <w:pStyle w:val="7"/>
        <w:numPr>
          <w:ilvl w:val="2"/>
          <w:numId w:val="0"/>
        </w:numPr>
        <w:bidi w:val="0"/>
        <w:ind w:leftChars="0"/>
        <w:rPr>
          <w:rFonts w:hint="default"/>
          <w:color w:val="auto"/>
          <w:highlight w:val="none"/>
          <w:lang w:val="en-US" w:eastAsia="zh-CN"/>
        </w:rPr>
      </w:pPr>
      <w:bookmarkStart w:id="374" w:name="_Toc22909"/>
      <w:bookmarkStart w:id="375" w:name="_Toc11366"/>
      <w:bookmarkStart w:id="376" w:name="_Toc24866"/>
      <w:bookmarkStart w:id="377" w:name="_Toc11937"/>
      <w:bookmarkStart w:id="378" w:name="_Toc28468"/>
      <w:bookmarkStart w:id="379" w:name="_Toc10793"/>
      <w:bookmarkStart w:id="380" w:name="_Toc531800134"/>
      <w:bookmarkStart w:id="381" w:name="_Toc532125253"/>
      <w:bookmarkStart w:id="382" w:name="_Toc24588"/>
      <w:r>
        <w:rPr>
          <w:color w:val="auto"/>
          <w:highlight w:val="none"/>
        </w:rPr>
        <w:t>3.2.1施工</w:t>
      </w:r>
      <w:r>
        <w:rPr>
          <w:rFonts w:hint="eastAsia"/>
          <w:color w:val="auto"/>
          <w:highlight w:val="none"/>
          <w:lang w:val="en-US" w:eastAsia="zh-CN"/>
        </w:rPr>
        <w:t>前</w:t>
      </w:r>
      <w:bookmarkEnd w:id="374"/>
      <w:bookmarkEnd w:id="375"/>
      <w:bookmarkEnd w:id="376"/>
      <w:bookmarkEnd w:id="377"/>
      <w:bookmarkEnd w:id="378"/>
      <w:bookmarkEnd w:id="379"/>
      <w:r>
        <w:rPr>
          <w:rFonts w:hint="eastAsia"/>
          <w:color w:val="auto"/>
          <w:highlight w:val="none"/>
          <w:lang w:val="en-US" w:eastAsia="zh-CN"/>
        </w:rPr>
        <w:t>准备方案</w:t>
      </w:r>
    </w:p>
    <w:p w14:paraId="14DA882F">
      <w:pPr>
        <w:bidi w:val="0"/>
        <w:spacing w:line="360" w:lineRule="auto"/>
        <w:ind w:firstLine="480" w:firstLineChars="200"/>
        <w:rPr>
          <w:rFonts w:hint="default" w:ascii="Times New Roman"/>
          <w:color w:val="auto"/>
          <w:sz w:val="24"/>
          <w:szCs w:val="24"/>
          <w:highlight w:val="none"/>
          <w:lang w:val="en-US" w:eastAsia="zh-CN"/>
        </w:rPr>
      </w:pPr>
      <w:r>
        <w:rPr>
          <w:rFonts w:hint="eastAsia"/>
          <w:color w:val="auto"/>
          <w:sz w:val="24"/>
          <w:szCs w:val="24"/>
          <w:highlight w:val="none"/>
          <w:lang w:val="en-US" w:eastAsia="zh-CN"/>
        </w:rPr>
        <w:t>根据</w:t>
      </w:r>
      <w:r>
        <w:rPr>
          <w:rFonts w:hint="eastAsia" w:ascii="Times New Roman"/>
          <w:bCs/>
          <w:color w:val="auto"/>
          <w:sz w:val="24"/>
          <w:szCs w:val="24"/>
          <w:highlight w:val="none"/>
          <w:lang w:val="en-US" w:eastAsia="zh-CN"/>
        </w:rPr>
        <w:t>《</w:t>
      </w:r>
      <w:r>
        <w:rPr>
          <w:rFonts w:hint="default" w:ascii="宋体" w:hAnsi="宋体" w:eastAsia="宋体" w:cs="Times New Roman"/>
          <w:color w:val="auto"/>
          <w:sz w:val="24"/>
          <w:szCs w:val="24"/>
          <w:highlight w:val="none"/>
          <w:lang w:val="en-US" w:eastAsia="zh-CN"/>
        </w:rPr>
        <w:t>黑龙江嘉龙环保科技有限公司</w:t>
      </w:r>
      <w:r>
        <w:rPr>
          <w:rFonts w:hint="eastAsia" w:ascii="宋体" w:hAnsi="宋体" w:eastAsia="宋体" w:cs="Times New Roman"/>
          <w:color w:val="auto"/>
          <w:sz w:val="24"/>
          <w:szCs w:val="24"/>
          <w:highlight w:val="none"/>
          <w:lang w:val="en-US" w:eastAsia="zh-CN"/>
        </w:rPr>
        <w:t>灰渣回填复垦利用项目施工方案</w:t>
      </w:r>
      <w:r>
        <w:rPr>
          <w:rFonts w:hint="eastAsia" w:ascii="Times New Roman"/>
          <w:bCs/>
          <w:color w:val="auto"/>
          <w:sz w:val="24"/>
          <w:szCs w:val="24"/>
          <w:highlight w:val="none"/>
          <w:lang w:val="en-US" w:eastAsia="zh-CN"/>
        </w:rPr>
        <w:t>》确定</w:t>
      </w:r>
      <w:r>
        <w:rPr>
          <w:rFonts w:hint="eastAsia" w:ascii="宋体" w:hAnsi="宋体" w:eastAsia="宋体" w:cs="Times New Roman"/>
          <w:color w:val="auto"/>
          <w:sz w:val="24"/>
          <w:szCs w:val="24"/>
          <w:highlight w:val="none"/>
          <w:lang w:val="en-US" w:eastAsia="zh-CN"/>
        </w:rPr>
        <w:t>灰渣回填复垦利用项目</w:t>
      </w:r>
      <w:r>
        <w:rPr>
          <w:rFonts w:hint="eastAsia"/>
          <w:color w:val="auto"/>
          <w:sz w:val="24"/>
          <w:szCs w:val="24"/>
          <w:highlight w:val="none"/>
          <w:lang w:val="en-US" w:eastAsia="zh-CN"/>
        </w:rPr>
        <w:t>的</w:t>
      </w:r>
      <w:r>
        <w:rPr>
          <w:rFonts w:hint="eastAsia" w:ascii="Times New Roman"/>
          <w:color w:val="auto"/>
          <w:sz w:val="24"/>
          <w:szCs w:val="24"/>
          <w:highlight w:val="none"/>
          <w:lang w:val="en-US" w:eastAsia="zh-CN"/>
        </w:rPr>
        <w:t>地质环境背景、矿山地质环境问题、灰渣回填的技术可行性分析和施工方式、修复治理后恢复的土地利用用途、项目实施的质量保障和应对不确定因素的应急措施。</w:t>
      </w:r>
    </w:p>
    <w:p w14:paraId="12DFB991">
      <w:pPr>
        <w:pStyle w:val="7"/>
        <w:numPr>
          <w:ilvl w:val="2"/>
          <w:numId w:val="0"/>
        </w:numPr>
        <w:bidi w:val="0"/>
        <w:ind w:leftChars="0"/>
        <w:rPr>
          <w:rFonts w:hint="default"/>
          <w:color w:val="auto"/>
          <w:highlight w:val="none"/>
          <w:lang w:val="en-US" w:eastAsia="zh-CN"/>
        </w:rPr>
      </w:pPr>
      <w:r>
        <w:rPr>
          <w:rFonts w:hint="eastAsia"/>
          <w:color w:val="auto"/>
          <w:highlight w:val="none"/>
        </w:rPr>
        <w:t>3.2.</w:t>
      </w:r>
      <w:r>
        <w:rPr>
          <w:rFonts w:hint="eastAsia"/>
          <w:color w:val="auto"/>
          <w:highlight w:val="none"/>
          <w:lang w:val="en-US" w:eastAsia="zh-CN"/>
        </w:rPr>
        <w:t>2施工期工艺</w:t>
      </w:r>
    </w:p>
    <w:p w14:paraId="08368B85">
      <w:pPr>
        <w:bidi w:val="0"/>
        <w:spacing w:line="360" w:lineRule="auto"/>
        <w:ind w:firstLine="480" w:firstLineChars="200"/>
        <w:rPr>
          <w:rFonts w:hint="eastAsia" w:ascii="宋体" w:hAnsi="Times New Roman" w:eastAsia="宋体" w:cs="Times New Roman"/>
          <w:color w:val="auto"/>
          <w:sz w:val="24"/>
          <w:szCs w:val="24"/>
          <w:highlight w:val="none"/>
          <w:lang w:val="en-US" w:eastAsia="zh-CN"/>
        </w:rPr>
      </w:pPr>
      <w:r>
        <w:rPr>
          <w:rFonts w:hint="eastAsia" w:ascii="宋体" w:hAnsi="Times New Roman" w:eastAsia="宋体" w:cs="Times New Roman"/>
          <w:color w:val="auto"/>
          <w:sz w:val="24"/>
          <w:szCs w:val="24"/>
          <w:highlight w:val="none"/>
          <w:lang w:val="en-US" w:eastAsia="zh-CN"/>
        </w:rPr>
        <w:t>3.2.2.1场地平整</w:t>
      </w:r>
    </w:p>
    <w:p w14:paraId="4B6D899A">
      <w:pPr>
        <w:bidi w:val="0"/>
        <w:spacing w:line="360" w:lineRule="auto"/>
        <w:ind w:firstLine="480" w:firstLineChars="200"/>
        <w:rPr>
          <w:rFonts w:hint="eastAsia" w:ascii="宋体" w:hAnsi="Times New Roman" w:eastAsia="宋体" w:cs="Times New Roman"/>
          <w:color w:val="auto"/>
          <w:sz w:val="24"/>
          <w:szCs w:val="24"/>
          <w:highlight w:val="none"/>
          <w:lang w:val="en-US" w:eastAsia="zh-CN"/>
        </w:rPr>
      </w:pPr>
      <w:r>
        <w:rPr>
          <w:rFonts w:hint="eastAsia" w:ascii="宋体" w:hAnsi="Times New Roman" w:eastAsia="宋体" w:cs="Times New Roman"/>
          <w:color w:val="auto"/>
          <w:sz w:val="24"/>
          <w:szCs w:val="24"/>
          <w:highlight w:val="none"/>
          <w:lang w:val="en-US" w:eastAsia="zh-CN"/>
        </w:rPr>
        <w:t>本项目的场地平整范围包括废弃</w:t>
      </w:r>
      <w:r>
        <w:rPr>
          <w:rFonts w:hint="eastAsia" w:ascii="Times New Roman"/>
          <w:color w:val="auto"/>
          <w:highlight w:val="none"/>
          <w:lang w:val="en-US" w:eastAsia="zh-CN"/>
        </w:rPr>
        <w:t>采砂坑</w:t>
      </w:r>
      <w:r>
        <w:rPr>
          <w:rFonts w:hint="eastAsia" w:ascii="宋体" w:hAnsi="Times New Roman" w:eastAsia="宋体" w:cs="Times New Roman"/>
          <w:color w:val="auto"/>
          <w:sz w:val="24"/>
          <w:szCs w:val="24"/>
          <w:highlight w:val="none"/>
          <w:lang w:val="en-US" w:eastAsia="zh-CN"/>
        </w:rPr>
        <w:t>回填区、边坡等回填区域；其边界为整个修复回填区域边界。基底平整，并将场地基础进行土地压实，处理后的场地基础面应该达到平整、坚实、无裂缝、无松土，坡面稳定，过渡平缓。修坡根据现状斜坡坡度和高度确定斜坡清理量，从项目区西北向东南坡依次修坡，从上至下形成斜坡坡角小于45°斜坡。</w:t>
      </w:r>
    </w:p>
    <w:p w14:paraId="4E5F1BBF">
      <w:pPr>
        <w:bidi w:val="0"/>
        <w:spacing w:line="360" w:lineRule="auto"/>
        <w:ind w:firstLine="480" w:firstLineChars="200"/>
        <w:rPr>
          <w:rFonts w:hint="eastAsia" w:ascii="宋体" w:hAnsi="Times New Roman" w:eastAsia="宋体" w:cs="Times New Roman"/>
          <w:color w:val="auto"/>
          <w:sz w:val="24"/>
          <w:szCs w:val="24"/>
          <w:highlight w:val="none"/>
          <w:lang w:val="en-US" w:eastAsia="zh-CN"/>
        </w:rPr>
      </w:pPr>
      <w:r>
        <w:rPr>
          <w:rFonts w:hint="eastAsia" w:ascii="宋体" w:hAnsi="Times New Roman" w:eastAsia="宋体" w:cs="Times New Roman"/>
          <w:color w:val="auto"/>
          <w:sz w:val="24"/>
          <w:szCs w:val="24"/>
          <w:highlight w:val="none"/>
          <w:lang w:val="en-US" w:eastAsia="zh-CN"/>
        </w:rPr>
        <w:t>3.2.2.2防渗漏工程</w:t>
      </w:r>
    </w:p>
    <w:p w14:paraId="5B9B064D">
      <w:pPr>
        <w:bidi w:val="0"/>
        <w:spacing w:line="360" w:lineRule="auto"/>
        <w:ind w:firstLine="480" w:firstLineChars="200"/>
        <w:rPr>
          <w:rFonts w:hint="eastAsia" w:ascii="宋体" w:hAnsi="Times New Roman" w:eastAsia="宋体" w:cs="Times New Roman"/>
          <w:color w:val="auto"/>
          <w:sz w:val="24"/>
          <w:szCs w:val="24"/>
          <w:highlight w:val="none"/>
          <w:lang w:val="en-US" w:eastAsia="zh-CN"/>
        </w:rPr>
      </w:pPr>
      <w:r>
        <w:rPr>
          <w:rFonts w:hint="eastAsia" w:ascii="宋体" w:hAnsi="Times New Roman" w:eastAsia="宋体" w:cs="Times New Roman"/>
          <w:color w:val="auto"/>
          <w:sz w:val="24"/>
          <w:szCs w:val="24"/>
          <w:highlight w:val="none"/>
          <w:lang w:val="en-US" w:eastAsia="zh-CN"/>
        </w:rPr>
        <w:t>回填区场底平整后，在场地底部和边坡做基础防渗层，从下往上依次为土工布（厚度2.5mm），高密度聚乙烯膜2mm，土工布（厚度2.5mm）。其防渗性能K</w:t>
      </w:r>
      <w:r>
        <w:rPr>
          <w:rFonts w:hint="default" w:ascii="宋体" w:hAnsi="Times New Roman" w:eastAsia="宋体" w:cs="Times New Roman"/>
          <w:color w:val="auto"/>
          <w:sz w:val="24"/>
          <w:szCs w:val="24"/>
          <w:highlight w:val="none"/>
          <w:lang w:val="en-US" w:eastAsia="zh-CN"/>
        </w:rPr>
        <w:t>≤</w:t>
      </w:r>
      <w:r>
        <w:rPr>
          <w:rFonts w:hint="eastAsia" w:ascii="宋体" w:hAnsi="Times New Roman" w:eastAsia="宋体" w:cs="Times New Roman"/>
          <w:color w:val="auto"/>
          <w:sz w:val="24"/>
          <w:szCs w:val="24"/>
          <w:highlight w:val="none"/>
          <w:lang w:val="en-US" w:eastAsia="zh-CN"/>
        </w:rPr>
        <w:t>1.0×10</w:t>
      </w:r>
      <w:r>
        <w:rPr>
          <w:rFonts w:hint="eastAsia" w:ascii="宋体" w:hAnsi="Times New Roman" w:eastAsia="宋体" w:cs="Times New Roman"/>
          <w:color w:val="auto"/>
          <w:sz w:val="24"/>
          <w:szCs w:val="24"/>
          <w:highlight w:val="none"/>
          <w:vertAlign w:val="superscript"/>
          <w:lang w:val="en-US" w:eastAsia="zh-CN"/>
        </w:rPr>
        <w:t>-7</w:t>
      </w:r>
      <w:r>
        <w:rPr>
          <w:rFonts w:hint="eastAsia" w:ascii="宋体" w:hAnsi="Times New Roman" w:eastAsia="宋体" w:cs="Times New Roman"/>
          <w:color w:val="auto"/>
          <w:sz w:val="24"/>
          <w:szCs w:val="24"/>
          <w:highlight w:val="none"/>
          <w:lang w:val="en-US" w:eastAsia="zh-CN"/>
        </w:rPr>
        <w:t>cm/s，能够满足《一般工业固体废物贮存和填埋污染控制标准》（GB18599-2020）I类一般工业固体废物填埋场设置要求。</w:t>
      </w:r>
    </w:p>
    <w:p w14:paraId="3F552C9A">
      <w:pPr>
        <w:pStyle w:val="7"/>
        <w:numPr>
          <w:ilvl w:val="2"/>
          <w:numId w:val="0"/>
        </w:numPr>
        <w:bidi w:val="0"/>
        <w:ind w:leftChars="0"/>
        <w:rPr>
          <w:rFonts w:hint="eastAsia"/>
          <w:color w:val="auto"/>
          <w:highlight w:val="none"/>
        </w:rPr>
      </w:pPr>
      <w:bookmarkStart w:id="383" w:name="_Toc10910"/>
      <w:bookmarkStart w:id="384" w:name="_Toc16346"/>
      <w:bookmarkStart w:id="385" w:name="_Toc1968"/>
      <w:bookmarkStart w:id="386" w:name="_Toc24794"/>
      <w:bookmarkStart w:id="387" w:name="_Toc19032"/>
      <w:bookmarkStart w:id="388" w:name="_Toc21385"/>
      <w:r>
        <w:rPr>
          <w:rFonts w:hint="eastAsia"/>
          <w:color w:val="auto"/>
          <w:highlight w:val="none"/>
        </w:rPr>
        <w:t>3.2.</w:t>
      </w:r>
      <w:r>
        <w:rPr>
          <w:rFonts w:hint="eastAsia"/>
          <w:color w:val="auto"/>
          <w:highlight w:val="none"/>
          <w:lang w:val="en-US" w:eastAsia="zh-CN"/>
        </w:rPr>
        <w:t>3回填期</w:t>
      </w:r>
      <w:r>
        <w:rPr>
          <w:rFonts w:hint="eastAsia"/>
          <w:color w:val="auto"/>
          <w:highlight w:val="none"/>
        </w:rPr>
        <w:t>工艺</w:t>
      </w:r>
      <w:bookmarkEnd w:id="383"/>
      <w:bookmarkEnd w:id="384"/>
      <w:bookmarkEnd w:id="385"/>
      <w:bookmarkEnd w:id="386"/>
      <w:bookmarkEnd w:id="387"/>
      <w:bookmarkEnd w:id="388"/>
    </w:p>
    <w:p w14:paraId="69D1AAF4">
      <w:pPr>
        <w:bidi w:val="0"/>
        <w:spacing w:line="360" w:lineRule="auto"/>
        <w:rPr>
          <w:rFonts w:hint="default"/>
          <w:b/>
          <w:bCs/>
          <w:color w:val="auto"/>
          <w:highlight w:val="none"/>
          <w:lang w:val="en-US" w:eastAsia="zh-CN"/>
        </w:rPr>
      </w:pPr>
      <w:r>
        <w:rPr>
          <w:rFonts w:hint="eastAsia"/>
          <w:b/>
          <w:bCs/>
          <w:color w:val="auto"/>
          <w:highlight w:val="none"/>
          <w:lang w:val="en-US" w:eastAsia="zh-CN"/>
        </w:rPr>
        <w:t>3.2.3.1回填工程</w:t>
      </w:r>
    </w:p>
    <w:p w14:paraId="76D8EDE5">
      <w:pPr>
        <w:spacing w:line="360" w:lineRule="auto"/>
        <w:ind w:firstLine="480"/>
        <w:rPr>
          <w:rFonts w:ascii="Times New Roman"/>
          <w:color w:val="auto"/>
          <w:highlight w:val="none"/>
        </w:rPr>
      </w:pPr>
      <w:r>
        <w:rPr>
          <w:rFonts w:hint="eastAsia" w:ascii="Times New Roman"/>
          <w:color w:val="auto"/>
          <w:szCs w:val="24"/>
          <w:highlight w:val="none"/>
        </w:rPr>
        <w:t>回填</w:t>
      </w:r>
      <w:r>
        <w:rPr>
          <w:rFonts w:ascii="Times New Roman"/>
          <w:color w:val="auto"/>
          <w:szCs w:val="24"/>
          <w:highlight w:val="none"/>
        </w:rPr>
        <w:t>阶段</w:t>
      </w:r>
      <w:r>
        <w:rPr>
          <w:rFonts w:ascii="Times New Roman"/>
          <w:color w:val="auto"/>
          <w:highlight w:val="none"/>
        </w:rPr>
        <w:t>主要将</w:t>
      </w:r>
      <w:r>
        <w:rPr>
          <w:rFonts w:hint="eastAsia"/>
          <w:color w:val="auto"/>
          <w:highlight w:val="none"/>
          <w:lang w:val="en-US" w:eastAsia="zh-CN"/>
        </w:rPr>
        <w:t>灰渣</w:t>
      </w:r>
      <w:r>
        <w:rPr>
          <w:rFonts w:ascii="Times New Roman"/>
          <w:color w:val="auto"/>
          <w:highlight w:val="none"/>
        </w:rPr>
        <w:t>分层回填、分层压实至设计高度。</w:t>
      </w:r>
    </w:p>
    <w:p w14:paraId="77376FA6">
      <w:pPr>
        <w:spacing w:line="360" w:lineRule="auto"/>
        <w:ind w:firstLine="480"/>
        <w:rPr>
          <w:rFonts w:ascii="Times New Roman"/>
          <w:color w:val="auto"/>
          <w:highlight w:val="none"/>
        </w:rPr>
      </w:pPr>
      <w:r>
        <w:rPr>
          <w:rFonts w:hint="eastAsia" w:ascii="Times New Roman"/>
          <w:color w:val="auto"/>
          <w:highlight w:val="none"/>
        </w:rPr>
        <w:t>项目首先对平整后未达到设计高度的区域进行</w:t>
      </w:r>
      <w:r>
        <w:rPr>
          <w:rFonts w:hint="eastAsia"/>
          <w:color w:val="auto"/>
          <w:highlight w:val="none"/>
          <w:lang w:val="en-US" w:eastAsia="zh-CN"/>
        </w:rPr>
        <w:t>灰渣</w:t>
      </w:r>
      <w:r>
        <w:rPr>
          <w:rFonts w:hint="eastAsia" w:ascii="Times New Roman"/>
          <w:color w:val="auto"/>
          <w:highlight w:val="none"/>
        </w:rPr>
        <w:t>回填，对回填至设计标高的区域进行覆土工程。</w:t>
      </w:r>
      <w:r>
        <w:rPr>
          <w:rFonts w:hint="eastAsia"/>
          <w:color w:val="auto"/>
          <w:highlight w:val="none"/>
          <w:lang w:val="en-US" w:eastAsia="zh-CN"/>
        </w:rPr>
        <w:t>回填</w:t>
      </w:r>
      <w:r>
        <w:rPr>
          <w:rFonts w:ascii="Times New Roman"/>
          <w:color w:val="auto"/>
          <w:highlight w:val="none"/>
        </w:rPr>
        <w:t>时，运输车</w:t>
      </w:r>
      <w:r>
        <w:rPr>
          <w:rFonts w:hint="eastAsia"/>
          <w:color w:val="auto"/>
          <w:highlight w:val="none"/>
          <w:lang w:val="en-US" w:eastAsia="zh-CN"/>
        </w:rPr>
        <w:t>回填</w:t>
      </w:r>
      <w:r>
        <w:rPr>
          <w:rFonts w:ascii="Times New Roman"/>
          <w:color w:val="auto"/>
          <w:highlight w:val="none"/>
        </w:rPr>
        <w:t>作业时需在现场人员的指挥下有组织倾倒，倾倒后物料用</w:t>
      </w:r>
      <w:r>
        <w:rPr>
          <w:rFonts w:hint="eastAsia"/>
          <w:color w:val="auto"/>
          <w:highlight w:val="none"/>
          <w:lang w:eastAsia="zh-CN"/>
        </w:rPr>
        <w:t>推土机</w:t>
      </w:r>
      <w:r>
        <w:rPr>
          <w:rFonts w:ascii="Times New Roman"/>
          <w:color w:val="auto"/>
          <w:highlight w:val="none"/>
        </w:rPr>
        <w:t>摊平压实，对于松散物料需用压实机进行压实。进场分单元进行填充，每天设定一个作业单元。每日作业单元根据日</w:t>
      </w:r>
      <w:r>
        <w:rPr>
          <w:rFonts w:hint="eastAsia"/>
          <w:color w:val="auto"/>
          <w:highlight w:val="none"/>
          <w:lang w:val="en-US" w:eastAsia="zh-CN"/>
        </w:rPr>
        <w:t>回填</w:t>
      </w:r>
      <w:r>
        <w:rPr>
          <w:rFonts w:ascii="Times New Roman"/>
          <w:color w:val="auto"/>
          <w:highlight w:val="none"/>
        </w:rPr>
        <w:t>量确定，一般</w:t>
      </w:r>
      <w:r>
        <w:rPr>
          <w:rFonts w:hint="eastAsia"/>
          <w:color w:val="auto"/>
          <w:highlight w:val="none"/>
          <w:lang w:val="en-US" w:eastAsia="zh-CN"/>
        </w:rPr>
        <w:t>回填</w:t>
      </w:r>
      <w:r>
        <w:rPr>
          <w:rFonts w:ascii="Times New Roman"/>
          <w:color w:val="auto"/>
          <w:highlight w:val="none"/>
        </w:rPr>
        <w:t>作业单元</w:t>
      </w:r>
      <w:r>
        <w:rPr>
          <w:rFonts w:hint="eastAsia"/>
          <w:color w:val="auto"/>
          <w:highlight w:val="none"/>
          <w:lang w:val="en-US" w:eastAsia="zh-CN"/>
        </w:rPr>
        <w:t>面积约为1200</w:t>
      </w:r>
      <w:r>
        <w:rPr>
          <w:rFonts w:ascii="Times New Roman"/>
          <w:color w:val="auto"/>
          <w:highlight w:val="none"/>
        </w:rPr>
        <w:t>m</w:t>
      </w:r>
      <w:r>
        <w:rPr>
          <w:rFonts w:ascii="Times New Roman"/>
          <w:color w:val="auto"/>
          <w:highlight w:val="none"/>
          <w:vertAlign w:val="superscript"/>
        </w:rPr>
        <w:t>2</w:t>
      </w:r>
      <w:r>
        <w:rPr>
          <w:rFonts w:hint="eastAsia" w:ascii="Times New Roman"/>
          <w:color w:val="auto"/>
          <w:highlight w:val="none"/>
        </w:rPr>
        <w:t>。</w:t>
      </w:r>
    </w:p>
    <w:p w14:paraId="06496521">
      <w:pPr>
        <w:spacing w:line="360" w:lineRule="auto"/>
        <w:ind w:firstLine="480"/>
        <w:rPr>
          <w:rFonts w:ascii="Times New Roman"/>
          <w:color w:val="auto"/>
          <w:highlight w:val="none"/>
        </w:rPr>
      </w:pPr>
      <w:r>
        <w:rPr>
          <w:rFonts w:ascii="Times New Roman"/>
          <w:color w:val="auto"/>
          <w:highlight w:val="none"/>
        </w:rPr>
        <w:t>回填工程采用人工和机械相结合的方式。首先进行测量放线，按照设计坡度确定边坡底端位置，并做好标记，分层回填碾压夯实。用推土机进行推平平整，机械操作不能满足时，人工找平。利用机械整形、碾压。</w:t>
      </w:r>
    </w:p>
    <w:p w14:paraId="26E4A5F9">
      <w:pPr>
        <w:spacing w:line="360" w:lineRule="auto"/>
        <w:ind w:firstLine="480"/>
        <w:rPr>
          <w:rFonts w:ascii="Times New Roman"/>
          <w:color w:val="auto"/>
          <w:highlight w:val="none"/>
        </w:rPr>
      </w:pPr>
      <w:r>
        <w:rPr>
          <w:rFonts w:hint="eastAsia"/>
          <w:color w:val="auto"/>
          <w:highlight w:val="none"/>
          <w:lang w:val="en-US" w:eastAsia="zh-CN"/>
        </w:rPr>
        <w:t>灰渣</w:t>
      </w:r>
      <w:r>
        <w:rPr>
          <w:rFonts w:ascii="Times New Roman"/>
          <w:color w:val="auto"/>
          <w:highlight w:val="none"/>
        </w:rPr>
        <w:t>回填过程中运输车辆将</w:t>
      </w:r>
      <w:r>
        <w:rPr>
          <w:rFonts w:hint="eastAsia"/>
          <w:color w:val="auto"/>
          <w:highlight w:val="none"/>
          <w:lang w:val="en-US" w:eastAsia="zh-CN"/>
        </w:rPr>
        <w:t>灰渣</w:t>
      </w:r>
      <w:r>
        <w:rPr>
          <w:rFonts w:ascii="Times New Roman"/>
          <w:color w:val="auto"/>
          <w:highlight w:val="none"/>
        </w:rPr>
        <w:t>运输进入场内</w:t>
      </w:r>
      <w:r>
        <w:rPr>
          <w:rFonts w:hint="eastAsia"/>
          <w:color w:val="auto"/>
          <w:highlight w:val="none"/>
          <w:lang w:val="en-US" w:eastAsia="zh-CN"/>
        </w:rPr>
        <w:t>回填</w:t>
      </w:r>
      <w:r>
        <w:rPr>
          <w:rFonts w:ascii="Times New Roman"/>
          <w:color w:val="auto"/>
          <w:highlight w:val="none"/>
        </w:rPr>
        <w:t>区。运输车回填作业时需在现场人员的指挥下运送</w:t>
      </w:r>
      <w:r>
        <w:rPr>
          <w:rFonts w:hint="eastAsia"/>
          <w:color w:val="auto"/>
          <w:highlight w:val="none"/>
          <w:lang w:val="en-US" w:eastAsia="zh-CN"/>
        </w:rPr>
        <w:t>至</w:t>
      </w:r>
      <w:r>
        <w:rPr>
          <w:rFonts w:ascii="Times New Roman"/>
          <w:color w:val="auto"/>
          <w:highlight w:val="none"/>
        </w:rPr>
        <w:t>指定位置</w:t>
      </w:r>
      <w:r>
        <w:rPr>
          <w:rFonts w:hint="eastAsia" w:ascii="Times New Roman"/>
          <w:color w:val="auto"/>
          <w:highlight w:val="none"/>
        </w:rPr>
        <w:t>，项目每日回填作业面积为</w:t>
      </w:r>
      <w:r>
        <w:rPr>
          <w:rFonts w:hint="eastAsia"/>
          <w:color w:val="auto"/>
          <w:highlight w:val="none"/>
          <w:lang w:val="en-US" w:eastAsia="zh-CN"/>
        </w:rPr>
        <w:t>1200</w:t>
      </w:r>
      <w:r>
        <w:rPr>
          <w:rFonts w:hint="eastAsia" w:ascii="Times New Roman"/>
          <w:color w:val="auto"/>
          <w:highlight w:val="none"/>
        </w:rPr>
        <w:t>m</w:t>
      </w:r>
      <w:r>
        <w:rPr>
          <w:rFonts w:hint="eastAsia" w:ascii="Times New Roman"/>
          <w:color w:val="auto"/>
          <w:highlight w:val="none"/>
          <w:vertAlign w:val="superscript"/>
        </w:rPr>
        <w:t>2</w:t>
      </w:r>
      <w:r>
        <w:rPr>
          <w:rFonts w:hint="eastAsia" w:ascii="Times New Roman"/>
          <w:color w:val="auto"/>
          <w:highlight w:val="none"/>
        </w:rPr>
        <w:t>，</w:t>
      </w:r>
      <w:r>
        <w:rPr>
          <w:rFonts w:ascii="Times New Roman"/>
          <w:color w:val="auto"/>
          <w:highlight w:val="none"/>
        </w:rPr>
        <w:t>每</w:t>
      </w:r>
      <w:r>
        <w:rPr>
          <w:rFonts w:hint="eastAsia" w:ascii="Times New Roman"/>
          <w:color w:val="auto"/>
          <w:highlight w:val="none"/>
        </w:rPr>
        <w:t>回填1车直接</w:t>
      </w:r>
      <w:r>
        <w:rPr>
          <w:rFonts w:ascii="Times New Roman"/>
          <w:color w:val="auto"/>
          <w:highlight w:val="none"/>
        </w:rPr>
        <w:t>用推土机摊平</w:t>
      </w:r>
      <w:r>
        <w:rPr>
          <w:rFonts w:hint="eastAsia" w:ascii="Times New Roman"/>
          <w:color w:val="auto"/>
          <w:highlight w:val="none"/>
        </w:rPr>
        <w:t>，每周对回填完毕的区域进行覆土</w:t>
      </w:r>
      <w:r>
        <w:rPr>
          <w:rFonts w:ascii="Times New Roman"/>
          <w:color w:val="auto"/>
          <w:highlight w:val="none"/>
        </w:rPr>
        <w:t>。</w:t>
      </w:r>
    </w:p>
    <w:p w14:paraId="6FA6225C">
      <w:pPr>
        <w:spacing w:line="360" w:lineRule="auto"/>
        <w:ind w:firstLine="480"/>
        <w:rPr>
          <w:rFonts w:ascii="Times New Roman"/>
          <w:color w:val="auto"/>
          <w:highlight w:val="none"/>
        </w:rPr>
      </w:pPr>
      <w:r>
        <w:rPr>
          <w:rFonts w:ascii="Times New Roman"/>
          <w:color w:val="auto"/>
          <w:highlight w:val="none"/>
        </w:rPr>
        <w:t>在整个填坑造地过程中必须随时进行场区道路的清扫及场区的洒水工作，使回填作业正常运行，同时各项指标应达到回填的要求。</w:t>
      </w:r>
    </w:p>
    <w:p w14:paraId="0ADE830A">
      <w:pPr>
        <w:bidi w:val="0"/>
        <w:spacing w:line="360" w:lineRule="auto"/>
        <w:rPr>
          <w:rFonts w:hint="eastAsia"/>
          <w:b/>
          <w:bCs/>
          <w:color w:val="auto"/>
          <w:highlight w:val="none"/>
        </w:rPr>
      </w:pPr>
      <w:r>
        <w:rPr>
          <w:rFonts w:hint="eastAsia"/>
          <w:b/>
          <w:bCs/>
          <w:color w:val="auto"/>
          <w:highlight w:val="none"/>
          <w:lang w:val="en-US" w:eastAsia="zh-CN"/>
        </w:rPr>
        <w:t>3.2.3.2覆土</w:t>
      </w:r>
      <w:r>
        <w:rPr>
          <w:rFonts w:hint="eastAsia"/>
          <w:b/>
          <w:bCs/>
          <w:color w:val="auto"/>
          <w:highlight w:val="none"/>
        </w:rPr>
        <w:t>工艺</w:t>
      </w:r>
    </w:p>
    <w:p w14:paraId="33966ABC">
      <w:pPr>
        <w:spacing w:line="360" w:lineRule="auto"/>
        <w:ind w:firstLine="480"/>
        <w:rPr>
          <w:rFonts w:hint="eastAsia" w:ascii="Times New Roman"/>
          <w:color w:val="auto"/>
          <w:highlight w:val="none"/>
        </w:rPr>
      </w:pPr>
      <w:r>
        <w:rPr>
          <w:rFonts w:ascii="Times New Roman"/>
          <w:color w:val="auto"/>
          <w:highlight w:val="none"/>
        </w:rPr>
        <w:t>项目</w:t>
      </w:r>
      <w:r>
        <w:rPr>
          <w:rFonts w:hint="eastAsia" w:ascii="Times New Roman"/>
          <w:color w:val="auto"/>
          <w:highlight w:val="none"/>
        </w:rPr>
        <w:t>场地回填</w:t>
      </w:r>
      <w:r>
        <w:rPr>
          <w:rFonts w:hint="eastAsia"/>
          <w:color w:val="auto"/>
          <w:highlight w:val="none"/>
          <w:lang w:val="en-US" w:eastAsia="zh-CN"/>
        </w:rPr>
        <w:t>达到设计标高</w:t>
      </w:r>
      <w:r>
        <w:rPr>
          <w:rFonts w:hint="eastAsia" w:ascii="Times New Roman"/>
          <w:color w:val="auto"/>
          <w:highlight w:val="none"/>
        </w:rPr>
        <w:t>后</w:t>
      </w:r>
      <w:r>
        <w:rPr>
          <w:rFonts w:hint="eastAsia"/>
          <w:color w:val="auto"/>
          <w:highlight w:val="none"/>
          <w:lang w:eastAsia="zh-CN"/>
        </w:rPr>
        <w:t>，</w:t>
      </w:r>
      <w:r>
        <w:rPr>
          <w:rFonts w:ascii="Times New Roman"/>
          <w:color w:val="auto"/>
          <w:highlight w:val="none"/>
        </w:rPr>
        <w:t>顶面覆土</w:t>
      </w:r>
      <w:r>
        <w:rPr>
          <w:rFonts w:hint="eastAsia" w:ascii="Times New Roman"/>
          <w:color w:val="auto"/>
          <w:highlight w:val="none"/>
        </w:rPr>
        <w:t>，在灰渣回填基础上再增加场地内的有效土层厚度。在覆土过程中，尽量保持原有良性土壤剖面的有机组合和整体性，覆土厚度必须满足</w:t>
      </w:r>
      <w:r>
        <w:rPr>
          <w:rFonts w:hint="eastAsia"/>
          <w:color w:val="auto"/>
          <w:highlight w:val="none"/>
          <w:lang w:val="en-US" w:eastAsia="zh-CN"/>
        </w:rPr>
        <w:t>植</w:t>
      </w:r>
      <w:r>
        <w:rPr>
          <w:rFonts w:hint="eastAsia" w:ascii="Times New Roman"/>
          <w:color w:val="auto"/>
          <w:highlight w:val="none"/>
        </w:rPr>
        <w:t>物生长所要求具有的土壤厚度，</w:t>
      </w:r>
      <w:r>
        <w:rPr>
          <w:rFonts w:hint="eastAsia"/>
          <w:color w:val="auto"/>
          <w:highlight w:val="none"/>
          <w:lang w:val="en-US" w:eastAsia="zh-CN"/>
        </w:rPr>
        <w:t>土</w:t>
      </w:r>
      <w:r>
        <w:rPr>
          <w:rFonts w:hint="eastAsia" w:ascii="Times New Roman"/>
          <w:color w:val="auto"/>
          <w:highlight w:val="none"/>
        </w:rPr>
        <w:t>地表土回填厚度为0.80m，土壤质量1级。</w:t>
      </w:r>
    </w:p>
    <w:p w14:paraId="77F572FD">
      <w:pPr>
        <w:bidi w:val="0"/>
        <w:spacing w:line="360" w:lineRule="auto"/>
        <w:rPr>
          <w:rFonts w:hint="eastAsia"/>
          <w:b/>
          <w:bCs/>
          <w:color w:val="auto"/>
          <w:highlight w:val="none"/>
        </w:rPr>
      </w:pPr>
      <w:r>
        <w:rPr>
          <w:rFonts w:hint="eastAsia"/>
          <w:b/>
          <w:bCs/>
          <w:color w:val="auto"/>
          <w:highlight w:val="none"/>
          <w:lang w:val="en-US" w:eastAsia="zh-CN"/>
        </w:rPr>
        <w:t>3.2.3.3植被</w:t>
      </w:r>
      <w:r>
        <w:rPr>
          <w:rFonts w:hint="eastAsia"/>
          <w:b/>
          <w:bCs/>
          <w:color w:val="auto"/>
          <w:highlight w:val="none"/>
        </w:rPr>
        <w:t>工艺</w:t>
      </w:r>
    </w:p>
    <w:p w14:paraId="77BFEDEF">
      <w:pPr>
        <w:bidi w:val="0"/>
        <w:spacing w:line="360" w:lineRule="auto"/>
        <w:ind w:firstLine="480" w:firstLineChars="200"/>
        <w:rPr>
          <w:rFonts w:hint="eastAsia"/>
          <w:color w:val="auto"/>
          <w:highlight w:val="none"/>
          <w:lang w:val="en-US" w:eastAsia="zh-CN"/>
        </w:rPr>
      </w:pPr>
      <w:r>
        <w:rPr>
          <w:rFonts w:hint="eastAsia"/>
          <w:color w:val="auto"/>
          <w:highlight w:val="none"/>
          <w:lang w:val="en-US" w:eastAsia="zh-CN"/>
        </w:rPr>
        <w:t>恢复林</w:t>
      </w:r>
      <w:r>
        <w:rPr>
          <w:rFonts w:hint="default"/>
          <w:color w:val="auto"/>
          <w:highlight w:val="none"/>
          <w:lang w:val="en-US" w:eastAsia="zh-CN"/>
        </w:rPr>
        <w:t>地</w:t>
      </w:r>
      <w:r>
        <w:rPr>
          <w:rFonts w:hint="eastAsia"/>
          <w:color w:val="auto"/>
          <w:highlight w:val="none"/>
          <w:lang w:val="en-US" w:eastAsia="zh-CN"/>
        </w:rPr>
        <w:t>区域</w:t>
      </w:r>
      <w:r>
        <w:rPr>
          <w:rFonts w:hint="default"/>
          <w:color w:val="auto"/>
          <w:highlight w:val="none"/>
          <w:lang w:val="en-US" w:eastAsia="zh-CN"/>
        </w:rPr>
        <w:t>：</w:t>
      </w:r>
      <w:r>
        <w:rPr>
          <w:rFonts w:hint="eastAsia"/>
          <w:color w:val="auto"/>
          <w:highlight w:val="none"/>
          <w:lang w:val="en-US" w:eastAsia="zh-CN"/>
        </w:rPr>
        <w:t>采用树穴换土的方式栽植耐旱性较好的樟子松及针叶林，栽植樟子松和针叶林。复绿后的生态修复区将与当地自然景观相协调，其植被覆盖率达到100%。</w:t>
      </w:r>
    </w:p>
    <w:p w14:paraId="6AFD9009">
      <w:pPr>
        <w:spacing w:line="360" w:lineRule="auto"/>
        <w:ind w:firstLine="480"/>
        <w:rPr>
          <w:rFonts w:hint="eastAsia" w:ascii="Times New Roman"/>
          <w:color w:val="auto"/>
          <w:highlight w:val="none"/>
        </w:rPr>
      </w:pPr>
      <w:r>
        <w:rPr>
          <w:rFonts w:hint="eastAsia" w:ascii="Times New Roman"/>
          <w:color w:val="auto"/>
          <w:highlight w:val="none"/>
        </w:rPr>
        <w:t>本项目</w:t>
      </w:r>
      <w:r>
        <w:rPr>
          <w:rFonts w:ascii="Times New Roman"/>
          <w:color w:val="auto"/>
          <w:highlight w:val="none"/>
        </w:rPr>
        <w:t>具体工艺流程见图3</w:t>
      </w:r>
      <w:r>
        <w:rPr>
          <w:rFonts w:hint="eastAsia"/>
          <w:color w:val="auto"/>
          <w:highlight w:val="none"/>
          <w:lang w:val="en-US" w:eastAsia="zh-CN"/>
        </w:rPr>
        <w:t>.</w:t>
      </w:r>
      <w:r>
        <w:rPr>
          <w:rFonts w:ascii="Times New Roman"/>
          <w:color w:val="auto"/>
          <w:highlight w:val="none"/>
        </w:rPr>
        <w:t>2-1</w:t>
      </w:r>
      <w:r>
        <w:rPr>
          <w:rFonts w:hint="eastAsia" w:ascii="Times New Roman"/>
          <w:color w:val="auto"/>
          <w:highlight w:val="none"/>
        </w:rPr>
        <w:t>。</w:t>
      </w:r>
    </w:p>
    <w:p w14:paraId="02203771">
      <w:pPr>
        <w:spacing w:line="360" w:lineRule="auto"/>
        <w:ind w:firstLine="0" w:firstLineChars="0"/>
        <w:jc w:val="center"/>
        <w:rPr>
          <w:rFonts w:ascii="Times New Roman"/>
          <w:b w:val="0"/>
          <w:bCs/>
          <w:color w:val="auto"/>
          <w:kern w:val="2"/>
          <w:szCs w:val="24"/>
          <w:highlight w:val="none"/>
        </w:rPr>
      </w:pPr>
      <w:r>
        <w:rPr>
          <w:color w:val="auto"/>
          <w:highlight w:val="none"/>
        </w:rPr>
        <w:drawing>
          <wp:inline distT="0" distB="0" distL="114300" distR="114300">
            <wp:extent cx="5226050" cy="5073650"/>
            <wp:effectExtent l="0" t="0" r="6350" b="6350"/>
            <wp:docPr id="2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7"/>
                    <pic:cNvPicPr>
                      <a:picLocks noChangeAspect="1"/>
                    </pic:cNvPicPr>
                  </pic:nvPicPr>
                  <pic:blipFill>
                    <a:blip r:embed="rId30"/>
                    <a:stretch>
                      <a:fillRect/>
                    </a:stretch>
                  </pic:blipFill>
                  <pic:spPr>
                    <a:xfrm>
                      <a:off x="0" y="0"/>
                      <a:ext cx="5226050" cy="5073650"/>
                    </a:xfrm>
                    <a:prstGeom prst="rect">
                      <a:avLst/>
                    </a:prstGeom>
                    <a:noFill/>
                    <a:ln>
                      <a:noFill/>
                    </a:ln>
                  </pic:spPr>
                </pic:pic>
              </a:graphicData>
            </a:graphic>
          </wp:inline>
        </w:drawing>
      </w:r>
    </w:p>
    <w:p w14:paraId="38557F07">
      <w:pPr>
        <w:spacing w:line="360" w:lineRule="auto"/>
        <w:ind w:firstLine="0" w:firstLineChars="0"/>
        <w:jc w:val="center"/>
        <w:rPr>
          <w:b/>
          <w:bCs w:val="0"/>
          <w:color w:val="auto"/>
          <w:highlight w:val="none"/>
        </w:rPr>
      </w:pPr>
      <w:r>
        <w:rPr>
          <w:rFonts w:ascii="Times New Roman"/>
          <w:b/>
          <w:bCs w:val="0"/>
          <w:color w:val="auto"/>
          <w:kern w:val="2"/>
          <w:szCs w:val="24"/>
          <w:highlight w:val="none"/>
        </w:rPr>
        <w:t>图3</w:t>
      </w:r>
      <w:r>
        <w:rPr>
          <w:rFonts w:hint="eastAsia"/>
          <w:b/>
          <w:bCs w:val="0"/>
          <w:color w:val="auto"/>
          <w:kern w:val="2"/>
          <w:szCs w:val="24"/>
          <w:highlight w:val="none"/>
          <w:lang w:val="en-US" w:eastAsia="zh-CN"/>
        </w:rPr>
        <w:t>.</w:t>
      </w:r>
      <w:r>
        <w:rPr>
          <w:rFonts w:ascii="Times New Roman"/>
          <w:b/>
          <w:bCs w:val="0"/>
          <w:color w:val="auto"/>
          <w:kern w:val="2"/>
          <w:szCs w:val="24"/>
          <w:highlight w:val="none"/>
        </w:rPr>
        <w:t>2-1</w:t>
      </w:r>
      <w:r>
        <w:rPr>
          <w:rFonts w:hint="eastAsia" w:ascii="Times New Roman"/>
          <w:b/>
          <w:bCs w:val="0"/>
          <w:color w:val="auto"/>
          <w:kern w:val="2"/>
          <w:szCs w:val="24"/>
          <w:highlight w:val="none"/>
          <w:lang w:val="en-US" w:eastAsia="zh-CN"/>
        </w:rPr>
        <w:t xml:space="preserve">  </w:t>
      </w:r>
      <w:r>
        <w:rPr>
          <w:rFonts w:ascii="Times New Roman"/>
          <w:b/>
          <w:bCs w:val="0"/>
          <w:color w:val="auto"/>
          <w:kern w:val="2"/>
          <w:szCs w:val="24"/>
          <w:highlight w:val="none"/>
        </w:rPr>
        <w:t>本项目工艺流程及产排污环节示意图</w:t>
      </w:r>
    </w:p>
    <w:p w14:paraId="16154133">
      <w:pPr>
        <w:pStyle w:val="6"/>
        <w:bidi w:val="0"/>
        <w:rPr>
          <w:color w:val="auto"/>
          <w:highlight w:val="none"/>
        </w:rPr>
      </w:pPr>
      <w:bookmarkStart w:id="389" w:name="_Toc13425"/>
      <w:bookmarkStart w:id="390" w:name="_Toc23533"/>
      <w:bookmarkStart w:id="391" w:name="_Toc25044"/>
      <w:bookmarkStart w:id="392" w:name="_Toc14261"/>
      <w:bookmarkStart w:id="393" w:name="_Toc2331"/>
      <w:bookmarkStart w:id="394" w:name="_Toc10088"/>
      <w:r>
        <w:rPr>
          <w:color w:val="auto"/>
          <w:highlight w:val="none"/>
        </w:rPr>
        <w:t>3.3污染源</w:t>
      </w:r>
      <w:r>
        <w:rPr>
          <w:rFonts w:hint="eastAsia"/>
          <w:color w:val="auto"/>
          <w:highlight w:val="none"/>
          <w:lang w:val="en-US" w:eastAsia="zh-CN"/>
        </w:rPr>
        <w:t>源强</w:t>
      </w:r>
      <w:r>
        <w:rPr>
          <w:color w:val="auto"/>
          <w:highlight w:val="none"/>
        </w:rPr>
        <w:t>分析</w:t>
      </w:r>
      <w:bookmarkEnd w:id="389"/>
      <w:bookmarkEnd w:id="390"/>
      <w:bookmarkEnd w:id="391"/>
      <w:bookmarkEnd w:id="392"/>
      <w:bookmarkEnd w:id="393"/>
      <w:bookmarkEnd w:id="394"/>
    </w:p>
    <w:p w14:paraId="6A007D7B">
      <w:pPr>
        <w:spacing w:line="360" w:lineRule="auto"/>
        <w:ind w:firstLine="480"/>
        <w:rPr>
          <w:color w:val="auto"/>
          <w:kern w:val="0"/>
          <w:highlight w:val="none"/>
        </w:rPr>
      </w:pPr>
      <w:r>
        <w:rPr>
          <w:color w:val="auto"/>
          <w:kern w:val="0"/>
          <w:highlight w:val="none"/>
        </w:rPr>
        <w:t>本项目为</w:t>
      </w:r>
      <w:r>
        <w:rPr>
          <w:rFonts w:hint="eastAsia" w:ascii="宋体" w:hAnsi="Times New Roman" w:eastAsia="宋体" w:cs="Times New Roman"/>
          <w:color w:val="auto"/>
          <w:kern w:val="0"/>
          <w:highlight w:val="none"/>
          <w:lang w:val="en-US" w:eastAsia="zh-CN"/>
        </w:rPr>
        <w:t>灰渣回填复垦利用项目</w:t>
      </w:r>
      <w:r>
        <w:rPr>
          <w:color w:val="auto"/>
          <w:kern w:val="0"/>
          <w:highlight w:val="none"/>
        </w:rPr>
        <w:t>，主要分为施工期</w:t>
      </w:r>
      <w:r>
        <w:rPr>
          <w:rFonts w:hint="eastAsia"/>
          <w:color w:val="auto"/>
          <w:kern w:val="0"/>
          <w:highlight w:val="none"/>
          <w:lang w:val="en-US" w:eastAsia="zh-CN"/>
        </w:rPr>
        <w:t>和回填</w:t>
      </w:r>
      <w:r>
        <w:rPr>
          <w:color w:val="auto"/>
          <w:kern w:val="0"/>
          <w:highlight w:val="none"/>
        </w:rPr>
        <w:t>期</w:t>
      </w:r>
      <w:r>
        <w:rPr>
          <w:rFonts w:hint="eastAsia"/>
          <w:color w:val="auto"/>
          <w:kern w:val="0"/>
          <w:highlight w:val="none"/>
          <w:lang w:val="en-US" w:eastAsia="zh-CN"/>
        </w:rPr>
        <w:t>两</w:t>
      </w:r>
      <w:r>
        <w:rPr>
          <w:color w:val="auto"/>
          <w:kern w:val="0"/>
          <w:highlight w:val="none"/>
        </w:rPr>
        <w:t>个时段，全部由</w:t>
      </w:r>
      <w:r>
        <w:rPr>
          <w:rFonts w:hint="eastAsia" w:ascii="Times New Roman" w:hAnsi="宋体" w:eastAsia="宋体" w:cs="Times New Roman"/>
          <w:color w:val="auto"/>
          <w:kern w:val="0"/>
          <w:sz w:val="24"/>
          <w:szCs w:val="24"/>
          <w:highlight w:val="none"/>
          <w:lang w:val="en-US" w:eastAsia="zh-CN"/>
        </w:rPr>
        <w:t>黑龙江嘉龙环保科技有限公司</w:t>
      </w:r>
      <w:r>
        <w:rPr>
          <w:color w:val="auto"/>
          <w:kern w:val="0"/>
          <w:highlight w:val="none"/>
        </w:rPr>
        <w:t>负责实施。</w:t>
      </w:r>
    </w:p>
    <w:p w14:paraId="02EB5FC4">
      <w:pPr>
        <w:numPr>
          <w:ilvl w:val="0"/>
          <w:numId w:val="0"/>
        </w:numPr>
        <w:spacing w:line="360" w:lineRule="auto"/>
        <w:ind w:firstLine="480" w:firstLineChars="200"/>
        <w:rPr>
          <w:color w:val="auto"/>
          <w:kern w:val="0"/>
          <w:highlight w:val="none"/>
        </w:rPr>
      </w:pPr>
      <w:r>
        <w:rPr>
          <w:rFonts w:ascii="Times New Roman" w:hAnsi="Times New Roman" w:eastAsia="宋体"/>
          <w:color w:val="auto"/>
          <w:kern w:val="0"/>
          <w:sz w:val="24"/>
          <w:szCs w:val="21"/>
          <w:highlight w:val="none"/>
          <w:lang w:val="en-US" w:eastAsia="zh-CN" w:bidi="ar-SA"/>
        </w:rPr>
        <w:t>（1）</w:t>
      </w:r>
      <w:r>
        <w:rPr>
          <w:color w:val="auto"/>
          <w:kern w:val="0"/>
          <w:highlight w:val="none"/>
        </w:rPr>
        <w:t>施工期主</w:t>
      </w:r>
      <w:r>
        <w:rPr>
          <w:rFonts w:hint="eastAsia"/>
          <w:color w:val="auto"/>
          <w:kern w:val="0"/>
          <w:highlight w:val="none"/>
          <w:lang w:val="en-US" w:eastAsia="zh-CN"/>
        </w:rPr>
        <w:t>体</w:t>
      </w:r>
      <w:r>
        <w:rPr>
          <w:color w:val="auto"/>
          <w:kern w:val="0"/>
          <w:highlight w:val="none"/>
        </w:rPr>
        <w:t>工程内容为</w:t>
      </w:r>
      <w:r>
        <w:rPr>
          <w:rFonts w:hint="eastAsia"/>
          <w:color w:val="auto"/>
          <w:kern w:val="0"/>
          <w:highlight w:val="none"/>
        </w:rPr>
        <w:t>场地平整工程</w:t>
      </w:r>
      <w:r>
        <w:rPr>
          <w:rFonts w:hint="eastAsia"/>
          <w:color w:val="auto"/>
          <w:kern w:val="0"/>
          <w:highlight w:val="none"/>
          <w:lang w:val="en-US" w:eastAsia="zh-CN"/>
        </w:rPr>
        <w:t>和防渗漏工程的建设，以及辅助工程隔声隔尘挡板工程、拦挡</w:t>
      </w:r>
      <w:r>
        <w:rPr>
          <w:rFonts w:hint="eastAsia" w:ascii="Times New Roman" w:hAnsi="Times New Roman" w:eastAsia="宋体" w:cs="Times New Roman"/>
          <w:color w:val="auto"/>
          <w:sz w:val="24"/>
          <w:szCs w:val="24"/>
          <w:highlight w:val="none"/>
          <w:lang w:eastAsia="zh-CN"/>
        </w:rPr>
        <w:t>埂</w:t>
      </w:r>
      <w:r>
        <w:rPr>
          <w:rFonts w:hint="eastAsia"/>
          <w:color w:val="auto"/>
          <w:kern w:val="0"/>
          <w:highlight w:val="none"/>
          <w:lang w:val="en-US" w:eastAsia="zh-CN"/>
        </w:rPr>
        <w:t>和沉淀池等设施的建设。</w:t>
      </w:r>
      <w:r>
        <w:rPr>
          <w:color w:val="auto"/>
          <w:kern w:val="0"/>
          <w:highlight w:val="none"/>
        </w:rPr>
        <w:t>施工过程中将产生扬尘（均为无组织排放）、机械噪声、生活垃圾及废水等污染物。</w:t>
      </w:r>
      <w:r>
        <w:rPr>
          <w:rFonts w:hint="eastAsia"/>
          <w:color w:val="auto"/>
          <w:kern w:val="0"/>
          <w:highlight w:val="none"/>
        </w:rPr>
        <w:t>随着</w:t>
      </w:r>
      <w:r>
        <w:rPr>
          <w:rFonts w:hint="eastAsia"/>
          <w:color w:val="auto"/>
          <w:kern w:val="0"/>
          <w:highlight w:val="none"/>
          <w:lang w:val="en-US" w:eastAsia="zh-CN"/>
        </w:rPr>
        <w:t>施工</w:t>
      </w:r>
      <w:r>
        <w:rPr>
          <w:rFonts w:hint="eastAsia"/>
          <w:color w:val="auto"/>
          <w:kern w:val="0"/>
          <w:highlight w:val="none"/>
        </w:rPr>
        <w:t>期的结束，污染将随之消失。</w:t>
      </w:r>
    </w:p>
    <w:p w14:paraId="3102DF95">
      <w:pPr>
        <w:numPr>
          <w:ilvl w:val="0"/>
          <w:numId w:val="0"/>
        </w:numPr>
        <w:spacing w:line="360" w:lineRule="auto"/>
        <w:ind w:left="0" w:leftChars="0" w:firstLine="480" w:firstLineChars="200"/>
        <w:rPr>
          <w:color w:val="auto"/>
          <w:kern w:val="0"/>
          <w:highlight w:val="none"/>
        </w:rPr>
      </w:pPr>
      <w:r>
        <w:rPr>
          <w:rFonts w:ascii="Times New Roman" w:hAnsi="Times New Roman" w:eastAsia="宋体"/>
          <w:color w:val="auto"/>
          <w:kern w:val="0"/>
          <w:sz w:val="24"/>
          <w:szCs w:val="21"/>
          <w:highlight w:val="none"/>
          <w:lang w:val="en-US" w:eastAsia="zh-CN" w:bidi="ar-SA"/>
        </w:rPr>
        <w:t>（2）</w:t>
      </w:r>
      <w:r>
        <w:rPr>
          <w:rFonts w:hint="eastAsia"/>
          <w:color w:val="auto"/>
          <w:kern w:val="0"/>
          <w:highlight w:val="none"/>
          <w:lang w:val="en-US" w:eastAsia="zh-CN"/>
        </w:rPr>
        <w:t>回填</w:t>
      </w:r>
      <w:r>
        <w:rPr>
          <w:color w:val="auto"/>
          <w:kern w:val="0"/>
          <w:highlight w:val="none"/>
        </w:rPr>
        <w:t>期主要工程内容为</w:t>
      </w:r>
      <w:r>
        <w:rPr>
          <w:rFonts w:hint="eastAsia"/>
          <w:color w:val="auto"/>
          <w:kern w:val="0"/>
          <w:highlight w:val="none"/>
          <w:lang w:val="en-US" w:eastAsia="zh-CN"/>
        </w:rPr>
        <w:t>回填</w:t>
      </w:r>
      <w:r>
        <w:rPr>
          <w:color w:val="auto"/>
          <w:kern w:val="0"/>
          <w:highlight w:val="none"/>
        </w:rPr>
        <w:t>区</w:t>
      </w:r>
      <w:r>
        <w:rPr>
          <w:rFonts w:hint="eastAsia"/>
          <w:color w:val="auto"/>
          <w:kern w:val="0"/>
          <w:highlight w:val="none"/>
          <w:lang w:val="en-US" w:eastAsia="zh-CN"/>
        </w:rPr>
        <w:t>灰渣</w:t>
      </w:r>
      <w:r>
        <w:rPr>
          <w:color w:val="auto"/>
          <w:kern w:val="0"/>
          <w:highlight w:val="none"/>
        </w:rPr>
        <w:t>回填</w:t>
      </w:r>
      <w:r>
        <w:rPr>
          <w:rFonts w:hint="eastAsia"/>
          <w:color w:val="auto"/>
          <w:kern w:val="0"/>
          <w:highlight w:val="none"/>
          <w:lang w:eastAsia="zh-CN"/>
        </w:rPr>
        <w:t>、</w:t>
      </w:r>
      <w:r>
        <w:rPr>
          <w:color w:val="auto"/>
          <w:kern w:val="0"/>
          <w:highlight w:val="none"/>
        </w:rPr>
        <w:t>覆土工程</w:t>
      </w:r>
      <w:r>
        <w:rPr>
          <w:rFonts w:hint="eastAsia"/>
          <w:color w:val="auto"/>
          <w:kern w:val="0"/>
          <w:highlight w:val="none"/>
          <w:lang w:val="en-US" w:eastAsia="zh-CN"/>
        </w:rPr>
        <w:t>、植被工程</w:t>
      </w:r>
      <w:r>
        <w:rPr>
          <w:rFonts w:hint="eastAsia"/>
          <w:color w:val="auto"/>
          <w:kern w:val="0"/>
          <w:highlight w:val="none"/>
          <w:lang w:eastAsia="zh-CN"/>
        </w:rPr>
        <w:t>。</w:t>
      </w:r>
      <w:r>
        <w:rPr>
          <w:color w:val="auto"/>
          <w:kern w:val="0"/>
          <w:highlight w:val="none"/>
        </w:rPr>
        <w:t>回填及覆土过程中将产生扬尘（均为无组织排放）、噪声、固废及废水等污染物，随着</w:t>
      </w:r>
      <w:r>
        <w:rPr>
          <w:rFonts w:hint="eastAsia"/>
          <w:color w:val="auto"/>
          <w:kern w:val="0"/>
          <w:highlight w:val="none"/>
          <w:lang w:val="en-US" w:eastAsia="zh-CN"/>
        </w:rPr>
        <w:t>回填</w:t>
      </w:r>
      <w:r>
        <w:rPr>
          <w:color w:val="auto"/>
          <w:kern w:val="0"/>
          <w:highlight w:val="none"/>
        </w:rPr>
        <w:t>期的结束，污染将随之消失。</w:t>
      </w:r>
    </w:p>
    <w:p w14:paraId="4AA9143A">
      <w:pPr>
        <w:pStyle w:val="7"/>
        <w:numPr>
          <w:ilvl w:val="2"/>
          <w:numId w:val="0"/>
        </w:numPr>
        <w:bidi w:val="0"/>
        <w:ind w:leftChars="0"/>
        <w:rPr>
          <w:rFonts w:hint="eastAsia"/>
          <w:color w:val="auto"/>
          <w:highlight w:val="none"/>
        </w:rPr>
      </w:pPr>
      <w:r>
        <w:rPr>
          <w:rFonts w:hint="eastAsia"/>
          <w:color w:val="auto"/>
          <w:highlight w:val="none"/>
        </w:rPr>
        <w:t>3.3.</w:t>
      </w:r>
      <w:r>
        <w:rPr>
          <w:rFonts w:hint="eastAsia"/>
          <w:color w:val="auto"/>
          <w:highlight w:val="none"/>
          <w:lang w:val="en-US" w:eastAsia="zh-CN"/>
        </w:rPr>
        <w:t>1施工</w:t>
      </w:r>
      <w:r>
        <w:rPr>
          <w:rFonts w:hint="eastAsia"/>
          <w:color w:val="auto"/>
          <w:highlight w:val="none"/>
        </w:rPr>
        <w:t>期污染源分析</w:t>
      </w:r>
    </w:p>
    <w:p w14:paraId="3FEC2774">
      <w:pPr>
        <w:keepNext w:val="0"/>
        <w:keepLines w:val="0"/>
        <w:pageBreakBefore w:val="0"/>
        <w:widowControl w:val="0"/>
        <w:kinsoku/>
        <w:wordWrap/>
        <w:overflowPunct/>
        <w:topLinePunct w:val="0"/>
        <w:bidi w:val="0"/>
        <w:spacing w:line="360" w:lineRule="auto"/>
        <w:ind w:firstLine="480"/>
        <w:textAlignment w:val="auto"/>
        <w:rPr>
          <w:b/>
          <w:bCs/>
          <w:color w:val="auto"/>
          <w:highlight w:val="none"/>
        </w:rPr>
      </w:pPr>
      <w:r>
        <w:rPr>
          <w:rFonts w:hint="eastAsia"/>
          <w:b/>
          <w:bCs/>
          <w:color w:val="auto"/>
          <w:highlight w:val="none"/>
          <w:lang w:val="en-US" w:eastAsia="zh-CN"/>
        </w:rPr>
        <w:t>3.3.1.1</w:t>
      </w:r>
      <w:r>
        <w:rPr>
          <w:b/>
          <w:bCs/>
          <w:color w:val="auto"/>
          <w:highlight w:val="none"/>
        </w:rPr>
        <w:t>施工期废气分析</w:t>
      </w:r>
    </w:p>
    <w:p w14:paraId="7E496E84">
      <w:pPr>
        <w:keepNext w:val="0"/>
        <w:keepLines w:val="0"/>
        <w:pageBreakBefore w:val="0"/>
        <w:widowControl w:val="0"/>
        <w:kinsoku/>
        <w:wordWrap/>
        <w:overflowPunct/>
        <w:topLinePunct w:val="0"/>
        <w:bidi w:val="0"/>
        <w:spacing w:line="360" w:lineRule="auto"/>
        <w:ind w:firstLine="480"/>
        <w:textAlignment w:val="auto"/>
        <w:rPr>
          <w:color w:val="auto"/>
          <w:highlight w:val="none"/>
        </w:rPr>
      </w:pPr>
      <w:r>
        <w:rPr>
          <w:rFonts w:hint="eastAsia"/>
          <w:color w:val="auto"/>
          <w:highlight w:val="none"/>
        </w:rPr>
        <w:t>废气污染源主要为施工期扬尘、车辆尾气。</w:t>
      </w:r>
    </w:p>
    <w:p w14:paraId="373FA5EE">
      <w:pPr>
        <w:keepNext w:val="0"/>
        <w:keepLines w:val="0"/>
        <w:pageBreakBefore w:val="0"/>
        <w:widowControl w:val="0"/>
        <w:kinsoku/>
        <w:wordWrap/>
        <w:overflowPunct/>
        <w:topLinePunct w:val="0"/>
        <w:bidi w:val="0"/>
        <w:spacing w:line="360" w:lineRule="auto"/>
        <w:ind w:firstLine="480"/>
        <w:textAlignment w:val="auto"/>
        <w:rPr>
          <w:rFonts w:hint="eastAsia"/>
          <w:color w:val="auto"/>
          <w:highlight w:val="none"/>
        </w:rPr>
      </w:pPr>
      <w:r>
        <w:rPr>
          <w:rFonts w:hint="eastAsia"/>
          <w:color w:val="auto"/>
          <w:highlight w:val="none"/>
        </w:rPr>
        <w:t>施工扬尘主要来自场地清基平整扬尘，属无组织排放。有关资料显示，施工现场扬尘的另一个主要来源是车辆运输造成的，约占扬尘总量的60%。扬尘量的大小与天气干燥程度、道路路况、车辆行驶速度、风速大小等有关。一般情况下，在自然风作用下道路扬尘影响范围在100m以内，在大风天气，扬尘量及影响范围将有所扩大。对于施工中的挖方、填方作业及施工场地，采用洒水降尘的湿法作业抑制扬尘，以降低对大气环境影响。</w:t>
      </w:r>
    </w:p>
    <w:p w14:paraId="1676A497">
      <w:pPr>
        <w:keepNext w:val="0"/>
        <w:keepLines w:val="0"/>
        <w:pageBreakBefore w:val="0"/>
        <w:widowControl w:val="0"/>
        <w:kinsoku/>
        <w:wordWrap/>
        <w:overflowPunct/>
        <w:topLinePunct w:val="0"/>
        <w:bidi w:val="0"/>
        <w:spacing w:line="360" w:lineRule="auto"/>
        <w:ind w:firstLine="480"/>
        <w:textAlignment w:val="auto"/>
        <w:rPr>
          <w:color w:val="auto"/>
          <w:highlight w:val="none"/>
        </w:rPr>
      </w:pPr>
      <w:r>
        <w:rPr>
          <w:rFonts w:hint="eastAsia" w:ascii="Times New Roman" w:hAnsi="Times New Roman" w:eastAsia="宋体" w:cs="Times New Roman"/>
          <w:color w:val="auto"/>
          <w:sz w:val="24"/>
          <w:szCs w:val="24"/>
          <w:highlight w:val="none"/>
          <w:lang w:val="en-US" w:eastAsia="zh-CN"/>
        </w:rPr>
        <w:t>车辆尾气</w:t>
      </w:r>
      <w:r>
        <w:rPr>
          <w:rFonts w:hint="default" w:ascii="Times New Roman" w:hAnsi="Times New Roman" w:eastAsia="宋体" w:cs="Times New Roman"/>
          <w:color w:val="auto"/>
          <w:sz w:val="24"/>
          <w:szCs w:val="24"/>
          <w:highlight w:val="none"/>
          <w:lang w:val="en-US" w:eastAsia="zh-CN"/>
        </w:rPr>
        <w:t>排放污染物主要为NOx、CO和HC，</w:t>
      </w:r>
      <w:r>
        <w:rPr>
          <w:rFonts w:hint="eastAsia" w:ascii="Times New Roman" w:hAnsi="Times New Roman" w:eastAsia="宋体" w:cs="Times New Roman"/>
          <w:color w:val="auto"/>
          <w:sz w:val="24"/>
          <w:szCs w:val="24"/>
          <w:highlight w:val="none"/>
          <w:lang w:val="en-US" w:eastAsia="zh-CN"/>
        </w:rPr>
        <w:t>由于运输车次较少，汽车尾气排放量较小，加强车辆维护，车辆尾气对周围环境空气影响较小。</w:t>
      </w:r>
    </w:p>
    <w:p w14:paraId="76B32F67">
      <w:pPr>
        <w:keepNext w:val="0"/>
        <w:keepLines w:val="0"/>
        <w:pageBreakBefore w:val="0"/>
        <w:widowControl w:val="0"/>
        <w:kinsoku/>
        <w:wordWrap/>
        <w:overflowPunct/>
        <w:topLinePunct w:val="0"/>
        <w:bidi w:val="0"/>
        <w:spacing w:line="360" w:lineRule="auto"/>
        <w:ind w:firstLine="480"/>
        <w:textAlignment w:val="auto"/>
        <w:rPr>
          <w:b/>
          <w:bCs/>
          <w:color w:val="auto"/>
          <w:highlight w:val="none"/>
        </w:rPr>
      </w:pPr>
      <w:r>
        <w:rPr>
          <w:rFonts w:hint="eastAsia"/>
          <w:b/>
          <w:bCs/>
          <w:color w:val="auto"/>
          <w:highlight w:val="none"/>
          <w:lang w:val="en-US" w:eastAsia="zh-CN"/>
        </w:rPr>
        <w:t>3.3.1.2</w:t>
      </w:r>
      <w:r>
        <w:rPr>
          <w:b/>
          <w:bCs/>
          <w:color w:val="auto"/>
          <w:highlight w:val="none"/>
        </w:rPr>
        <w:t>施工期废水分析</w:t>
      </w:r>
    </w:p>
    <w:p w14:paraId="167422DB">
      <w:pPr>
        <w:keepNext w:val="0"/>
        <w:keepLines w:val="0"/>
        <w:pageBreakBefore w:val="0"/>
        <w:widowControl w:val="0"/>
        <w:kinsoku/>
        <w:wordWrap/>
        <w:overflowPunct/>
        <w:topLinePunct w:val="0"/>
        <w:bidi w:val="0"/>
        <w:spacing w:line="360" w:lineRule="auto"/>
        <w:ind w:firstLine="480"/>
        <w:jc w:val="left"/>
        <w:textAlignment w:val="auto"/>
        <w:rPr>
          <w:color w:val="auto"/>
          <w:kern w:val="0"/>
          <w:highlight w:val="none"/>
        </w:rPr>
      </w:pPr>
      <w:r>
        <w:rPr>
          <w:color w:val="auto"/>
          <w:kern w:val="0"/>
          <w:highlight w:val="none"/>
        </w:rPr>
        <w:t>本项目施工过程中产生的废水主要为生活污水。</w:t>
      </w:r>
    </w:p>
    <w:p w14:paraId="61BBE91B">
      <w:pPr>
        <w:keepNext w:val="0"/>
        <w:keepLines w:val="0"/>
        <w:pageBreakBefore w:val="0"/>
        <w:widowControl w:val="0"/>
        <w:kinsoku/>
        <w:wordWrap/>
        <w:overflowPunct/>
        <w:topLinePunct w:val="0"/>
        <w:autoSpaceDE w:val="0"/>
        <w:autoSpaceDN w:val="0"/>
        <w:bidi w:val="0"/>
        <w:adjustRightInd w:val="0"/>
        <w:snapToGrid w:val="0"/>
        <w:spacing w:line="360" w:lineRule="auto"/>
        <w:ind w:firstLine="480"/>
        <w:jc w:val="left"/>
        <w:textAlignment w:val="auto"/>
        <w:rPr>
          <w:color w:val="auto"/>
          <w:kern w:val="0"/>
          <w:highlight w:val="none"/>
        </w:rPr>
      </w:pPr>
      <w:r>
        <w:rPr>
          <w:color w:val="auto"/>
          <w:kern w:val="0"/>
          <w:highlight w:val="none"/>
        </w:rPr>
        <w:fldChar w:fldCharType="begin"/>
      </w:r>
      <w:r>
        <w:rPr>
          <w:color w:val="auto"/>
          <w:kern w:val="0"/>
          <w:highlight w:val="none"/>
        </w:rPr>
        <w:instrText xml:space="preserve"> = 1 \* GB3 \* MERGEFORMAT </w:instrText>
      </w:r>
      <w:r>
        <w:rPr>
          <w:color w:val="auto"/>
          <w:kern w:val="0"/>
          <w:highlight w:val="none"/>
        </w:rPr>
        <w:fldChar w:fldCharType="separate"/>
      </w:r>
      <w:r>
        <w:rPr>
          <w:color w:val="auto"/>
          <w:kern w:val="0"/>
          <w:highlight w:val="none"/>
        </w:rPr>
        <w:t>①</w:t>
      </w:r>
      <w:r>
        <w:rPr>
          <w:color w:val="auto"/>
          <w:kern w:val="0"/>
          <w:highlight w:val="none"/>
        </w:rPr>
        <w:fldChar w:fldCharType="end"/>
      </w:r>
      <w:r>
        <w:rPr>
          <w:color w:val="auto"/>
          <w:kern w:val="0"/>
          <w:highlight w:val="none"/>
        </w:rPr>
        <w:t>生活污水：施工人员</w:t>
      </w:r>
      <w:r>
        <w:rPr>
          <w:rFonts w:hint="eastAsia"/>
          <w:color w:val="auto"/>
          <w:kern w:val="0"/>
          <w:highlight w:val="none"/>
          <w:lang w:val="en-US" w:eastAsia="zh-CN"/>
        </w:rPr>
        <w:t>10</w:t>
      </w:r>
      <w:r>
        <w:rPr>
          <w:color w:val="auto"/>
          <w:kern w:val="0"/>
          <w:highlight w:val="none"/>
        </w:rPr>
        <w:t>人</w:t>
      </w:r>
      <w:r>
        <w:rPr>
          <w:rFonts w:hint="eastAsia"/>
          <w:color w:val="auto"/>
          <w:kern w:val="0"/>
          <w:highlight w:val="none"/>
          <w:lang w:eastAsia="zh-CN"/>
        </w:rPr>
        <w:t>，</w:t>
      </w:r>
      <w:r>
        <w:rPr>
          <w:color w:val="auto"/>
          <w:kern w:val="0"/>
          <w:highlight w:val="none"/>
        </w:rPr>
        <w:t>生活用水量</w:t>
      </w:r>
      <w:r>
        <w:rPr>
          <w:rFonts w:hint="eastAsia"/>
          <w:color w:val="auto"/>
          <w:kern w:val="0"/>
          <w:highlight w:val="none"/>
          <w:lang w:val="en-US" w:eastAsia="zh-CN"/>
        </w:rPr>
        <w:t>按8</w:t>
      </w:r>
      <w:r>
        <w:rPr>
          <w:color w:val="auto"/>
          <w:kern w:val="0"/>
          <w:highlight w:val="none"/>
        </w:rPr>
        <w:t>0L/人·d计，</w:t>
      </w:r>
      <w:r>
        <w:rPr>
          <w:rFonts w:hint="eastAsia"/>
          <w:color w:val="auto"/>
          <w:kern w:val="0"/>
          <w:highlight w:val="none"/>
          <w:lang w:val="en-US" w:eastAsia="zh-CN"/>
        </w:rPr>
        <w:t>排水按</w:t>
      </w:r>
      <w:r>
        <w:rPr>
          <w:color w:val="auto"/>
          <w:kern w:val="0"/>
          <w:highlight w:val="none"/>
        </w:rPr>
        <w:t>80%计，则平均每天排放生活污水</w:t>
      </w:r>
      <w:r>
        <w:rPr>
          <w:rFonts w:hint="eastAsia"/>
          <w:color w:val="auto"/>
          <w:kern w:val="0"/>
          <w:highlight w:val="none"/>
          <w:lang w:val="en-US" w:eastAsia="zh-CN"/>
        </w:rPr>
        <w:t>0.64m</w:t>
      </w:r>
      <w:r>
        <w:rPr>
          <w:rFonts w:hint="eastAsia"/>
          <w:color w:val="auto"/>
          <w:kern w:val="0"/>
          <w:highlight w:val="none"/>
          <w:vertAlign w:val="superscript"/>
          <w:lang w:val="en-US" w:eastAsia="zh-CN"/>
        </w:rPr>
        <w:t>3</w:t>
      </w:r>
      <w:r>
        <w:rPr>
          <w:color w:val="auto"/>
          <w:kern w:val="0"/>
          <w:highlight w:val="none"/>
        </w:rPr>
        <w:t>/d，根据类比资料CODcr为350mg/L，氨氮为30mg/L。经计算，施工现场每天的生活污水污染物排放量见表3</w:t>
      </w:r>
      <w:r>
        <w:rPr>
          <w:rFonts w:hint="eastAsia"/>
          <w:color w:val="auto"/>
          <w:kern w:val="0"/>
          <w:highlight w:val="none"/>
          <w:lang w:val="en-US" w:eastAsia="zh-CN"/>
        </w:rPr>
        <w:t>.</w:t>
      </w:r>
      <w:r>
        <w:rPr>
          <w:rFonts w:hint="eastAsia"/>
          <w:color w:val="auto"/>
          <w:kern w:val="0"/>
          <w:highlight w:val="none"/>
        </w:rPr>
        <w:t>3</w:t>
      </w:r>
      <w:r>
        <w:rPr>
          <w:color w:val="auto"/>
          <w:kern w:val="0"/>
          <w:highlight w:val="none"/>
        </w:rPr>
        <w:t>-1。</w:t>
      </w:r>
    </w:p>
    <w:p w14:paraId="68C376B4">
      <w:pPr>
        <w:pStyle w:val="1355"/>
        <w:ind w:firstLine="480"/>
        <w:rPr>
          <w:rFonts w:ascii="Times New Roman" w:hAnsi="Times New Roman" w:eastAsia="宋体" w:cs="Times New Roman"/>
          <w:b/>
          <w:bCs w:val="0"/>
          <w:color w:val="auto"/>
          <w:kern w:val="2"/>
          <w:sz w:val="24"/>
          <w:szCs w:val="24"/>
          <w:highlight w:val="none"/>
          <w:lang w:val="en-US" w:eastAsia="zh-CN" w:bidi="ar-SA"/>
        </w:rPr>
      </w:pPr>
      <w:r>
        <w:rPr>
          <w:rFonts w:ascii="Times New Roman" w:hAnsi="Times New Roman" w:eastAsia="宋体" w:cs="Times New Roman"/>
          <w:b/>
          <w:bCs w:val="0"/>
          <w:color w:val="auto"/>
          <w:kern w:val="2"/>
          <w:sz w:val="24"/>
          <w:szCs w:val="24"/>
          <w:highlight w:val="none"/>
          <w:lang w:val="en-US" w:eastAsia="zh-CN" w:bidi="ar-SA"/>
        </w:rPr>
        <w:t>表3</w:t>
      </w:r>
      <w:r>
        <w:rPr>
          <w:rFonts w:hint="eastAsia" w:ascii="Times New Roman" w:hAnsi="Times New Roman" w:eastAsia="宋体" w:cs="Times New Roman"/>
          <w:b/>
          <w:bCs w:val="0"/>
          <w:color w:val="auto"/>
          <w:kern w:val="2"/>
          <w:sz w:val="24"/>
          <w:szCs w:val="24"/>
          <w:highlight w:val="none"/>
          <w:lang w:val="en-US" w:eastAsia="zh-CN" w:bidi="ar-SA"/>
        </w:rPr>
        <w:t>.3</w:t>
      </w:r>
      <w:r>
        <w:rPr>
          <w:rFonts w:ascii="Times New Roman" w:hAnsi="Times New Roman" w:eastAsia="宋体" w:cs="Times New Roman"/>
          <w:b/>
          <w:bCs w:val="0"/>
          <w:color w:val="auto"/>
          <w:kern w:val="2"/>
          <w:sz w:val="24"/>
          <w:szCs w:val="24"/>
          <w:highlight w:val="none"/>
          <w:lang w:val="en-US" w:eastAsia="zh-CN" w:bidi="ar-SA"/>
        </w:rPr>
        <w:t>-1</w:t>
      </w:r>
      <w:r>
        <w:rPr>
          <w:rFonts w:hint="eastAsia" w:eastAsia="宋体" w:cs="Times New Roman"/>
          <w:b/>
          <w:bCs w:val="0"/>
          <w:color w:val="auto"/>
          <w:kern w:val="2"/>
          <w:sz w:val="24"/>
          <w:szCs w:val="24"/>
          <w:highlight w:val="none"/>
          <w:lang w:val="en-US" w:eastAsia="zh-CN" w:bidi="ar-SA"/>
        </w:rPr>
        <w:t xml:space="preserve">  </w:t>
      </w:r>
      <w:r>
        <w:rPr>
          <w:rFonts w:ascii="Times New Roman" w:hAnsi="Times New Roman" w:eastAsia="宋体" w:cs="Times New Roman"/>
          <w:b/>
          <w:bCs w:val="0"/>
          <w:color w:val="auto"/>
          <w:kern w:val="2"/>
          <w:sz w:val="24"/>
          <w:szCs w:val="24"/>
          <w:highlight w:val="none"/>
          <w:lang w:val="en-US" w:eastAsia="zh-CN" w:bidi="ar-SA"/>
        </w:rPr>
        <w:t>施工人员生活污水及污染物排放量</w:t>
      </w:r>
    </w:p>
    <w:tbl>
      <w:tblPr>
        <w:tblStyle w:val="84"/>
        <w:tblW w:w="4996" w:type="pct"/>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922"/>
        <w:gridCol w:w="1418"/>
        <w:gridCol w:w="1418"/>
        <w:gridCol w:w="1381"/>
        <w:gridCol w:w="1382"/>
      </w:tblGrid>
      <w:tr w14:paraId="2A3ADB9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1714" w:type="pct"/>
            <w:tcBorders>
              <w:tl2br w:val="nil"/>
              <w:tr2bl w:val="nil"/>
            </w:tcBorders>
            <w:noWrap w:val="0"/>
            <w:vAlign w:val="center"/>
          </w:tcPr>
          <w:p w14:paraId="64EC61C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施工人员（最大值）</w:t>
            </w:r>
          </w:p>
        </w:tc>
        <w:tc>
          <w:tcPr>
            <w:tcW w:w="832" w:type="pct"/>
            <w:tcBorders>
              <w:tl2br w:val="nil"/>
              <w:tr2bl w:val="nil"/>
            </w:tcBorders>
            <w:noWrap w:val="0"/>
            <w:vAlign w:val="center"/>
          </w:tcPr>
          <w:p w14:paraId="352A5DB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用水（m</w:t>
            </w:r>
            <w:r>
              <w:rPr>
                <w:rFonts w:hint="eastAsia" w:ascii="Times New Roman" w:hAnsi="Times New Roman" w:eastAsia="宋体" w:cs="Times New Roman"/>
                <w:color w:val="auto"/>
                <w:sz w:val="21"/>
                <w:szCs w:val="21"/>
                <w:highlight w:val="none"/>
                <w:vertAlign w:val="superscript"/>
                <w:lang w:val="en-US" w:eastAsia="zh-CN"/>
              </w:rPr>
              <w:t>3</w:t>
            </w:r>
            <w:r>
              <w:rPr>
                <w:rFonts w:hint="eastAsia" w:ascii="Times New Roman" w:hAnsi="Times New Roman" w:eastAsia="宋体" w:cs="Times New Roman"/>
                <w:color w:val="auto"/>
                <w:sz w:val="21"/>
                <w:szCs w:val="21"/>
                <w:highlight w:val="none"/>
                <w:lang w:val="en-US" w:eastAsia="zh-CN"/>
              </w:rPr>
              <w:t>/d）</w:t>
            </w:r>
          </w:p>
        </w:tc>
        <w:tc>
          <w:tcPr>
            <w:tcW w:w="832" w:type="pct"/>
            <w:tcBorders>
              <w:tl2br w:val="nil"/>
              <w:tr2bl w:val="nil"/>
            </w:tcBorders>
            <w:noWrap w:val="0"/>
            <w:vAlign w:val="center"/>
          </w:tcPr>
          <w:p w14:paraId="2E1FC9B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污水（m</w:t>
            </w:r>
            <w:r>
              <w:rPr>
                <w:rFonts w:hint="eastAsia" w:ascii="Times New Roman" w:hAnsi="Times New Roman" w:eastAsia="宋体" w:cs="Times New Roman"/>
                <w:color w:val="auto"/>
                <w:sz w:val="21"/>
                <w:szCs w:val="21"/>
                <w:highlight w:val="none"/>
                <w:vertAlign w:val="superscript"/>
                <w:lang w:val="en-US" w:eastAsia="zh-CN"/>
              </w:rPr>
              <w:t>3</w:t>
            </w:r>
            <w:r>
              <w:rPr>
                <w:rFonts w:hint="eastAsia" w:ascii="Times New Roman" w:hAnsi="Times New Roman" w:eastAsia="宋体" w:cs="Times New Roman"/>
                <w:color w:val="auto"/>
                <w:sz w:val="21"/>
                <w:szCs w:val="21"/>
                <w:highlight w:val="none"/>
                <w:lang w:val="en-US" w:eastAsia="zh-CN"/>
              </w:rPr>
              <w:t>/d）</w:t>
            </w:r>
          </w:p>
        </w:tc>
        <w:tc>
          <w:tcPr>
            <w:tcW w:w="810" w:type="pct"/>
            <w:tcBorders>
              <w:tl2br w:val="nil"/>
              <w:tr2bl w:val="nil"/>
            </w:tcBorders>
            <w:noWrap w:val="0"/>
            <w:vAlign w:val="center"/>
          </w:tcPr>
          <w:p w14:paraId="587BDE5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r>
              <w:rPr>
                <w:rFonts w:hint="eastAsia" w:ascii="Times New Roman" w:hAnsi="Times New Roman" w:eastAsia="宋体" w:cs="Times New Roman"/>
                <w:color w:val="auto"/>
                <w:sz w:val="21"/>
                <w:szCs w:val="21"/>
                <w:highlight w:val="none"/>
                <w:lang w:val="en-US" w:eastAsia="zh-CN"/>
              </w:rPr>
              <w:t>（kg/d）</w:t>
            </w:r>
          </w:p>
        </w:tc>
        <w:tc>
          <w:tcPr>
            <w:tcW w:w="810" w:type="pct"/>
            <w:tcBorders>
              <w:tl2br w:val="nil"/>
              <w:tr2bl w:val="nil"/>
            </w:tcBorders>
            <w:noWrap w:val="0"/>
            <w:vAlign w:val="center"/>
          </w:tcPr>
          <w:p w14:paraId="6A9CB16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氨氮（kg/d）</w:t>
            </w:r>
          </w:p>
        </w:tc>
      </w:tr>
      <w:tr w14:paraId="3307DB6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1714" w:type="pct"/>
            <w:tcBorders>
              <w:tl2br w:val="nil"/>
              <w:tr2bl w:val="nil"/>
            </w:tcBorders>
            <w:noWrap w:val="0"/>
            <w:vAlign w:val="center"/>
          </w:tcPr>
          <w:p w14:paraId="2303692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10人</w:t>
            </w:r>
          </w:p>
        </w:tc>
        <w:tc>
          <w:tcPr>
            <w:tcW w:w="832" w:type="pct"/>
            <w:tcBorders>
              <w:tl2br w:val="nil"/>
              <w:tr2bl w:val="nil"/>
            </w:tcBorders>
            <w:noWrap w:val="0"/>
            <w:vAlign w:val="center"/>
          </w:tcPr>
          <w:p w14:paraId="3ACC461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0.8</w:t>
            </w:r>
          </w:p>
        </w:tc>
        <w:tc>
          <w:tcPr>
            <w:tcW w:w="832" w:type="pct"/>
            <w:tcBorders>
              <w:tl2br w:val="nil"/>
              <w:tr2bl w:val="nil"/>
            </w:tcBorders>
            <w:noWrap w:val="0"/>
            <w:vAlign w:val="center"/>
          </w:tcPr>
          <w:p w14:paraId="0806FD4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0.64</w:t>
            </w:r>
          </w:p>
        </w:tc>
        <w:tc>
          <w:tcPr>
            <w:tcW w:w="810" w:type="pct"/>
            <w:tcBorders>
              <w:tl2br w:val="nil"/>
              <w:tr2bl w:val="nil"/>
            </w:tcBorders>
            <w:noWrap w:val="0"/>
            <w:vAlign w:val="center"/>
          </w:tcPr>
          <w:p w14:paraId="5DBB7E9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0.224</w:t>
            </w:r>
          </w:p>
        </w:tc>
        <w:tc>
          <w:tcPr>
            <w:tcW w:w="810" w:type="pct"/>
            <w:tcBorders>
              <w:tl2br w:val="nil"/>
              <w:tr2bl w:val="nil"/>
            </w:tcBorders>
            <w:noWrap w:val="0"/>
            <w:vAlign w:val="center"/>
          </w:tcPr>
          <w:p w14:paraId="13BF201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0.019</w:t>
            </w:r>
          </w:p>
        </w:tc>
      </w:tr>
    </w:tbl>
    <w:p w14:paraId="3115BA6F">
      <w:pPr>
        <w:spacing w:line="360" w:lineRule="auto"/>
        <w:ind w:firstLine="480"/>
        <w:rPr>
          <w:b/>
          <w:bCs/>
          <w:color w:val="auto"/>
          <w:highlight w:val="none"/>
        </w:rPr>
      </w:pPr>
      <w:r>
        <w:rPr>
          <w:rFonts w:hint="eastAsia"/>
          <w:b/>
          <w:bCs/>
          <w:color w:val="auto"/>
          <w:highlight w:val="none"/>
          <w:lang w:val="en-US" w:eastAsia="zh-CN"/>
        </w:rPr>
        <w:t>3.3.1.3</w:t>
      </w:r>
      <w:r>
        <w:rPr>
          <w:b/>
          <w:bCs/>
          <w:color w:val="auto"/>
          <w:highlight w:val="none"/>
        </w:rPr>
        <w:t>施工期噪声污染源分析</w:t>
      </w:r>
    </w:p>
    <w:p w14:paraId="6557021C">
      <w:pPr>
        <w:spacing w:line="360" w:lineRule="auto"/>
        <w:ind w:firstLine="480"/>
        <w:rPr>
          <w:rFonts w:ascii="Times New Roman" w:hAnsi="Times New Roman" w:eastAsia="宋体" w:cs="Times New Roman"/>
          <w:b/>
          <w:bCs w:val="0"/>
          <w:color w:val="auto"/>
          <w:kern w:val="2"/>
          <w:sz w:val="24"/>
          <w:szCs w:val="24"/>
          <w:highlight w:val="none"/>
          <w:lang w:val="en-US" w:eastAsia="zh-CN" w:bidi="ar-SA"/>
        </w:rPr>
      </w:pPr>
      <w:r>
        <w:rPr>
          <w:color w:val="auto"/>
          <w:highlight w:val="none"/>
        </w:rPr>
        <w:t>施工期建设项目噪声污染源主要有施工现场噪声和运输车辆噪声。其中施工现场噪声主要包括施工机械设备噪声、物料装卸碰撞噪声等，各施工阶段主要噪声源情况见表</w:t>
      </w:r>
      <w:r>
        <w:rPr>
          <w:rFonts w:hint="eastAsia"/>
          <w:color w:val="auto"/>
          <w:highlight w:val="none"/>
        </w:rPr>
        <w:t>3</w:t>
      </w:r>
      <w:r>
        <w:rPr>
          <w:rFonts w:hint="eastAsia"/>
          <w:color w:val="auto"/>
          <w:highlight w:val="none"/>
          <w:lang w:val="en-US" w:eastAsia="zh-CN"/>
        </w:rPr>
        <w:t>.</w:t>
      </w:r>
      <w:r>
        <w:rPr>
          <w:rFonts w:hint="eastAsia"/>
          <w:color w:val="auto"/>
          <w:highlight w:val="none"/>
        </w:rPr>
        <w:t>3-2</w:t>
      </w:r>
      <w:r>
        <w:rPr>
          <w:color w:val="auto"/>
          <w:highlight w:val="none"/>
        </w:rPr>
        <w:t>。</w:t>
      </w:r>
    </w:p>
    <w:p w14:paraId="24E2AB59">
      <w:pPr>
        <w:spacing w:line="360" w:lineRule="auto"/>
        <w:jc w:val="center"/>
        <w:rPr>
          <w:rFonts w:ascii="Times New Roman" w:hAnsi="Times New Roman" w:eastAsia="宋体" w:cs="Times New Roman"/>
          <w:b/>
          <w:bCs w:val="0"/>
          <w:color w:val="auto"/>
          <w:kern w:val="2"/>
          <w:sz w:val="24"/>
          <w:szCs w:val="24"/>
          <w:highlight w:val="none"/>
          <w:lang w:val="en-US" w:eastAsia="zh-CN" w:bidi="ar-SA"/>
        </w:rPr>
      </w:pPr>
      <w:r>
        <w:rPr>
          <w:rFonts w:ascii="Times New Roman" w:hAnsi="Times New Roman" w:eastAsia="宋体" w:cs="Times New Roman"/>
          <w:b/>
          <w:bCs w:val="0"/>
          <w:color w:val="auto"/>
          <w:kern w:val="2"/>
          <w:sz w:val="24"/>
          <w:szCs w:val="24"/>
          <w:highlight w:val="none"/>
          <w:lang w:val="en-US" w:eastAsia="zh-CN" w:bidi="ar-SA"/>
        </w:rPr>
        <w:t>表</w:t>
      </w:r>
      <w:r>
        <w:rPr>
          <w:rFonts w:hint="eastAsia" w:ascii="Times New Roman" w:hAnsi="Times New Roman" w:eastAsia="宋体" w:cs="Times New Roman"/>
          <w:b/>
          <w:bCs w:val="0"/>
          <w:color w:val="auto"/>
          <w:kern w:val="2"/>
          <w:sz w:val="24"/>
          <w:szCs w:val="24"/>
          <w:highlight w:val="none"/>
          <w:lang w:val="en-US" w:eastAsia="zh-CN" w:bidi="ar-SA"/>
        </w:rPr>
        <w:t>3.3</w:t>
      </w:r>
      <w:r>
        <w:rPr>
          <w:rFonts w:ascii="Times New Roman" w:hAnsi="Times New Roman" w:eastAsia="宋体" w:cs="Times New Roman"/>
          <w:b/>
          <w:bCs w:val="0"/>
          <w:color w:val="auto"/>
          <w:kern w:val="2"/>
          <w:sz w:val="24"/>
          <w:szCs w:val="24"/>
          <w:highlight w:val="none"/>
          <w:lang w:val="en-US" w:eastAsia="zh-CN" w:bidi="ar-SA"/>
        </w:rPr>
        <w:t>-</w:t>
      </w:r>
      <w:r>
        <w:rPr>
          <w:rFonts w:hint="eastAsia" w:ascii="Times New Roman" w:hAnsi="Times New Roman" w:eastAsia="宋体" w:cs="Times New Roman"/>
          <w:b/>
          <w:bCs w:val="0"/>
          <w:color w:val="auto"/>
          <w:kern w:val="2"/>
          <w:sz w:val="24"/>
          <w:szCs w:val="24"/>
          <w:highlight w:val="none"/>
          <w:lang w:val="en-US" w:eastAsia="zh-CN" w:bidi="ar-SA"/>
        </w:rPr>
        <w:t>2</w:t>
      </w:r>
      <w:r>
        <w:rPr>
          <w:rFonts w:hint="eastAsia" w:ascii="Times New Roman" w:cs="Times New Roman"/>
          <w:b/>
          <w:bCs w:val="0"/>
          <w:color w:val="auto"/>
          <w:kern w:val="2"/>
          <w:sz w:val="24"/>
          <w:szCs w:val="24"/>
          <w:highlight w:val="none"/>
          <w:lang w:val="en-US" w:eastAsia="zh-CN" w:bidi="ar-SA"/>
        </w:rPr>
        <w:t xml:space="preserve">  </w:t>
      </w:r>
      <w:r>
        <w:rPr>
          <w:rFonts w:ascii="Times New Roman" w:hAnsi="Times New Roman" w:eastAsia="宋体" w:cs="Times New Roman"/>
          <w:b/>
          <w:bCs w:val="0"/>
          <w:color w:val="auto"/>
          <w:kern w:val="2"/>
          <w:sz w:val="24"/>
          <w:szCs w:val="24"/>
          <w:highlight w:val="none"/>
          <w:lang w:val="en-US" w:eastAsia="zh-CN" w:bidi="ar-SA"/>
        </w:rPr>
        <w:t>建筑施工各阶段主要噪声源强表单位：dB（A）</w:t>
      </w:r>
    </w:p>
    <w:tbl>
      <w:tblPr>
        <w:tblStyle w:val="85"/>
        <w:tblW w:w="5269" w:type="pct"/>
        <w:tblInd w:w="-25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97"/>
        <w:gridCol w:w="2636"/>
        <w:gridCol w:w="2956"/>
        <w:gridCol w:w="1798"/>
      </w:tblGrid>
      <w:tr w14:paraId="68DAE05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88" w:type="pct"/>
            <w:tcBorders>
              <w:tl2br w:val="nil"/>
              <w:tr2bl w:val="nil"/>
            </w:tcBorders>
            <w:noWrap w:val="0"/>
            <w:vAlign w:val="center"/>
          </w:tcPr>
          <w:p w14:paraId="00B2CD3F">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施工阶段</w:t>
            </w:r>
          </w:p>
        </w:tc>
        <w:tc>
          <w:tcPr>
            <w:tcW w:w="1466" w:type="pct"/>
            <w:tcBorders>
              <w:tl2br w:val="nil"/>
              <w:tr2bl w:val="nil"/>
            </w:tcBorders>
            <w:noWrap w:val="0"/>
            <w:vAlign w:val="center"/>
          </w:tcPr>
          <w:p w14:paraId="3238A4B0">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主要设备</w:t>
            </w:r>
          </w:p>
        </w:tc>
        <w:tc>
          <w:tcPr>
            <w:tcW w:w="1644" w:type="pct"/>
            <w:tcBorders>
              <w:tl2br w:val="nil"/>
              <w:tr2bl w:val="nil"/>
            </w:tcBorders>
            <w:noWrap w:val="0"/>
            <w:vAlign w:val="center"/>
          </w:tcPr>
          <w:p w14:paraId="38EA32F5">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噪声特点</w:t>
            </w:r>
          </w:p>
        </w:tc>
        <w:tc>
          <w:tcPr>
            <w:tcW w:w="1000" w:type="pct"/>
            <w:tcBorders>
              <w:tl2br w:val="nil"/>
              <w:tr2bl w:val="nil"/>
            </w:tcBorders>
            <w:noWrap w:val="0"/>
            <w:vAlign w:val="center"/>
          </w:tcPr>
          <w:p w14:paraId="65C08838">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声功率</w:t>
            </w:r>
          </w:p>
        </w:tc>
      </w:tr>
      <w:tr w14:paraId="2A771B0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88" w:type="pct"/>
            <w:tcBorders>
              <w:tl2br w:val="nil"/>
              <w:tr2bl w:val="nil"/>
            </w:tcBorders>
            <w:noWrap w:val="0"/>
            <w:vAlign w:val="center"/>
          </w:tcPr>
          <w:p w14:paraId="29F442A2">
            <w:pPr>
              <w:keepNext w:val="0"/>
              <w:keepLines w:val="0"/>
              <w:suppressLineNumbers w:val="0"/>
              <w:spacing w:before="0" w:beforeAutospacing="0" w:after="0" w:afterAutospacing="0" w:line="240" w:lineRule="auto"/>
              <w:ind w:left="0" w:right="0" w:firstLine="0" w:firstLineChars="0"/>
              <w:jc w:val="center"/>
              <w:rPr>
                <w:rFonts w:hint="eastAsia" w:eastAsia="宋体"/>
                <w:color w:val="auto"/>
                <w:sz w:val="21"/>
                <w:szCs w:val="21"/>
                <w:highlight w:val="none"/>
                <w:lang w:eastAsia="zh-CN"/>
              </w:rPr>
            </w:pPr>
            <w:r>
              <w:rPr>
                <w:rFonts w:hint="eastAsia"/>
                <w:color w:val="auto"/>
                <w:sz w:val="21"/>
                <w:szCs w:val="21"/>
                <w:highlight w:val="none"/>
                <w:lang w:val="en-US" w:eastAsia="zh-CN"/>
              </w:rPr>
              <w:t>施工期</w:t>
            </w:r>
          </w:p>
        </w:tc>
        <w:tc>
          <w:tcPr>
            <w:tcW w:w="1466" w:type="pct"/>
            <w:tcBorders>
              <w:tl2br w:val="nil"/>
              <w:tr2bl w:val="nil"/>
            </w:tcBorders>
            <w:noWrap w:val="0"/>
            <w:vAlign w:val="center"/>
          </w:tcPr>
          <w:p w14:paraId="43003C49">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推土机、</w:t>
            </w:r>
            <w:r>
              <w:rPr>
                <w:rFonts w:hint="eastAsia"/>
                <w:color w:val="auto"/>
                <w:sz w:val="21"/>
                <w:szCs w:val="21"/>
                <w:highlight w:val="none"/>
                <w:lang w:val="en-US" w:eastAsia="zh-CN"/>
              </w:rPr>
              <w:t>铲车、压实机</w:t>
            </w:r>
            <w:r>
              <w:rPr>
                <w:color w:val="auto"/>
                <w:sz w:val="21"/>
                <w:szCs w:val="21"/>
                <w:highlight w:val="none"/>
              </w:rPr>
              <w:t>等</w:t>
            </w:r>
          </w:p>
        </w:tc>
        <w:tc>
          <w:tcPr>
            <w:tcW w:w="1644" w:type="pct"/>
            <w:tcBorders>
              <w:tl2br w:val="nil"/>
              <w:tr2bl w:val="nil"/>
            </w:tcBorders>
            <w:noWrap w:val="0"/>
            <w:vAlign w:val="center"/>
          </w:tcPr>
          <w:p w14:paraId="274C00F1">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移动式声源无明显指向性</w:t>
            </w:r>
          </w:p>
        </w:tc>
        <w:tc>
          <w:tcPr>
            <w:tcW w:w="1000" w:type="pct"/>
            <w:tcBorders>
              <w:tl2br w:val="nil"/>
              <w:tr2bl w:val="nil"/>
            </w:tcBorders>
            <w:noWrap w:val="0"/>
            <w:vAlign w:val="center"/>
          </w:tcPr>
          <w:p w14:paraId="6BCAFE7D">
            <w:pPr>
              <w:keepNext w:val="0"/>
              <w:keepLines w:val="0"/>
              <w:suppressLineNumbers w:val="0"/>
              <w:spacing w:before="0" w:beforeAutospacing="0" w:after="0" w:afterAutospacing="0" w:line="240" w:lineRule="auto"/>
              <w:ind w:left="0" w:right="0"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78</w:t>
            </w:r>
            <w:r>
              <w:rPr>
                <w:color w:val="auto"/>
                <w:sz w:val="21"/>
                <w:szCs w:val="21"/>
                <w:highlight w:val="none"/>
              </w:rPr>
              <w:t>-</w:t>
            </w:r>
            <w:r>
              <w:rPr>
                <w:rFonts w:hint="eastAsia"/>
                <w:color w:val="auto"/>
                <w:sz w:val="21"/>
                <w:szCs w:val="21"/>
                <w:highlight w:val="none"/>
                <w:lang w:val="en-US" w:eastAsia="zh-CN"/>
              </w:rPr>
              <w:t>83</w:t>
            </w:r>
          </w:p>
        </w:tc>
      </w:tr>
    </w:tbl>
    <w:p w14:paraId="17E10759">
      <w:pPr>
        <w:spacing w:line="360" w:lineRule="auto"/>
        <w:ind w:firstLine="480"/>
        <w:rPr>
          <w:b/>
          <w:bCs/>
          <w:color w:val="auto"/>
          <w:highlight w:val="none"/>
        </w:rPr>
      </w:pPr>
      <w:r>
        <w:rPr>
          <w:rFonts w:hint="eastAsia"/>
          <w:b/>
          <w:bCs/>
          <w:color w:val="auto"/>
          <w:highlight w:val="none"/>
          <w:lang w:val="en-US" w:eastAsia="zh-CN"/>
        </w:rPr>
        <w:t>3.3.1.4</w:t>
      </w:r>
      <w:r>
        <w:rPr>
          <w:b/>
          <w:bCs/>
          <w:color w:val="auto"/>
          <w:highlight w:val="none"/>
        </w:rPr>
        <w:t>施工期固体废物污染源分析</w:t>
      </w:r>
    </w:p>
    <w:p w14:paraId="6B232EA3">
      <w:pPr>
        <w:spacing w:line="360" w:lineRule="auto"/>
        <w:ind w:firstLine="480"/>
        <w:rPr>
          <w:rFonts w:hint="eastAsia"/>
          <w:color w:val="auto"/>
          <w:highlight w:val="none"/>
          <w:lang w:val="en-US" w:eastAsia="zh-CN"/>
        </w:rPr>
      </w:pPr>
      <w:r>
        <w:rPr>
          <w:color w:val="auto"/>
          <w:highlight w:val="none"/>
        </w:rPr>
        <w:t>本项目施工期人均生活垃圾以0.5kg/d计，施工人员生活垃圾量为</w:t>
      </w:r>
      <w:r>
        <w:rPr>
          <w:rFonts w:hint="eastAsia"/>
          <w:color w:val="auto"/>
          <w:highlight w:val="none"/>
          <w:lang w:val="en-US" w:eastAsia="zh-CN"/>
        </w:rPr>
        <w:t>5</w:t>
      </w:r>
      <w:r>
        <w:rPr>
          <w:color w:val="auto"/>
          <w:highlight w:val="none"/>
        </w:rPr>
        <w:t>kg/d。</w:t>
      </w:r>
      <w:r>
        <w:rPr>
          <w:rFonts w:hint="eastAsia"/>
          <w:color w:val="auto"/>
          <w:highlight w:val="none"/>
          <w:lang w:val="en-US" w:eastAsia="zh-CN"/>
        </w:rPr>
        <w:t>生活垃圾集中收集，定期由市政环卫部门处理。</w:t>
      </w:r>
    </w:p>
    <w:p w14:paraId="2B6C256B">
      <w:pPr>
        <w:pStyle w:val="2"/>
        <w:rPr>
          <w:color w:val="auto"/>
          <w:highlight w:val="none"/>
        </w:rPr>
      </w:pPr>
    </w:p>
    <w:p w14:paraId="2E7A0550">
      <w:pPr>
        <w:pStyle w:val="2"/>
        <w:spacing w:line="240" w:lineRule="auto"/>
        <w:jc w:val="center"/>
        <w:rPr>
          <w:rFonts w:ascii="Times New Roman" w:hAnsi="Times New Roman" w:eastAsia="宋体" w:cs="Times New Roman"/>
          <w:b/>
          <w:bCs w:val="0"/>
          <w:color w:val="auto"/>
          <w:kern w:val="2"/>
          <w:sz w:val="24"/>
          <w:szCs w:val="24"/>
          <w:highlight w:val="none"/>
          <w:lang w:val="en-US" w:eastAsia="zh-CN" w:bidi="ar-SA"/>
        </w:rPr>
      </w:pPr>
      <w:r>
        <w:rPr>
          <w:rFonts w:ascii="Times New Roman" w:hAnsi="Times New Roman" w:eastAsia="宋体" w:cs="Times New Roman"/>
          <w:b/>
          <w:bCs w:val="0"/>
          <w:color w:val="auto"/>
          <w:kern w:val="2"/>
          <w:sz w:val="24"/>
          <w:szCs w:val="24"/>
          <w:highlight w:val="none"/>
          <w:lang w:val="en-US" w:eastAsia="zh-CN" w:bidi="ar-SA"/>
        </w:rPr>
        <w:t>表3</w:t>
      </w:r>
      <w:r>
        <w:rPr>
          <w:rFonts w:hint="eastAsia" w:ascii="Times New Roman" w:hAnsi="Times New Roman" w:eastAsia="宋体" w:cs="Times New Roman"/>
          <w:b/>
          <w:bCs w:val="0"/>
          <w:color w:val="auto"/>
          <w:kern w:val="2"/>
          <w:sz w:val="24"/>
          <w:szCs w:val="24"/>
          <w:highlight w:val="none"/>
          <w:lang w:val="en-US" w:eastAsia="zh-CN" w:bidi="ar-SA"/>
        </w:rPr>
        <w:t>.3</w:t>
      </w:r>
      <w:r>
        <w:rPr>
          <w:rFonts w:ascii="Times New Roman" w:hAnsi="Times New Roman" w:eastAsia="宋体" w:cs="Times New Roman"/>
          <w:b/>
          <w:bCs w:val="0"/>
          <w:color w:val="auto"/>
          <w:kern w:val="2"/>
          <w:sz w:val="24"/>
          <w:szCs w:val="24"/>
          <w:highlight w:val="none"/>
          <w:lang w:val="en-US" w:eastAsia="zh-CN" w:bidi="ar-SA"/>
        </w:rPr>
        <w:t>-</w:t>
      </w:r>
      <w:r>
        <w:rPr>
          <w:rFonts w:hint="eastAsia" w:ascii="Times New Roman" w:hAnsi="Times New Roman" w:eastAsia="宋体" w:cs="Times New Roman"/>
          <w:b/>
          <w:bCs w:val="0"/>
          <w:color w:val="auto"/>
          <w:kern w:val="2"/>
          <w:sz w:val="24"/>
          <w:szCs w:val="24"/>
          <w:highlight w:val="none"/>
          <w:lang w:val="en-US" w:eastAsia="zh-CN" w:bidi="ar-SA"/>
        </w:rPr>
        <w:t>3</w:t>
      </w:r>
      <w:r>
        <w:rPr>
          <w:rFonts w:hint="eastAsia" w:ascii="Times New Roman" w:hAnsi="Times New Roman" w:cs="Times New Roman"/>
          <w:b/>
          <w:bCs w:val="0"/>
          <w:color w:val="auto"/>
          <w:kern w:val="2"/>
          <w:sz w:val="24"/>
          <w:szCs w:val="24"/>
          <w:highlight w:val="none"/>
          <w:lang w:val="en-US" w:eastAsia="zh-CN" w:bidi="ar-SA"/>
        </w:rPr>
        <w:t xml:space="preserve">  </w:t>
      </w:r>
      <w:r>
        <w:rPr>
          <w:rFonts w:hint="eastAsia" w:ascii="Times New Roman" w:hAnsi="Times New Roman" w:eastAsia="宋体" w:cs="Times New Roman"/>
          <w:b/>
          <w:bCs w:val="0"/>
          <w:color w:val="auto"/>
          <w:kern w:val="2"/>
          <w:sz w:val="24"/>
          <w:szCs w:val="24"/>
          <w:highlight w:val="none"/>
          <w:lang w:val="en-US" w:eastAsia="zh-CN" w:bidi="ar-SA"/>
        </w:rPr>
        <w:t>施工期</w:t>
      </w:r>
      <w:r>
        <w:rPr>
          <w:rFonts w:ascii="Times New Roman" w:hAnsi="Times New Roman" w:eastAsia="宋体" w:cs="Times New Roman"/>
          <w:b/>
          <w:bCs w:val="0"/>
          <w:color w:val="auto"/>
          <w:kern w:val="2"/>
          <w:sz w:val="24"/>
          <w:szCs w:val="24"/>
          <w:highlight w:val="none"/>
          <w:lang w:val="en-US" w:eastAsia="zh-CN" w:bidi="ar-SA"/>
        </w:rPr>
        <w:t>固体废物污染物排放源强核算结果汇总</w:t>
      </w:r>
    </w:p>
    <w:tbl>
      <w:tblPr>
        <w:tblStyle w:val="84"/>
        <w:tblW w:w="838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08"/>
        <w:gridCol w:w="713"/>
        <w:gridCol w:w="968"/>
        <w:gridCol w:w="1019"/>
        <w:gridCol w:w="808"/>
        <w:gridCol w:w="910"/>
        <w:gridCol w:w="1077"/>
        <w:gridCol w:w="922"/>
        <w:gridCol w:w="1355"/>
      </w:tblGrid>
      <w:tr w14:paraId="75DE1F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608" w:type="dxa"/>
            <w:vMerge w:val="restart"/>
            <w:tcBorders>
              <w:tl2br w:val="nil"/>
              <w:tr2bl w:val="nil"/>
            </w:tcBorders>
            <w:noWrap w:val="0"/>
            <w:vAlign w:val="center"/>
          </w:tcPr>
          <w:p w14:paraId="59A405E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工序</w:t>
            </w:r>
          </w:p>
        </w:tc>
        <w:tc>
          <w:tcPr>
            <w:tcW w:w="713" w:type="dxa"/>
            <w:vMerge w:val="restart"/>
            <w:tcBorders>
              <w:tl2br w:val="nil"/>
              <w:tr2bl w:val="nil"/>
            </w:tcBorders>
            <w:noWrap w:val="0"/>
            <w:vAlign w:val="center"/>
          </w:tcPr>
          <w:p w14:paraId="43FBB98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装置</w:t>
            </w:r>
          </w:p>
        </w:tc>
        <w:tc>
          <w:tcPr>
            <w:tcW w:w="968" w:type="dxa"/>
            <w:vMerge w:val="restart"/>
            <w:tcBorders>
              <w:tl2br w:val="nil"/>
              <w:tr2bl w:val="nil"/>
            </w:tcBorders>
            <w:noWrap w:val="0"/>
            <w:vAlign w:val="center"/>
          </w:tcPr>
          <w:p w14:paraId="116549D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固体废物名称</w:t>
            </w:r>
          </w:p>
        </w:tc>
        <w:tc>
          <w:tcPr>
            <w:tcW w:w="1019" w:type="dxa"/>
            <w:vMerge w:val="restart"/>
            <w:tcBorders>
              <w:tl2br w:val="nil"/>
              <w:tr2bl w:val="nil"/>
            </w:tcBorders>
            <w:noWrap w:val="0"/>
            <w:vAlign w:val="center"/>
          </w:tcPr>
          <w:p w14:paraId="4B09FC3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固废属性</w:t>
            </w:r>
          </w:p>
        </w:tc>
        <w:tc>
          <w:tcPr>
            <w:tcW w:w="1718" w:type="dxa"/>
            <w:gridSpan w:val="2"/>
            <w:tcBorders>
              <w:tl2br w:val="nil"/>
              <w:tr2bl w:val="nil"/>
            </w:tcBorders>
            <w:noWrap w:val="0"/>
            <w:vAlign w:val="center"/>
          </w:tcPr>
          <w:p w14:paraId="1ABDEDF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产生情况</w:t>
            </w:r>
          </w:p>
        </w:tc>
        <w:tc>
          <w:tcPr>
            <w:tcW w:w="1999" w:type="dxa"/>
            <w:gridSpan w:val="2"/>
            <w:tcBorders>
              <w:tl2br w:val="nil"/>
              <w:tr2bl w:val="nil"/>
            </w:tcBorders>
            <w:noWrap w:val="0"/>
            <w:vAlign w:val="center"/>
          </w:tcPr>
          <w:p w14:paraId="02DE6E1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处置措施</w:t>
            </w:r>
          </w:p>
        </w:tc>
        <w:tc>
          <w:tcPr>
            <w:tcW w:w="1355" w:type="dxa"/>
            <w:vMerge w:val="restart"/>
            <w:tcBorders>
              <w:tl2br w:val="nil"/>
              <w:tr2bl w:val="nil"/>
            </w:tcBorders>
            <w:noWrap w:val="0"/>
            <w:vAlign w:val="center"/>
          </w:tcPr>
          <w:p w14:paraId="2A2DA0B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最终去向</w:t>
            </w:r>
          </w:p>
        </w:tc>
      </w:tr>
      <w:tr w14:paraId="6FDD56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608" w:type="dxa"/>
            <w:vMerge w:val="continue"/>
            <w:tcBorders>
              <w:tl2br w:val="nil"/>
              <w:tr2bl w:val="nil"/>
            </w:tcBorders>
            <w:noWrap w:val="0"/>
            <w:vAlign w:val="center"/>
          </w:tcPr>
          <w:p w14:paraId="781CC0F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p>
        </w:tc>
        <w:tc>
          <w:tcPr>
            <w:tcW w:w="713" w:type="dxa"/>
            <w:vMerge w:val="continue"/>
            <w:tcBorders>
              <w:tl2br w:val="nil"/>
              <w:tr2bl w:val="nil"/>
            </w:tcBorders>
            <w:noWrap w:val="0"/>
            <w:vAlign w:val="center"/>
          </w:tcPr>
          <w:p w14:paraId="656E92D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p>
        </w:tc>
        <w:tc>
          <w:tcPr>
            <w:tcW w:w="968" w:type="dxa"/>
            <w:vMerge w:val="continue"/>
            <w:tcBorders>
              <w:tl2br w:val="nil"/>
              <w:tr2bl w:val="nil"/>
            </w:tcBorders>
            <w:noWrap w:val="0"/>
            <w:vAlign w:val="center"/>
          </w:tcPr>
          <w:p w14:paraId="22CCFF1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p>
        </w:tc>
        <w:tc>
          <w:tcPr>
            <w:tcW w:w="1019" w:type="dxa"/>
            <w:vMerge w:val="continue"/>
            <w:tcBorders>
              <w:tl2br w:val="nil"/>
              <w:tr2bl w:val="nil"/>
            </w:tcBorders>
            <w:noWrap w:val="0"/>
            <w:vAlign w:val="center"/>
          </w:tcPr>
          <w:p w14:paraId="2BC7BE6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p>
        </w:tc>
        <w:tc>
          <w:tcPr>
            <w:tcW w:w="808" w:type="dxa"/>
            <w:tcBorders>
              <w:tl2br w:val="nil"/>
              <w:tr2bl w:val="nil"/>
            </w:tcBorders>
            <w:noWrap w:val="0"/>
            <w:vAlign w:val="center"/>
          </w:tcPr>
          <w:p w14:paraId="19C8B01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核算方法</w:t>
            </w:r>
          </w:p>
        </w:tc>
        <w:tc>
          <w:tcPr>
            <w:tcW w:w="910" w:type="dxa"/>
            <w:tcBorders>
              <w:tl2br w:val="nil"/>
              <w:tr2bl w:val="nil"/>
            </w:tcBorders>
            <w:noWrap w:val="0"/>
            <w:vAlign w:val="center"/>
          </w:tcPr>
          <w:p w14:paraId="07333E8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eastAsia="宋体"/>
                <w:color w:val="auto"/>
                <w:sz w:val="21"/>
                <w:szCs w:val="24"/>
                <w:highlight w:val="none"/>
                <w:lang w:eastAsia="zh-CN" w:bidi="ar"/>
              </w:rPr>
            </w:pPr>
            <w:r>
              <w:rPr>
                <w:rFonts w:ascii="Times New Roman"/>
                <w:color w:val="auto"/>
                <w:sz w:val="21"/>
                <w:szCs w:val="24"/>
                <w:highlight w:val="none"/>
                <w:lang w:bidi="ar"/>
              </w:rPr>
              <w:t>产生量</w:t>
            </w:r>
          </w:p>
        </w:tc>
        <w:tc>
          <w:tcPr>
            <w:tcW w:w="1077" w:type="dxa"/>
            <w:tcBorders>
              <w:tl2br w:val="nil"/>
              <w:tr2bl w:val="nil"/>
            </w:tcBorders>
            <w:noWrap w:val="0"/>
            <w:vAlign w:val="center"/>
          </w:tcPr>
          <w:p w14:paraId="6B008F9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工艺</w:t>
            </w:r>
          </w:p>
        </w:tc>
        <w:tc>
          <w:tcPr>
            <w:tcW w:w="922" w:type="dxa"/>
            <w:tcBorders>
              <w:tl2br w:val="nil"/>
              <w:tr2bl w:val="nil"/>
            </w:tcBorders>
            <w:noWrap w:val="0"/>
            <w:vAlign w:val="center"/>
          </w:tcPr>
          <w:p w14:paraId="3815EDA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处置量</w:t>
            </w:r>
          </w:p>
        </w:tc>
        <w:tc>
          <w:tcPr>
            <w:tcW w:w="1355" w:type="dxa"/>
            <w:vMerge w:val="continue"/>
            <w:tcBorders>
              <w:tl2br w:val="nil"/>
              <w:tr2bl w:val="nil"/>
            </w:tcBorders>
            <w:noWrap w:val="0"/>
            <w:vAlign w:val="center"/>
          </w:tcPr>
          <w:p w14:paraId="5EB86C0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p>
        </w:tc>
      </w:tr>
      <w:tr w14:paraId="259CDD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8" w:hRule="atLeast"/>
          <w:jc w:val="center"/>
        </w:trPr>
        <w:tc>
          <w:tcPr>
            <w:tcW w:w="608" w:type="dxa"/>
            <w:tcBorders>
              <w:tl2br w:val="nil"/>
              <w:tr2bl w:val="nil"/>
            </w:tcBorders>
            <w:noWrap w:val="0"/>
            <w:vAlign w:val="center"/>
          </w:tcPr>
          <w:p w14:paraId="0762A89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生活</w:t>
            </w:r>
          </w:p>
        </w:tc>
        <w:tc>
          <w:tcPr>
            <w:tcW w:w="713" w:type="dxa"/>
            <w:tcBorders>
              <w:tl2br w:val="nil"/>
              <w:tr2bl w:val="nil"/>
            </w:tcBorders>
            <w:noWrap w:val="0"/>
            <w:vAlign w:val="center"/>
          </w:tcPr>
          <w:p w14:paraId="3696C5F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职工</w:t>
            </w:r>
          </w:p>
          <w:p w14:paraId="046F78D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生活</w:t>
            </w:r>
          </w:p>
        </w:tc>
        <w:tc>
          <w:tcPr>
            <w:tcW w:w="968" w:type="dxa"/>
            <w:tcBorders>
              <w:tl2br w:val="nil"/>
              <w:tr2bl w:val="nil"/>
            </w:tcBorders>
            <w:noWrap w:val="0"/>
            <w:vAlign w:val="center"/>
          </w:tcPr>
          <w:p w14:paraId="426DBEC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生活垃圾</w:t>
            </w:r>
          </w:p>
        </w:tc>
        <w:tc>
          <w:tcPr>
            <w:tcW w:w="1019" w:type="dxa"/>
            <w:tcBorders>
              <w:tl2br w:val="nil"/>
              <w:tr2bl w:val="nil"/>
            </w:tcBorders>
            <w:noWrap w:val="0"/>
            <w:vAlign w:val="center"/>
          </w:tcPr>
          <w:p w14:paraId="267B68B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生活垃圾</w:t>
            </w:r>
          </w:p>
        </w:tc>
        <w:tc>
          <w:tcPr>
            <w:tcW w:w="808" w:type="dxa"/>
            <w:tcBorders>
              <w:tl2br w:val="nil"/>
              <w:tr2bl w:val="nil"/>
            </w:tcBorders>
            <w:noWrap w:val="0"/>
            <w:vAlign w:val="center"/>
          </w:tcPr>
          <w:p w14:paraId="2247C7E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类比法</w:t>
            </w:r>
          </w:p>
        </w:tc>
        <w:tc>
          <w:tcPr>
            <w:tcW w:w="910" w:type="dxa"/>
            <w:tcBorders>
              <w:tl2br w:val="nil"/>
              <w:tr2bl w:val="nil"/>
            </w:tcBorders>
            <w:noWrap w:val="0"/>
            <w:vAlign w:val="center"/>
          </w:tcPr>
          <w:p w14:paraId="778195A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eastAsia="宋体"/>
                <w:color w:val="auto"/>
                <w:sz w:val="21"/>
                <w:szCs w:val="24"/>
                <w:highlight w:val="none"/>
                <w:lang w:val="en-US" w:eastAsia="zh-CN" w:bidi="ar"/>
              </w:rPr>
            </w:pPr>
            <w:r>
              <w:rPr>
                <w:rFonts w:hint="default" w:ascii="Times New Roman" w:eastAsia="宋体"/>
                <w:color w:val="auto"/>
                <w:sz w:val="21"/>
                <w:szCs w:val="24"/>
                <w:highlight w:val="none"/>
                <w:lang w:val="en-US" w:eastAsia="zh-CN" w:bidi="ar"/>
              </w:rPr>
              <w:t>5kg/d</w:t>
            </w:r>
          </w:p>
        </w:tc>
        <w:tc>
          <w:tcPr>
            <w:tcW w:w="1077" w:type="dxa"/>
            <w:tcBorders>
              <w:tl2br w:val="nil"/>
              <w:tr2bl w:val="nil"/>
            </w:tcBorders>
            <w:noWrap w:val="0"/>
            <w:vAlign w:val="center"/>
          </w:tcPr>
          <w:p w14:paraId="50C24E2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卫生填埋</w:t>
            </w:r>
          </w:p>
        </w:tc>
        <w:tc>
          <w:tcPr>
            <w:tcW w:w="922" w:type="dxa"/>
            <w:tcBorders>
              <w:tl2br w:val="nil"/>
              <w:tr2bl w:val="nil"/>
            </w:tcBorders>
            <w:noWrap w:val="0"/>
            <w:vAlign w:val="center"/>
          </w:tcPr>
          <w:p w14:paraId="3C898E7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hint="default" w:ascii="Times New Roman" w:eastAsia="宋体"/>
                <w:color w:val="auto"/>
                <w:sz w:val="21"/>
                <w:szCs w:val="24"/>
                <w:highlight w:val="none"/>
                <w:lang w:val="en-US" w:eastAsia="zh-CN" w:bidi="ar"/>
              </w:rPr>
              <w:t>5kg/d</w:t>
            </w:r>
          </w:p>
        </w:tc>
        <w:tc>
          <w:tcPr>
            <w:tcW w:w="1355" w:type="dxa"/>
            <w:tcBorders>
              <w:tl2br w:val="nil"/>
              <w:tr2bl w:val="nil"/>
            </w:tcBorders>
            <w:noWrap w:val="0"/>
            <w:vAlign w:val="center"/>
          </w:tcPr>
          <w:p w14:paraId="69B97E4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集中收集，定期由市政环卫部门处理。</w:t>
            </w:r>
          </w:p>
        </w:tc>
      </w:tr>
    </w:tbl>
    <w:p w14:paraId="5F3DBAAB">
      <w:pPr>
        <w:pStyle w:val="7"/>
        <w:numPr>
          <w:ilvl w:val="2"/>
          <w:numId w:val="0"/>
        </w:numPr>
        <w:bidi w:val="0"/>
        <w:ind w:leftChars="0"/>
        <w:rPr>
          <w:rFonts w:hint="eastAsia"/>
          <w:color w:val="auto"/>
          <w:highlight w:val="none"/>
        </w:rPr>
      </w:pPr>
      <w:r>
        <w:rPr>
          <w:rFonts w:hint="eastAsia"/>
          <w:color w:val="auto"/>
          <w:highlight w:val="none"/>
        </w:rPr>
        <w:t>3.3.</w:t>
      </w:r>
      <w:r>
        <w:rPr>
          <w:rFonts w:hint="eastAsia"/>
          <w:color w:val="auto"/>
          <w:highlight w:val="none"/>
          <w:lang w:val="en-US" w:eastAsia="zh-CN"/>
        </w:rPr>
        <w:t>2回填</w:t>
      </w:r>
      <w:r>
        <w:rPr>
          <w:rFonts w:hint="eastAsia"/>
          <w:color w:val="auto"/>
          <w:highlight w:val="none"/>
        </w:rPr>
        <w:t>期污染源分析</w:t>
      </w:r>
    </w:p>
    <w:p w14:paraId="3AB4E67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highlight w:val="none"/>
        </w:rPr>
      </w:pPr>
      <w:r>
        <w:rPr>
          <w:rFonts w:hint="eastAsia"/>
          <w:color w:val="auto"/>
          <w:highlight w:val="none"/>
          <w:lang w:val="en-US" w:eastAsia="zh-CN"/>
        </w:rPr>
        <w:t>回填</w:t>
      </w:r>
      <w:r>
        <w:rPr>
          <w:color w:val="auto"/>
          <w:highlight w:val="none"/>
        </w:rPr>
        <w:t>期</w:t>
      </w:r>
      <w:r>
        <w:rPr>
          <w:rFonts w:hint="eastAsia"/>
          <w:color w:val="auto"/>
          <w:highlight w:val="none"/>
          <w:lang w:val="en-US" w:eastAsia="zh-CN"/>
        </w:rPr>
        <w:t>主要污染源为回填</w:t>
      </w:r>
      <w:r>
        <w:rPr>
          <w:color w:val="auto"/>
          <w:highlight w:val="none"/>
        </w:rPr>
        <w:t>施工过程中产生扬尘（均为无组织排放）</w:t>
      </w:r>
      <w:r>
        <w:rPr>
          <w:rFonts w:hint="eastAsia"/>
          <w:color w:val="auto"/>
          <w:highlight w:val="none"/>
          <w:lang w:eastAsia="zh-CN"/>
        </w:rPr>
        <w:t>、</w:t>
      </w:r>
      <w:r>
        <w:rPr>
          <w:color w:val="auto"/>
          <w:sz w:val="24"/>
          <w:szCs w:val="22"/>
          <w:highlight w:val="none"/>
        </w:rPr>
        <w:t>机械</w:t>
      </w:r>
      <w:r>
        <w:rPr>
          <w:rFonts w:hint="eastAsia"/>
          <w:color w:val="auto"/>
          <w:sz w:val="24"/>
          <w:szCs w:val="22"/>
          <w:highlight w:val="none"/>
          <w:lang w:val="en-US" w:eastAsia="zh-CN"/>
        </w:rPr>
        <w:t>废</w:t>
      </w:r>
      <w:r>
        <w:rPr>
          <w:color w:val="auto"/>
          <w:sz w:val="24"/>
          <w:szCs w:val="22"/>
          <w:highlight w:val="none"/>
        </w:rPr>
        <w:t>气</w:t>
      </w:r>
      <w:r>
        <w:rPr>
          <w:rFonts w:hint="eastAsia"/>
          <w:color w:val="auto"/>
          <w:highlight w:val="none"/>
          <w:lang w:eastAsia="zh-CN"/>
        </w:rPr>
        <w:t>；</w:t>
      </w:r>
      <w:r>
        <w:rPr>
          <w:color w:val="auto"/>
          <w:highlight w:val="none"/>
        </w:rPr>
        <w:t>废水</w:t>
      </w:r>
      <w:r>
        <w:rPr>
          <w:rFonts w:hint="eastAsia"/>
          <w:color w:val="auto"/>
          <w:highlight w:val="none"/>
          <w:lang w:eastAsia="zh-CN"/>
        </w:rPr>
        <w:t>；</w:t>
      </w:r>
      <w:r>
        <w:rPr>
          <w:color w:val="auto"/>
          <w:highlight w:val="none"/>
        </w:rPr>
        <w:t>机械噪声</w:t>
      </w:r>
      <w:r>
        <w:rPr>
          <w:rFonts w:hint="eastAsia"/>
          <w:color w:val="auto"/>
          <w:highlight w:val="none"/>
          <w:lang w:eastAsia="zh-CN"/>
        </w:rPr>
        <w:t>；</w:t>
      </w:r>
      <w:r>
        <w:rPr>
          <w:color w:val="auto"/>
          <w:highlight w:val="none"/>
        </w:rPr>
        <w:t>生活垃圾</w:t>
      </w:r>
      <w:r>
        <w:rPr>
          <w:rFonts w:hint="eastAsia"/>
          <w:color w:val="auto"/>
          <w:highlight w:val="none"/>
          <w:lang w:eastAsia="zh-CN"/>
        </w:rPr>
        <w:t>、</w:t>
      </w:r>
      <w:r>
        <w:rPr>
          <w:rFonts w:hint="eastAsia"/>
          <w:color w:val="auto"/>
          <w:highlight w:val="none"/>
          <w:lang w:val="en-US" w:eastAsia="zh-CN"/>
        </w:rPr>
        <w:t>沉渣</w:t>
      </w:r>
      <w:r>
        <w:rPr>
          <w:color w:val="auto"/>
          <w:highlight w:val="none"/>
        </w:rPr>
        <w:t>。</w:t>
      </w:r>
    </w:p>
    <w:p w14:paraId="3CF2C3E6">
      <w:pPr>
        <w:bidi w:val="0"/>
        <w:spacing w:line="360" w:lineRule="auto"/>
        <w:rPr>
          <w:b/>
          <w:bCs/>
          <w:color w:val="auto"/>
          <w:highlight w:val="none"/>
        </w:rPr>
      </w:pPr>
      <w:r>
        <w:rPr>
          <w:rFonts w:hint="eastAsia"/>
          <w:b/>
          <w:bCs/>
          <w:color w:val="auto"/>
          <w:highlight w:val="none"/>
        </w:rPr>
        <w:t>3.3.</w:t>
      </w:r>
      <w:r>
        <w:rPr>
          <w:rFonts w:hint="eastAsia"/>
          <w:b/>
          <w:bCs/>
          <w:color w:val="auto"/>
          <w:highlight w:val="none"/>
          <w:lang w:val="en-US" w:eastAsia="zh-CN"/>
        </w:rPr>
        <w:t>2</w:t>
      </w:r>
      <w:r>
        <w:rPr>
          <w:rFonts w:hint="eastAsia"/>
          <w:b/>
          <w:bCs/>
          <w:color w:val="auto"/>
          <w:highlight w:val="none"/>
        </w:rPr>
        <w:t>.1</w:t>
      </w:r>
      <w:r>
        <w:rPr>
          <w:b/>
          <w:bCs/>
          <w:color w:val="auto"/>
          <w:highlight w:val="none"/>
        </w:rPr>
        <w:t>废气污染源分析</w:t>
      </w:r>
    </w:p>
    <w:p w14:paraId="0C280BB0">
      <w:pPr>
        <w:spacing w:line="360" w:lineRule="auto"/>
        <w:ind w:firstLine="480"/>
        <w:rPr>
          <w:rFonts w:ascii="Times New Roman"/>
          <w:color w:val="auto"/>
          <w:highlight w:val="none"/>
        </w:rPr>
      </w:pPr>
      <w:r>
        <w:rPr>
          <w:rFonts w:hint="eastAsia"/>
          <w:color w:val="auto"/>
          <w:highlight w:val="none"/>
          <w:lang w:val="en-US" w:eastAsia="zh-CN"/>
        </w:rPr>
        <w:t>回填期</w:t>
      </w:r>
      <w:r>
        <w:rPr>
          <w:rFonts w:ascii="Times New Roman"/>
          <w:color w:val="auto"/>
          <w:highlight w:val="none"/>
        </w:rPr>
        <w:t>施工过程中产生的污染物主要有</w:t>
      </w:r>
      <w:r>
        <w:rPr>
          <w:rFonts w:hint="eastAsia" w:ascii="Times New Roman"/>
          <w:color w:val="auto"/>
          <w:highlight w:val="none"/>
        </w:rPr>
        <w:t>物料装卸</w:t>
      </w:r>
      <w:r>
        <w:rPr>
          <w:rFonts w:hint="eastAsia"/>
          <w:color w:val="auto"/>
          <w:highlight w:val="none"/>
          <w:lang w:val="en-US" w:eastAsia="zh-CN"/>
        </w:rPr>
        <w:t>及</w:t>
      </w:r>
      <w:r>
        <w:rPr>
          <w:rFonts w:ascii="Times New Roman"/>
          <w:color w:val="auto"/>
          <w:highlight w:val="none"/>
        </w:rPr>
        <w:t>堆积存放</w:t>
      </w:r>
      <w:r>
        <w:rPr>
          <w:rFonts w:hint="eastAsia" w:ascii="Times New Roman"/>
          <w:color w:val="auto"/>
          <w:highlight w:val="none"/>
        </w:rPr>
        <w:t>扬尘</w:t>
      </w:r>
      <w:r>
        <w:rPr>
          <w:rFonts w:ascii="Times New Roman"/>
          <w:color w:val="auto"/>
          <w:highlight w:val="none"/>
        </w:rPr>
        <w:t>、覆土</w:t>
      </w:r>
      <w:r>
        <w:rPr>
          <w:rFonts w:hint="eastAsia"/>
          <w:color w:val="auto"/>
          <w:highlight w:val="none"/>
          <w:lang w:val="en-US" w:eastAsia="zh-CN"/>
        </w:rPr>
        <w:t>装卸</w:t>
      </w:r>
      <w:r>
        <w:rPr>
          <w:rFonts w:ascii="Times New Roman"/>
          <w:color w:val="auto"/>
          <w:highlight w:val="none"/>
        </w:rPr>
        <w:t>扬尘</w:t>
      </w:r>
      <w:r>
        <w:rPr>
          <w:rFonts w:hint="eastAsia" w:ascii="Times New Roman"/>
          <w:color w:val="auto"/>
          <w:highlight w:val="none"/>
          <w:lang w:eastAsia="zh-CN"/>
        </w:rPr>
        <w:t>、</w:t>
      </w:r>
      <w:r>
        <w:rPr>
          <w:rFonts w:hint="eastAsia" w:ascii="Times New Roman"/>
          <w:color w:val="auto"/>
          <w:highlight w:val="none"/>
        </w:rPr>
        <w:t>施工</w:t>
      </w:r>
      <w:r>
        <w:rPr>
          <w:rFonts w:ascii="Times New Roman"/>
          <w:color w:val="auto"/>
          <w:highlight w:val="none"/>
        </w:rPr>
        <w:t>扬尘</w:t>
      </w:r>
      <w:r>
        <w:rPr>
          <w:rFonts w:hint="eastAsia" w:ascii="Times New Roman"/>
          <w:color w:val="auto"/>
          <w:highlight w:val="none"/>
          <w:lang w:val="en-US" w:eastAsia="zh-CN"/>
        </w:rPr>
        <w:t>、</w:t>
      </w:r>
      <w:r>
        <w:rPr>
          <w:rFonts w:ascii="Times New Roman"/>
          <w:color w:val="auto"/>
          <w:highlight w:val="none"/>
        </w:rPr>
        <w:t>车辆运输扬尘</w:t>
      </w:r>
      <w:r>
        <w:rPr>
          <w:rFonts w:hint="eastAsia"/>
          <w:color w:val="auto"/>
          <w:highlight w:val="none"/>
          <w:lang w:val="en-US" w:eastAsia="zh-CN"/>
        </w:rPr>
        <w:t>和机械废气</w:t>
      </w:r>
      <w:r>
        <w:rPr>
          <w:rFonts w:hint="eastAsia" w:ascii="Times New Roman"/>
          <w:color w:val="auto"/>
          <w:highlight w:val="none"/>
        </w:rPr>
        <w:t>。</w:t>
      </w:r>
    </w:p>
    <w:p w14:paraId="021FDAAD">
      <w:pPr>
        <w:spacing w:line="360" w:lineRule="auto"/>
        <w:ind w:firstLine="480"/>
        <w:rPr>
          <w:rFonts w:ascii="Times New Roman"/>
          <w:color w:val="auto"/>
          <w:highlight w:val="none"/>
        </w:rPr>
      </w:pPr>
      <w:r>
        <w:rPr>
          <w:rFonts w:ascii="Times New Roman"/>
          <w:color w:val="auto"/>
          <w:highlight w:val="none"/>
        </w:rPr>
        <w:t>（1）回填</w:t>
      </w:r>
      <w:r>
        <w:rPr>
          <w:rFonts w:hint="eastAsia" w:ascii="Times New Roman"/>
          <w:color w:val="auto"/>
          <w:highlight w:val="none"/>
        </w:rPr>
        <w:t>作业装卸</w:t>
      </w:r>
      <w:r>
        <w:rPr>
          <w:rFonts w:ascii="Times New Roman"/>
          <w:color w:val="auto"/>
          <w:highlight w:val="none"/>
        </w:rPr>
        <w:t>及堆积存放扬尘</w:t>
      </w:r>
    </w:p>
    <w:p w14:paraId="5DBDE92C">
      <w:pPr>
        <w:spacing w:line="360" w:lineRule="auto"/>
        <w:ind w:firstLine="480"/>
        <w:rPr>
          <w:rFonts w:hint="eastAsia" w:ascii="Times New Roman" w:eastAsia="宋体"/>
          <w:color w:val="auto"/>
          <w:highlight w:val="none"/>
          <w:lang w:eastAsia="zh-CN"/>
        </w:rPr>
      </w:pPr>
      <w:r>
        <w:rPr>
          <w:rFonts w:ascii="Times New Roman"/>
          <w:color w:val="auto"/>
          <w:highlight w:val="none"/>
        </w:rPr>
        <w:t>回填区扬尘源排放量是</w:t>
      </w:r>
      <w:r>
        <w:rPr>
          <w:rFonts w:hint="eastAsia"/>
          <w:color w:val="auto"/>
          <w:highlight w:val="none"/>
          <w:lang w:val="en-US" w:eastAsia="zh-CN"/>
        </w:rPr>
        <w:t>灰渣</w:t>
      </w:r>
      <w:r>
        <w:rPr>
          <w:rFonts w:hint="eastAsia" w:ascii="Times New Roman"/>
          <w:color w:val="auto"/>
          <w:highlight w:val="none"/>
        </w:rPr>
        <w:t>、种植土等物料装卸</w:t>
      </w:r>
      <w:r>
        <w:rPr>
          <w:rFonts w:ascii="Times New Roman"/>
          <w:color w:val="auto"/>
          <w:highlight w:val="none"/>
        </w:rPr>
        <w:t>、运输引起的扬尘与</w:t>
      </w:r>
      <w:r>
        <w:rPr>
          <w:rFonts w:hint="eastAsia"/>
          <w:color w:val="auto"/>
          <w:highlight w:val="none"/>
          <w:lang w:val="en-US" w:eastAsia="zh-CN"/>
        </w:rPr>
        <w:t>灰渣</w:t>
      </w:r>
      <w:r>
        <w:rPr>
          <w:rFonts w:ascii="Times New Roman"/>
          <w:color w:val="auto"/>
          <w:highlight w:val="none"/>
        </w:rPr>
        <w:t>堆积存放期间风蚀扬尘的总和。</w:t>
      </w:r>
    </w:p>
    <w:p w14:paraId="47E1B6CC">
      <w:pPr>
        <w:spacing w:line="360" w:lineRule="auto"/>
        <w:ind w:firstLine="480"/>
        <w:rPr>
          <w:rFonts w:hint="eastAsia" w:ascii="Times New Roman"/>
          <w:color w:val="auto"/>
          <w:highlight w:val="none"/>
        </w:rPr>
      </w:pPr>
      <w:r>
        <w:rPr>
          <w:rFonts w:hint="eastAsia" w:ascii="Times New Roman"/>
          <w:color w:val="auto"/>
          <w:highlight w:val="none"/>
        </w:rPr>
        <w:t>①</w:t>
      </w:r>
      <w:r>
        <w:rPr>
          <w:rFonts w:hint="eastAsia"/>
          <w:color w:val="auto"/>
          <w:highlight w:val="none"/>
          <w:lang w:val="en-US" w:eastAsia="zh-CN"/>
        </w:rPr>
        <w:t>灰渣</w:t>
      </w:r>
      <w:r>
        <w:rPr>
          <w:rFonts w:hint="eastAsia" w:ascii="Times New Roman"/>
          <w:color w:val="auto"/>
          <w:highlight w:val="none"/>
        </w:rPr>
        <w:t>装卸及堆积存放扬尘</w:t>
      </w:r>
    </w:p>
    <w:p w14:paraId="68C9CBE7">
      <w:pPr>
        <w:snapToGrid w:val="0"/>
        <w:spacing w:line="360" w:lineRule="auto"/>
        <w:ind w:firstLine="560"/>
        <w:rPr>
          <w:rFonts w:ascii="Times New Roman"/>
          <w:color w:val="auto"/>
          <w:highlight w:val="none"/>
        </w:rPr>
      </w:pPr>
      <w:r>
        <w:rPr>
          <w:rFonts w:ascii="Times New Roman"/>
          <w:color w:val="auto"/>
          <w:highlight w:val="none"/>
        </w:rPr>
        <w:t>根据《扬尘源颗粒物排放清单编制技术指南（试行）》，计算公式如下：</w:t>
      </w:r>
    </w:p>
    <w:p w14:paraId="40035F7E">
      <w:pPr>
        <w:tabs>
          <w:tab w:val="left" w:pos="1049"/>
        </w:tabs>
        <w:snapToGrid w:val="0"/>
        <w:spacing w:line="360" w:lineRule="auto"/>
        <w:jc w:val="center"/>
        <w:rPr>
          <w:rFonts w:hint="eastAsia" w:ascii="Times New Roman"/>
          <w:color w:val="auto"/>
          <w:sz w:val="28"/>
          <w:highlight w:val="none"/>
        </w:rPr>
      </w:pPr>
      <w:r>
        <w:rPr>
          <w:rFonts w:ascii="Times New Roman"/>
          <w:color w:val="auto"/>
          <w:position w:val="-46"/>
          <w:sz w:val="28"/>
          <w:highlight w:val="none"/>
        </w:rPr>
        <w:object>
          <v:shape id="_x0000_i1025" o:spt="75" type="#_x0000_t75" style="height:42.95pt;width:193.95pt;" o:ole="t" filled="f" o:preferrelative="t" stroked="f" coordsize="21600,21600">
            <v:path/>
            <v:fill on="f" focussize="0,0"/>
            <v:stroke on="f"/>
            <v:imagedata r:id="rId32" o:title=""/>
            <o:lock v:ext="edit" aspectratio="t"/>
            <w10:wrap type="none"/>
            <w10:anchorlock/>
          </v:shape>
          <o:OLEObject Type="Embed" ProgID="Equation.KSEE3" ShapeID="_x0000_i1025" DrawAspect="Content" ObjectID="_1468075725" r:id="rId31">
            <o:LockedField>false</o:LockedField>
          </o:OLEObject>
        </w:object>
      </w:r>
      <w:r>
        <w:rPr>
          <w:rFonts w:ascii="Times New Roman"/>
          <w:color w:val="auto"/>
          <w:sz w:val="28"/>
          <w:highlight w:val="none"/>
        </w:rPr>
        <w:t>①</w:t>
      </w:r>
    </w:p>
    <w:p w14:paraId="7BA07F8C">
      <w:pPr>
        <w:spacing w:line="360" w:lineRule="auto"/>
        <w:ind w:firstLine="480"/>
        <w:rPr>
          <w:rFonts w:ascii="Times New Roman"/>
          <w:color w:val="auto"/>
          <w:highlight w:val="none"/>
        </w:rPr>
      </w:pPr>
      <w:r>
        <w:rPr>
          <w:rFonts w:ascii="Times New Roman"/>
          <w:color w:val="auto"/>
          <w:highlight w:val="none"/>
        </w:rPr>
        <w:t>式中：W</w:t>
      </w:r>
      <w:r>
        <w:rPr>
          <w:rFonts w:ascii="Times New Roman"/>
          <w:color w:val="auto"/>
          <w:highlight w:val="none"/>
          <w:vertAlign w:val="subscript"/>
        </w:rPr>
        <w:t>Y</w:t>
      </w:r>
      <w:r>
        <w:rPr>
          <w:rFonts w:ascii="Times New Roman"/>
          <w:color w:val="auto"/>
          <w:highlight w:val="none"/>
        </w:rPr>
        <w:t>—堆场污染源中颗粒物总排放量，t/</w:t>
      </w:r>
      <w:r>
        <w:rPr>
          <w:rFonts w:hint="eastAsia" w:ascii="Times New Roman"/>
          <w:color w:val="auto"/>
          <w:highlight w:val="none"/>
        </w:rPr>
        <w:t>a</w:t>
      </w:r>
      <w:r>
        <w:rPr>
          <w:rFonts w:ascii="Times New Roman"/>
          <w:color w:val="auto"/>
          <w:highlight w:val="none"/>
        </w:rPr>
        <w:t>；</w:t>
      </w:r>
    </w:p>
    <w:p w14:paraId="77B51586">
      <w:pPr>
        <w:spacing w:line="360" w:lineRule="auto"/>
        <w:ind w:firstLine="480"/>
        <w:rPr>
          <w:rFonts w:ascii="Times New Roman"/>
          <w:color w:val="auto"/>
          <w:highlight w:val="none"/>
        </w:rPr>
      </w:pPr>
      <w:r>
        <w:rPr>
          <w:rFonts w:ascii="Times New Roman"/>
          <w:color w:val="auto"/>
          <w:highlight w:val="none"/>
        </w:rPr>
        <w:t>E</w:t>
      </w:r>
      <w:r>
        <w:rPr>
          <w:rFonts w:ascii="Times New Roman"/>
          <w:color w:val="auto"/>
          <w:highlight w:val="none"/>
          <w:vertAlign w:val="subscript"/>
        </w:rPr>
        <w:t>h</w:t>
      </w:r>
      <w:r>
        <w:rPr>
          <w:rFonts w:ascii="Times New Roman"/>
          <w:color w:val="auto"/>
          <w:highlight w:val="none"/>
        </w:rPr>
        <w:t>—堆场装卸运输过程中的扬尘颗粒物排放系数，</w:t>
      </w:r>
      <w:r>
        <w:rPr>
          <w:rFonts w:hint="eastAsia"/>
          <w:color w:val="auto"/>
          <w:highlight w:val="none"/>
          <w:lang w:val="en-US" w:eastAsia="zh-CN"/>
        </w:rPr>
        <w:t>灰渣</w:t>
      </w:r>
      <w:r>
        <w:rPr>
          <w:rFonts w:ascii="Times New Roman"/>
          <w:color w:val="auto"/>
          <w:highlight w:val="none"/>
        </w:rPr>
        <w:t>装卸</w:t>
      </w:r>
      <w:r>
        <w:rPr>
          <w:rFonts w:hint="eastAsia"/>
          <w:color w:val="auto"/>
          <w:highlight w:val="none"/>
          <w:lang w:val="en-US" w:eastAsia="zh-CN"/>
        </w:rPr>
        <w:t>1.93×10</w:t>
      </w:r>
      <w:r>
        <w:rPr>
          <w:rFonts w:hint="eastAsia"/>
          <w:color w:val="auto"/>
          <w:highlight w:val="none"/>
          <w:vertAlign w:val="superscript"/>
          <w:lang w:val="en-US" w:eastAsia="zh-CN"/>
        </w:rPr>
        <w:t xml:space="preserve">-5 </w:t>
      </w:r>
      <w:r>
        <w:rPr>
          <w:rFonts w:ascii="Times New Roman"/>
          <w:color w:val="auto"/>
          <w:highlight w:val="none"/>
        </w:rPr>
        <w:t>kg/t，估算公式见②；</w:t>
      </w:r>
    </w:p>
    <w:p w14:paraId="771D2C25">
      <w:pPr>
        <w:spacing w:line="360" w:lineRule="auto"/>
        <w:ind w:firstLine="480"/>
        <w:rPr>
          <w:rFonts w:ascii="Times New Roman"/>
          <w:color w:val="auto"/>
          <w:highlight w:val="none"/>
        </w:rPr>
      </w:pPr>
      <w:r>
        <w:rPr>
          <w:rFonts w:ascii="Times New Roman"/>
          <w:color w:val="auto"/>
          <w:highlight w:val="none"/>
        </w:rPr>
        <w:t>m—每年料堆物料装卸总次数，根据企业提供资料可知，项目</w:t>
      </w:r>
      <w:r>
        <w:rPr>
          <w:rFonts w:hint="eastAsia" w:ascii="Times New Roman"/>
          <w:color w:val="auto"/>
          <w:highlight w:val="none"/>
        </w:rPr>
        <w:t>每年</w:t>
      </w:r>
      <w:r>
        <w:rPr>
          <w:rFonts w:hint="eastAsia"/>
          <w:color w:val="auto"/>
          <w:highlight w:val="none"/>
          <w:lang w:val="en-US" w:eastAsia="zh-CN"/>
        </w:rPr>
        <w:t>灰渣</w:t>
      </w:r>
      <w:r>
        <w:rPr>
          <w:rFonts w:ascii="Times New Roman"/>
          <w:color w:val="auto"/>
          <w:highlight w:val="none"/>
        </w:rPr>
        <w:t>物料装卸次数为</w:t>
      </w:r>
      <w:r>
        <w:rPr>
          <w:rFonts w:hint="eastAsia"/>
          <w:color w:val="auto"/>
          <w:highlight w:val="none"/>
          <w:lang w:val="en-US" w:eastAsia="zh-CN"/>
        </w:rPr>
        <w:t>841</w:t>
      </w:r>
      <w:r>
        <w:rPr>
          <w:rFonts w:ascii="Times New Roman"/>
          <w:color w:val="auto"/>
          <w:highlight w:val="none"/>
        </w:rPr>
        <w:t>次；</w:t>
      </w:r>
    </w:p>
    <w:p w14:paraId="1EAC74A3">
      <w:pPr>
        <w:spacing w:line="360" w:lineRule="auto"/>
        <w:ind w:firstLine="480"/>
        <w:rPr>
          <w:rFonts w:ascii="Times New Roman"/>
          <w:color w:val="auto"/>
          <w:highlight w:val="none"/>
        </w:rPr>
      </w:pPr>
      <w:r>
        <w:rPr>
          <w:rFonts w:ascii="Times New Roman"/>
          <w:color w:val="auto"/>
          <w:highlight w:val="none"/>
        </w:rPr>
        <w:t>G</w:t>
      </w:r>
      <w:r>
        <w:rPr>
          <w:rFonts w:ascii="Times New Roman"/>
          <w:color w:val="auto"/>
          <w:highlight w:val="none"/>
          <w:vertAlign w:val="subscript"/>
        </w:rPr>
        <w:t>Yi</w:t>
      </w:r>
      <w:r>
        <w:rPr>
          <w:rFonts w:ascii="Times New Roman"/>
          <w:color w:val="auto"/>
          <w:highlight w:val="none"/>
        </w:rPr>
        <w:t>—第i次装卸过程的物料装卸量，根据企业提供资料可知，项目</w:t>
      </w:r>
      <w:r>
        <w:rPr>
          <w:rFonts w:hint="eastAsia" w:ascii="Times New Roman"/>
          <w:color w:val="auto"/>
          <w:highlight w:val="none"/>
        </w:rPr>
        <w:t>单次</w:t>
      </w:r>
      <w:r>
        <w:rPr>
          <w:rFonts w:ascii="Times New Roman"/>
          <w:color w:val="auto"/>
          <w:highlight w:val="none"/>
        </w:rPr>
        <w:t>物料装卸量</w:t>
      </w:r>
      <w:r>
        <w:rPr>
          <w:rFonts w:hint="eastAsia"/>
          <w:color w:val="auto"/>
          <w:highlight w:val="none"/>
          <w:lang w:val="en-US" w:eastAsia="zh-CN"/>
        </w:rPr>
        <w:t>32</w:t>
      </w:r>
      <w:r>
        <w:rPr>
          <w:rFonts w:ascii="Times New Roman"/>
          <w:color w:val="auto"/>
          <w:highlight w:val="none"/>
        </w:rPr>
        <w:t>t：</w:t>
      </w:r>
    </w:p>
    <w:p w14:paraId="2A2AD704">
      <w:pPr>
        <w:spacing w:line="360" w:lineRule="auto"/>
        <w:ind w:firstLine="480"/>
        <w:rPr>
          <w:rFonts w:ascii="Times New Roman"/>
          <w:color w:val="auto"/>
          <w:highlight w:val="none"/>
        </w:rPr>
      </w:pPr>
      <w:r>
        <w:rPr>
          <w:rFonts w:ascii="Times New Roman"/>
          <w:color w:val="auto"/>
          <w:highlight w:val="none"/>
        </w:rPr>
        <w:t>E</w:t>
      </w:r>
      <w:r>
        <w:rPr>
          <w:rFonts w:ascii="Times New Roman"/>
          <w:color w:val="auto"/>
          <w:highlight w:val="none"/>
          <w:vertAlign w:val="subscript"/>
        </w:rPr>
        <w:t>w</w:t>
      </w:r>
      <w:r>
        <w:rPr>
          <w:rFonts w:ascii="Times New Roman"/>
          <w:color w:val="auto"/>
          <w:highlight w:val="none"/>
        </w:rPr>
        <w:t>—料堆</w:t>
      </w:r>
      <w:r>
        <w:rPr>
          <w:rFonts w:hint="eastAsia"/>
          <w:color w:val="auto"/>
          <w:highlight w:val="none"/>
          <w:lang w:eastAsia="zh-CN"/>
        </w:rPr>
        <w:t>受到</w:t>
      </w:r>
      <w:r>
        <w:rPr>
          <w:rFonts w:ascii="Times New Roman"/>
          <w:color w:val="auto"/>
          <w:highlight w:val="none"/>
        </w:rPr>
        <w:t>风蚀作用的颗粒物排放系数，</w:t>
      </w:r>
      <w:r>
        <w:rPr>
          <w:rFonts w:hint="eastAsia"/>
          <w:color w:val="auto"/>
          <w:highlight w:val="none"/>
          <w:lang w:val="en-US" w:eastAsia="zh-CN"/>
        </w:rPr>
        <w:t>0.083</w:t>
      </w:r>
      <w:r>
        <w:rPr>
          <w:rFonts w:ascii="Times New Roman"/>
          <w:color w:val="auto"/>
          <w:highlight w:val="none"/>
        </w:rPr>
        <w:t>kg/m</w:t>
      </w:r>
      <w:r>
        <w:rPr>
          <w:rFonts w:ascii="Times New Roman"/>
          <w:color w:val="auto"/>
          <w:highlight w:val="none"/>
          <w:vertAlign w:val="superscript"/>
        </w:rPr>
        <w:t>2</w:t>
      </w:r>
      <w:r>
        <w:rPr>
          <w:rFonts w:ascii="Times New Roman"/>
          <w:color w:val="auto"/>
          <w:highlight w:val="none"/>
        </w:rPr>
        <w:t>，其估算公式见③；</w:t>
      </w:r>
    </w:p>
    <w:p w14:paraId="621F3F18">
      <w:pPr>
        <w:spacing w:line="360" w:lineRule="auto"/>
        <w:ind w:firstLine="480"/>
        <w:rPr>
          <w:rFonts w:ascii="Times New Roman"/>
          <w:color w:val="auto"/>
          <w:highlight w:val="none"/>
        </w:rPr>
      </w:pPr>
      <w:r>
        <w:rPr>
          <w:rFonts w:ascii="Times New Roman"/>
          <w:color w:val="auto"/>
          <w:highlight w:val="none"/>
        </w:rPr>
        <w:t>A</w:t>
      </w:r>
      <w:r>
        <w:rPr>
          <w:rFonts w:ascii="Times New Roman"/>
          <w:color w:val="auto"/>
          <w:highlight w:val="none"/>
          <w:vertAlign w:val="subscript"/>
        </w:rPr>
        <w:t>Y</w:t>
      </w:r>
      <w:r>
        <w:rPr>
          <w:rFonts w:ascii="Times New Roman"/>
          <w:color w:val="auto"/>
          <w:highlight w:val="none"/>
        </w:rPr>
        <w:t>—堆料表面积，</w:t>
      </w:r>
      <w:r>
        <w:rPr>
          <w:rFonts w:hint="eastAsia" w:ascii="Times New Roman"/>
          <w:color w:val="auto"/>
          <w:highlight w:val="none"/>
        </w:rPr>
        <w:t>项目各区域回填</w:t>
      </w:r>
      <w:r>
        <w:rPr>
          <w:rFonts w:hint="eastAsia"/>
          <w:color w:val="auto"/>
          <w:highlight w:val="none"/>
          <w:lang w:val="en-US" w:eastAsia="zh-CN"/>
        </w:rPr>
        <w:t>灰渣</w:t>
      </w:r>
      <w:r>
        <w:rPr>
          <w:rFonts w:hint="eastAsia" w:ascii="Times New Roman"/>
          <w:color w:val="auto"/>
          <w:highlight w:val="none"/>
        </w:rPr>
        <w:t>至固定标高后及时覆土，每日回填</w:t>
      </w:r>
      <w:r>
        <w:rPr>
          <w:rFonts w:hint="eastAsia"/>
          <w:color w:val="auto"/>
          <w:highlight w:val="none"/>
          <w:lang w:val="en-US" w:eastAsia="zh-CN"/>
        </w:rPr>
        <w:t>灰渣</w:t>
      </w:r>
      <w:r>
        <w:rPr>
          <w:rFonts w:hint="eastAsia" w:ascii="Times New Roman"/>
          <w:color w:val="auto"/>
          <w:highlight w:val="none"/>
        </w:rPr>
        <w:t>受扰动作业</w:t>
      </w:r>
      <w:r>
        <w:rPr>
          <w:rFonts w:ascii="Times New Roman"/>
          <w:color w:val="auto"/>
          <w:highlight w:val="none"/>
        </w:rPr>
        <w:t>堆放</w:t>
      </w:r>
      <w:r>
        <w:rPr>
          <w:rFonts w:hint="eastAsia" w:ascii="Times New Roman"/>
          <w:color w:val="auto"/>
          <w:highlight w:val="none"/>
        </w:rPr>
        <w:t>的</w:t>
      </w:r>
      <w:r>
        <w:rPr>
          <w:rFonts w:ascii="Times New Roman"/>
          <w:color w:val="auto"/>
          <w:highlight w:val="none"/>
        </w:rPr>
        <w:t>表面积为</w:t>
      </w:r>
      <w:r>
        <w:rPr>
          <w:rFonts w:hint="eastAsia"/>
          <w:color w:val="auto"/>
          <w:highlight w:val="none"/>
          <w:lang w:val="en-US" w:eastAsia="zh-CN"/>
        </w:rPr>
        <w:t>120</w:t>
      </w:r>
      <w:r>
        <w:rPr>
          <w:rFonts w:ascii="Times New Roman"/>
          <w:color w:val="auto"/>
          <w:highlight w:val="none"/>
        </w:rPr>
        <w:t>0m</w:t>
      </w:r>
      <w:r>
        <w:rPr>
          <w:rFonts w:ascii="Times New Roman"/>
          <w:color w:val="auto"/>
          <w:highlight w:val="none"/>
          <w:vertAlign w:val="superscript"/>
        </w:rPr>
        <w:t>2</w:t>
      </w:r>
      <w:r>
        <w:rPr>
          <w:rFonts w:ascii="Times New Roman"/>
          <w:color w:val="auto"/>
          <w:highlight w:val="none"/>
        </w:rPr>
        <w:t>。</w:t>
      </w:r>
    </w:p>
    <w:p w14:paraId="183E328C">
      <w:pPr>
        <w:spacing w:line="360" w:lineRule="auto"/>
        <w:ind w:firstLine="480"/>
        <w:rPr>
          <w:rFonts w:ascii="Times New Roman"/>
          <w:color w:val="auto"/>
          <w:highlight w:val="none"/>
        </w:rPr>
      </w:pPr>
      <w:r>
        <w:rPr>
          <w:rFonts w:ascii="Times New Roman"/>
          <w:color w:val="auto"/>
          <w:highlight w:val="none"/>
        </w:rPr>
        <w:t>装卸、运输物料过程扬尘排放系数的估算：</w:t>
      </w:r>
    </w:p>
    <w:p w14:paraId="2A528FDA">
      <w:pPr>
        <w:pStyle w:val="2"/>
        <w:spacing w:line="360" w:lineRule="auto"/>
        <w:rPr>
          <w:color w:val="auto"/>
          <w:highlight w:val="none"/>
        </w:rPr>
      </w:pPr>
      <w:r>
        <w:rPr>
          <w:color w:val="auto"/>
          <w:highlight w:val="none"/>
        </w:rPr>
        <w:drawing>
          <wp:anchor distT="0" distB="0" distL="114300" distR="114300" simplePos="0" relativeHeight="251695104" behindDoc="0" locked="0" layoutInCell="1" allowOverlap="1">
            <wp:simplePos x="0" y="0"/>
            <wp:positionH relativeFrom="column">
              <wp:posOffset>1117600</wp:posOffset>
            </wp:positionH>
            <wp:positionV relativeFrom="paragraph">
              <wp:posOffset>75565</wp:posOffset>
            </wp:positionV>
            <wp:extent cx="2568575" cy="804545"/>
            <wp:effectExtent l="0" t="0" r="9525" b="8255"/>
            <wp:wrapNone/>
            <wp:docPr id="227" name="图片 90" descr="C:\Users\ADMINI~1\AppData\Local\Temp\156206639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90" descr="C:\Users\ADMINI~1\AppData\Local\Temp\1562066397(1).jpg"/>
                    <pic:cNvPicPr>
                      <a:picLocks noChangeAspect="1"/>
                    </pic:cNvPicPr>
                  </pic:nvPicPr>
                  <pic:blipFill>
                    <a:blip r:embed="rId33"/>
                    <a:stretch>
                      <a:fillRect/>
                    </a:stretch>
                  </pic:blipFill>
                  <pic:spPr>
                    <a:xfrm>
                      <a:off x="0" y="0"/>
                      <a:ext cx="2568575" cy="804545"/>
                    </a:xfrm>
                    <a:prstGeom prst="rect">
                      <a:avLst/>
                    </a:prstGeom>
                    <a:noFill/>
                    <a:ln>
                      <a:noFill/>
                    </a:ln>
                  </pic:spPr>
                </pic:pic>
              </a:graphicData>
            </a:graphic>
          </wp:anchor>
        </w:drawing>
      </w:r>
    </w:p>
    <w:p w14:paraId="2B4CCA17">
      <w:pPr>
        <w:spacing w:line="360" w:lineRule="auto"/>
        <w:ind w:firstLine="480"/>
        <w:rPr>
          <w:rFonts w:ascii="Times New Roman"/>
          <w:color w:val="auto"/>
          <w:highlight w:val="none"/>
        </w:rPr>
      </w:pPr>
    </w:p>
    <w:p w14:paraId="28A7247F">
      <w:pPr>
        <w:spacing w:line="360" w:lineRule="auto"/>
        <w:ind w:firstLine="480"/>
        <w:rPr>
          <w:rFonts w:hint="eastAsia"/>
          <w:color w:val="auto"/>
          <w:highlight w:val="none"/>
          <w:lang w:val="en-US" w:eastAsia="zh-CN"/>
        </w:rPr>
      </w:pPr>
      <w:r>
        <w:rPr>
          <w:rFonts w:ascii="Times New Roman"/>
          <w:color w:val="auto"/>
          <w:highlight w:val="none"/>
        </w:rPr>
        <w:t>②</w:t>
      </w:r>
      <w:r>
        <w:rPr>
          <w:rFonts w:hint="eastAsia"/>
          <w:color w:val="auto"/>
          <w:highlight w:val="none"/>
          <w:lang w:val="en-US" w:eastAsia="zh-CN"/>
        </w:rPr>
        <w:t xml:space="preserve"> </w:t>
      </w:r>
    </w:p>
    <w:p w14:paraId="4E0FE171">
      <w:pPr>
        <w:spacing w:line="360" w:lineRule="auto"/>
        <w:ind w:left="0" w:leftChars="0" w:firstLine="0" w:firstLineChars="0"/>
        <w:rPr>
          <w:rFonts w:ascii="Times New Roman"/>
          <w:color w:val="auto"/>
          <w:highlight w:val="none"/>
        </w:rPr>
      </w:pPr>
      <w:r>
        <w:rPr>
          <w:rFonts w:hint="eastAsia"/>
          <w:color w:val="auto"/>
          <w:highlight w:val="none"/>
          <w:lang w:val="en-US" w:eastAsia="zh-CN"/>
        </w:rPr>
        <w:t xml:space="preserve"> </w:t>
      </w:r>
    </w:p>
    <w:p w14:paraId="4623DFBF">
      <w:pPr>
        <w:spacing w:line="360" w:lineRule="auto"/>
        <w:ind w:firstLine="480"/>
        <w:rPr>
          <w:rFonts w:ascii="Times New Roman"/>
          <w:color w:val="auto"/>
          <w:highlight w:val="none"/>
        </w:rPr>
      </w:pPr>
      <w:r>
        <w:rPr>
          <w:rFonts w:ascii="Times New Roman"/>
          <w:color w:val="auto"/>
          <w:highlight w:val="none"/>
        </w:rPr>
        <w:t>式中：E</w:t>
      </w:r>
      <w:r>
        <w:rPr>
          <w:rFonts w:ascii="Times New Roman"/>
          <w:color w:val="auto"/>
          <w:highlight w:val="none"/>
          <w:vertAlign w:val="subscript"/>
        </w:rPr>
        <w:t>h</w:t>
      </w:r>
      <w:r>
        <w:rPr>
          <w:rFonts w:ascii="Times New Roman"/>
          <w:color w:val="auto"/>
          <w:highlight w:val="none"/>
        </w:rPr>
        <w:t>—堆场装卸运输过程中的扬尘颗粒物排放系数，kg/t；</w:t>
      </w:r>
    </w:p>
    <w:p w14:paraId="760AB4DE">
      <w:pPr>
        <w:spacing w:line="360" w:lineRule="auto"/>
        <w:ind w:firstLine="480"/>
        <w:rPr>
          <w:rFonts w:ascii="Times New Roman"/>
          <w:color w:val="auto"/>
          <w:highlight w:val="none"/>
        </w:rPr>
      </w:pPr>
      <w:r>
        <w:rPr>
          <w:rFonts w:ascii="Times New Roman"/>
          <w:color w:val="auto"/>
          <w:highlight w:val="none"/>
        </w:rPr>
        <w:t>k</w:t>
      </w:r>
      <w:r>
        <w:rPr>
          <w:rFonts w:ascii="Times New Roman"/>
          <w:color w:val="auto"/>
          <w:highlight w:val="none"/>
          <w:vertAlign w:val="subscript"/>
        </w:rPr>
        <w:t>i</w:t>
      </w:r>
      <w:r>
        <w:rPr>
          <w:rFonts w:ascii="Times New Roman"/>
          <w:color w:val="auto"/>
          <w:highlight w:val="none"/>
        </w:rPr>
        <w:t>—物料的粒度系数，根据《扬尘源颗粒物排放清单编制技术指南（试行）》中装卸过程中产生的颗粒物粒度系数乘数，TSP粒度系数为0.74；</w:t>
      </w:r>
    </w:p>
    <w:p w14:paraId="30934720">
      <w:pPr>
        <w:spacing w:line="360" w:lineRule="auto"/>
        <w:ind w:firstLine="480"/>
        <w:rPr>
          <w:rFonts w:ascii="Times New Roman"/>
          <w:color w:val="auto"/>
          <w:highlight w:val="none"/>
        </w:rPr>
      </w:pPr>
      <w:r>
        <w:rPr>
          <w:rFonts w:ascii="Times New Roman"/>
          <w:color w:val="auto"/>
          <w:highlight w:val="none"/>
        </w:rPr>
        <w:t>u—地面平均风速，</w:t>
      </w:r>
      <w:r>
        <w:rPr>
          <w:rFonts w:hint="eastAsia" w:ascii="Times New Roman"/>
          <w:color w:val="auto"/>
          <w:highlight w:val="none"/>
        </w:rPr>
        <w:t>根据</w:t>
      </w:r>
      <w:r>
        <w:rPr>
          <w:rFonts w:hint="eastAsia" w:ascii="Times New Roman"/>
          <w:color w:val="auto"/>
          <w:highlight w:val="none"/>
          <w:lang w:val="en-US" w:eastAsia="zh-CN"/>
        </w:rPr>
        <w:t>尚志市</w:t>
      </w:r>
      <w:r>
        <w:rPr>
          <w:rFonts w:hint="eastAsia" w:ascii="Times New Roman"/>
          <w:color w:val="auto"/>
          <w:highlight w:val="none"/>
        </w:rPr>
        <w:t>气象台气象观测站地面多年观测资料</w:t>
      </w:r>
      <w:r>
        <w:rPr>
          <w:rFonts w:ascii="Times New Roman"/>
          <w:color w:val="auto"/>
          <w:highlight w:val="none"/>
        </w:rPr>
        <w:t>多年统计</w:t>
      </w:r>
      <w:r>
        <w:rPr>
          <w:rFonts w:hint="eastAsia"/>
          <w:color w:val="auto"/>
          <w:highlight w:val="none"/>
          <w:lang w:eastAsia="zh-CN"/>
        </w:rPr>
        <w:t>，</w:t>
      </w:r>
      <w:r>
        <w:rPr>
          <w:rFonts w:ascii="Times New Roman"/>
          <w:color w:val="auto"/>
          <w:highlight w:val="none"/>
        </w:rPr>
        <w:t>年平均风速为</w:t>
      </w:r>
      <w:r>
        <w:rPr>
          <w:rFonts w:hint="eastAsia"/>
          <w:color w:val="auto"/>
          <w:highlight w:val="none"/>
          <w:lang w:val="en-US" w:eastAsia="zh-CN"/>
        </w:rPr>
        <w:t>3.09</w:t>
      </w:r>
      <w:r>
        <w:rPr>
          <w:rFonts w:ascii="Times New Roman"/>
          <w:color w:val="auto"/>
          <w:highlight w:val="none"/>
        </w:rPr>
        <w:t>m/s；</w:t>
      </w:r>
    </w:p>
    <w:p w14:paraId="3E57126A">
      <w:pPr>
        <w:spacing w:line="360" w:lineRule="auto"/>
        <w:ind w:firstLine="480"/>
        <w:rPr>
          <w:rFonts w:ascii="Times New Roman"/>
          <w:color w:val="auto"/>
          <w:highlight w:val="none"/>
        </w:rPr>
      </w:pPr>
      <w:r>
        <w:rPr>
          <w:rFonts w:ascii="Times New Roman"/>
          <w:color w:val="auto"/>
          <w:highlight w:val="none"/>
        </w:rPr>
        <w:t>M—物料的含水率</w:t>
      </w:r>
      <w:r>
        <w:rPr>
          <w:rFonts w:hint="eastAsia" w:ascii="Times New Roman"/>
          <w:color w:val="auto"/>
          <w:highlight w:val="none"/>
        </w:rPr>
        <w:t>，根据企业提供资料可知，项目</w:t>
      </w:r>
      <w:r>
        <w:rPr>
          <w:rFonts w:hint="eastAsia"/>
          <w:color w:val="auto"/>
          <w:highlight w:val="none"/>
          <w:lang w:val="en-US" w:eastAsia="zh-CN"/>
        </w:rPr>
        <w:t>灰渣</w:t>
      </w:r>
      <w:r>
        <w:rPr>
          <w:rFonts w:ascii="Times New Roman"/>
          <w:color w:val="auto"/>
          <w:highlight w:val="none"/>
        </w:rPr>
        <w:t>含水率</w:t>
      </w:r>
      <w:r>
        <w:rPr>
          <w:rFonts w:hint="eastAsia"/>
          <w:color w:val="auto"/>
          <w:highlight w:val="none"/>
          <w:lang w:val="en-US" w:eastAsia="zh-CN"/>
        </w:rPr>
        <w:t>按10</w:t>
      </w:r>
      <w:r>
        <w:rPr>
          <w:rFonts w:ascii="Times New Roman"/>
          <w:color w:val="auto"/>
          <w:highlight w:val="none"/>
        </w:rPr>
        <w:t>%；</w:t>
      </w:r>
    </w:p>
    <w:p w14:paraId="2CF8B281">
      <w:pPr>
        <w:spacing w:line="360" w:lineRule="auto"/>
        <w:ind w:firstLine="480"/>
        <w:rPr>
          <w:rFonts w:ascii="Times New Roman"/>
          <w:color w:val="auto"/>
          <w:highlight w:val="none"/>
        </w:rPr>
      </w:pPr>
      <w:r>
        <w:rPr>
          <w:rFonts w:ascii="Times New Roman"/>
          <w:color w:val="auto"/>
          <w:highlight w:val="none"/>
        </w:rPr>
        <w:t>Ƞ—污染控制技术对扬尘的去除效率，%。根据《扬尘源颗粒物排放清单编制技术指南（试行）》中堆场操作扬尘控制措施的控制效率，</w:t>
      </w:r>
      <w:r>
        <w:rPr>
          <w:rFonts w:hint="eastAsia" w:ascii="Times New Roman"/>
          <w:color w:val="auto"/>
          <w:highlight w:val="none"/>
        </w:rPr>
        <w:t>“</w:t>
      </w:r>
      <w:r>
        <w:rPr>
          <w:rFonts w:ascii="Times New Roman"/>
          <w:color w:val="auto"/>
          <w:highlight w:val="none"/>
        </w:rPr>
        <w:t>连续洒水操作TSP控制效率为74%，围挡围遮TSP控制效率为90%，多种措施同时开展的，取控制效率最大值</w:t>
      </w:r>
      <w:r>
        <w:rPr>
          <w:rFonts w:hint="eastAsia" w:ascii="Times New Roman"/>
          <w:color w:val="auto"/>
          <w:highlight w:val="none"/>
        </w:rPr>
        <w:t>”</w:t>
      </w:r>
      <w:r>
        <w:rPr>
          <w:rFonts w:ascii="Times New Roman"/>
          <w:color w:val="auto"/>
          <w:highlight w:val="none"/>
        </w:rPr>
        <w:t>，</w:t>
      </w:r>
      <w:r>
        <w:rPr>
          <w:rFonts w:hint="eastAsia" w:ascii="Times New Roman"/>
          <w:color w:val="auto"/>
          <w:highlight w:val="none"/>
        </w:rPr>
        <w:t>本项目装卸作业场地周围设隔声隔尘挡板高度为</w:t>
      </w:r>
      <w:r>
        <w:rPr>
          <w:rFonts w:hint="eastAsia"/>
          <w:color w:val="auto"/>
          <w:highlight w:val="none"/>
          <w:lang w:val="en-US" w:eastAsia="zh-CN"/>
        </w:rPr>
        <w:t>3</w:t>
      </w:r>
      <w:r>
        <w:rPr>
          <w:rFonts w:hint="eastAsia" w:ascii="Times New Roman"/>
          <w:color w:val="auto"/>
          <w:highlight w:val="none"/>
        </w:rPr>
        <w:t>m，故本项目控制效率</w:t>
      </w:r>
      <w:r>
        <w:rPr>
          <w:rFonts w:ascii="Times New Roman"/>
          <w:color w:val="auto"/>
          <w:highlight w:val="none"/>
        </w:rPr>
        <w:t>取</w:t>
      </w:r>
      <w:r>
        <w:rPr>
          <w:rFonts w:hint="eastAsia" w:hAnsi="宋体" w:cs="宋体"/>
          <w:color w:val="auto"/>
          <w:szCs w:val="24"/>
          <w:highlight w:val="none"/>
        </w:rPr>
        <w:t>标准中规定的参数值</w:t>
      </w:r>
      <w:r>
        <w:rPr>
          <w:rFonts w:ascii="Times New Roman"/>
          <w:color w:val="auto"/>
          <w:highlight w:val="none"/>
        </w:rPr>
        <w:t>90%</w:t>
      </w:r>
      <w:r>
        <w:rPr>
          <w:rFonts w:hint="eastAsia" w:ascii="Times New Roman"/>
          <w:color w:val="auto"/>
          <w:highlight w:val="none"/>
        </w:rPr>
        <w:t>，项目</w:t>
      </w:r>
      <w:r>
        <w:rPr>
          <w:rFonts w:ascii="Times New Roman"/>
          <w:color w:val="auto"/>
          <w:highlight w:val="none"/>
        </w:rPr>
        <w:t>污染控制技术</w:t>
      </w:r>
      <w:r>
        <w:rPr>
          <w:rFonts w:hint="eastAsia" w:ascii="Times New Roman"/>
          <w:color w:val="auto"/>
          <w:highlight w:val="none"/>
        </w:rPr>
        <w:t>属于</w:t>
      </w:r>
      <w:r>
        <w:rPr>
          <w:rFonts w:ascii="Times New Roman"/>
          <w:color w:val="auto"/>
          <w:highlight w:val="none"/>
        </w:rPr>
        <w:t>《扬尘源颗粒物排放清单编制技术指南（试行）》</w:t>
      </w:r>
      <w:r>
        <w:rPr>
          <w:rFonts w:hint="eastAsia" w:ascii="Times New Roman"/>
          <w:color w:val="auto"/>
          <w:highlight w:val="none"/>
        </w:rPr>
        <w:t>要求的</w:t>
      </w:r>
      <w:r>
        <w:rPr>
          <w:rFonts w:ascii="Times New Roman"/>
          <w:color w:val="auto"/>
          <w:highlight w:val="none"/>
        </w:rPr>
        <w:t>扬尘控制措施</w:t>
      </w:r>
      <w:r>
        <w:rPr>
          <w:rFonts w:hint="eastAsia" w:ascii="Times New Roman"/>
          <w:color w:val="auto"/>
          <w:highlight w:val="none"/>
        </w:rPr>
        <w:t>，故措施可行</w:t>
      </w:r>
      <w:r>
        <w:rPr>
          <w:rFonts w:ascii="Times New Roman"/>
          <w:color w:val="auto"/>
          <w:highlight w:val="none"/>
        </w:rPr>
        <w:t>。</w:t>
      </w:r>
    </w:p>
    <w:p w14:paraId="0FADA297">
      <w:pPr>
        <w:spacing w:line="360" w:lineRule="auto"/>
        <w:ind w:firstLine="480"/>
        <w:rPr>
          <w:rFonts w:ascii="Times New Roman"/>
          <w:color w:val="auto"/>
          <w:highlight w:val="none"/>
        </w:rPr>
      </w:pPr>
      <w:r>
        <w:rPr>
          <w:rFonts w:ascii="Times New Roman"/>
          <w:color w:val="auto"/>
          <w:highlight w:val="none"/>
        </w:rPr>
        <w:t>则</w:t>
      </w:r>
      <w:r>
        <w:rPr>
          <w:rFonts w:hint="eastAsia"/>
          <w:color w:val="auto"/>
          <w:highlight w:val="none"/>
          <w:lang w:val="en-US" w:eastAsia="zh-CN"/>
        </w:rPr>
        <w:t>灰渣</w:t>
      </w:r>
      <w:r>
        <w:rPr>
          <w:rFonts w:ascii="Times New Roman"/>
          <w:color w:val="auto"/>
          <w:highlight w:val="none"/>
        </w:rPr>
        <w:t>装卸运输过程中的扬尘颗粒物排放系数E</w:t>
      </w:r>
      <w:r>
        <w:rPr>
          <w:rFonts w:ascii="Times New Roman"/>
          <w:color w:val="auto"/>
          <w:highlight w:val="none"/>
          <w:vertAlign w:val="subscript"/>
        </w:rPr>
        <w:t>h</w:t>
      </w:r>
      <w:r>
        <w:rPr>
          <w:rFonts w:ascii="Times New Roman"/>
          <w:color w:val="auto"/>
          <w:highlight w:val="none"/>
        </w:rPr>
        <w:t>为</w:t>
      </w:r>
      <w:r>
        <w:rPr>
          <w:rFonts w:hint="eastAsia"/>
          <w:color w:val="auto"/>
          <w:highlight w:val="none"/>
          <w:lang w:val="en-US" w:eastAsia="zh-CN"/>
        </w:rPr>
        <w:t>1.93×10</w:t>
      </w:r>
      <w:r>
        <w:rPr>
          <w:rFonts w:hint="eastAsia"/>
          <w:color w:val="auto"/>
          <w:highlight w:val="none"/>
          <w:vertAlign w:val="superscript"/>
          <w:lang w:val="en-US" w:eastAsia="zh-CN"/>
        </w:rPr>
        <w:t>-5</w:t>
      </w:r>
      <w:r>
        <w:rPr>
          <w:rFonts w:ascii="Times New Roman"/>
          <w:color w:val="auto"/>
          <w:highlight w:val="none"/>
        </w:rPr>
        <w:t>kg/t</w:t>
      </w:r>
      <w:r>
        <w:rPr>
          <w:rFonts w:hint="eastAsia" w:ascii="Times New Roman"/>
          <w:color w:val="auto"/>
          <w:highlight w:val="none"/>
        </w:rPr>
        <w:t>，扬尘颗粒物产生系数为</w:t>
      </w:r>
      <w:r>
        <w:rPr>
          <w:rFonts w:hint="eastAsia"/>
          <w:color w:val="auto"/>
          <w:highlight w:val="none"/>
          <w:lang w:val="en-US" w:eastAsia="zh-CN"/>
        </w:rPr>
        <w:t>1.93×10</w:t>
      </w:r>
      <w:r>
        <w:rPr>
          <w:rFonts w:hint="eastAsia"/>
          <w:color w:val="auto"/>
          <w:highlight w:val="none"/>
          <w:vertAlign w:val="superscript"/>
          <w:lang w:val="en-US" w:eastAsia="zh-CN"/>
        </w:rPr>
        <w:t>-4</w:t>
      </w:r>
      <w:r>
        <w:rPr>
          <w:rFonts w:hint="eastAsia" w:ascii="Times New Roman"/>
          <w:color w:val="auto"/>
          <w:highlight w:val="none"/>
        </w:rPr>
        <w:t>kg/t</w:t>
      </w:r>
    </w:p>
    <w:p w14:paraId="35A4E6A2">
      <w:pPr>
        <w:spacing w:line="360" w:lineRule="auto"/>
        <w:ind w:firstLine="480"/>
        <w:rPr>
          <w:rFonts w:ascii="Times New Roman"/>
          <w:color w:val="auto"/>
          <w:highlight w:val="none"/>
        </w:rPr>
      </w:pPr>
      <w:r>
        <w:rPr>
          <w:rFonts w:ascii="Times New Roman"/>
          <w:color w:val="auto"/>
          <w:highlight w:val="none"/>
        </w:rPr>
        <w:t>堆场风蚀扬尘排放系数的计算方法：</w:t>
      </w:r>
    </w:p>
    <w:p w14:paraId="14880F9A">
      <w:pPr>
        <w:spacing w:line="360" w:lineRule="auto"/>
        <w:ind w:firstLine="480"/>
        <w:rPr>
          <w:rFonts w:ascii="Times New Roman"/>
          <w:color w:val="auto"/>
          <w:highlight w:val="none"/>
        </w:rPr>
      </w:pPr>
      <w:r>
        <w:rPr>
          <w:rFonts w:ascii="Times New Roman"/>
          <w:color w:val="auto"/>
          <w:highlight w:val="none"/>
        </w:rPr>
        <w:t>堆场表面遭受风扰动后引起颗粒物排放的排放系数可以用下式计算：</w:t>
      </w:r>
    </w:p>
    <w:p w14:paraId="29D58252">
      <w:pPr>
        <w:spacing w:line="360" w:lineRule="auto"/>
        <w:ind w:firstLine="480"/>
        <w:rPr>
          <w:rFonts w:ascii="Times New Roman"/>
          <w:color w:val="auto"/>
          <w:highlight w:val="none"/>
        </w:rPr>
      </w:pPr>
      <w:r>
        <w:rPr>
          <w:rFonts w:ascii="Times New Roman"/>
          <w:color w:val="auto"/>
          <w:highlight w:val="none"/>
        </w:rPr>
        <w:drawing>
          <wp:anchor distT="0" distB="0" distL="114300" distR="114300" simplePos="0" relativeHeight="251692032" behindDoc="1" locked="0" layoutInCell="1" allowOverlap="1">
            <wp:simplePos x="0" y="0"/>
            <wp:positionH relativeFrom="column">
              <wp:posOffset>1252855</wp:posOffset>
            </wp:positionH>
            <wp:positionV relativeFrom="paragraph">
              <wp:posOffset>1270</wp:posOffset>
            </wp:positionV>
            <wp:extent cx="2638425" cy="469900"/>
            <wp:effectExtent l="0" t="0" r="3175" b="0"/>
            <wp:wrapNone/>
            <wp:docPr id="225"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81"/>
                    <pic:cNvPicPr>
                      <a:picLocks noChangeAspect="1"/>
                    </pic:cNvPicPr>
                  </pic:nvPicPr>
                  <pic:blipFill>
                    <a:blip r:embed="rId34">
                      <a:lum bright="12000" contrast="6000"/>
                    </a:blip>
                    <a:stretch>
                      <a:fillRect/>
                    </a:stretch>
                  </pic:blipFill>
                  <pic:spPr>
                    <a:xfrm>
                      <a:off x="0" y="0"/>
                      <a:ext cx="2638425" cy="469900"/>
                    </a:xfrm>
                    <a:prstGeom prst="rect">
                      <a:avLst/>
                    </a:prstGeom>
                    <a:noFill/>
                    <a:ln>
                      <a:noFill/>
                    </a:ln>
                  </pic:spPr>
                </pic:pic>
              </a:graphicData>
            </a:graphic>
          </wp:anchor>
        </w:drawing>
      </w:r>
      <w:r>
        <w:rPr>
          <w:rFonts w:ascii="Times New Roman"/>
          <w:color w:val="auto"/>
          <w:highlight w:val="none"/>
        </w:rPr>
        <w:t>③</w:t>
      </w:r>
    </w:p>
    <w:p w14:paraId="34E7D8AC">
      <w:pPr>
        <w:spacing w:line="360" w:lineRule="auto"/>
        <w:ind w:firstLine="480"/>
        <w:rPr>
          <w:rFonts w:ascii="Times New Roman"/>
          <w:color w:val="auto"/>
          <w:highlight w:val="none"/>
        </w:rPr>
      </w:pPr>
    </w:p>
    <w:p w14:paraId="0D6F109B">
      <w:pPr>
        <w:spacing w:line="360" w:lineRule="auto"/>
        <w:ind w:firstLine="480"/>
        <w:rPr>
          <w:rFonts w:ascii="Times New Roman"/>
          <w:color w:val="auto"/>
          <w:highlight w:val="none"/>
        </w:rPr>
      </w:pPr>
    </w:p>
    <w:p w14:paraId="0BEE7E74">
      <w:pPr>
        <w:spacing w:line="360" w:lineRule="auto"/>
        <w:ind w:firstLine="480"/>
        <w:rPr>
          <w:rFonts w:ascii="Times New Roman"/>
          <w:color w:val="auto"/>
          <w:highlight w:val="none"/>
        </w:rPr>
      </w:pPr>
      <w:r>
        <w:rPr>
          <w:rFonts w:ascii="Times New Roman"/>
          <w:color w:val="auto"/>
          <w:highlight w:val="none"/>
        </w:rPr>
        <w:t>式中：E</w:t>
      </w:r>
      <w:r>
        <w:rPr>
          <w:rFonts w:ascii="Times New Roman"/>
          <w:color w:val="auto"/>
          <w:highlight w:val="none"/>
          <w:vertAlign w:val="subscript"/>
        </w:rPr>
        <w:t>w</w:t>
      </w:r>
      <w:r>
        <w:rPr>
          <w:rFonts w:ascii="Times New Roman"/>
          <w:color w:val="auto"/>
          <w:highlight w:val="none"/>
        </w:rPr>
        <w:t>—堆场风蚀扬尘的排放系数，kg/m</w:t>
      </w:r>
      <w:r>
        <w:rPr>
          <w:rFonts w:ascii="Times New Roman"/>
          <w:color w:val="auto"/>
          <w:highlight w:val="none"/>
          <w:vertAlign w:val="superscript"/>
        </w:rPr>
        <w:t>2</w:t>
      </w:r>
      <w:r>
        <w:rPr>
          <w:rFonts w:ascii="Times New Roman"/>
          <w:color w:val="auto"/>
          <w:highlight w:val="none"/>
        </w:rPr>
        <w:t>；</w:t>
      </w:r>
    </w:p>
    <w:p w14:paraId="1EDC66F2">
      <w:pPr>
        <w:spacing w:line="360" w:lineRule="auto"/>
        <w:ind w:firstLine="480"/>
        <w:rPr>
          <w:rFonts w:ascii="Times New Roman"/>
          <w:color w:val="auto"/>
          <w:highlight w:val="none"/>
        </w:rPr>
      </w:pPr>
      <w:r>
        <w:rPr>
          <w:rFonts w:ascii="Times New Roman"/>
          <w:color w:val="auto"/>
          <w:highlight w:val="none"/>
        </w:rPr>
        <w:t>k</w:t>
      </w:r>
      <w:r>
        <w:rPr>
          <w:rFonts w:ascii="Times New Roman"/>
          <w:color w:val="auto"/>
          <w:highlight w:val="none"/>
          <w:vertAlign w:val="subscript"/>
        </w:rPr>
        <w:t>i</w:t>
      </w:r>
      <w:r>
        <w:rPr>
          <w:rFonts w:ascii="Times New Roman"/>
          <w:color w:val="auto"/>
          <w:highlight w:val="none"/>
        </w:rPr>
        <w:t>—物料的粒度系数，根据《扬尘源颗粒物排放清单编制技术指南（试行）》中风蚀过程中产生的颗粒物粒度系数乘数，TSP粒度系数为1.0；</w:t>
      </w:r>
    </w:p>
    <w:p w14:paraId="0B909714">
      <w:pPr>
        <w:spacing w:line="360" w:lineRule="auto"/>
        <w:ind w:firstLine="480"/>
        <w:rPr>
          <w:rFonts w:ascii="Times New Roman"/>
          <w:color w:val="auto"/>
          <w:highlight w:val="none"/>
        </w:rPr>
      </w:pPr>
      <w:r>
        <w:rPr>
          <w:rFonts w:ascii="Times New Roman"/>
          <w:color w:val="auto"/>
          <w:highlight w:val="none"/>
        </w:rPr>
        <w:t>n—料堆每年受扰动的次数，</w:t>
      </w:r>
      <w:r>
        <w:rPr>
          <w:color w:val="auto"/>
          <w:sz w:val="24"/>
          <w:szCs w:val="22"/>
          <w:highlight w:val="none"/>
        </w:rPr>
        <w:t>本次单元作业面积对应的扰动次数取100</w:t>
      </w:r>
      <w:r>
        <w:rPr>
          <w:rFonts w:ascii="Times New Roman"/>
          <w:color w:val="auto"/>
          <w:highlight w:val="none"/>
        </w:rPr>
        <w:t>；</w:t>
      </w:r>
    </w:p>
    <w:p w14:paraId="3A36CAD4">
      <w:pPr>
        <w:spacing w:line="360" w:lineRule="auto"/>
        <w:ind w:firstLine="480"/>
        <w:rPr>
          <w:rFonts w:ascii="Times New Roman"/>
          <w:color w:val="auto"/>
          <w:highlight w:val="none"/>
        </w:rPr>
      </w:pPr>
      <w:r>
        <w:rPr>
          <w:rFonts w:ascii="Times New Roman"/>
          <w:color w:val="auto"/>
          <w:highlight w:val="none"/>
        </w:rPr>
        <w:t>P</w:t>
      </w:r>
      <w:r>
        <w:rPr>
          <w:rFonts w:ascii="Times New Roman"/>
          <w:color w:val="auto"/>
          <w:highlight w:val="none"/>
          <w:vertAlign w:val="subscript"/>
        </w:rPr>
        <w:t>i</w:t>
      </w:r>
      <w:r>
        <w:rPr>
          <w:rFonts w:ascii="Times New Roman"/>
          <w:color w:val="auto"/>
          <w:highlight w:val="none"/>
        </w:rPr>
        <w:t>—第i次扰动中观测的最大风速的风蚀潜势，</w:t>
      </w:r>
      <w:r>
        <w:rPr>
          <w:rFonts w:hint="eastAsia"/>
          <w:color w:val="auto"/>
          <w:highlight w:val="none"/>
          <w:lang w:val="en-US" w:eastAsia="zh-CN"/>
        </w:rPr>
        <w:t>2.134</w:t>
      </w:r>
      <w:r>
        <w:rPr>
          <w:rFonts w:ascii="Times New Roman"/>
          <w:color w:val="auto"/>
          <w:highlight w:val="none"/>
        </w:rPr>
        <w:t>g/m</w:t>
      </w:r>
      <w:r>
        <w:rPr>
          <w:rFonts w:ascii="Times New Roman"/>
          <w:color w:val="auto"/>
          <w:highlight w:val="none"/>
          <w:vertAlign w:val="superscript"/>
        </w:rPr>
        <w:t>2</w:t>
      </w:r>
      <w:r>
        <w:rPr>
          <w:rFonts w:ascii="Times New Roman"/>
          <w:color w:val="auto"/>
          <w:highlight w:val="none"/>
        </w:rPr>
        <w:t>。其计算公式见④；</w:t>
      </w:r>
    </w:p>
    <w:p w14:paraId="4F6E0203">
      <w:pPr>
        <w:spacing w:line="360" w:lineRule="auto"/>
        <w:ind w:firstLine="480"/>
        <w:rPr>
          <w:rFonts w:ascii="Times New Roman"/>
          <w:color w:val="auto"/>
          <w:highlight w:val="none"/>
        </w:rPr>
      </w:pPr>
      <w:r>
        <w:rPr>
          <w:rFonts w:ascii="Times New Roman"/>
          <w:color w:val="auto"/>
          <w:highlight w:val="none"/>
        </w:rPr>
        <w:t>Ƞ—污染控制技术对扬尘的去除效率，%。根据《扬尘源颗粒物排放清单编制技术指南（试行）》中堆场风蚀扬尘控制措施的控制效率，为61%。</w:t>
      </w:r>
    </w:p>
    <w:p w14:paraId="45F7D2C5">
      <w:pPr>
        <w:spacing w:line="360" w:lineRule="auto"/>
        <w:ind w:firstLine="480"/>
        <w:rPr>
          <w:rFonts w:ascii="Times New Roman"/>
          <w:color w:val="auto"/>
          <w:highlight w:val="none"/>
        </w:rPr>
      </w:pPr>
      <w:r>
        <w:rPr>
          <w:rFonts w:ascii="Times New Roman"/>
          <w:color w:val="auto"/>
          <w:highlight w:val="none"/>
        </w:rPr>
        <w:t>第i次扰动中观测的最大风速的风蚀潜势计算公式：</w:t>
      </w:r>
    </w:p>
    <w:p w14:paraId="7A92ABE1">
      <w:pPr>
        <w:pStyle w:val="2"/>
        <w:spacing w:line="360" w:lineRule="auto"/>
        <w:rPr>
          <w:rFonts w:ascii="Times New Roman"/>
          <w:color w:val="auto"/>
          <w:highlight w:val="none"/>
        </w:rPr>
      </w:pPr>
    </w:p>
    <w:p w14:paraId="09B4EA0B">
      <w:pPr>
        <w:pStyle w:val="2"/>
        <w:spacing w:line="360" w:lineRule="auto"/>
        <w:rPr>
          <w:rFonts w:ascii="Times New Roman"/>
          <w:color w:val="auto"/>
          <w:highlight w:val="none"/>
        </w:rPr>
      </w:pPr>
      <w:r>
        <w:rPr>
          <w:rFonts w:ascii="Times New Roman"/>
          <w:color w:val="auto"/>
          <w:highlight w:val="none"/>
        </w:rPr>
        <w:drawing>
          <wp:anchor distT="0" distB="0" distL="114300" distR="114300" simplePos="0" relativeHeight="251693056" behindDoc="1" locked="0" layoutInCell="1" allowOverlap="1">
            <wp:simplePos x="0" y="0"/>
            <wp:positionH relativeFrom="column">
              <wp:posOffset>587375</wp:posOffset>
            </wp:positionH>
            <wp:positionV relativeFrom="paragraph">
              <wp:posOffset>46355</wp:posOffset>
            </wp:positionV>
            <wp:extent cx="4608195" cy="926465"/>
            <wp:effectExtent l="0" t="0" r="1905" b="635"/>
            <wp:wrapNone/>
            <wp:docPr id="228"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82"/>
                    <pic:cNvPicPr>
                      <a:picLocks noChangeAspect="1"/>
                    </pic:cNvPicPr>
                  </pic:nvPicPr>
                  <pic:blipFill>
                    <a:blip r:embed="rId35"/>
                    <a:stretch>
                      <a:fillRect/>
                    </a:stretch>
                  </pic:blipFill>
                  <pic:spPr>
                    <a:xfrm>
                      <a:off x="0" y="0"/>
                      <a:ext cx="4608195" cy="926465"/>
                    </a:xfrm>
                    <a:prstGeom prst="rect">
                      <a:avLst/>
                    </a:prstGeom>
                    <a:noFill/>
                    <a:ln>
                      <a:noFill/>
                    </a:ln>
                  </pic:spPr>
                </pic:pic>
              </a:graphicData>
            </a:graphic>
          </wp:anchor>
        </w:drawing>
      </w:r>
    </w:p>
    <w:p w14:paraId="2B12A762">
      <w:pPr>
        <w:spacing w:line="360" w:lineRule="auto"/>
        <w:ind w:firstLine="480"/>
        <w:rPr>
          <w:rFonts w:ascii="Times New Roman"/>
          <w:color w:val="auto"/>
          <w:highlight w:val="none"/>
        </w:rPr>
      </w:pPr>
    </w:p>
    <w:p w14:paraId="18176920">
      <w:pPr>
        <w:spacing w:line="360" w:lineRule="auto"/>
        <w:ind w:firstLine="480"/>
        <w:rPr>
          <w:rFonts w:ascii="Times New Roman"/>
          <w:color w:val="auto"/>
          <w:highlight w:val="none"/>
        </w:rPr>
      </w:pPr>
    </w:p>
    <w:p w14:paraId="059EA34A">
      <w:pPr>
        <w:spacing w:line="360" w:lineRule="auto"/>
        <w:ind w:firstLine="480"/>
        <w:rPr>
          <w:rFonts w:ascii="Times New Roman"/>
          <w:color w:val="auto"/>
          <w:highlight w:val="none"/>
        </w:rPr>
      </w:pPr>
      <w:r>
        <w:rPr>
          <w:rFonts w:ascii="Times New Roman"/>
          <w:color w:val="auto"/>
          <w:highlight w:val="none"/>
        </w:rPr>
        <w:t>④</w:t>
      </w:r>
    </w:p>
    <w:p w14:paraId="6930CB66">
      <w:pPr>
        <w:pStyle w:val="2"/>
        <w:spacing w:line="360" w:lineRule="auto"/>
        <w:rPr>
          <w:color w:val="auto"/>
          <w:highlight w:val="none"/>
        </w:rPr>
      </w:pPr>
    </w:p>
    <w:p w14:paraId="48114121">
      <w:pPr>
        <w:spacing w:line="360" w:lineRule="auto"/>
        <w:ind w:firstLine="480"/>
        <w:rPr>
          <w:rFonts w:ascii="Times New Roman"/>
          <w:color w:val="auto"/>
          <w:highlight w:val="none"/>
        </w:rPr>
      </w:pPr>
      <w:r>
        <w:rPr>
          <w:rFonts w:ascii="Times New Roman"/>
          <w:color w:val="auto"/>
          <w:highlight w:val="none"/>
        </w:rPr>
        <w:t>式中：P</w:t>
      </w:r>
      <w:r>
        <w:rPr>
          <w:rFonts w:ascii="Times New Roman"/>
          <w:color w:val="auto"/>
          <w:highlight w:val="none"/>
          <w:vertAlign w:val="subscript"/>
        </w:rPr>
        <w:t>i</w:t>
      </w:r>
      <w:r>
        <w:rPr>
          <w:rFonts w:ascii="Times New Roman"/>
          <w:color w:val="auto"/>
          <w:highlight w:val="none"/>
        </w:rPr>
        <w:t>—第i次扰动中观测的最大风速的风蚀潜势，P</w:t>
      </w:r>
      <w:r>
        <w:rPr>
          <w:rFonts w:ascii="Times New Roman"/>
          <w:color w:val="auto"/>
          <w:highlight w:val="none"/>
          <w:vertAlign w:val="subscript"/>
        </w:rPr>
        <w:t>i</w:t>
      </w:r>
      <w:r>
        <w:rPr>
          <w:rFonts w:ascii="Times New Roman"/>
          <w:color w:val="auto"/>
          <w:highlight w:val="none"/>
        </w:rPr>
        <w:t>为</w:t>
      </w:r>
      <w:r>
        <w:rPr>
          <w:rFonts w:hint="eastAsia"/>
          <w:color w:val="auto"/>
          <w:highlight w:val="none"/>
          <w:lang w:val="en-US" w:eastAsia="zh-CN"/>
        </w:rPr>
        <w:t>2.134</w:t>
      </w:r>
      <w:r>
        <w:rPr>
          <w:rFonts w:ascii="Times New Roman"/>
          <w:color w:val="auto"/>
          <w:highlight w:val="none"/>
        </w:rPr>
        <w:t>；</w:t>
      </w:r>
    </w:p>
    <w:p w14:paraId="7FB1D157">
      <w:pPr>
        <w:spacing w:line="360" w:lineRule="auto"/>
        <w:ind w:firstLine="480"/>
        <w:rPr>
          <w:rFonts w:ascii="Times New Roman"/>
          <w:color w:val="auto"/>
          <w:highlight w:val="none"/>
        </w:rPr>
      </w:pPr>
      <w:r>
        <w:rPr>
          <w:rFonts w:ascii="Times New Roman"/>
          <w:color w:val="auto"/>
          <w:highlight w:val="none"/>
        </w:rPr>
        <w:t>u</w:t>
      </w:r>
      <w:r>
        <w:rPr>
          <w:rFonts w:ascii="Times New Roman"/>
          <w:color w:val="auto"/>
          <w:highlight w:val="none"/>
          <w:vertAlign w:val="subscript"/>
        </w:rPr>
        <w:t>t</w:t>
      </w:r>
      <w:r>
        <w:rPr>
          <w:rFonts w:ascii="Times New Roman"/>
          <w:color w:val="auto"/>
          <w:highlight w:val="none"/>
        </w:rPr>
        <w:t>*—阈值摩擦风速，根据《扬尘源颗粒物排放清单编制技术指南（试行）》中阈值摩擦风速参考值，</w:t>
      </w:r>
      <w:r>
        <w:rPr>
          <w:rFonts w:hint="eastAsia"/>
          <w:color w:val="auto"/>
          <w:highlight w:val="none"/>
          <w:lang w:val="en-US" w:eastAsia="zh-CN"/>
        </w:rPr>
        <w:t>灰渣</w:t>
      </w:r>
      <w:r>
        <w:rPr>
          <w:rFonts w:hint="eastAsia" w:ascii="Times New Roman"/>
          <w:color w:val="auto"/>
          <w:highlight w:val="none"/>
        </w:rPr>
        <w:t>为</w:t>
      </w:r>
      <w:r>
        <w:rPr>
          <w:rFonts w:hint="eastAsia"/>
          <w:color w:val="auto"/>
          <w:highlight w:val="none"/>
          <w:lang w:val="en-US" w:eastAsia="zh-CN"/>
        </w:rPr>
        <w:t>0.54</w:t>
      </w:r>
      <w:r>
        <w:rPr>
          <w:rFonts w:ascii="Times New Roman"/>
          <w:color w:val="auto"/>
          <w:highlight w:val="none"/>
        </w:rPr>
        <w:t>；</w:t>
      </w:r>
    </w:p>
    <w:p w14:paraId="4AC6B121">
      <w:pPr>
        <w:spacing w:line="360" w:lineRule="auto"/>
        <w:ind w:firstLine="480"/>
        <w:rPr>
          <w:rFonts w:ascii="Times New Roman"/>
          <w:color w:val="auto"/>
          <w:highlight w:val="none"/>
        </w:rPr>
      </w:pPr>
      <w:r>
        <w:rPr>
          <w:rFonts w:ascii="Times New Roman"/>
          <w:color w:val="auto"/>
          <w:highlight w:val="none"/>
        </w:rPr>
        <w:t>u*—为摩擦风速，</w:t>
      </w:r>
      <w:r>
        <w:rPr>
          <w:rFonts w:hint="eastAsia"/>
          <w:color w:val="auto"/>
          <w:highlight w:val="none"/>
          <w:lang w:val="en-US" w:eastAsia="zh-CN"/>
        </w:rPr>
        <w:t>0.613</w:t>
      </w:r>
      <w:r>
        <w:rPr>
          <w:rFonts w:ascii="Times New Roman"/>
          <w:color w:val="auto"/>
          <w:highlight w:val="none"/>
        </w:rPr>
        <w:t>m/s。计算公式见公式⑤；</w:t>
      </w:r>
    </w:p>
    <w:p w14:paraId="7CF71E52">
      <w:pPr>
        <w:spacing w:line="360" w:lineRule="auto"/>
        <w:ind w:firstLine="480"/>
        <w:jc w:val="left"/>
        <w:rPr>
          <w:rFonts w:ascii="Times New Roman"/>
          <w:color w:val="auto"/>
          <w:highlight w:val="none"/>
        </w:rPr>
      </w:pPr>
      <w:r>
        <w:rPr>
          <w:rFonts w:ascii="Times New Roman"/>
          <w:color w:val="auto"/>
          <w:highlight w:val="none"/>
        </w:rPr>
        <w:drawing>
          <wp:anchor distT="0" distB="0" distL="114300" distR="114300" simplePos="0" relativeHeight="251696128" behindDoc="0" locked="0" layoutInCell="1" allowOverlap="1">
            <wp:simplePos x="0" y="0"/>
            <wp:positionH relativeFrom="column">
              <wp:posOffset>784860</wp:posOffset>
            </wp:positionH>
            <wp:positionV relativeFrom="paragraph">
              <wp:posOffset>69215</wp:posOffset>
            </wp:positionV>
            <wp:extent cx="2905125" cy="485775"/>
            <wp:effectExtent l="0" t="0" r="3175" b="9525"/>
            <wp:wrapNone/>
            <wp:docPr id="22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93"/>
                    <pic:cNvPicPr>
                      <a:picLocks noChangeAspect="1"/>
                    </pic:cNvPicPr>
                  </pic:nvPicPr>
                  <pic:blipFill>
                    <a:blip r:embed="rId36">
                      <a:lum bright="6000" contrast="6000"/>
                    </a:blip>
                    <a:stretch>
                      <a:fillRect/>
                    </a:stretch>
                  </pic:blipFill>
                  <pic:spPr>
                    <a:xfrm>
                      <a:off x="0" y="0"/>
                      <a:ext cx="2905125" cy="485775"/>
                    </a:xfrm>
                    <a:prstGeom prst="rect">
                      <a:avLst/>
                    </a:prstGeom>
                    <a:noFill/>
                    <a:ln>
                      <a:noFill/>
                    </a:ln>
                  </pic:spPr>
                </pic:pic>
              </a:graphicData>
            </a:graphic>
          </wp:anchor>
        </w:drawing>
      </w:r>
    </w:p>
    <w:p w14:paraId="05CC2E1C">
      <w:pPr>
        <w:spacing w:line="360" w:lineRule="auto"/>
        <w:ind w:firstLine="480"/>
        <w:jc w:val="left"/>
        <w:rPr>
          <w:rFonts w:ascii="Times New Roman"/>
          <w:color w:val="auto"/>
          <w:highlight w:val="none"/>
        </w:rPr>
      </w:pPr>
      <w:r>
        <w:rPr>
          <w:rFonts w:ascii="Times New Roman"/>
          <w:color w:val="auto"/>
          <w:highlight w:val="none"/>
        </w:rPr>
        <w:t>⑤</w:t>
      </w:r>
    </w:p>
    <w:p w14:paraId="0C433158">
      <w:pPr>
        <w:spacing w:line="360" w:lineRule="auto"/>
        <w:ind w:firstLine="480"/>
        <w:jc w:val="center"/>
        <w:rPr>
          <w:rFonts w:ascii="Times New Roman"/>
          <w:color w:val="auto"/>
          <w:highlight w:val="none"/>
        </w:rPr>
      </w:pPr>
    </w:p>
    <w:p w14:paraId="1EBF5461">
      <w:pPr>
        <w:spacing w:line="360" w:lineRule="auto"/>
        <w:ind w:firstLine="480"/>
        <w:rPr>
          <w:rFonts w:ascii="Times New Roman"/>
          <w:color w:val="auto"/>
          <w:highlight w:val="none"/>
        </w:rPr>
      </w:pPr>
      <w:r>
        <w:rPr>
          <w:rFonts w:ascii="Times New Roman"/>
          <w:color w:val="auto"/>
          <w:highlight w:val="none"/>
        </w:rPr>
        <w:t>式中：u（z）—地面风速，</w:t>
      </w:r>
      <w:r>
        <w:rPr>
          <w:rFonts w:hint="eastAsia"/>
          <w:color w:val="auto"/>
          <w:highlight w:val="none"/>
          <w:lang w:val="en-US" w:eastAsia="zh-CN"/>
        </w:rPr>
        <w:t>3.09</w:t>
      </w:r>
      <w:r>
        <w:rPr>
          <w:rFonts w:ascii="Times New Roman"/>
          <w:color w:val="auto"/>
          <w:highlight w:val="none"/>
        </w:rPr>
        <w:t>m/s；</w:t>
      </w:r>
    </w:p>
    <w:p w14:paraId="411EB92A">
      <w:pPr>
        <w:spacing w:line="360" w:lineRule="auto"/>
        <w:ind w:firstLine="480"/>
        <w:rPr>
          <w:rFonts w:ascii="Times New Roman"/>
          <w:color w:val="auto"/>
          <w:highlight w:val="none"/>
        </w:rPr>
      </w:pPr>
      <w:r>
        <w:rPr>
          <w:rFonts w:ascii="Times New Roman"/>
          <w:color w:val="auto"/>
          <w:highlight w:val="none"/>
        </w:rPr>
        <w:t>z—地面风速检测高速，1.</w:t>
      </w:r>
      <w:r>
        <w:rPr>
          <w:rFonts w:hint="eastAsia"/>
          <w:color w:val="auto"/>
          <w:highlight w:val="none"/>
          <w:lang w:val="en-US" w:eastAsia="zh-CN"/>
        </w:rPr>
        <w:t>5</w:t>
      </w:r>
      <w:r>
        <w:rPr>
          <w:rFonts w:ascii="Times New Roman"/>
          <w:color w:val="auto"/>
          <w:highlight w:val="none"/>
        </w:rPr>
        <w:t>m；</w:t>
      </w:r>
    </w:p>
    <w:p w14:paraId="1ED658D1">
      <w:pPr>
        <w:spacing w:line="360" w:lineRule="auto"/>
        <w:ind w:firstLine="480"/>
        <w:rPr>
          <w:rFonts w:ascii="Times New Roman"/>
          <w:color w:val="auto"/>
          <w:highlight w:val="none"/>
        </w:rPr>
      </w:pPr>
      <w:r>
        <w:rPr>
          <w:rFonts w:ascii="Times New Roman"/>
          <w:color w:val="auto"/>
          <w:highlight w:val="none"/>
        </w:rPr>
        <w:t>z</w:t>
      </w:r>
      <w:r>
        <w:rPr>
          <w:rFonts w:ascii="Times New Roman"/>
          <w:color w:val="auto"/>
          <w:highlight w:val="none"/>
          <w:vertAlign w:val="subscript"/>
        </w:rPr>
        <w:t>0</w:t>
      </w:r>
      <w:r>
        <w:rPr>
          <w:rFonts w:ascii="Times New Roman"/>
          <w:color w:val="auto"/>
          <w:highlight w:val="none"/>
        </w:rPr>
        <w:t>—为地面粗糙度，m，根据《扬尘源颗粒物排放清单编制技术指南（试行）》中参考值</w:t>
      </w:r>
      <w:r>
        <w:rPr>
          <w:rFonts w:hint="eastAsia" w:ascii="Times New Roman"/>
          <w:color w:val="auto"/>
          <w:highlight w:val="none"/>
        </w:rPr>
        <w:t>，</w:t>
      </w:r>
      <w:r>
        <w:rPr>
          <w:rFonts w:ascii="Times New Roman"/>
          <w:color w:val="auto"/>
          <w:highlight w:val="none"/>
        </w:rPr>
        <w:t>郊区取值0.2。</w:t>
      </w:r>
    </w:p>
    <w:p w14:paraId="3641DDE1">
      <w:pPr>
        <w:spacing w:line="360" w:lineRule="auto"/>
        <w:ind w:firstLine="480"/>
        <w:rPr>
          <w:rFonts w:hint="eastAsia" w:ascii="Times New Roman"/>
          <w:color w:val="auto"/>
          <w:highlight w:val="none"/>
        </w:rPr>
      </w:pPr>
      <w:r>
        <w:rPr>
          <w:rFonts w:hint="eastAsia" w:ascii="Times New Roman"/>
          <w:color w:val="auto"/>
          <w:highlight w:val="none"/>
        </w:rPr>
        <w:t>由上述计算公式可知，P</w:t>
      </w:r>
      <w:r>
        <w:rPr>
          <w:rFonts w:hint="eastAsia" w:ascii="Times New Roman"/>
          <w:color w:val="auto"/>
          <w:highlight w:val="none"/>
          <w:vertAlign w:val="subscript"/>
        </w:rPr>
        <w:t>i</w:t>
      </w:r>
      <w:r>
        <w:rPr>
          <w:rFonts w:hint="eastAsia" w:ascii="Times New Roman"/>
          <w:color w:val="auto"/>
          <w:highlight w:val="none"/>
        </w:rPr>
        <w:t>为</w:t>
      </w:r>
      <w:r>
        <w:rPr>
          <w:rFonts w:hint="eastAsia"/>
          <w:color w:val="auto"/>
          <w:highlight w:val="none"/>
          <w:lang w:val="en-US" w:eastAsia="zh-CN"/>
        </w:rPr>
        <w:t>2.134g/m</w:t>
      </w:r>
      <w:r>
        <w:rPr>
          <w:rFonts w:hint="eastAsia"/>
          <w:color w:val="auto"/>
          <w:highlight w:val="none"/>
          <w:vertAlign w:val="superscript"/>
          <w:lang w:val="en-US" w:eastAsia="zh-CN"/>
        </w:rPr>
        <w:t>2</w:t>
      </w:r>
      <w:r>
        <w:rPr>
          <w:rFonts w:hint="eastAsia" w:ascii="Times New Roman"/>
          <w:color w:val="auto"/>
          <w:highlight w:val="none"/>
        </w:rPr>
        <w:t>，则E</w:t>
      </w:r>
      <w:r>
        <w:rPr>
          <w:rFonts w:hint="eastAsia" w:ascii="Times New Roman"/>
          <w:color w:val="auto"/>
          <w:highlight w:val="none"/>
          <w:vertAlign w:val="subscript"/>
        </w:rPr>
        <w:t>w</w:t>
      </w:r>
      <w:r>
        <w:rPr>
          <w:rFonts w:hint="eastAsia" w:ascii="Times New Roman"/>
          <w:color w:val="auto"/>
          <w:highlight w:val="none"/>
        </w:rPr>
        <w:t>=</w:t>
      </w:r>
      <w:r>
        <w:rPr>
          <w:rFonts w:hint="eastAsia"/>
          <w:color w:val="auto"/>
          <w:highlight w:val="none"/>
          <w:lang w:val="en-US" w:eastAsia="zh-CN"/>
        </w:rPr>
        <w:t>1.287</w:t>
      </w:r>
      <w:r>
        <w:rPr>
          <w:rFonts w:ascii="Times New Roman"/>
          <w:color w:val="auto"/>
          <w:highlight w:val="none"/>
        </w:rPr>
        <w:t>kg/m</w:t>
      </w:r>
      <w:r>
        <w:rPr>
          <w:rFonts w:ascii="Times New Roman"/>
          <w:color w:val="auto"/>
          <w:highlight w:val="none"/>
          <w:vertAlign w:val="superscript"/>
        </w:rPr>
        <w:t>2</w:t>
      </w:r>
      <w:r>
        <w:rPr>
          <w:rFonts w:hint="eastAsia" w:ascii="Times New Roman"/>
          <w:color w:val="auto"/>
          <w:highlight w:val="none"/>
        </w:rPr>
        <w:t>，项目</w:t>
      </w:r>
      <w:r>
        <w:rPr>
          <w:rFonts w:hint="eastAsia"/>
          <w:color w:val="auto"/>
          <w:highlight w:val="none"/>
          <w:lang w:val="en-US" w:eastAsia="zh-CN"/>
        </w:rPr>
        <w:t>灰渣</w:t>
      </w:r>
      <w:r>
        <w:rPr>
          <w:rFonts w:hint="eastAsia" w:ascii="Times New Roman"/>
          <w:color w:val="auto"/>
          <w:highlight w:val="none"/>
        </w:rPr>
        <w:t>装卸及堆积产生颗粒物总</w:t>
      </w:r>
      <w:r>
        <w:rPr>
          <w:rFonts w:hint="eastAsia"/>
          <w:color w:val="auto"/>
          <w:highlight w:val="none"/>
          <w:lang w:val="en-US" w:eastAsia="zh-CN"/>
        </w:rPr>
        <w:t>排放</w:t>
      </w:r>
      <w:r>
        <w:rPr>
          <w:rFonts w:hint="eastAsia" w:ascii="Times New Roman"/>
          <w:color w:val="auto"/>
          <w:highlight w:val="none"/>
        </w:rPr>
        <w:t>量为W</w:t>
      </w:r>
      <w:r>
        <w:rPr>
          <w:rFonts w:hint="eastAsia" w:ascii="Times New Roman"/>
          <w:color w:val="auto"/>
          <w:highlight w:val="none"/>
          <w:vertAlign w:val="subscript"/>
        </w:rPr>
        <w:t>Y</w:t>
      </w:r>
      <w:r>
        <w:rPr>
          <w:rFonts w:hint="eastAsia" w:ascii="Times New Roman"/>
          <w:color w:val="auto"/>
          <w:highlight w:val="none"/>
        </w:rPr>
        <w:t>=</w:t>
      </w:r>
      <w:r>
        <w:rPr>
          <w:rFonts w:hint="eastAsia"/>
          <w:color w:val="auto"/>
          <w:highlight w:val="none"/>
          <w:lang w:val="en-US" w:eastAsia="zh-CN"/>
        </w:rPr>
        <w:t>1.93×10</w:t>
      </w:r>
      <w:r>
        <w:rPr>
          <w:rFonts w:hint="eastAsia"/>
          <w:color w:val="auto"/>
          <w:highlight w:val="none"/>
          <w:vertAlign w:val="superscript"/>
          <w:lang w:val="en-US" w:eastAsia="zh-CN"/>
        </w:rPr>
        <w:t>-5</w:t>
      </w:r>
      <w:r>
        <w:rPr>
          <w:rFonts w:hint="eastAsia" w:ascii="Times New Roman"/>
          <w:color w:val="auto"/>
          <w:highlight w:val="none"/>
        </w:rPr>
        <w:t>×</w:t>
      </w:r>
      <w:r>
        <w:rPr>
          <w:rFonts w:hint="eastAsia"/>
          <w:color w:val="auto"/>
          <w:highlight w:val="none"/>
          <w:lang w:val="en-US" w:eastAsia="zh-CN"/>
        </w:rPr>
        <w:t>32</w:t>
      </w:r>
      <w:r>
        <w:rPr>
          <w:rFonts w:hint="eastAsia" w:ascii="Times New Roman"/>
          <w:color w:val="auto"/>
          <w:highlight w:val="none"/>
        </w:rPr>
        <w:t>×0.001×</w:t>
      </w:r>
      <w:r>
        <w:rPr>
          <w:rFonts w:hint="eastAsia"/>
          <w:color w:val="auto"/>
          <w:highlight w:val="none"/>
          <w:lang w:val="en-US" w:eastAsia="zh-CN"/>
        </w:rPr>
        <w:t>841</w:t>
      </w:r>
      <w:r>
        <w:rPr>
          <w:rFonts w:hint="eastAsia" w:ascii="Times New Roman"/>
          <w:color w:val="auto"/>
          <w:highlight w:val="none"/>
        </w:rPr>
        <w:t>+</w:t>
      </w:r>
      <w:r>
        <w:rPr>
          <w:rFonts w:hint="eastAsia"/>
          <w:color w:val="auto"/>
          <w:highlight w:val="none"/>
          <w:lang w:val="en-US" w:eastAsia="zh-CN"/>
        </w:rPr>
        <w:t>0.083</w:t>
      </w:r>
      <w:r>
        <w:rPr>
          <w:rFonts w:hint="eastAsia" w:ascii="Times New Roman"/>
          <w:color w:val="auto"/>
          <w:highlight w:val="none"/>
        </w:rPr>
        <w:t>×</w:t>
      </w:r>
      <w:r>
        <w:rPr>
          <w:rFonts w:hint="eastAsia" w:ascii="Times New Roman"/>
          <w:color w:val="auto"/>
          <w:highlight w:val="none"/>
          <w:lang w:val="en-US" w:eastAsia="zh-CN"/>
        </w:rPr>
        <w:t>1200</w:t>
      </w:r>
      <w:r>
        <w:rPr>
          <w:rFonts w:hint="eastAsia" w:ascii="Times New Roman"/>
          <w:color w:val="auto"/>
          <w:highlight w:val="none"/>
        </w:rPr>
        <w:t>×</w:t>
      </w:r>
      <w:r>
        <w:rPr>
          <w:rFonts w:hint="eastAsia" w:ascii="Times New Roman"/>
          <w:color w:val="auto"/>
          <w:highlight w:val="none"/>
          <w:lang w:val="en-US" w:eastAsia="zh-CN"/>
        </w:rPr>
        <w:t>0.001</w:t>
      </w:r>
      <w:r>
        <w:rPr>
          <w:rFonts w:hint="eastAsia" w:ascii="Times New Roman"/>
          <w:color w:val="auto"/>
          <w:highlight w:val="none"/>
        </w:rPr>
        <w:t>=</w:t>
      </w:r>
      <w:r>
        <w:rPr>
          <w:rFonts w:hint="eastAsia"/>
          <w:color w:val="auto"/>
          <w:highlight w:val="none"/>
          <w:lang w:val="en-US" w:eastAsia="zh-CN"/>
        </w:rPr>
        <w:t>0.1</w:t>
      </w:r>
      <w:r>
        <w:rPr>
          <w:rFonts w:hint="eastAsia" w:ascii="Times New Roman"/>
          <w:color w:val="auto"/>
          <w:highlight w:val="none"/>
        </w:rPr>
        <w:t>t/a。</w:t>
      </w:r>
    </w:p>
    <w:p w14:paraId="7EF9BAC5">
      <w:pPr>
        <w:spacing w:line="360" w:lineRule="auto"/>
        <w:ind w:firstLine="480"/>
        <w:rPr>
          <w:rFonts w:hint="default" w:ascii="Times New Roman" w:eastAsia="宋体"/>
          <w:color w:val="auto"/>
          <w:highlight w:val="none"/>
          <w:lang w:val="en-US" w:eastAsia="zh-CN"/>
        </w:rPr>
      </w:pPr>
      <w:r>
        <w:rPr>
          <w:rFonts w:hint="eastAsia" w:ascii="Times New Roman"/>
          <w:color w:val="auto"/>
          <w:highlight w:val="none"/>
        </w:rPr>
        <w:t>本项目</w:t>
      </w:r>
      <w:r>
        <w:rPr>
          <w:rFonts w:ascii="Times New Roman"/>
          <w:color w:val="auto"/>
          <w:highlight w:val="none"/>
        </w:rPr>
        <w:t>对</w:t>
      </w:r>
      <w:r>
        <w:rPr>
          <w:rFonts w:hint="eastAsia"/>
          <w:color w:val="auto"/>
          <w:highlight w:val="none"/>
          <w:lang w:val="en-US" w:eastAsia="zh-CN"/>
        </w:rPr>
        <w:t>灰渣</w:t>
      </w:r>
      <w:r>
        <w:rPr>
          <w:rFonts w:ascii="Times New Roman"/>
          <w:color w:val="auto"/>
          <w:highlight w:val="none"/>
        </w:rPr>
        <w:t>装卸及堆积产生</w:t>
      </w:r>
      <w:r>
        <w:rPr>
          <w:rFonts w:hint="eastAsia" w:ascii="Times New Roman"/>
          <w:color w:val="auto"/>
          <w:highlight w:val="none"/>
        </w:rPr>
        <w:t>采取的</w:t>
      </w:r>
      <w:r>
        <w:rPr>
          <w:rFonts w:ascii="Times New Roman"/>
          <w:color w:val="auto"/>
          <w:highlight w:val="none"/>
        </w:rPr>
        <w:t>防治措施为严格控制自卸汽车卸料高度，并在</w:t>
      </w:r>
      <w:r>
        <w:rPr>
          <w:rFonts w:hint="eastAsia" w:ascii="Times New Roman"/>
          <w:color w:val="auto"/>
          <w:highlight w:val="none"/>
        </w:rPr>
        <w:t>装卸</w:t>
      </w:r>
      <w:r>
        <w:rPr>
          <w:rFonts w:ascii="Times New Roman"/>
          <w:color w:val="auto"/>
          <w:highlight w:val="none"/>
        </w:rPr>
        <w:t>过程中利用洒水车洒水抑尘。</w:t>
      </w:r>
      <w:r>
        <w:rPr>
          <w:rFonts w:hint="eastAsia"/>
          <w:color w:val="auto"/>
          <w:highlight w:val="none"/>
          <w:lang w:val="en-US" w:eastAsia="zh-CN"/>
        </w:rPr>
        <w:t>灰渣</w:t>
      </w:r>
      <w:r>
        <w:rPr>
          <w:rFonts w:ascii="Times New Roman"/>
          <w:color w:val="auto"/>
          <w:highlight w:val="none"/>
        </w:rPr>
        <w:t>堆积主要防治措施为分区分块回填，及时碾压、定期利用洒水车洒水抑尘，经计算回填区</w:t>
      </w:r>
      <w:r>
        <w:rPr>
          <w:rFonts w:hint="eastAsia"/>
          <w:color w:val="auto"/>
          <w:highlight w:val="none"/>
          <w:lang w:val="en-US" w:eastAsia="zh-CN"/>
        </w:rPr>
        <w:t>灰渣</w:t>
      </w:r>
      <w:r>
        <w:rPr>
          <w:rFonts w:hint="eastAsia" w:ascii="Times New Roman"/>
          <w:color w:val="auto"/>
          <w:highlight w:val="none"/>
        </w:rPr>
        <w:t>回填</w:t>
      </w:r>
      <w:r>
        <w:rPr>
          <w:rFonts w:ascii="Times New Roman"/>
          <w:color w:val="auto"/>
          <w:highlight w:val="none"/>
        </w:rPr>
        <w:t>扬尘排放量为</w:t>
      </w:r>
      <w:r>
        <w:rPr>
          <w:rFonts w:hint="eastAsia"/>
          <w:color w:val="auto"/>
          <w:highlight w:val="none"/>
          <w:lang w:val="en-US" w:eastAsia="zh-CN"/>
        </w:rPr>
        <w:t>0.1</w:t>
      </w:r>
      <w:r>
        <w:rPr>
          <w:rFonts w:ascii="Times New Roman"/>
          <w:color w:val="auto"/>
          <w:highlight w:val="none"/>
        </w:rPr>
        <w:t>t/a，</w:t>
      </w:r>
      <w:r>
        <w:rPr>
          <w:rFonts w:hint="eastAsia" w:ascii="Times New Roman"/>
          <w:color w:val="auto"/>
          <w:highlight w:val="none"/>
        </w:rPr>
        <w:t>则回填区</w:t>
      </w:r>
      <w:r>
        <w:rPr>
          <w:rFonts w:hint="eastAsia"/>
          <w:color w:val="auto"/>
          <w:highlight w:val="none"/>
          <w:lang w:val="en-US" w:eastAsia="zh-CN"/>
        </w:rPr>
        <w:t>灰渣</w:t>
      </w:r>
      <w:r>
        <w:rPr>
          <w:rFonts w:hint="eastAsia" w:ascii="Times New Roman"/>
          <w:color w:val="auto"/>
          <w:highlight w:val="none"/>
        </w:rPr>
        <w:t>回填扬尘排放量为</w:t>
      </w:r>
      <w:r>
        <w:rPr>
          <w:rFonts w:hint="eastAsia"/>
          <w:color w:val="auto"/>
          <w:highlight w:val="none"/>
          <w:lang w:val="en-US" w:eastAsia="zh-CN"/>
        </w:rPr>
        <w:t>0.333</w:t>
      </w:r>
      <w:r>
        <w:rPr>
          <w:rFonts w:ascii="Times New Roman"/>
          <w:color w:val="auto"/>
          <w:highlight w:val="none"/>
        </w:rPr>
        <w:t>kg/d，</w:t>
      </w:r>
      <w:r>
        <w:rPr>
          <w:rFonts w:hint="eastAsia" w:ascii="Times New Roman"/>
          <w:color w:val="auto"/>
          <w:highlight w:val="none"/>
        </w:rPr>
        <w:t>0.</w:t>
      </w:r>
      <w:r>
        <w:rPr>
          <w:rFonts w:hint="eastAsia"/>
          <w:color w:val="auto"/>
          <w:highlight w:val="none"/>
          <w:lang w:val="en-US" w:eastAsia="zh-CN"/>
        </w:rPr>
        <w:t>042</w:t>
      </w:r>
      <w:r>
        <w:rPr>
          <w:rFonts w:ascii="Times New Roman"/>
          <w:color w:val="auto"/>
          <w:highlight w:val="none"/>
        </w:rPr>
        <w:t>kg/h。</w:t>
      </w:r>
    </w:p>
    <w:p w14:paraId="304FD13F">
      <w:pPr>
        <w:spacing w:line="360" w:lineRule="auto"/>
        <w:ind w:firstLine="480"/>
        <w:rPr>
          <w:rFonts w:hint="eastAsia" w:ascii="Times New Roman"/>
          <w:color w:val="auto"/>
          <w:highlight w:val="none"/>
        </w:rPr>
      </w:pPr>
      <w:r>
        <w:rPr>
          <w:rFonts w:hint="eastAsia" w:ascii="Times New Roman"/>
          <w:color w:val="auto"/>
          <w:highlight w:val="none"/>
        </w:rPr>
        <w:t>②</w:t>
      </w:r>
      <w:r>
        <w:rPr>
          <w:rFonts w:hint="eastAsia"/>
          <w:color w:val="auto"/>
          <w:highlight w:val="none"/>
          <w:lang w:val="en-US" w:eastAsia="zh-CN"/>
        </w:rPr>
        <w:t>覆</w:t>
      </w:r>
      <w:r>
        <w:rPr>
          <w:rFonts w:hint="eastAsia" w:ascii="Times New Roman"/>
          <w:color w:val="auto"/>
          <w:highlight w:val="none"/>
        </w:rPr>
        <w:t>土装卸扬尘</w:t>
      </w:r>
    </w:p>
    <w:p w14:paraId="22C01B6E">
      <w:pPr>
        <w:spacing w:line="360" w:lineRule="auto"/>
        <w:ind w:firstLine="480"/>
        <w:rPr>
          <w:rFonts w:ascii="Times New Roman"/>
          <w:color w:val="auto"/>
          <w:highlight w:val="none"/>
        </w:rPr>
      </w:pPr>
      <w:r>
        <w:rPr>
          <w:rFonts w:hint="eastAsia" w:ascii="Times New Roman"/>
          <w:color w:val="auto"/>
          <w:highlight w:val="none"/>
        </w:rPr>
        <w:t>本项目</w:t>
      </w:r>
      <w:r>
        <w:rPr>
          <w:rFonts w:hint="eastAsia"/>
          <w:color w:val="auto"/>
          <w:highlight w:val="none"/>
          <w:lang w:val="en-US" w:eastAsia="zh-CN"/>
        </w:rPr>
        <w:t>覆土所用的</w:t>
      </w:r>
      <w:r>
        <w:rPr>
          <w:rFonts w:hint="eastAsia" w:ascii="Times New Roman"/>
          <w:color w:val="auto"/>
          <w:highlight w:val="none"/>
        </w:rPr>
        <w:t>土</w:t>
      </w:r>
      <w:r>
        <w:rPr>
          <w:rFonts w:hint="eastAsia"/>
          <w:color w:val="auto"/>
          <w:highlight w:val="none"/>
          <w:lang w:val="en-US" w:eastAsia="zh-CN"/>
        </w:rPr>
        <w:t>壤</w:t>
      </w:r>
      <w:r>
        <w:rPr>
          <w:rFonts w:hint="eastAsia" w:ascii="Times New Roman"/>
          <w:color w:val="auto"/>
          <w:highlight w:val="none"/>
        </w:rPr>
        <w:t>直接拉运至项目区域内回填，不在场地内堆积存放，</w:t>
      </w:r>
      <w:r>
        <w:rPr>
          <w:rFonts w:ascii="Times New Roman"/>
          <w:color w:val="auto"/>
          <w:highlight w:val="none"/>
        </w:rPr>
        <w:t>根据</w:t>
      </w:r>
      <w:r>
        <w:rPr>
          <w:rFonts w:hint="eastAsia" w:ascii="Times New Roman"/>
          <w:color w:val="auto"/>
          <w:highlight w:val="none"/>
        </w:rPr>
        <w:t>公式</w:t>
      </w:r>
      <w:r>
        <w:rPr>
          <w:rFonts w:ascii="Times New Roman"/>
          <w:color w:val="auto"/>
          <w:highlight w:val="none"/>
        </w:rPr>
        <w:t>①</w:t>
      </w:r>
      <w:r>
        <w:rPr>
          <w:rFonts w:hint="eastAsia" w:ascii="Times New Roman"/>
          <w:color w:val="auto"/>
          <w:highlight w:val="none"/>
        </w:rPr>
        <w:t>，</w:t>
      </w:r>
      <w:r>
        <w:rPr>
          <w:rFonts w:ascii="Times New Roman"/>
          <w:color w:val="auto"/>
          <w:highlight w:val="none"/>
        </w:rPr>
        <w:t>式中：</w:t>
      </w:r>
    </w:p>
    <w:p w14:paraId="0AE362EA">
      <w:pPr>
        <w:spacing w:line="360" w:lineRule="auto"/>
        <w:ind w:firstLine="480"/>
        <w:rPr>
          <w:rFonts w:ascii="Times New Roman"/>
          <w:color w:val="auto"/>
          <w:highlight w:val="none"/>
        </w:rPr>
      </w:pPr>
      <w:r>
        <w:rPr>
          <w:rFonts w:ascii="Times New Roman"/>
          <w:color w:val="auto"/>
          <w:highlight w:val="none"/>
        </w:rPr>
        <w:t>W</w:t>
      </w:r>
      <w:r>
        <w:rPr>
          <w:rFonts w:ascii="Times New Roman"/>
          <w:color w:val="auto"/>
          <w:highlight w:val="none"/>
          <w:vertAlign w:val="subscript"/>
        </w:rPr>
        <w:t>Y</w:t>
      </w:r>
      <w:r>
        <w:rPr>
          <w:rFonts w:ascii="Times New Roman"/>
          <w:color w:val="auto"/>
          <w:highlight w:val="none"/>
        </w:rPr>
        <w:t>—堆场污染源中颗粒物总排放量，t/</w:t>
      </w:r>
      <w:r>
        <w:rPr>
          <w:rFonts w:hint="eastAsia" w:ascii="Times New Roman"/>
          <w:color w:val="auto"/>
          <w:highlight w:val="none"/>
        </w:rPr>
        <w:t>a</w:t>
      </w:r>
      <w:r>
        <w:rPr>
          <w:rFonts w:ascii="Times New Roman"/>
          <w:color w:val="auto"/>
          <w:highlight w:val="none"/>
        </w:rPr>
        <w:t>；</w:t>
      </w:r>
    </w:p>
    <w:p w14:paraId="19763A36">
      <w:pPr>
        <w:spacing w:line="360" w:lineRule="auto"/>
        <w:ind w:firstLine="480"/>
        <w:rPr>
          <w:rFonts w:ascii="Times New Roman"/>
          <w:color w:val="auto"/>
          <w:highlight w:val="none"/>
        </w:rPr>
      </w:pPr>
      <w:r>
        <w:rPr>
          <w:rFonts w:ascii="Times New Roman"/>
          <w:color w:val="auto"/>
          <w:highlight w:val="none"/>
        </w:rPr>
        <w:t>E</w:t>
      </w:r>
      <w:r>
        <w:rPr>
          <w:rFonts w:ascii="Times New Roman"/>
          <w:color w:val="auto"/>
          <w:highlight w:val="none"/>
          <w:vertAlign w:val="subscript"/>
        </w:rPr>
        <w:t>h</w:t>
      </w:r>
      <w:r>
        <w:rPr>
          <w:rFonts w:ascii="Times New Roman"/>
          <w:color w:val="auto"/>
          <w:highlight w:val="none"/>
        </w:rPr>
        <w:t>—堆场装卸运输过程中的扬尘颗粒物排放系数，</w:t>
      </w:r>
      <w:r>
        <w:rPr>
          <w:rFonts w:hint="eastAsia" w:ascii="Times New Roman"/>
          <w:color w:val="auto"/>
          <w:highlight w:val="none"/>
        </w:rPr>
        <w:t>种植土</w:t>
      </w:r>
      <w:r>
        <w:rPr>
          <w:rFonts w:ascii="Times New Roman"/>
          <w:color w:val="auto"/>
          <w:highlight w:val="none"/>
        </w:rPr>
        <w:t>装卸</w:t>
      </w:r>
      <w:r>
        <w:rPr>
          <w:rFonts w:hint="eastAsia"/>
          <w:color w:val="auto"/>
          <w:highlight w:val="none"/>
          <w:lang w:val="en-US" w:eastAsia="zh-CN"/>
        </w:rPr>
        <w:t>1.93×10</w:t>
      </w:r>
      <w:r>
        <w:rPr>
          <w:rFonts w:hint="eastAsia"/>
          <w:color w:val="auto"/>
          <w:highlight w:val="none"/>
          <w:vertAlign w:val="superscript"/>
          <w:lang w:val="en-US" w:eastAsia="zh-CN"/>
        </w:rPr>
        <w:t>-5</w:t>
      </w:r>
      <w:r>
        <w:rPr>
          <w:rFonts w:ascii="Times New Roman"/>
          <w:color w:val="auto"/>
          <w:highlight w:val="none"/>
        </w:rPr>
        <w:t>kg/t，估算公式见②；</w:t>
      </w:r>
    </w:p>
    <w:p w14:paraId="13A52BED">
      <w:pPr>
        <w:spacing w:line="360" w:lineRule="auto"/>
        <w:ind w:firstLine="480"/>
        <w:rPr>
          <w:rFonts w:ascii="Times New Roman"/>
          <w:color w:val="auto"/>
          <w:highlight w:val="none"/>
        </w:rPr>
      </w:pPr>
      <w:r>
        <w:rPr>
          <w:rFonts w:ascii="Times New Roman"/>
          <w:color w:val="auto"/>
          <w:highlight w:val="none"/>
        </w:rPr>
        <w:t>m—每年料堆物料装卸总次数，根据企业提供资料可知，项目每年</w:t>
      </w:r>
      <w:r>
        <w:rPr>
          <w:rFonts w:hint="eastAsia" w:ascii="Times New Roman"/>
          <w:color w:val="auto"/>
          <w:highlight w:val="none"/>
        </w:rPr>
        <w:t>种植土</w:t>
      </w:r>
      <w:r>
        <w:rPr>
          <w:rFonts w:ascii="Times New Roman"/>
          <w:color w:val="auto"/>
          <w:highlight w:val="none"/>
        </w:rPr>
        <w:t>物料装卸次数为</w:t>
      </w:r>
      <w:r>
        <w:rPr>
          <w:rFonts w:hint="eastAsia"/>
          <w:color w:val="auto"/>
          <w:highlight w:val="none"/>
          <w:lang w:val="en-US" w:eastAsia="zh-CN"/>
        </w:rPr>
        <w:t>45</w:t>
      </w:r>
      <w:r>
        <w:rPr>
          <w:rFonts w:ascii="Times New Roman"/>
          <w:color w:val="auto"/>
          <w:highlight w:val="none"/>
        </w:rPr>
        <w:t>次；</w:t>
      </w:r>
    </w:p>
    <w:p w14:paraId="26972C15">
      <w:pPr>
        <w:spacing w:line="360" w:lineRule="auto"/>
        <w:ind w:firstLine="480"/>
        <w:rPr>
          <w:rFonts w:ascii="Times New Roman"/>
          <w:color w:val="auto"/>
          <w:highlight w:val="none"/>
        </w:rPr>
      </w:pPr>
      <w:r>
        <w:rPr>
          <w:rFonts w:ascii="Times New Roman"/>
          <w:color w:val="auto"/>
          <w:highlight w:val="none"/>
        </w:rPr>
        <w:t>G</w:t>
      </w:r>
      <w:r>
        <w:rPr>
          <w:rFonts w:ascii="Times New Roman"/>
          <w:color w:val="auto"/>
          <w:highlight w:val="none"/>
          <w:vertAlign w:val="subscript"/>
        </w:rPr>
        <w:t>Yi</w:t>
      </w:r>
      <w:r>
        <w:rPr>
          <w:rFonts w:ascii="Times New Roman"/>
          <w:color w:val="auto"/>
          <w:highlight w:val="none"/>
        </w:rPr>
        <w:t>—第i次装卸过程的物料装卸量，根据企业提供资料可知，项目</w:t>
      </w:r>
      <w:r>
        <w:rPr>
          <w:rFonts w:hint="eastAsia" w:ascii="Times New Roman"/>
          <w:color w:val="auto"/>
          <w:highlight w:val="none"/>
        </w:rPr>
        <w:t>单次</w:t>
      </w:r>
      <w:r>
        <w:rPr>
          <w:rFonts w:ascii="Times New Roman"/>
          <w:color w:val="auto"/>
          <w:highlight w:val="none"/>
        </w:rPr>
        <w:t>物料装卸量</w:t>
      </w:r>
      <w:r>
        <w:rPr>
          <w:rFonts w:hint="eastAsia"/>
          <w:color w:val="auto"/>
          <w:highlight w:val="none"/>
          <w:lang w:val="en-US" w:eastAsia="zh-CN"/>
        </w:rPr>
        <w:t>40</w:t>
      </w:r>
      <w:r>
        <w:rPr>
          <w:rFonts w:ascii="Times New Roman"/>
          <w:color w:val="auto"/>
          <w:highlight w:val="none"/>
        </w:rPr>
        <w:t>t：</w:t>
      </w:r>
    </w:p>
    <w:p w14:paraId="5A111143">
      <w:pPr>
        <w:spacing w:line="360" w:lineRule="auto"/>
        <w:ind w:firstLine="480"/>
        <w:rPr>
          <w:rFonts w:ascii="Times New Roman"/>
          <w:color w:val="auto"/>
          <w:highlight w:val="none"/>
        </w:rPr>
      </w:pPr>
      <w:r>
        <w:rPr>
          <w:rFonts w:ascii="Times New Roman"/>
          <w:color w:val="auto"/>
          <w:highlight w:val="none"/>
        </w:rPr>
        <w:t>E</w:t>
      </w:r>
      <w:r>
        <w:rPr>
          <w:rFonts w:ascii="Times New Roman"/>
          <w:color w:val="auto"/>
          <w:highlight w:val="none"/>
          <w:vertAlign w:val="subscript"/>
        </w:rPr>
        <w:t>w</w:t>
      </w:r>
      <w:r>
        <w:rPr>
          <w:rFonts w:ascii="Times New Roman"/>
          <w:color w:val="auto"/>
          <w:highlight w:val="none"/>
        </w:rPr>
        <w:t>—料堆</w:t>
      </w:r>
      <w:r>
        <w:rPr>
          <w:rFonts w:hint="eastAsia"/>
          <w:color w:val="auto"/>
          <w:highlight w:val="none"/>
          <w:lang w:eastAsia="zh-CN"/>
        </w:rPr>
        <w:t>受到</w:t>
      </w:r>
      <w:r>
        <w:rPr>
          <w:rFonts w:ascii="Times New Roman"/>
          <w:color w:val="auto"/>
          <w:highlight w:val="none"/>
        </w:rPr>
        <w:t>风蚀作用的颗粒物排放系数，</w:t>
      </w:r>
      <w:r>
        <w:rPr>
          <w:rFonts w:hint="eastAsia"/>
          <w:color w:val="auto"/>
          <w:highlight w:val="none"/>
          <w:lang w:val="en-US" w:eastAsia="zh-CN"/>
        </w:rPr>
        <w:t>0.083</w:t>
      </w:r>
      <w:r>
        <w:rPr>
          <w:rFonts w:ascii="Times New Roman"/>
          <w:color w:val="auto"/>
          <w:highlight w:val="none"/>
        </w:rPr>
        <w:t>kg/m</w:t>
      </w:r>
      <w:r>
        <w:rPr>
          <w:rFonts w:ascii="Times New Roman"/>
          <w:color w:val="auto"/>
          <w:highlight w:val="none"/>
          <w:vertAlign w:val="superscript"/>
        </w:rPr>
        <w:t>2</w:t>
      </w:r>
      <w:r>
        <w:rPr>
          <w:rFonts w:ascii="Times New Roman"/>
          <w:color w:val="auto"/>
          <w:highlight w:val="none"/>
        </w:rPr>
        <w:t>；</w:t>
      </w:r>
    </w:p>
    <w:p w14:paraId="04DFAF33">
      <w:pPr>
        <w:spacing w:line="360" w:lineRule="auto"/>
        <w:ind w:firstLine="480"/>
        <w:rPr>
          <w:rFonts w:ascii="Times New Roman"/>
          <w:color w:val="auto"/>
          <w:highlight w:val="none"/>
        </w:rPr>
      </w:pPr>
      <w:r>
        <w:rPr>
          <w:rFonts w:ascii="Times New Roman"/>
          <w:color w:val="auto"/>
          <w:highlight w:val="none"/>
        </w:rPr>
        <w:t>A</w:t>
      </w:r>
      <w:r>
        <w:rPr>
          <w:rFonts w:ascii="Times New Roman"/>
          <w:color w:val="auto"/>
          <w:highlight w:val="none"/>
          <w:vertAlign w:val="subscript"/>
        </w:rPr>
        <w:t>Y</w:t>
      </w:r>
      <w:r>
        <w:rPr>
          <w:rFonts w:ascii="Times New Roman"/>
          <w:color w:val="auto"/>
          <w:highlight w:val="none"/>
        </w:rPr>
        <w:t>—堆料表面积，</w:t>
      </w:r>
      <w:r>
        <w:rPr>
          <w:rFonts w:hint="eastAsia"/>
          <w:color w:val="auto"/>
          <w:highlight w:val="none"/>
          <w:lang w:val="en-US" w:eastAsia="zh-CN"/>
        </w:rPr>
        <w:t>1200</w:t>
      </w:r>
      <w:r>
        <w:rPr>
          <w:rFonts w:ascii="Times New Roman"/>
          <w:color w:val="auto"/>
          <w:highlight w:val="none"/>
        </w:rPr>
        <w:t>m</w:t>
      </w:r>
      <w:r>
        <w:rPr>
          <w:rFonts w:ascii="Times New Roman"/>
          <w:color w:val="auto"/>
          <w:highlight w:val="none"/>
          <w:vertAlign w:val="superscript"/>
        </w:rPr>
        <w:t>2</w:t>
      </w:r>
      <w:r>
        <w:rPr>
          <w:rFonts w:ascii="Times New Roman"/>
          <w:color w:val="auto"/>
          <w:highlight w:val="none"/>
        </w:rPr>
        <w:t>。</w:t>
      </w:r>
    </w:p>
    <w:p w14:paraId="1A055F20">
      <w:pPr>
        <w:spacing w:line="360" w:lineRule="auto"/>
        <w:ind w:firstLine="480"/>
        <w:rPr>
          <w:rFonts w:ascii="Times New Roman"/>
          <w:color w:val="auto"/>
          <w:highlight w:val="none"/>
        </w:rPr>
      </w:pPr>
      <w:r>
        <w:rPr>
          <w:rFonts w:hint="eastAsia" w:ascii="Times New Roman"/>
          <w:color w:val="auto"/>
          <w:highlight w:val="none"/>
        </w:rPr>
        <w:t>根据</w:t>
      </w:r>
      <w:r>
        <w:rPr>
          <w:rFonts w:ascii="Times New Roman"/>
          <w:color w:val="auto"/>
          <w:highlight w:val="none"/>
        </w:rPr>
        <w:t>装卸、运输物料过程扬尘排放系数的估算</w:t>
      </w:r>
      <w:r>
        <w:rPr>
          <w:rFonts w:hint="eastAsia" w:ascii="Times New Roman"/>
          <w:color w:val="auto"/>
          <w:highlight w:val="none"/>
        </w:rPr>
        <w:t>公式</w:t>
      </w:r>
      <w:r>
        <w:rPr>
          <w:rFonts w:ascii="Times New Roman"/>
          <w:color w:val="auto"/>
          <w:highlight w:val="none"/>
        </w:rPr>
        <w:t>②</w:t>
      </w:r>
      <w:r>
        <w:rPr>
          <w:rFonts w:hint="eastAsia" w:ascii="Times New Roman"/>
          <w:color w:val="auto"/>
          <w:highlight w:val="none"/>
        </w:rPr>
        <w:t>，</w:t>
      </w:r>
      <w:r>
        <w:rPr>
          <w:rFonts w:ascii="Times New Roman"/>
          <w:color w:val="auto"/>
          <w:highlight w:val="none"/>
        </w:rPr>
        <w:t>式中：</w:t>
      </w:r>
    </w:p>
    <w:p w14:paraId="45E3C630">
      <w:pPr>
        <w:spacing w:line="360" w:lineRule="auto"/>
        <w:ind w:firstLine="480"/>
        <w:rPr>
          <w:rFonts w:ascii="Times New Roman"/>
          <w:color w:val="auto"/>
          <w:highlight w:val="none"/>
        </w:rPr>
      </w:pPr>
      <w:r>
        <w:rPr>
          <w:rFonts w:ascii="Times New Roman"/>
          <w:color w:val="auto"/>
          <w:highlight w:val="none"/>
        </w:rPr>
        <w:t>E</w:t>
      </w:r>
      <w:r>
        <w:rPr>
          <w:rFonts w:ascii="Times New Roman"/>
          <w:color w:val="auto"/>
          <w:highlight w:val="none"/>
          <w:vertAlign w:val="subscript"/>
        </w:rPr>
        <w:t>h</w:t>
      </w:r>
      <w:r>
        <w:rPr>
          <w:rFonts w:ascii="Times New Roman"/>
          <w:color w:val="auto"/>
          <w:highlight w:val="none"/>
        </w:rPr>
        <w:t>—堆场装卸运输过程中的扬尘颗粒物排放系数，kg/t；</w:t>
      </w:r>
    </w:p>
    <w:p w14:paraId="2FF13FFC">
      <w:pPr>
        <w:spacing w:line="360" w:lineRule="auto"/>
        <w:ind w:firstLine="480"/>
        <w:rPr>
          <w:rFonts w:ascii="Times New Roman"/>
          <w:color w:val="auto"/>
          <w:highlight w:val="none"/>
        </w:rPr>
      </w:pPr>
      <w:r>
        <w:rPr>
          <w:rFonts w:ascii="Times New Roman"/>
          <w:color w:val="auto"/>
          <w:highlight w:val="none"/>
        </w:rPr>
        <w:t>k</w:t>
      </w:r>
      <w:r>
        <w:rPr>
          <w:rFonts w:ascii="Times New Roman"/>
          <w:color w:val="auto"/>
          <w:highlight w:val="none"/>
          <w:vertAlign w:val="subscript"/>
        </w:rPr>
        <w:t>i</w:t>
      </w:r>
      <w:r>
        <w:rPr>
          <w:rFonts w:ascii="Times New Roman"/>
          <w:color w:val="auto"/>
          <w:highlight w:val="none"/>
        </w:rPr>
        <w:t>—物料的粒度系数，根据《扬尘源颗粒物排放清单编制技术指南（试行）》中装卸过程中产生的颗粒物粒度系数乘数，TSP粒度系数为0.74；</w:t>
      </w:r>
    </w:p>
    <w:p w14:paraId="6CC2D381">
      <w:pPr>
        <w:spacing w:line="360" w:lineRule="auto"/>
        <w:ind w:firstLine="480"/>
        <w:rPr>
          <w:rFonts w:ascii="Times New Roman"/>
          <w:color w:val="auto"/>
          <w:highlight w:val="none"/>
        </w:rPr>
      </w:pPr>
      <w:r>
        <w:rPr>
          <w:rFonts w:ascii="Times New Roman"/>
          <w:color w:val="auto"/>
          <w:highlight w:val="none"/>
        </w:rPr>
        <w:t>u—地面平均风速，平均风速为</w:t>
      </w:r>
      <w:r>
        <w:rPr>
          <w:rFonts w:hint="eastAsia"/>
          <w:color w:val="auto"/>
          <w:highlight w:val="none"/>
          <w:lang w:val="en-US" w:eastAsia="zh-CN"/>
        </w:rPr>
        <w:t>3.09</w:t>
      </w:r>
      <w:r>
        <w:rPr>
          <w:rFonts w:ascii="Times New Roman"/>
          <w:color w:val="auto"/>
          <w:highlight w:val="none"/>
        </w:rPr>
        <w:t>m/s；</w:t>
      </w:r>
    </w:p>
    <w:p w14:paraId="7D20BE59">
      <w:pPr>
        <w:spacing w:line="360" w:lineRule="auto"/>
        <w:ind w:firstLine="480"/>
        <w:rPr>
          <w:rFonts w:ascii="Times New Roman"/>
          <w:color w:val="auto"/>
          <w:highlight w:val="none"/>
        </w:rPr>
      </w:pPr>
      <w:r>
        <w:rPr>
          <w:rFonts w:ascii="Times New Roman"/>
          <w:color w:val="auto"/>
          <w:highlight w:val="none"/>
        </w:rPr>
        <w:t>M—物料的含水率</w:t>
      </w:r>
      <w:r>
        <w:rPr>
          <w:rFonts w:hint="eastAsia" w:ascii="Times New Roman"/>
          <w:color w:val="auto"/>
          <w:highlight w:val="none"/>
        </w:rPr>
        <w:t>，根据企业提供资料可知，项目种植土</w:t>
      </w:r>
      <w:r>
        <w:rPr>
          <w:rFonts w:ascii="Times New Roman"/>
          <w:color w:val="auto"/>
          <w:highlight w:val="none"/>
        </w:rPr>
        <w:t>含水率为</w:t>
      </w:r>
      <w:r>
        <w:rPr>
          <w:rFonts w:hint="eastAsia" w:ascii="Times New Roman"/>
          <w:color w:val="auto"/>
          <w:highlight w:val="none"/>
        </w:rPr>
        <w:t>25</w:t>
      </w:r>
      <w:r>
        <w:rPr>
          <w:rFonts w:ascii="Times New Roman"/>
          <w:color w:val="auto"/>
          <w:highlight w:val="none"/>
        </w:rPr>
        <w:t>%；</w:t>
      </w:r>
    </w:p>
    <w:p w14:paraId="79428741">
      <w:pPr>
        <w:spacing w:line="360" w:lineRule="auto"/>
        <w:ind w:firstLine="480"/>
        <w:rPr>
          <w:rFonts w:ascii="Times New Roman"/>
          <w:color w:val="auto"/>
          <w:highlight w:val="none"/>
        </w:rPr>
      </w:pPr>
      <w:r>
        <w:rPr>
          <w:rFonts w:ascii="Times New Roman"/>
          <w:color w:val="auto"/>
          <w:highlight w:val="none"/>
        </w:rPr>
        <w:t>Ƞ—污染控制技术对扬尘的去除效率，%。根据《扬尘源颗粒物排放清单编制技术指南（试行）》中堆场操作扬尘控制措施的控制效率，</w:t>
      </w:r>
      <w:r>
        <w:rPr>
          <w:rFonts w:hint="eastAsia" w:ascii="Times New Roman"/>
          <w:color w:val="auto"/>
          <w:highlight w:val="none"/>
        </w:rPr>
        <w:t>“</w:t>
      </w:r>
      <w:r>
        <w:rPr>
          <w:rFonts w:ascii="Times New Roman"/>
          <w:color w:val="auto"/>
          <w:highlight w:val="none"/>
        </w:rPr>
        <w:t>连续洒水操作TSP控制效率为74%，围挡围遮TSP控制效率为90%，多种措施同时开展的，取控制效率最大值”，本项目装卸作业场地周围设</w:t>
      </w:r>
      <w:r>
        <w:rPr>
          <w:rFonts w:hint="eastAsia"/>
          <w:color w:val="auto"/>
          <w:highlight w:val="none"/>
          <w:lang w:val="en-US" w:eastAsia="zh-CN"/>
        </w:rPr>
        <w:t>隔声隔尘挡板</w:t>
      </w:r>
      <w:r>
        <w:rPr>
          <w:rFonts w:ascii="Times New Roman"/>
          <w:color w:val="auto"/>
          <w:highlight w:val="none"/>
        </w:rPr>
        <w:t>，彩钢板围挡板孔隙率大于50%，故本项目控制效率取标准中规定的参数值90%，项目污染控制技术属于《扬尘源颗粒物排放清单编制技术指南（试行）》要求的扬尘控制措施，故措施可行。</w:t>
      </w:r>
    </w:p>
    <w:p w14:paraId="21F4118C">
      <w:pPr>
        <w:spacing w:line="360" w:lineRule="auto"/>
        <w:ind w:firstLine="480"/>
        <w:rPr>
          <w:rFonts w:ascii="Times New Roman"/>
          <w:color w:val="auto"/>
          <w:highlight w:val="none"/>
        </w:rPr>
      </w:pPr>
      <w:r>
        <w:rPr>
          <w:rFonts w:ascii="Times New Roman"/>
          <w:color w:val="auto"/>
          <w:highlight w:val="none"/>
        </w:rPr>
        <w:t>则</w:t>
      </w:r>
      <w:r>
        <w:rPr>
          <w:rFonts w:hint="eastAsia" w:ascii="Times New Roman"/>
          <w:color w:val="auto"/>
          <w:highlight w:val="none"/>
        </w:rPr>
        <w:t>种植土</w:t>
      </w:r>
      <w:r>
        <w:rPr>
          <w:rFonts w:ascii="Times New Roman"/>
          <w:color w:val="auto"/>
          <w:highlight w:val="none"/>
        </w:rPr>
        <w:t>装卸运输过程中的扬尘颗粒物排放系数E</w:t>
      </w:r>
      <w:r>
        <w:rPr>
          <w:rFonts w:ascii="Times New Roman"/>
          <w:color w:val="auto"/>
          <w:highlight w:val="none"/>
          <w:vertAlign w:val="subscript"/>
        </w:rPr>
        <w:t>h</w:t>
      </w:r>
      <w:r>
        <w:rPr>
          <w:rFonts w:ascii="Times New Roman"/>
          <w:color w:val="auto"/>
          <w:highlight w:val="none"/>
        </w:rPr>
        <w:t>为</w:t>
      </w:r>
      <w:r>
        <w:rPr>
          <w:rFonts w:hint="eastAsia"/>
          <w:color w:val="auto"/>
          <w:highlight w:val="none"/>
          <w:lang w:val="en-US" w:eastAsia="zh-CN"/>
        </w:rPr>
        <w:t>5.36×10</w:t>
      </w:r>
      <w:r>
        <w:rPr>
          <w:rFonts w:hint="eastAsia"/>
          <w:color w:val="auto"/>
          <w:highlight w:val="none"/>
          <w:vertAlign w:val="superscript"/>
          <w:lang w:val="en-US" w:eastAsia="zh-CN"/>
        </w:rPr>
        <w:t>-6</w:t>
      </w:r>
      <w:r>
        <w:rPr>
          <w:rFonts w:ascii="Times New Roman"/>
          <w:color w:val="auto"/>
          <w:highlight w:val="none"/>
        </w:rPr>
        <w:t>kg/t。</w:t>
      </w:r>
    </w:p>
    <w:p w14:paraId="3A6D79D2">
      <w:pPr>
        <w:spacing w:line="360" w:lineRule="auto"/>
        <w:ind w:firstLine="480"/>
        <w:rPr>
          <w:rFonts w:hint="eastAsia" w:ascii="Times New Roman"/>
          <w:color w:val="auto"/>
          <w:highlight w:val="none"/>
        </w:rPr>
      </w:pPr>
      <w:r>
        <w:rPr>
          <w:rFonts w:hint="eastAsia" w:ascii="Times New Roman"/>
          <w:color w:val="auto"/>
          <w:highlight w:val="none"/>
        </w:rPr>
        <w:t>由上述计算公式可知，项目堆场污染源中种植土装卸产生的颗粒物总</w:t>
      </w:r>
      <w:r>
        <w:rPr>
          <w:rFonts w:hint="eastAsia"/>
          <w:color w:val="auto"/>
          <w:highlight w:val="none"/>
          <w:lang w:val="en-US" w:eastAsia="zh-CN"/>
        </w:rPr>
        <w:t>排放</w:t>
      </w:r>
      <w:r>
        <w:rPr>
          <w:rFonts w:hint="eastAsia" w:ascii="Times New Roman"/>
          <w:color w:val="auto"/>
          <w:highlight w:val="none"/>
        </w:rPr>
        <w:t>量为W</w:t>
      </w:r>
      <w:r>
        <w:rPr>
          <w:rFonts w:hint="eastAsia" w:ascii="Times New Roman"/>
          <w:color w:val="auto"/>
          <w:highlight w:val="none"/>
          <w:vertAlign w:val="subscript"/>
        </w:rPr>
        <w:t>Y</w:t>
      </w:r>
      <w:r>
        <w:rPr>
          <w:rFonts w:hint="eastAsia" w:ascii="Times New Roman"/>
          <w:color w:val="auto"/>
          <w:highlight w:val="none"/>
        </w:rPr>
        <w:t>=</w:t>
      </w:r>
      <w:r>
        <w:rPr>
          <w:rFonts w:hint="eastAsia"/>
          <w:color w:val="auto"/>
          <w:highlight w:val="none"/>
          <w:lang w:val="en-US" w:eastAsia="zh-CN"/>
        </w:rPr>
        <w:t>5.36×10</w:t>
      </w:r>
      <w:r>
        <w:rPr>
          <w:rFonts w:hint="eastAsia"/>
          <w:color w:val="auto"/>
          <w:highlight w:val="none"/>
          <w:vertAlign w:val="superscript"/>
          <w:lang w:val="en-US" w:eastAsia="zh-CN"/>
        </w:rPr>
        <w:t>-6</w:t>
      </w:r>
      <w:r>
        <w:rPr>
          <w:rFonts w:hint="eastAsia" w:ascii="Times New Roman"/>
          <w:color w:val="auto"/>
          <w:highlight w:val="none"/>
        </w:rPr>
        <w:t>×40×0.001×</w:t>
      </w:r>
      <w:r>
        <w:rPr>
          <w:rFonts w:hint="eastAsia"/>
          <w:color w:val="auto"/>
          <w:highlight w:val="none"/>
          <w:lang w:val="en-US" w:eastAsia="zh-CN"/>
        </w:rPr>
        <w:t>45</w:t>
      </w:r>
      <w:r>
        <w:rPr>
          <w:rFonts w:hint="eastAsia" w:ascii="Times New Roman"/>
          <w:color w:val="auto"/>
          <w:highlight w:val="none"/>
        </w:rPr>
        <w:t>+</w:t>
      </w:r>
      <w:r>
        <w:rPr>
          <w:rFonts w:hint="eastAsia"/>
          <w:color w:val="auto"/>
          <w:highlight w:val="none"/>
          <w:lang w:val="en-US" w:eastAsia="zh-CN"/>
        </w:rPr>
        <w:t>0.083</w:t>
      </w:r>
      <w:r>
        <w:rPr>
          <w:rFonts w:hint="eastAsia" w:ascii="Times New Roman"/>
          <w:color w:val="auto"/>
          <w:highlight w:val="none"/>
        </w:rPr>
        <w:t>×</w:t>
      </w:r>
      <w:r>
        <w:rPr>
          <w:rFonts w:hint="eastAsia" w:ascii="Times New Roman"/>
          <w:color w:val="auto"/>
          <w:highlight w:val="none"/>
          <w:lang w:val="en-US" w:eastAsia="zh-CN"/>
        </w:rPr>
        <w:t>1200</w:t>
      </w:r>
      <w:r>
        <w:rPr>
          <w:rFonts w:hint="eastAsia" w:ascii="Times New Roman"/>
          <w:color w:val="auto"/>
          <w:highlight w:val="none"/>
        </w:rPr>
        <w:t>×</w:t>
      </w:r>
      <w:r>
        <w:rPr>
          <w:rFonts w:hint="eastAsia" w:ascii="Times New Roman"/>
          <w:color w:val="auto"/>
          <w:highlight w:val="none"/>
          <w:lang w:val="en-US" w:eastAsia="zh-CN"/>
        </w:rPr>
        <w:t>0.001</w:t>
      </w:r>
      <w:r>
        <w:rPr>
          <w:rFonts w:hint="eastAsia" w:ascii="Times New Roman"/>
          <w:color w:val="auto"/>
          <w:highlight w:val="none"/>
        </w:rPr>
        <w:t>=</w:t>
      </w:r>
      <w:r>
        <w:rPr>
          <w:rFonts w:hint="eastAsia"/>
          <w:color w:val="auto"/>
          <w:highlight w:val="none"/>
          <w:lang w:val="en-US" w:eastAsia="zh-CN"/>
        </w:rPr>
        <w:t>0.1</w:t>
      </w:r>
      <w:r>
        <w:rPr>
          <w:rFonts w:hint="eastAsia" w:ascii="Times New Roman"/>
          <w:color w:val="auto"/>
          <w:highlight w:val="none"/>
        </w:rPr>
        <w:t>t/a。</w:t>
      </w:r>
    </w:p>
    <w:p w14:paraId="6A95524F">
      <w:pPr>
        <w:spacing w:line="360" w:lineRule="auto"/>
        <w:ind w:firstLine="480"/>
        <w:rPr>
          <w:rFonts w:ascii="Times New Roman"/>
          <w:color w:val="auto"/>
          <w:highlight w:val="none"/>
        </w:rPr>
      </w:pPr>
      <w:r>
        <w:rPr>
          <w:rFonts w:hint="eastAsia" w:ascii="Times New Roman"/>
          <w:color w:val="auto"/>
          <w:highlight w:val="none"/>
        </w:rPr>
        <w:t>本次对</w:t>
      </w:r>
      <w:r>
        <w:rPr>
          <w:rFonts w:ascii="Times New Roman"/>
          <w:color w:val="auto"/>
          <w:highlight w:val="none"/>
        </w:rPr>
        <w:t>回填区</w:t>
      </w:r>
      <w:r>
        <w:rPr>
          <w:rFonts w:hint="eastAsia" w:ascii="Times New Roman"/>
          <w:color w:val="auto"/>
          <w:highlight w:val="none"/>
        </w:rPr>
        <w:t>种植土</w:t>
      </w:r>
      <w:r>
        <w:rPr>
          <w:rFonts w:ascii="Times New Roman"/>
          <w:color w:val="auto"/>
          <w:highlight w:val="none"/>
        </w:rPr>
        <w:t>装卸过程中产生</w:t>
      </w:r>
      <w:r>
        <w:rPr>
          <w:rFonts w:hint="eastAsia" w:ascii="Times New Roman"/>
          <w:color w:val="auto"/>
          <w:highlight w:val="none"/>
        </w:rPr>
        <w:t>的扬尘采取的</w:t>
      </w:r>
      <w:r>
        <w:rPr>
          <w:rFonts w:ascii="Times New Roman"/>
          <w:color w:val="auto"/>
          <w:highlight w:val="none"/>
        </w:rPr>
        <w:t>防治措施为严格控制自卸汽车卸料高度，并在</w:t>
      </w:r>
      <w:r>
        <w:rPr>
          <w:rFonts w:hint="eastAsia" w:ascii="Times New Roman"/>
          <w:color w:val="auto"/>
          <w:highlight w:val="none"/>
        </w:rPr>
        <w:t>装卸</w:t>
      </w:r>
      <w:r>
        <w:rPr>
          <w:rFonts w:ascii="Times New Roman"/>
          <w:color w:val="auto"/>
          <w:highlight w:val="none"/>
        </w:rPr>
        <w:t>过程中利用洒水车洒水抑尘，经计算回填区</w:t>
      </w:r>
      <w:r>
        <w:rPr>
          <w:rFonts w:hint="eastAsia" w:ascii="Times New Roman"/>
          <w:color w:val="auto"/>
          <w:highlight w:val="none"/>
        </w:rPr>
        <w:t>种植土装卸</w:t>
      </w:r>
      <w:r>
        <w:rPr>
          <w:rFonts w:ascii="Times New Roman"/>
          <w:color w:val="auto"/>
          <w:highlight w:val="none"/>
        </w:rPr>
        <w:t>扬尘排放量为</w:t>
      </w:r>
      <w:r>
        <w:rPr>
          <w:rFonts w:hint="eastAsia"/>
          <w:color w:val="auto"/>
          <w:highlight w:val="none"/>
          <w:lang w:val="en-US" w:eastAsia="zh-CN"/>
        </w:rPr>
        <w:t>0.1</w:t>
      </w:r>
      <w:r>
        <w:rPr>
          <w:rFonts w:ascii="Times New Roman"/>
          <w:color w:val="auto"/>
          <w:highlight w:val="none"/>
        </w:rPr>
        <w:t>t/a，</w:t>
      </w:r>
      <w:r>
        <w:rPr>
          <w:rFonts w:hint="eastAsia" w:ascii="Times New Roman"/>
          <w:color w:val="auto"/>
          <w:highlight w:val="none"/>
        </w:rPr>
        <w:t>排放</w:t>
      </w:r>
      <w:r>
        <w:rPr>
          <w:rFonts w:hint="eastAsia"/>
          <w:color w:val="auto"/>
          <w:highlight w:val="none"/>
          <w:lang w:val="en-US" w:eastAsia="zh-CN"/>
        </w:rPr>
        <w:t>速率</w:t>
      </w:r>
      <w:r>
        <w:rPr>
          <w:rFonts w:hint="eastAsia" w:ascii="Times New Roman"/>
          <w:color w:val="auto"/>
          <w:highlight w:val="none"/>
        </w:rPr>
        <w:t>为0.</w:t>
      </w:r>
      <w:r>
        <w:rPr>
          <w:rFonts w:hint="eastAsia"/>
          <w:color w:val="auto"/>
          <w:highlight w:val="none"/>
          <w:lang w:val="en-US" w:eastAsia="zh-CN"/>
        </w:rPr>
        <w:t>042</w:t>
      </w:r>
      <w:r>
        <w:rPr>
          <w:rFonts w:ascii="Times New Roman"/>
          <w:color w:val="auto"/>
          <w:highlight w:val="none"/>
        </w:rPr>
        <w:t>kg/h。</w:t>
      </w:r>
    </w:p>
    <w:p w14:paraId="414C0A7D">
      <w:pPr>
        <w:spacing w:line="360" w:lineRule="auto"/>
        <w:ind w:firstLine="480"/>
        <w:rPr>
          <w:rFonts w:ascii="Times New Roman"/>
          <w:color w:val="auto"/>
          <w:highlight w:val="none"/>
        </w:rPr>
      </w:pPr>
      <w:r>
        <w:rPr>
          <w:rFonts w:hint="eastAsia" w:ascii="仿宋_GB2312" w:hAnsi="仿宋_GB2312" w:eastAsia="仿宋_GB2312" w:cs="仿宋_GB2312"/>
          <w:color w:val="auto"/>
          <w:highlight w:val="none"/>
          <w:lang w:eastAsia="zh-CN"/>
        </w:rPr>
        <w:t>③</w:t>
      </w:r>
      <w:r>
        <w:rPr>
          <w:rFonts w:hint="eastAsia" w:ascii="Times New Roman"/>
          <w:color w:val="auto"/>
          <w:highlight w:val="none"/>
        </w:rPr>
        <w:t>区域平整作业施工</w:t>
      </w:r>
      <w:r>
        <w:rPr>
          <w:rFonts w:ascii="Times New Roman"/>
          <w:color w:val="auto"/>
          <w:highlight w:val="none"/>
        </w:rPr>
        <w:t>扬尘</w:t>
      </w:r>
    </w:p>
    <w:p w14:paraId="3A1A67B9">
      <w:pPr>
        <w:spacing w:line="360" w:lineRule="auto"/>
        <w:ind w:firstLine="480"/>
        <w:rPr>
          <w:rFonts w:hint="eastAsia" w:ascii="Times New Roman"/>
          <w:color w:val="auto"/>
          <w:highlight w:val="none"/>
        </w:rPr>
      </w:pPr>
      <w:r>
        <w:rPr>
          <w:rFonts w:ascii="Times New Roman"/>
          <w:color w:val="auto"/>
          <w:highlight w:val="none"/>
        </w:rPr>
        <w:t>根据《扬尘源颗粒物排放清单编制技术指南（试行）》中行中施工扬尘源排放量的总体估算公式进行计算。施</w:t>
      </w:r>
      <w:r>
        <w:rPr>
          <w:rFonts w:hint="eastAsia" w:ascii="Times New Roman"/>
          <w:color w:val="auto"/>
          <w:highlight w:val="none"/>
        </w:rPr>
        <w:t>工</w:t>
      </w:r>
      <w:r>
        <w:rPr>
          <w:rFonts w:ascii="Times New Roman"/>
          <w:color w:val="auto"/>
          <w:highlight w:val="none"/>
        </w:rPr>
        <w:t>扬尘源中颗粒物排放量的总体计算公式如下</w:t>
      </w:r>
      <w:r>
        <w:rPr>
          <w:rFonts w:hint="eastAsia" w:ascii="Times New Roman"/>
          <w:color w:val="auto"/>
          <w:highlight w:val="none"/>
        </w:rPr>
        <w:t>：</w:t>
      </w:r>
    </w:p>
    <w:p w14:paraId="35D276BC">
      <w:pPr>
        <w:spacing w:line="360" w:lineRule="auto"/>
        <w:ind w:firstLine="480"/>
        <w:jc w:val="center"/>
        <w:rPr>
          <w:rFonts w:ascii="Times New Roman"/>
          <w:color w:val="auto"/>
          <w:highlight w:val="none"/>
        </w:rPr>
      </w:pPr>
      <w:r>
        <w:rPr>
          <w:rFonts w:ascii="Times New Roman"/>
          <w:color w:val="auto"/>
          <w:highlight w:val="none"/>
        </w:rPr>
        <w:drawing>
          <wp:inline distT="0" distB="0" distL="114300" distR="114300">
            <wp:extent cx="1804035" cy="774700"/>
            <wp:effectExtent l="0" t="0" r="12065" b="0"/>
            <wp:docPr id="2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9"/>
                    <pic:cNvPicPr>
                      <a:picLocks noChangeAspect="1"/>
                    </pic:cNvPicPr>
                  </pic:nvPicPr>
                  <pic:blipFill>
                    <a:blip r:embed="rId37"/>
                    <a:stretch>
                      <a:fillRect/>
                    </a:stretch>
                  </pic:blipFill>
                  <pic:spPr>
                    <a:xfrm>
                      <a:off x="0" y="0"/>
                      <a:ext cx="1804035" cy="774700"/>
                    </a:xfrm>
                    <a:prstGeom prst="rect">
                      <a:avLst/>
                    </a:prstGeom>
                    <a:noFill/>
                    <a:ln>
                      <a:noFill/>
                    </a:ln>
                  </pic:spPr>
                </pic:pic>
              </a:graphicData>
            </a:graphic>
          </wp:inline>
        </w:drawing>
      </w:r>
    </w:p>
    <w:p w14:paraId="1ED27E6D">
      <w:pPr>
        <w:spacing w:line="360" w:lineRule="auto"/>
        <w:ind w:firstLine="960" w:firstLineChars="400"/>
        <w:rPr>
          <w:rFonts w:hint="eastAsia" w:ascii="Times New Roman" w:eastAsia="宋体"/>
          <w:color w:val="auto"/>
          <w:highlight w:val="none"/>
          <w:lang w:eastAsia="zh-CN"/>
        </w:rPr>
      </w:pPr>
      <w:r>
        <w:rPr>
          <w:rFonts w:ascii="Times New Roman"/>
          <w:color w:val="auto"/>
          <w:highlight w:val="none"/>
        </w:rPr>
        <w:t>式中</w:t>
      </w:r>
      <w:r>
        <w:rPr>
          <w:rFonts w:hint="eastAsia" w:ascii="Times New Roman"/>
          <w:color w:val="auto"/>
          <w:highlight w:val="none"/>
          <w:lang w:eastAsia="zh-CN"/>
        </w:rPr>
        <w:t>：</w:t>
      </w:r>
    </w:p>
    <w:p w14:paraId="762B34DF">
      <w:pPr>
        <w:spacing w:line="360" w:lineRule="auto"/>
        <w:ind w:firstLine="960" w:firstLineChars="400"/>
        <w:rPr>
          <w:rFonts w:hint="eastAsia" w:ascii="Times New Roman"/>
          <w:color w:val="auto"/>
          <w:highlight w:val="none"/>
        </w:rPr>
      </w:pPr>
      <w:r>
        <w:rPr>
          <w:rFonts w:ascii="Times New Roman"/>
          <w:color w:val="auto"/>
          <w:highlight w:val="none"/>
        </w:rPr>
        <w:t>W</w:t>
      </w:r>
      <w:r>
        <w:rPr>
          <w:rFonts w:hint="eastAsia" w:ascii="Times New Roman"/>
          <w:color w:val="auto"/>
          <w:highlight w:val="none"/>
          <w:vertAlign w:val="subscript"/>
        </w:rPr>
        <w:t>ci</w:t>
      </w:r>
      <w:r>
        <w:rPr>
          <w:rFonts w:hint="eastAsia" w:ascii="Times New Roman"/>
          <w:color w:val="auto"/>
          <w:highlight w:val="none"/>
        </w:rPr>
        <w:t>—施工扬尘源中PM</w:t>
      </w:r>
      <w:r>
        <w:rPr>
          <w:rFonts w:hint="eastAsia" w:ascii="Times New Roman"/>
          <w:color w:val="auto"/>
          <w:highlight w:val="none"/>
          <w:vertAlign w:val="subscript"/>
        </w:rPr>
        <w:t>i</w:t>
      </w:r>
      <w:r>
        <w:rPr>
          <w:rFonts w:hint="eastAsia" w:ascii="Times New Roman"/>
          <w:color w:val="auto"/>
          <w:highlight w:val="none"/>
        </w:rPr>
        <w:t>总排放量，t/a。</w:t>
      </w:r>
    </w:p>
    <w:p w14:paraId="40AB2408">
      <w:pPr>
        <w:spacing w:line="360" w:lineRule="auto"/>
        <w:ind w:firstLine="960" w:firstLineChars="400"/>
        <w:rPr>
          <w:rFonts w:hint="eastAsia" w:ascii="Times New Roman"/>
          <w:color w:val="auto"/>
          <w:highlight w:val="none"/>
        </w:rPr>
      </w:pPr>
      <w:r>
        <w:rPr>
          <w:rFonts w:hint="eastAsia" w:ascii="Times New Roman"/>
          <w:color w:val="auto"/>
          <w:highlight w:val="none"/>
        </w:rPr>
        <w:t>E</w:t>
      </w:r>
      <w:r>
        <w:rPr>
          <w:rFonts w:hint="eastAsia" w:ascii="Times New Roman"/>
          <w:color w:val="auto"/>
          <w:highlight w:val="none"/>
          <w:vertAlign w:val="subscript"/>
        </w:rPr>
        <w:t>ci</w:t>
      </w:r>
      <w:r>
        <w:rPr>
          <w:rFonts w:hint="eastAsia" w:ascii="Times New Roman"/>
          <w:color w:val="auto"/>
          <w:highlight w:val="none"/>
        </w:rPr>
        <w:t>—整个施工工地PM</w:t>
      </w:r>
      <w:r>
        <w:rPr>
          <w:rFonts w:hint="eastAsia" w:ascii="Times New Roman"/>
          <w:color w:val="auto"/>
          <w:highlight w:val="none"/>
          <w:vertAlign w:val="subscript"/>
        </w:rPr>
        <w:t>i</w:t>
      </w:r>
      <w:r>
        <w:rPr>
          <w:rFonts w:hint="eastAsia" w:ascii="Times New Roman"/>
          <w:color w:val="auto"/>
          <w:highlight w:val="none"/>
        </w:rPr>
        <w:t>的平均排放系数，t/</w:t>
      </w:r>
      <w:r>
        <w:rPr>
          <w:rFonts w:hint="eastAsia"/>
          <w:color w:val="auto"/>
          <w:highlight w:val="none"/>
          <w:lang w:eastAsia="zh-CN"/>
        </w:rPr>
        <w:t>（</w:t>
      </w:r>
      <w:r>
        <w:rPr>
          <w:rFonts w:hint="eastAsia" w:ascii="Times New Roman"/>
          <w:color w:val="auto"/>
          <w:highlight w:val="none"/>
        </w:rPr>
        <w:t>m</w:t>
      </w:r>
      <w:r>
        <w:rPr>
          <w:rFonts w:hint="eastAsia" w:ascii="Times New Roman"/>
          <w:color w:val="auto"/>
          <w:highlight w:val="none"/>
          <w:vertAlign w:val="superscript"/>
        </w:rPr>
        <w:t>2</w:t>
      </w:r>
      <w:r>
        <w:rPr>
          <w:rFonts w:hint="eastAsia" w:ascii="Times New Roman"/>
          <w:color w:val="auto"/>
          <w:highlight w:val="none"/>
        </w:rPr>
        <w:t>·月</w:t>
      </w:r>
      <w:r>
        <w:rPr>
          <w:rFonts w:hint="eastAsia"/>
          <w:color w:val="auto"/>
          <w:highlight w:val="none"/>
          <w:lang w:eastAsia="zh-CN"/>
        </w:rPr>
        <w:t>）</w:t>
      </w:r>
      <w:r>
        <w:rPr>
          <w:rFonts w:hint="eastAsia" w:ascii="Times New Roman"/>
          <w:color w:val="auto"/>
          <w:highlight w:val="none"/>
        </w:rPr>
        <w:t>。</w:t>
      </w:r>
    </w:p>
    <w:p w14:paraId="29132457">
      <w:pPr>
        <w:spacing w:line="360" w:lineRule="auto"/>
        <w:ind w:firstLine="960" w:firstLineChars="400"/>
        <w:rPr>
          <w:rFonts w:hint="eastAsia" w:ascii="Times New Roman"/>
          <w:color w:val="auto"/>
          <w:highlight w:val="none"/>
        </w:rPr>
      </w:pPr>
      <w:r>
        <w:rPr>
          <w:rFonts w:hint="eastAsia" w:ascii="Times New Roman"/>
          <w:color w:val="auto"/>
          <w:highlight w:val="none"/>
        </w:rPr>
        <w:t>A</w:t>
      </w:r>
      <w:r>
        <w:rPr>
          <w:rFonts w:hint="eastAsia" w:ascii="Times New Roman"/>
          <w:color w:val="auto"/>
          <w:highlight w:val="none"/>
          <w:vertAlign w:val="subscript"/>
        </w:rPr>
        <w:t>c</w:t>
      </w:r>
      <w:r>
        <w:rPr>
          <w:rFonts w:hint="eastAsia" w:ascii="Times New Roman"/>
          <w:color w:val="auto"/>
          <w:highlight w:val="none"/>
        </w:rPr>
        <w:t>—施工区域面积，每日施工作业面积</w:t>
      </w:r>
      <w:r>
        <w:rPr>
          <w:rFonts w:hint="eastAsia"/>
          <w:color w:val="auto"/>
          <w:highlight w:val="none"/>
          <w:lang w:val="en-US" w:eastAsia="zh-CN"/>
        </w:rPr>
        <w:t>1200</w:t>
      </w:r>
      <w:r>
        <w:rPr>
          <w:rFonts w:hint="eastAsia" w:ascii="Times New Roman"/>
          <w:color w:val="auto"/>
          <w:highlight w:val="none"/>
        </w:rPr>
        <w:t>m</w:t>
      </w:r>
      <w:r>
        <w:rPr>
          <w:rFonts w:hint="eastAsia" w:ascii="Times New Roman"/>
          <w:color w:val="auto"/>
          <w:highlight w:val="none"/>
          <w:vertAlign w:val="superscript"/>
        </w:rPr>
        <w:t>2</w:t>
      </w:r>
      <w:r>
        <w:rPr>
          <w:rFonts w:hint="eastAsia" w:ascii="Times New Roman"/>
          <w:color w:val="auto"/>
          <w:highlight w:val="none"/>
        </w:rPr>
        <w:t>。</w:t>
      </w:r>
    </w:p>
    <w:p w14:paraId="18375F4A">
      <w:pPr>
        <w:spacing w:line="360" w:lineRule="auto"/>
        <w:ind w:firstLine="960" w:firstLineChars="400"/>
        <w:rPr>
          <w:rFonts w:hint="eastAsia" w:ascii="Times New Roman"/>
          <w:color w:val="auto"/>
          <w:highlight w:val="none"/>
        </w:rPr>
      </w:pPr>
      <w:r>
        <w:rPr>
          <w:rFonts w:hint="eastAsia" w:ascii="Times New Roman"/>
          <w:color w:val="auto"/>
          <w:highlight w:val="none"/>
        </w:rPr>
        <w:t>T—工地的</w:t>
      </w:r>
      <w:r>
        <w:rPr>
          <w:rFonts w:hint="eastAsia"/>
          <w:color w:val="auto"/>
          <w:highlight w:val="none"/>
          <w:lang w:val="en-US" w:eastAsia="zh-CN"/>
        </w:rPr>
        <w:t>回填</w:t>
      </w:r>
      <w:r>
        <w:rPr>
          <w:rFonts w:hint="eastAsia" w:ascii="Times New Roman"/>
          <w:color w:val="auto"/>
          <w:highlight w:val="none"/>
        </w:rPr>
        <w:t>月份数，</w:t>
      </w:r>
      <w:r>
        <w:rPr>
          <w:rFonts w:hint="eastAsia"/>
          <w:color w:val="auto"/>
          <w:highlight w:val="none"/>
          <w:lang w:val="en-US" w:eastAsia="zh-CN"/>
        </w:rPr>
        <w:t>共30</w:t>
      </w:r>
      <w:r>
        <w:rPr>
          <w:rFonts w:hint="eastAsia" w:ascii="Times New Roman"/>
          <w:color w:val="auto"/>
          <w:highlight w:val="none"/>
        </w:rPr>
        <w:t>个月。</w:t>
      </w:r>
    </w:p>
    <w:p w14:paraId="46E2E7AD">
      <w:pPr>
        <w:spacing w:line="360" w:lineRule="auto"/>
        <w:ind w:firstLine="960" w:firstLineChars="400"/>
        <w:rPr>
          <w:rFonts w:ascii="Times New Roman"/>
          <w:color w:val="auto"/>
          <w:highlight w:val="none"/>
        </w:rPr>
      </w:pPr>
      <w:r>
        <w:rPr>
          <w:rFonts w:hint="eastAsia" w:ascii="Times New Roman"/>
          <w:color w:val="auto"/>
          <w:highlight w:val="none"/>
        </w:rPr>
        <w:t>η—污染控制技术对扬尘的去除效率，%，根据《扬尘源颗粒物排放清单编制技术指南（试行）》中行</w:t>
      </w:r>
      <w:r>
        <w:rPr>
          <w:rFonts w:hint="eastAsia"/>
          <w:color w:val="auto"/>
          <w:highlight w:val="none"/>
          <w:lang w:eastAsia="zh-CN"/>
        </w:rPr>
        <w:t>）</w:t>
      </w:r>
      <w:r>
        <w:rPr>
          <w:rFonts w:hint="eastAsia" w:ascii="Times New Roman"/>
          <w:color w:val="auto"/>
          <w:highlight w:val="none"/>
        </w:rPr>
        <w:t>中控制效率系数，洒水对TSP控制效率按96%计</w:t>
      </w:r>
      <w:r>
        <w:rPr>
          <w:rFonts w:ascii="Times New Roman"/>
          <w:color w:val="auto"/>
          <w:highlight w:val="none"/>
        </w:rPr>
        <w:t>。</w:t>
      </w:r>
    </w:p>
    <w:p w14:paraId="7ECCDA39">
      <w:pPr>
        <w:spacing w:line="360" w:lineRule="auto"/>
        <w:ind w:firstLine="720" w:firstLineChars="300"/>
        <w:rPr>
          <w:rFonts w:hint="default" w:ascii="Times New Roman" w:eastAsia="宋体"/>
          <w:color w:val="auto"/>
          <w:highlight w:val="none"/>
          <w:lang w:val="en-US" w:eastAsia="zh-CN"/>
        </w:rPr>
      </w:pPr>
      <w:r>
        <w:rPr>
          <w:rFonts w:ascii="Times New Roman"/>
          <w:color w:val="auto"/>
          <w:highlight w:val="none"/>
        </w:rPr>
        <w:t>经计算，</w:t>
      </w:r>
      <w:r>
        <w:rPr>
          <w:rFonts w:hint="eastAsia" w:ascii="Times New Roman"/>
          <w:color w:val="auto"/>
          <w:highlight w:val="none"/>
        </w:rPr>
        <w:t>项目区域平整作业施工扬尘</w:t>
      </w:r>
      <w:r>
        <w:rPr>
          <w:rFonts w:ascii="Times New Roman"/>
          <w:color w:val="auto"/>
          <w:highlight w:val="none"/>
        </w:rPr>
        <w:t>的排放量为</w:t>
      </w:r>
      <w:r>
        <w:rPr>
          <w:rFonts w:hint="eastAsia"/>
          <w:color w:val="auto"/>
          <w:highlight w:val="none"/>
          <w:lang w:val="en-US" w:eastAsia="zh-CN"/>
        </w:rPr>
        <w:t>0.387</w:t>
      </w:r>
      <w:r>
        <w:rPr>
          <w:rFonts w:hint="eastAsia" w:ascii="Times New Roman"/>
          <w:color w:val="auto"/>
          <w:highlight w:val="none"/>
        </w:rPr>
        <w:t>t/a，0.</w:t>
      </w:r>
      <w:r>
        <w:rPr>
          <w:rFonts w:hint="eastAsia" w:ascii="Times New Roman"/>
          <w:color w:val="auto"/>
          <w:highlight w:val="none"/>
          <w:lang w:val="en-US" w:eastAsia="zh-CN"/>
        </w:rPr>
        <w:t>161</w:t>
      </w:r>
      <w:r>
        <w:rPr>
          <w:rFonts w:hint="eastAsia" w:ascii="Times New Roman"/>
          <w:color w:val="auto"/>
          <w:highlight w:val="none"/>
        </w:rPr>
        <w:t>kg/h</w:t>
      </w:r>
      <w:r>
        <w:rPr>
          <w:rFonts w:ascii="Times New Roman"/>
          <w:color w:val="auto"/>
          <w:highlight w:val="none"/>
        </w:rPr>
        <w:t>。</w:t>
      </w:r>
    </w:p>
    <w:p w14:paraId="1814C8CF">
      <w:pPr>
        <w:spacing w:line="360" w:lineRule="auto"/>
        <w:ind w:firstLine="480"/>
        <w:rPr>
          <w:rFonts w:ascii="Times New Roman"/>
          <w:color w:val="auto"/>
          <w:highlight w:val="none"/>
        </w:rPr>
      </w:pPr>
      <w:r>
        <w:rPr>
          <w:rFonts w:ascii="Times New Roman"/>
          <w:color w:val="auto"/>
          <w:highlight w:val="none"/>
        </w:rPr>
        <w:t>（2）车辆运输扬尘</w:t>
      </w:r>
    </w:p>
    <w:p w14:paraId="5435E8D1">
      <w:pPr>
        <w:spacing w:line="360" w:lineRule="auto"/>
        <w:ind w:firstLine="480"/>
        <w:rPr>
          <w:rFonts w:ascii="Times New Roman"/>
          <w:color w:val="auto"/>
          <w:highlight w:val="none"/>
        </w:rPr>
      </w:pPr>
      <w:r>
        <w:rPr>
          <w:rFonts w:ascii="Times New Roman"/>
          <w:color w:val="auto"/>
          <w:highlight w:val="none"/>
        </w:rPr>
        <w:t>运输产生的扬尘主要为道路</w:t>
      </w:r>
      <w:r>
        <w:rPr>
          <w:rFonts w:hint="eastAsia"/>
          <w:color w:val="auto"/>
          <w:highlight w:val="none"/>
          <w:lang w:val="en-US" w:eastAsia="zh-CN"/>
        </w:rPr>
        <w:t>扬</w:t>
      </w:r>
      <w:r>
        <w:rPr>
          <w:rFonts w:ascii="Times New Roman"/>
          <w:color w:val="auto"/>
          <w:highlight w:val="none"/>
        </w:rPr>
        <w:t>尘。本项目的</w:t>
      </w:r>
      <w:r>
        <w:rPr>
          <w:rFonts w:hint="eastAsia"/>
          <w:color w:val="auto"/>
          <w:highlight w:val="none"/>
          <w:lang w:val="en-US" w:eastAsia="zh-CN"/>
        </w:rPr>
        <w:t>灰渣</w:t>
      </w:r>
      <w:r>
        <w:rPr>
          <w:rFonts w:ascii="Times New Roman"/>
          <w:color w:val="auto"/>
          <w:highlight w:val="none"/>
        </w:rPr>
        <w:t>、</w:t>
      </w:r>
      <w:r>
        <w:rPr>
          <w:rFonts w:hint="eastAsia"/>
          <w:color w:val="auto"/>
          <w:highlight w:val="none"/>
          <w:lang w:val="en-US" w:eastAsia="zh-CN"/>
        </w:rPr>
        <w:t>覆土</w:t>
      </w:r>
      <w:r>
        <w:rPr>
          <w:rFonts w:ascii="Times New Roman"/>
          <w:color w:val="auto"/>
          <w:highlight w:val="none"/>
        </w:rPr>
        <w:t>种植土采用汽车运输方式，运输过程中覆盖遮雨篷布，防止雨水淋湿和产生扬尘，车辆运输过程中减速慢行，严格限制超载、超速。本项目每天运输</w:t>
      </w:r>
      <w:r>
        <w:rPr>
          <w:rFonts w:hint="eastAsia"/>
          <w:color w:val="auto"/>
          <w:highlight w:val="none"/>
          <w:lang w:val="en-US" w:eastAsia="zh-CN"/>
        </w:rPr>
        <w:t>3趟</w:t>
      </w:r>
      <w:r>
        <w:rPr>
          <w:rFonts w:ascii="Times New Roman"/>
          <w:color w:val="auto"/>
          <w:highlight w:val="none"/>
        </w:rPr>
        <w:t>（</w:t>
      </w:r>
      <w:r>
        <w:rPr>
          <w:rFonts w:hint="eastAsia"/>
          <w:color w:val="auto"/>
          <w:highlight w:val="none"/>
          <w:lang w:val="en-US" w:eastAsia="zh-CN"/>
        </w:rPr>
        <w:t>6趟往返</w:t>
      </w:r>
      <w:r>
        <w:rPr>
          <w:rFonts w:ascii="Times New Roman"/>
          <w:color w:val="auto"/>
          <w:highlight w:val="none"/>
        </w:rPr>
        <w:t>）</w:t>
      </w:r>
      <w:r>
        <w:rPr>
          <w:rFonts w:hint="eastAsia" w:ascii="Times New Roman"/>
          <w:color w:val="auto"/>
          <w:highlight w:val="none"/>
        </w:rPr>
        <w:t>，</w:t>
      </w:r>
      <w:r>
        <w:rPr>
          <w:rFonts w:ascii="Times New Roman"/>
          <w:color w:val="auto"/>
          <w:highlight w:val="none"/>
        </w:rPr>
        <w:t>各运输车辆间隔出发不同时运输</w:t>
      </w:r>
      <w:r>
        <w:rPr>
          <w:rFonts w:hint="eastAsia" w:ascii="Times New Roman"/>
          <w:color w:val="auto"/>
          <w:highlight w:val="none"/>
        </w:rPr>
        <w:t>，根据</w:t>
      </w:r>
      <w:r>
        <w:rPr>
          <w:rFonts w:hint="eastAsia" w:ascii="Times New Roman"/>
          <w:color w:val="auto"/>
          <w:highlight w:val="none"/>
        </w:rPr>
        <w:fldChar w:fldCharType="begin"/>
      </w:r>
      <w:r>
        <w:rPr>
          <w:rFonts w:hint="eastAsia" w:ascii="Times New Roman"/>
          <w:color w:val="auto"/>
          <w:highlight w:val="none"/>
        </w:rPr>
        <w:instrText xml:space="preserve"> HYPERLINK "https://www.so.com/link?m=bkaGLCbuGUDhwYUUZzHwCspBADZpSg1OTWYWtZquHzNK2q9ZY6hVqg2zI/HElVuL/FdRKz0gvUh+lt0tFhQKD/j0JqfzSXAdMpe+4DF1+fjZdW8evaFKkHObt1sug5bEq/ZDOrDHsakobyMbpFm/XbTsmRB7gkpVvl8WpXX6erenY8tuPP+XWqwVa8JPGIxtMgkoxhsEElnf+7oDz3vY9jG0ozr840GukVNigGqJyNrm04d9u3/H6wSU+DWQ/zUlXrhF9KhYWAlGLkGfp+FLW++zGw6OCMqKiWO4aI/+9nTJY2pe6IaZIKQ==" \t "https://www.so.com/_blank" </w:instrText>
      </w:r>
      <w:r>
        <w:rPr>
          <w:rFonts w:hint="eastAsia" w:ascii="Times New Roman"/>
          <w:color w:val="auto"/>
          <w:highlight w:val="none"/>
        </w:rPr>
        <w:fldChar w:fldCharType="separate"/>
      </w:r>
      <w:r>
        <w:rPr>
          <w:rFonts w:hint="eastAsia" w:ascii="Times New Roman"/>
          <w:color w:val="auto"/>
          <w:highlight w:val="none"/>
        </w:rPr>
        <w:t>《扬尘源颗粒物排放清单编制技术指南</w:t>
      </w:r>
      <w:r>
        <w:rPr>
          <w:rFonts w:hint="eastAsia"/>
          <w:color w:val="auto"/>
          <w:highlight w:val="none"/>
          <w:lang w:eastAsia="zh-CN"/>
        </w:rPr>
        <w:t>（</w:t>
      </w:r>
      <w:r>
        <w:rPr>
          <w:rFonts w:hint="eastAsia" w:ascii="Times New Roman"/>
          <w:color w:val="auto"/>
          <w:highlight w:val="none"/>
        </w:rPr>
        <w:t>试行</w:t>
      </w:r>
      <w:r>
        <w:rPr>
          <w:rFonts w:hint="eastAsia"/>
          <w:color w:val="auto"/>
          <w:highlight w:val="none"/>
          <w:lang w:eastAsia="zh-CN"/>
        </w:rPr>
        <w:t>）</w:t>
      </w:r>
      <w:r>
        <w:rPr>
          <w:rFonts w:hint="eastAsia" w:ascii="Times New Roman"/>
          <w:color w:val="auto"/>
          <w:highlight w:val="none"/>
        </w:rPr>
        <w:t>》</w:t>
      </w:r>
      <w:r>
        <w:rPr>
          <w:rFonts w:hint="eastAsia" w:ascii="Times New Roman"/>
          <w:color w:val="auto"/>
          <w:highlight w:val="none"/>
        </w:rPr>
        <w:fldChar w:fldCharType="end"/>
      </w:r>
      <w:r>
        <w:rPr>
          <w:rFonts w:hint="eastAsia" w:ascii="Times New Roman"/>
          <w:color w:val="auto"/>
          <w:highlight w:val="none"/>
        </w:rPr>
        <w:t>中道路扬尘源排放量的计算公式，本项目</w:t>
      </w:r>
      <w:r>
        <w:rPr>
          <w:rFonts w:hint="eastAsia"/>
          <w:color w:val="auto"/>
          <w:highlight w:val="none"/>
          <w:lang w:val="en-US" w:eastAsia="zh-CN"/>
        </w:rPr>
        <w:t>进场</w:t>
      </w:r>
      <w:r>
        <w:rPr>
          <w:rFonts w:ascii="Times New Roman"/>
          <w:color w:val="auto"/>
          <w:highlight w:val="none"/>
        </w:rPr>
        <w:t>非铺装道路</w:t>
      </w:r>
      <w:r>
        <w:rPr>
          <w:rFonts w:hint="eastAsia"/>
          <w:color w:val="auto"/>
          <w:highlight w:val="none"/>
          <w:lang w:val="en-US" w:eastAsia="zh-CN"/>
        </w:rPr>
        <w:t>约为1km</w:t>
      </w:r>
      <w:r>
        <w:rPr>
          <w:rFonts w:ascii="Times New Roman"/>
          <w:color w:val="auto"/>
          <w:highlight w:val="none"/>
        </w:rPr>
        <w:t>：</w:t>
      </w:r>
    </w:p>
    <w:p w14:paraId="15B0D5A1">
      <w:pPr>
        <w:spacing w:line="360" w:lineRule="auto"/>
        <w:ind w:left="240" w:leftChars="100" w:firstLine="240" w:firstLineChars="100"/>
        <w:rPr>
          <w:rFonts w:ascii="Times New Roman"/>
          <w:color w:val="auto"/>
          <w:highlight w:val="none"/>
        </w:rPr>
      </w:pPr>
      <w:r>
        <w:rPr>
          <w:rFonts w:ascii="Times New Roman"/>
          <w:color w:val="auto"/>
          <w:highlight w:val="none"/>
        </w:rPr>
        <w:t>对于未铺装道路，扬尘排放系数计算公式如下：</w:t>
      </w:r>
    </w:p>
    <w:p w14:paraId="0BB825C0">
      <w:pPr>
        <w:spacing w:line="360" w:lineRule="auto"/>
        <w:ind w:firstLine="480"/>
        <w:rPr>
          <w:rFonts w:ascii="Times New Roman"/>
          <w:color w:val="auto"/>
          <w:highlight w:val="none"/>
        </w:rPr>
      </w:pPr>
      <w:r>
        <w:rPr>
          <w:rFonts w:ascii="Times New Roman"/>
          <w:color w:val="auto"/>
          <w:highlight w:val="none"/>
        </w:rPr>
        <w:drawing>
          <wp:anchor distT="0" distB="0" distL="114300" distR="114300" simplePos="0" relativeHeight="251694080" behindDoc="0" locked="0" layoutInCell="1" allowOverlap="1">
            <wp:simplePos x="0" y="0"/>
            <wp:positionH relativeFrom="column">
              <wp:posOffset>1330325</wp:posOffset>
            </wp:positionH>
            <wp:positionV relativeFrom="paragraph">
              <wp:posOffset>40640</wp:posOffset>
            </wp:positionV>
            <wp:extent cx="3745865" cy="575945"/>
            <wp:effectExtent l="0" t="0" r="635" b="8255"/>
            <wp:wrapNone/>
            <wp:docPr id="226"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331"/>
                    <pic:cNvPicPr>
                      <a:picLocks noChangeAspect="1"/>
                    </pic:cNvPicPr>
                  </pic:nvPicPr>
                  <pic:blipFill>
                    <a:blip r:embed="rId38"/>
                    <a:stretch>
                      <a:fillRect/>
                    </a:stretch>
                  </pic:blipFill>
                  <pic:spPr>
                    <a:xfrm>
                      <a:off x="0" y="0"/>
                      <a:ext cx="3745865" cy="575945"/>
                    </a:xfrm>
                    <a:prstGeom prst="rect">
                      <a:avLst/>
                    </a:prstGeom>
                    <a:noFill/>
                    <a:ln>
                      <a:noFill/>
                    </a:ln>
                  </pic:spPr>
                </pic:pic>
              </a:graphicData>
            </a:graphic>
          </wp:anchor>
        </w:drawing>
      </w:r>
    </w:p>
    <w:p w14:paraId="51E144DE">
      <w:pPr>
        <w:spacing w:line="360" w:lineRule="auto"/>
        <w:ind w:firstLine="480"/>
        <w:rPr>
          <w:rFonts w:ascii="Times New Roman"/>
          <w:color w:val="auto"/>
          <w:highlight w:val="none"/>
        </w:rPr>
      </w:pPr>
    </w:p>
    <w:p w14:paraId="6E71450F">
      <w:pPr>
        <w:spacing w:line="360" w:lineRule="auto"/>
        <w:ind w:firstLine="480"/>
        <w:rPr>
          <w:rFonts w:ascii="Times New Roman"/>
          <w:color w:val="auto"/>
          <w:highlight w:val="none"/>
        </w:rPr>
      </w:pPr>
      <w:r>
        <w:rPr>
          <w:rFonts w:ascii="Times New Roman"/>
          <w:color w:val="auto"/>
          <w:highlight w:val="none"/>
        </w:rPr>
        <w:t>式中：</w:t>
      </w:r>
    </w:p>
    <w:p w14:paraId="5BE7D475">
      <w:pPr>
        <w:spacing w:line="360" w:lineRule="auto"/>
        <w:ind w:firstLine="480"/>
        <w:rPr>
          <w:rFonts w:ascii="Times New Roman"/>
          <w:color w:val="auto"/>
          <w:highlight w:val="none"/>
        </w:rPr>
      </w:pPr>
      <w:r>
        <w:rPr>
          <w:rFonts w:ascii="Times New Roman"/>
          <w:color w:val="auto"/>
          <w:highlight w:val="none"/>
        </w:rPr>
        <w:t>E</w:t>
      </w:r>
      <w:r>
        <w:rPr>
          <w:rFonts w:ascii="Times New Roman"/>
          <w:color w:val="auto"/>
          <w:highlight w:val="none"/>
          <w:vertAlign w:val="subscript"/>
        </w:rPr>
        <w:t>UPi</w:t>
      </w:r>
      <w:r>
        <w:rPr>
          <w:rFonts w:ascii="Times New Roman"/>
          <w:color w:val="auto"/>
          <w:highlight w:val="none"/>
        </w:rPr>
        <w:t>为未铺装道路扬尘中PMi排放系数，g/km。</w:t>
      </w:r>
    </w:p>
    <w:p w14:paraId="18AE1C88">
      <w:pPr>
        <w:spacing w:line="360" w:lineRule="auto"/>
        <w:ind w:firstLine="480"/>
        <w:rPr>
          <w:rFonts w:ascii="Times New Roman"/>
          <w:color w:val="auto"/>
          <w:highlight w:val="none"/>
        </w:rPr>
      </w:pPr>
      <w:r>
        <w:rPr>
          <w:rFonts w:ascii="Times New Roman"/>
          <w:color w:val="auto"/>
          <w:highlight w:val="none"/>
        </w:rPr>
        <w:t>k</w:t>
      </w:r>
      <w:r>
        <w:rPr>
          <w:rFonts w:ascii="Times New Roman"/>
          <w:color w:val="auto"/>
          <w:highlight w:val="none"/>
          <w:vertAlign w:val="subscript"/>
        </w:rPr>
        <w:t>i</w:t>
      </w:r>
      <w:r>
        <w:rPr>
          <w:rFonts w:ascii="Times New Roman"/>
          <w:color w:val="auto"/>
          <w:highlight w:val="none"/>
        </w:rPr>
        <w:t>为产生的扬尘中PM</w:t>
      </w:r>
      <w:r>
        <w:rPr>
          <w:rFonts w:ascii="Times New Roman"/>
          <w:color w:val="auto"/>
          <w:highlight w:val="none"/>
          <w:vertAlign w:val="subscript"/>
        </w:rPr>
        <w:t>i</w:t>
      </w:r>
      <w:r>
        <w:rPr>
          <w:rFonts w:ascii="Times New Roman"/>
          <w:color w:val="auto"/>
          <w:highlight w:val="none"/>
        </w:rPr>
        <w:t>的粒度乘数，其与系数a、b的取值根据</w:t>
      </w:r>
      <w:r>
        <w:rPr>
          <w:rFonts w:ascii="Times New Roman"/>
          <w:color w:val="auto"/>
          <w:highlight w:val="none"/>
        </w:rPr>
        <w:fldChar w:fldCharType="begin"/>
      </w:r>
      <w:r>
        <w:rPr>
          <w:rFonts w:ascii="Times New Roman"/>
          <w:color w:val="auto"/>
          <w:highlight w:val="none"/>
        </w:rPr>
        <w:instrText xml:space="preserve"> HYPERLINK "https://www.so.com/link?m=bkaGLCbuGUDhwYUUZzHwCspBADZpSg1OTWYWtZquHzNK2q9ZY6hVqg2zI/HElVuL/FdRKz0gvUh+lt0tFhQKD/j0JqfzSXAdMpe+4DF1+fjZdW8evaFKkHObt1sug5bEq/ZDOrDHsakobyMbpFm/XbTsmRB7gkpVvl8WpXX6erenY8tuPP+XWqwVa8JPGIxtMgkoxhsEElnf+7oDz3vY9jG0ozr840GukVNigGqJyNrm04d9u3/H6wSU+DWQ/zUlXrhF9KhYWAlGLkGfp+FLW++zGw6OCMqKiWO4aI/+9nTJY2pe6IaZIKQ==" \t "https://www.so.com/_blank" </w:instrText>
      </w:r>
      <w:r>
        <w:rPr>
          <w:rFonts w:ascii="Times New Roman"/>
          <w:color w:val="auto"/>
          <w:highlight w:val="none"/>
        </w:rPr>
        <w:fldChar w:fldCharType="separate"/>
      </w:r>
      <w:r>
        <w:rPr>
          <w:rFonts w:ascii="Times New Roman"/>
          <w:color w:val="auto"/>
          <w:highlight w:val="none"/>
        </w:rPr>
        <w:t>《扬尘源颗粒物排放清单编制技术指南</w:t>
      </w:r>
      <w:r>
        <w:rPr>
          <w:rFonts w:hint="eastAsia"/>
          <w:color w:val="auto"/>
          <w:highlight w:val="none"/>
          <w:lang w:eastAsia="zh-CN"/>
        </w:rPr>
        <w:t>（</w:t>
      </w:r>
      <w:r>
        <w:rPr>
          <w:rFonts w:ascii="Times New Roman"/>
          <w:color w:val="auto"/>
          <w:highlight w:val="none"/>
        </w:rPr>
        <w:t>试行</w:t>
      </w:r>
      <w:r>
        <w:rPr>
          <w:rFonts w:hint="eastAsia"/>
          <w:color w:val="auto"/>
          <w:highlight w:val="none"/>
          <w:lang w:eastAsia="zh-CN"/>
        </w:rPr>
        <w:t>）</w:t>
      </w:r>
      <w:r>
        <w:rPr>
          <w:rFonts w:ascii="Times New Roman"/>
          <w:color w:val="auto"/>
          <w:highlight w:val="none"/>
        </w:rPr>
        <w:t>》</w:t>
      </w:r>
      <w:r>
        <w:rPr>
          <w:rFonts w:ascii="Times New Roman"/>
          <w:color w:val="auto"/>
          <w:highlight w:val="none"/>
        </w:rPr>
        <w:fldChar w:fldCharType="end"/>
      </w:r>
      <w:r>
        <w:rPr>
          <w:rFonts w:ascii="Times New Roman"/>
          <w:color w:val="auto"/>
          <w:highlight w:val="none"/>
        </w:rPr>
        <w:t>中</w:t>
      </w:r>
      <w:r>
        <w:rPr>
          <w:rFonts w:hint="eastAsia" w:ascii="Times New Roman"/>
          <w:color w:val="auto"/>
          <w:highlight w:val="none"/>
        </w:rPr>
        <w:t>表7</w:t>
      </w:r>
      <w:r>
        <w:rPr>
          <w:rFonts w:ascii="Times New Roman"/>
          <w:color w:val="auto"/>
          <w:highlight w:val="none"/>
        </w:rPr>
        <w:t>参考值，</w:t>
      </w:r>
      <w:r>
        <w:rPr>
          <w:rFonts w:hint="eastAsia" w:ascii="Times New Roman"/>
          <w:color w:val="auto"/>
          <w:highlight w:val="none"/>
        </w:rPr>
        <w:t>TSP</w:t>
      </w:r>
      <w:r>
        <w:rPr>
          <w:rFonts w:ascii="Times New Roman"/>
          <w:color w:val="auto"/>
          <w:highlight w:val="none"/>
        </w:rPr>
        <w:t>粒度乘数</w:t>
      </w:r>
      <w:r>
        <w:rPr>
          <w:rFonts w:hint="eastAsia" w:ascii="Times New Roman"/>
          <w:color w:val="auto"/>
          <w:highlight w:val="none"/>
        </w:rPr>
        <w:t>取</w:t>
      </w:r>
      <w:r>
        <w:rPr>
          <w:rFonts w:ascii="Times New Roman"/>
          <w:color w:val="auto"/>
          <w:highlight w:val="none"/>
        </w:rPr>
        <w:t>1691.4</w:t>
      </w:r>
      <w:r>
        <w:rPr>
          <w:rFonts w:hint="eastAsia" w:ascii="Times New Roman"/>
          <w:color w:val="auto"/>
          <w:highlight w:val="none"/>
        </w:rPr>
        <w:t>，</w:t>
      </w:r>
      <w:r>
        <w:rPr>
          <w:rFonts w:ascii="Times New Roman"/>
          <w:color w:val="auto"/>
          <w:highlight w:val="none"/>
        </w:rPr>
        <w:t>a、b</w:t>
      </w:r>
      <w:r>
        <w:rPr>
          <w:rFonts w:hint="eastAsia" w:ascii="Times New Roman"/>
          <w:color w:val="auto"/>
          <w:highlight w:val="none"/>
        </w:rPr>
        <w:t>均</w:t>
      </w:r>
      <w:r>
        <w:rPr>
          <w:rFonts w:ascii="Times New Roman"/>
          <w:color w:val="auto"/>
          <w:highlight w:val="none"/>
        </w:rPr>
        <w:t>取</w:t>
      </w:r>
      <w:r>
        <w:rPr>
          <w:rFonts w:hint="eastAsia" w:ascii="Times New Roman"/>
          <w:color w:val="auto"/>
          <w:highlight w:val="none"/>
        </w:rPr>
        <w:t>0.3</w:t>
      </w:r>
      <w:r>
        <w:rPr>
          <w:rFonts w:ascii="Times New Roman"/>
          <w:color w:val="auto"/>
          <w:highlight w:val="none"/>
        </w:rPr>
        <w:t>。</w:t>
      </w:r>
    </w:p>
    <w:p w14:paraId="2B620FAB">
      <w:pPr>
        <w:spacing w:line="360" w:lineRule="auto"/>
        <w:ind w:firstLine="480"/>
        <w:rPr>
          <w:rFonts w:ascii="Times New Roman"/>
          <w:color w:val="auto"/>
          <w:highlight w:val="none"/>
        </w:rPr>
      </w:pPr>
      <w:r>
        <w:rPr>
          <w:rFonts w:ascii="Times New Roman"/>
          <w:color w:val="auto"/>
          <w:highlight w:val="none"/>
        </w:rPr>
        <w:t>s为道路表面有效积尘率，根据相关资料查询</w:t>
      </w:r>
      <w:r>
        <w:rPr>
          <w:rFonts w:hint="eastAsia" w:ascii="Times New Roman"/>
          <w:color w:val="auto"/>
          <w:highlight w:val="none"/>
        </w:rPr>
        <w:t>可知，较差道路（积尘负荷大于1.5克/平方米）积尘负荷一般</w:t>
      </w:r>
      <w:r>
        <w:rPr>
          <w:rFonts w:ascii="Times New Roman"/>
          <w:color w:val="auto"/>
          <w:highlight w:val="none"/>
        </w:rPr>
        <w:t>取40%</w:t>
      </w:r>
      <w:r>
        <w:rPr>
          <w:rFonts w:hint="eastAsia" w:ascii="Times New Roman"/>
          <w:color w:val="auto"/>
          <w:highlight w:val="none"/>
        </w:rPr>
        <w:t>，因此未铺装道路参考较差道路积尘负荷取40%</w:t>
      </w:r>
      <w:r>
        <w:rPr>
          <w:rFonts w:ascii="Times New Roman"/>
          <w:color w:val="auto"/>
          <w:highlight w:val="none"/>
        </w:rPr>
        <w:t>。</w:t>
      </w:r>
    </w:p>
    <w:p w14:paraId="3B0710A9">
      <w:pPr>
        <w:spacing w:line="360" w:lineRule="auto"/>
        <w:ind w:firstLine="480"/>
        <w:rPr>
          <w:rFonts w:ascii="Times New Roman"/>
          <w:color w:val="auto"/>
          <w:highlight w:val="none"/>
        </w:rPr>
      </w:pPr>
      <w:r>
        <w:rPr>
          <w:rFonts w:ascii="Times New Roman"/>
          <w:color w:val="auto"/>
          <w:highlight w:val="none"/>
        </w:rPr>
        <w:t>v为平均车速，</w:t>
      </w:r>
      <w:r>
        <w:rPr>
          <w:rFonts w:hint="eastAsia" w:ascii="Times New Roman"/>
          <w:color w:val="auto"/>
          <w:highlight w:val="none"/>
        </w:rPr>
        <w:t>根据运输路线实际道路情况，</w:t>
      </w:r>
      <w:r>
        <w:rPr>
          <w:rFonts w:ascii="Times New Roman"/>
          <w:color w:val="auto"/>
          <w:highlight w:val="none"/>
        </w:rPr>
        <w:t>取80km/h。</w:t>
      </w:r>
    </w:p>
    <w:p w14:paraId="7D1A3E8D">
      <w:pPr>
        <w:spacing w:line="360" w:lineRule="auto"/>
        <w:ind w:firstLine="480"/>
        <w:rPr>
          <w:rFonts w:ascii="Times New Roman"/>
          <w:color w:val="auto"/>
          <w:highlight w:val="none"/>
        </w:rPr>
      </w:pPr>
      <w:r>
        <w:rPr>
          <w:rFonts w:ascii="Times New Roman"/>
          <w:color w:val="auto"/>
          <w:highlight w:val="none"/>
        </w:rPr>
        <w:t>M为道路积尘含水率，</w:t>
      </w:r>
      <w:r>
        <w:rPr>
          <w:rFonts w:hint="eastAsia" w:ascii="Times New Roman"/>
          <w:color w:val="auto"/>
          <w:highlight w:val="none"/>
        </w:rPr>
        <w:t>根据美国</w:t>
      </w:r>
      <w:r>
        <w:rPr>
          <w:rFonts w:ascii="Times New Roman"/>
          <w:color w:val="auto"/>
          <w:highlight w:val="none"/>
        </w:rPr>
        <w:t>EPA编制的AP-42手册中</w:t>
      </w:r>
      <w:r>
        <w:rPr>
          <w:rFonts w:hint="eastAsia" w:ascii="Times New Roman"/>
          <w:color w:val="auto"/>
          <w:highlight w:val="none"/>
        </w:rPr>
        <w:t>，</w:t>
      </w:r>
      <w:r>
        <w:rPr>
          <w:rFonts w:ascii="Times New Roman"/>
          <w:color w:val="auto"/>
          <w:highlight w:val="none"/>
        </w:rPr>
        <w:t>未铺装道路积尘的含水率</w:t>
      </w:r>
      <w:r>
        <w:rPr>
          <w:rFonts w:hint="eastAsia" w:ascii="Times New Roman"/>
          <w:color w:val="auto"/>
          <w:highlight w:val="none"/>
        </w:rPr>
        <w:t>一</w:t>
      </w:r>
      <w:r>
        <w:rPr>
          <w:rFonts w:ascii="Times New Roman"/>
          <w:color w:val="auto"/>
          <w:highlight w:val="none"/>
        </w:rPr>
        <w:t>般在0.03%</w:t>
      </w:r>
      <w:r>
        <w:rPr>
          <w:rFonts w:hint="eastAsia"/>
          <w:color w:val="auto"/>
          <w:highlight w:val="none"/>
          <w:lang w:eastAsia="zh-CN"/>
        </w:rPr>
        <w:t>～</w:t>
      </w:r>
      <w:r>
        <w:rPr>
          <w:rFonts w:ascii="Times New Roman"/>
          <w:color w:val="auto"/>
          <w:highlight w:val="none"/>
        </w:rPr>
        <w:t>13%之间，</w:t>
      </w:r>
      <w:r>
        <w:rPr>
          <w:rFonts w:hint="eastAsia" w:ascii="Times New Roman"/>
          <w:color w:val="auto"/>
          <w:highlight w:val="none"/>
        </w:rPr>
        <w:t>本项目参考区域地形地貌及积水情况，</w:t>
      </w:r>
      <w:r>
        <w:rPr>
          <w:rFonts w:ascii="Times New Roman"/>
          <w:color w:val="auto"/>
          <w:highlight w:val="none"/>
        </w:rPr>
        <w:t>取10%。</w:t>
      </w:r>
    </w:p>
    <w:p w14:paraId="3E2EE2FB">
      <w:pPr>
        <w:spacing w:line="360" w:lineRule="auto"/>
        <w:ind w:firstLine="480"/>
        <w:rPr>
          <w:rFonts w:ascii="Times New Roman"/>
          <w:color w:val="auto"/>
          <w:highlight w:val="none"/>
        </w:rPr>
      </w:pPr>
      <w:r>
        <w:rPr>
          <w:rFonts w:ascii="Times New Roman"/>
          <w:color w:val="auto"/>
          <w:highlight w:val="none"/>
        </w:rPr>
        <w:t>η为污染控制技术对扬尘的去除效率，取66%。</w:t>
      </w:r>
    </w:p>
    <w:p w14:paraId="71DF0FCE">
      <w:pPr>
        <w:spacing w:line="360" w:lineRule="auto"/>
        <w:ind w:firstLine="480"/>
        <w:rPr>
          <w:rFonts w:hint="eastAsia"/>
          <w:color w:val="auto"/>
          <w:highlight w:val="none"/>
          <w:lang w:eastAsia="zh-CN"/>
        </w:rPr>
      </w:pPr>
      <w:r>
        <w:rPr>
          <w:rFonts w:ascii="Times New Roman"/>
          <w:color w:val="auto"/>
          <w:highlight w:val="none"/>
        </w:rPr>
        <w:t>通过上式计算，E</w:t>
      </w:r>
      <w:r>
        <w:rPr>
          <w:rFonts w:ascii="Times New Roman"/>
          <w:color w:val="auto"/>
          <w:highlight w:val="none"/>
          <w:vertAlign w:val="subscript"/>
        </w:rPr>
        <w:t>UPi</w:t>
      </w:r>
      <w:r>
        <w:rPr>
          <w:rFonts w:ascii="Times New Roman"/>
          <w:color w:val="auto"/>
          <w:highlight w:val="none"/>
        </w:rPr>
        <w:t>为</w:t>
      </w:r>
      <w:r>
        <w:rPr>
          <w:rFonts w:hint="eastAsia"/>
          <w:color w:val="auto"/>
          <w:highlight w:val="none"/>
          <w:lang w:val="en-US" w:eastAsia="zh-CN"/>
        </w:rPr>
        <w:t>53.96</w:t>
      </w:r>
      <w:r>
        <w:rPr>
          <w:rFonts w:ascii="Times New Roman"/>
          <w:color w:val="auto"/>
          <w:highlight w:val="none"/>
        </w:rPr>
        <w:t>g/km</w:t>
      </w:r>
      <w:r>
        <w:rPr>
          <w:rFonts w:hint="eastAsia"/>
          <w:color w:val="auto"/>
          <w:highlight w:val="none"/>
          <w:lang w:eastAsia="zh-CN"/>
        </w:rPr>
        <w:t>。</w:t>
      </w:r>
    </w:p>
    <w:p w14:paraId="2625046B">
      <w:pPr>
        <w:spacing w:line="360" w:lineRule="auto"/>
        <w:ind w:firstLine="480"/>
        <w:rPr>
          <w:rFonts w:ascii="Times New Roman"/>
          <w:color w:val="auto"/>
          <w:highlight w:val="none"/>
        </w:rPr>
      </w:pPr>
      <w:r>
        <w:rPr>
          <w:rFonts w:hint="eastAsia" w:ascii="Times New Roman"/>
          <w:color w:val="auto"/>
          <w:highlight w:val="none"/>
        </w:rPr>
        <w:t>TSP排放量</w:t>
      </w:r>
      <w:r>
        <w:rPr>
          <w:rFonts w:hint="eastAsia"/>
          <w:color w:val="auto"/>
          <w:highlight w:val="none"/>
          <w:lang w:val="en-US" w:eastAsia="zh-CN"/>
        </w:rPr>
        <w:t>=6×1km×53.96</w:t>
      </w:r>
      <w:r>
        <w:rPr>
          <w:rFonts w:ascii="Times New Roman"/>
          <w:color w:val="auto"/>
          <w:highlight w:val="none"/>
        </w:rPr>
        <w:t>g/km</w:t>
      </w:r>
      <w:r>
        <w:rPr>
          <w:rFonts w:hint="eastAsia" w:ascii="Times New Roman"/>
          <w:color w:val="auto"/>
          <w:highlight w:val="none"/>
          <w:lang w:val="en-US" w:eastAsia="zh-CN"/>
        </w:rPr>
        <w:t>×10</w:t>
      </w:r>
      <w:r>
        <w:rPr>
          <w:rFonts w:hint="eastAsia" w:ascii="Times New Roman"/>
          <w:color w:val="auto"/>
          <w:highlight w:val="none"/>
          <w:vertAlign w:val="superscript"/>
          <w:lang w:val="en-US" w:eastAsia="zh-CN"/>
        </w:rPr>
        <w:t>-6</w:t>
      </w:r>
      <w:r>
        <w:rPr>
          <w:rFonts w:hint="eastAsia" w:ascii="Times New Roman"/>
          <w:color w:val="auto"/>
          <w:highlight w:val="none"/>
          <w:lang w:val="en-US" w:eastAsia="zh-CN"/>
        </w:rPr>
        <w:t>=0.0003t</w:t>
      </w:r>
      <w:r>
        <w:rPr>
          <w:rFonts w:hint="eastAsia"/>
          <w:color w:val="auto"/>
          <w:highlight w:val="none"/>
          <w:lang w:val="en-US" w:eastAsia="zh-CN"/>
        </w:rPr>
        <w:t>/a</w:t>
      </w:r>
      <w:r>
        <w:rPr>
          <w:rFonts w:ascii="Times New Roman"/>
          <w:color w:val="auto"/>
          <w:highlight w:val="none"/>
        </w:rPr>
        <w:t>。</w:t>
      </w:r>
    </w:p>
    <w:p w14:paraId="14EC6840">
      <w:pPr>
        <w:spacing w:line="360" w:lineRule="auto"/>
        <w:ind w:firstLine="480" w:firstLineChars="200"/>
        <w:rPr>
          <w:color w:val="auto"/>
          <w:sz w:val="24"/>
          <w:szCs w:val="22"/>
          <w:highlight w:val="none"/>
        </w:rPr>
      </w:pPr>
      <w:r>
        <w:rPr>
          <w:color w:val="auto"/>
          <w:sz w:val="24"/>
          <w:szCs w:val="22"/>
          <w:highlight w:val="none"/>
        </w:rPr>
        <w:t>（</w:t>
      </w:r>
      <w:r>
        <w:rPr>
          <w:rFonts w:hint="eastAsia"/>
          <w:color w:val="auto"/>
          <w:sz w:val="24"/>
          <w:szCs w:val="22"/>
          <w:highlight w:val="none"/>
          <w:lang w:val="en-US" w:eastAsia="zh-CN"/>
        </w:rPr>
        <w:t>3</w:t>
      </w:r>
      <w:r>
        <w:rPr>
          <w:color w:val="auto"/>
          <w:sz w:val="24"/>
          <w:szCs w:val="22"/>
          <w:highlight w:val="none"/>
        </w:rPr>
        <w:t>）回填作业机械</w:t>
      </w:r>
      <w:r>
        <w:rPr>
          <w:rFonts w:hint="eastAsia"/>
          <w:color w:val="auto"/>
          <w:sz w:val="24"/>
          <w:szCs w:val="22"/>
          <w:highlight w:val="none"/>
          <w:lang w:val="en-US" w:eastAsia="zh-CN"/>
        </w:rPr>
        <w:t>废</w:t>
      </w:r>
      <w:r>
        <w:rPr>
          <w:color w:val="auto"/>
          <w:sz w:val="24"/>
          <w:szCs w:val="22"/>
          <w:highlight w:val="none"/>
        </w:rPr>
        <w:t>气</w:t>
      </w:r>
    </w:p>
    <w:p w14:paraId="3B96DB1F">
      <w:pPr>
        <w:spacing w:line="360" w:lineRule="auto"/>
        <w:ind w:firstLine="480" w:firstLineChars="200"/>
        <w:rPr>
          <w:color w:val="auto"/>
          <w:sz w:val="24"/>
          <w:szCs w:val="22"/>
          <w:highlight w:val="none"/>
        </w:rPr>
      </w:pPr>
      <w:r>
        <w:rPr>
          <w:color w:val="auto"/>
          <w:sz w:val="24"/>
          <w:szCs w:val="22"/>
          <w:highlight w:val="none"/>
        </w:rPr>
        <w:t>作业时的废气主要由推土机、压实机、铲车、自卸车和洒水车运行时产生。参照《环境保护实用数据手册》</w:t>
      </w:r>
      <w:r>
        <w:rPr>
          <w:rFonts w:hint="eastAsia"/>
          <w:color w:val="auto"/>
          <w:sz w:val="24"/>
          <w:szCs w:val="22"/>
          <w:highlight w:val="none"/>
          <w:lang w:eastAsia="zh-CN"/>
        </w:rPr>
        <w:t>“</w:t>
      </w:r>
      <w:r>
        <w:rPr>
          <w:color w:val="auto"/>
          <w:sz w:val="24"/>
          <w:szCs w:val="22"/>
          <w:highlight w:val="none"/>
        </w:rPr>
        <w:t>汽车发动机废气中有害物</w:t>
      </w:r>
      <w:r>
        <w:rPr>
          <w:rFonts w:hint="eastAsia"/>
          <w:color w:val="auto"/>
          <w:sz w:val="24"/>
          <w:szCs w:val="22"/>
          <w:highlight w:val="none"/>
          <w:lang w:eastAsia="zh-CN"/>
        </w:rPr>
        <w:t>质</w:t>
      </w:r>
      <w:r>
        <w:rPr>
          <w:color w:val="auto"/>
          <w:sz w:val="24"/>
          <w:szCs w:val="22"/>
          <w:highlight w:val="none"/>
        </w:rPr>
        <w:t>量</w:t>
      </w:r>
      <w:r>
        <w:rPr>
          <w:rFonts w:hint="eastAsia"/>
          <w:color w:val="auto"/>
          <w:sz w:val="24"/>
          <w:szCs w:val="22"/>
          <w:highlight w:val="none"/>
          <w:lang w:eastAsia="zh-CN"/>
        </w:rPr>
        <w:t>”</w:t>
      </w:r>
      <w:r>
        <w:rPr>
          <w:color w:val="auto"/>
          <w:sz w:val="24"/>
          <w:szCs w:val="22"/>
          <w:highlight w:val="none"/>
        </w:rPr>
        <w:t>，每燃烧1t燃料机动车废气中主要污染物排放系数</w:t>
      </w:r>
      <w:r>
        <w:rPr>
          <w:rFonts w:hint="eastAsia"/>
          <w:color w:val="auto"/>
          <w:sz w:val="24"/>
          <w:szCs w:val="22"/>
          <w:highlight w:val="none"/>
          <w:lang w:eastAsia="zh-CN"/>
        </w:rPr>
        <w:t>如</w:t>
      </w:r>
      <w:r>
        <w:rPr>
          <w:color w:val="auto"/>
          <w:sz w:val="24"/>
          <w:szCs w:val="22"/>
          <w:highlight w:val="none"/>
        </w:rPr>
        <w:t>下表所示。</w:t>
      </w:r>
    </w:p>
    <w:p w14:paraId="017143C8">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cs="Times New Roman"/>
          <w:b/>
          <w:bCs w:val="0"/>
          <w:color w:val="auto"/>
          <w:kern w:val="2"/>
          <w:sz w:val="24"/>
          <w:szCs w:val="24"/>
          <w:highlight w:val="none"/>
          <w:lang w:val="zh-CN" w:eastAsia="zh-CN" w:bidi="ar-SA"/>
        </w:rPr>
      </w:pPr>
      <w:r>
        <w:rPr>
          <w:rFonts w:hint="eastAsia" w:ascii="Times New Roman" w:hAnsi="Times New Roman" w:cs="Times New Roman"/>
          <w:b/>
          <w:bCs w:val="0"/>
          <w:color w:val="auto"/>
          <w:kern w:val="2"/>
          <w:sz w:val="24"/>
          <w:szCs w:val="24"/>
          <w:highlight w:val="none"/>
          <w:lang w:val="zh-CN" w:eastAsia="zh-CN" w:bidi="ar-SA"/>
        </w:rPr>
        <w:t>表3</w:t>
      </w:r>
      <w:r>
        <w:rPr>
          <w:rFonts w:hint="eastAsia" w:ascii="Times New Roman" w:hAnsi="Times New Roman" w:cs="Times New Roman"/>
          <w:b/>
          <w:bCs w:val="0"/>
          <w:color w:val="auto"/>
          <w:kern w:val="2"/>
          <w:sz w:val="24"/>
          <w:szCs w:val="24"/>
          <w:highlight w:val="none"/>
          <w:lang w:val="en-US" w:eastAsia="zh-CN" w:bidi="ar-SA"/>
        </w:rPr>
        <w:t xml:space="preserve">.3-4  </w:t>
      </w:r>
      <w:r>
        <w:rPr>
          <w:rFonts w:hint="eastAsia" w:ascii="Times New Roman" w:hAnsi="Times New Roman" w:cs="Times New Roman"/>
          <w:b/>
          <w:bCs w:val="0"/>
          <w:color w:val="auto"/>
          <w:kern w:val="2"/>
          <w:sz w:val="24"/>
          <w:szCs w:val="24"/>
          <w:highlight w:val="none"/>
          <w:lang w:val="zh-CN" w:eastAsia="zh-CN" w:bidi="ar-SA"/>
        </w:rPr>
        <w:t>机动车消耗单位燃料大气污染物排放系数（kg/t）</w:t>
      </w:r>
    </w:p>
    <w:tbl>
      <w:tblPr>
        <w:tblStyle w:val="135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610"/>
        <w:gridCol w:w="1973"/>
        <w:gridCol w:w="1975"/>
        <w:gridCol w:w="1970"/>
      </w:tblGrid>
      <w:tr w14:paraId="09BA53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1530" w:type="pct"/>
            <w:tcBorders>
              <w:top w:val="single" w:color="auto" w:sz="8" w:space="0"/>
              <w:tl2br w:val="single" w:color="auto" w:sz="4" w:space="0"/>
            </w:tcBorders>
            <w:noWrap w:val="0"/>
            <w:vAlign w:val="center"/>
          </w:tcPr>
          <w:p w14:paraId="3BB9318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污染物</w:t>
            </w:r>
          </w:p>
          <w:p w14:paraId="32A3B1F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left"/>
              <w:textAlignment w:val="auto"/>
              <w:rPr>
                <w:snapToGrid w:val="0"/>
                <w:color w:val="auto"/>
                <w:sz w:val="21"/>
                <w:szCs w:val="21"/>
                <w:highlight w:val="none"/>
                <w:lang w:val="zh-CN"/>
              </w:rPr>
            </w:pPr>
            <w:r>
              <w:rPr>
                <w:snapToGrid w:val="0"/>
                <w:color w:val="auto"/>
                <w:sz w:val="21"/>
                <w:szCs w:val="21"/>
                <w:highlight w:val="none"/>
                <w:lang w:val="zh-CN"/>
              </w:rPr>
              <w:t>车种（燃料）</w:t>
            </w:r>
          </w:p>
        </w:tc>
        <w:tc>
          <w:tcPr>
            <w:tcW w:w="1157" w:type="pct"/>
            <w:tcBorders>
              <w:top w:val="single" w:color="auto" w:sz="8" w:space="0"/>
            </w:tcBorders>
            <w:noWrap w:val="0"/>
            <w:vAlign w:val="center"/>
          </w:tcPr>
          <w:p w14:paraId="6B7FE3C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CO</w:t>
            </w:r>
          </w:p>
        </w:tc>
        <w:tc>
          <w:tcPr>
            <w:tcW w:w="1158" w:type="pct"/>
            <w:tcBorders>
              <w:top w:val="single" w:color="auto" w:sz="8" w:space="0"/>
            </w:tcBorders>
            <w:noWrap w:val="0"/>
            <w:vAlign w:val="center"/>
          </w:tcPr>
          <w:p w14:paraId="378B7A3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NO</w:t>
            </w:r>
            <w:r>
              <w:rPr>
                <w:snapToGrid w:val="0"/>
                <w:color w:val="auto"/>
                <w:sz w:val="21"/>
                <w:szCs w:val="21"/>
                <w:highlight w:val="none"/>
                <w:vertAlign w:val="subscript"/>
                <w:lang w:val="zh-CN"/>
              </w:rPr>
              <w:t>x</w:t>
            </w:r>
          </w:p>
        </w:tc>
        <w:tc>
          <w:tcPr>
            <w:tcW w:w="1156" w:type="pct"/>
            <w:tcBorders>
              <w:top w:val="single" w:color="auto" w:sz="8" w:space="0"/>
            </w:tcBorders>
            <w:noWrap w:val="0"/>
            <w:vAlign w:val="center"/>
          </w:tcPr>
          <w:p w14:paraId="235A420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HC</w:t>
            </w:r>
          </w:p>
        </w:tc>
      </w:tr>
      <w:tr w14:paraId="127C5F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1530" w:type="pct"/>
            <w:tcBorders>
              <w:bottom w:val="single" w:color="auto" w:sz="8" w:space="0"/>
            </w:tcBorders>
            <w:noWrap w:val="0"/>
            <w:vAlign w:val="center"/>
          </w:tcPr>
          <w:p w14:paraId="3CF3E39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汽车（柴油）</w:t>
            </w:r>
          </w:p>
        </w:tc>
        <w:tc>
          <w:tcPr>
            <w:tcW w:w="1157" w:type="pct"/>
            <w:tcBorders>
              <w:bottom w:val="single" w:color="auto" w:sz="8" w:space="0"/>
            </w:tcBorders>
            <w:noWrap w:val="0"/>
            <w:vAlign w:val="center"/>
          </w:tcPr>
          <w:p w14:paraId="18A88C0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28.4</w:t>
            </w:r>
          </w:p>
        </w:tc>
        <w:tc>
          <w:tcPr>
            <w:tcW w:w="1158" w:type="pct"/>
            <w:tcBorders>
              <w:bottom w:val="single" w:color="auto" w:sz="8" w:space="0"/>
            </w:tcBorders>
            <w:noWrap w:val="0"/>
            <w:vAlign w:val="center"/>
          </w:tcPr>
          <w:p w14:paraId="09A9D56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40.8</w:t>
            </w:r>
          </w:p>
        </w:tc>
        <w:tc>
          <w:tcPr>
            <w:tcW w:w="1156" w:type="pct"/>
            <w:tcBorders>
              <w:bottom w:val="single" w:color="auto" w:sz="8" w:space="0"/>
            </w:tcBorders>
            <w:noWrap w:val="0"/>
            <w:vAlign w:val="center"/>
          </w:tcPr>
          <w:p w14:paraId="42FBCAC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snapToGrid w:val="0"/>
                <w:color w:val="auto"/>
                <w:sz w:val="21"/>
                <w:szCs w:val="21"/>
                <w:highlight w:val="none"/>
                <w:lang w:val="zh-CN"/>
              </w:rPr>
            </w:pPr>
            <w:r>
              <w:rPr>
                <w:snapToGrid w:val="0"/>
                <w:color w:val="auto"/>
                <w:sz w:val="21"/>
                <w:szCs w:val="21"/>
                <w:highlight w:val="none"/>
                <w:lang w:val="zh-CN"/>
              </w:rPr>
              <w:t>9.1</w:t>
            </w:r>
          </w:p>
        </w:tc>
      </w:tr>
    </w:tbl>
    <w:p w14:paraId="52D23E19">
      <w:pPr>
        <w:spacing w:line="360" w:lineRule="auto"/>
        <w:ind w:firstLine="480" w:firstLineChars="200"/>
        <w:rPr>
          <w:color w:val="auto"/>
          <w:sz w:val="24"/>
          <w:szCs w:val="22"/>
          <w:highlight w:val="none"/>
        </w:rPr>
      </w:pPr>
      <w:r>
        <w:rPr>
          <w:color w:val="auto"/>
          <w:sz w:val="24"/>
          <w:szCs w:val="22"/>
          <w:highlight w:val="none"/>
        </w:rPr>
        <w:t>考虑1台推土机、1台压实机、1台铲车、</w:t>
      </w:r>
      <w:r>
        <w:rPr>
          <w:rFonts w:hint="eastAsia"/>
          <w:color w:val="auto"/>
          <w:sz w:val="24"/>
          <w:szCs w:val="22"/>
          <w:highlight w:val="none"/>
          <w:lang w:val="en-US" w:eastAsia="zh-CN"/>
        </w:rPr>
        <w:t>6</w:t>
      </w:r>
      <w:r>
        <w:rPr>
          <w:color w:val="auto"/>
          <w:sz w:val="24"/>
          <w:szCs w:val="22"/>
          <w:highlight w:val="none"/>
        </w:rPr>
        <w:t>辆自卸车和1台洒水车同时作业时，作业机械在回填的平均行车距离为0.2km，车辆耗油量为0.02L/辆（按平均车辆油耗每百公里10L计），耗柴油量0.</w:t>
      </w:r>
      <w:r>
        <w:rPr>
          <w:rFonts w:hint="eastAsia"/>
          <w:color w:val="auto"/>
          <w:sz w:val="24"/>
          <w:szCs w:val="22"/>
          <w:highlight w:val="none"/>
          <w:lang w:val="en-US" w:eastAsia="zh-CN"/>
        </w:rPr>
        <w:t>2</w:t>
      </w:r>
      <w:r>
        <w:rPr>
          <w:color w:val="auto"/>
          <w:sz w:val="24"/>
          <w:szCs w:val="22"/>
          <w:highlight w:val="none"/>
        </w:rPr>
        <w:t>L/d，柴油的密度为0.83kg/L，则车辆耗油量为柴油0.</w:t>
      </w:r>
      <w:r>
        <w:rPr>
          <w:rFonts w:hint="eastAsia"/>
          <w:color w:val="auto"/>
          <w:sz w:val="24"/>
          <w:szCs w:val="22"/>
          <w:highlight w:val="none"/>
          <w:lang w:val="en-US" w:eastAsia="zh-CN"/>
        </w:rPr>
        <w:t>1</w:t>
      </w:r>
      <w:r>
        <w:rPr>
          <w:color w:val="auto"/>
          <w:sz w:val="24"/>
          <w:szCs w:val="22"/>
          <w:highlight w:val="none"/>
        </w:rPr>
        <w:t>66kg/d，继而得出大气污染物排放量为：CO 0.00</w:t>
      </w:r>
      <w:r>
        <w:rPr>
          <w:rFonts w:hint="eastAsia"/>
          <w:color w:val="auto"/>
          <w:sz w:val="24"/>
          <w:szCs w:val="22"/>
          <w:highlight w:val="none"/>
          <w:lang w:val="en-US" w:eastAsia="zh-CN"/>
        </w:rPr>
        <w:t>47</w:t>
      </w:r>
      <w:r>
        <w:rPr>
          <w:color w:val="auto"/>
          <w:sz w:val="24"/>
          <w:szCs w:val="22"/>
          <w:highlight w:val="none"/>
        </w:rPr>
        <w:t>kg/d，HC 0.00</w:t>
      </w:r>
      <w:r>
        <w:rPr>
          <w:rFonts w:hint="eastAsia"/>
          <w:color w:val="auto"/>
          <w:sz w:val="24"/>
          <w:szCs w:val="22"/>
          <w:highlight w:val="none"/>
          <w:lang w:val="en-US" w:eastAsia="zh-CN"/>
        </w:rPr>
        <w:t>15</w:t>
      </w:r>
      <w:r>
        <w:rPr>
          <w:color w:val="auto"/>
          <w:sz w:val="24"/>
          <w:szCs w:val="22"/>
          <w:highlight w:val="none"/>
        </w:rPr>
        <w:t>kg/d，NOx 0.00</w:t>
      </w:r>
      <w:r>
        <w:rPr>
          <w:rFonts w:hint="eastAsia"/>
          <w:color w:val="auto"/>
          <w:sz w:val="24"/>
          <w:szCs w:val="22"/>
          <w:highlight w:val="none"/>
          <w:lang w:val="en-US" w:eastAsia="zh-CN"/>
        </w:rPr>
        <w:t>68</w:t>
      </w:r>
      <w:r>
        <w:rPr>
          <w:color w:val="auto"/>
          <w:sz w:val="24"/>
          <w:szCs w:val="22"/>
          <w:highlight w:val="none"/>
        </w:rPr>
        <w:t>kg/d。每天工作小时数按</w:t>
      </w:r>
      <w:r>
        <w:rPr>
          <w:rFonts w:hint="eastAsia"/>
          <w:color w:val="auto"/>
          <w:sz w:val="24"/>
          <w:szCs w:val="22"/>
          <w:highlight w:val="none"/>
          <w:lang w:val="en-US" w:eastAsia="zh-CN"/>
        </w:rPr>
        <w:t>8</w:t>
      </w:r>
      <w:r>
        <w:rPr>
          <w:color w:val="auto"/>
          <w:sz w:val="24"/>
          <w:szCs w:val="22"/>
          <w:highlight w:val="none"/>
        </w:rPr>
        <w:t>小时计，年工作天数按</w:t>
      </w:r>
      <w:r>
        <w:rPr>
          <w:rFonts w:hint="eastAsia"/>
          <w:color w:val="auto"/>
          <w:sz w:val="24"/>
          <w:szCs w:val="22"/>
          <w:highlight w:val="none"/>
          <w:lang w:val="en-US" w:eastAsia="zh-CN"/>
        </w:rPr>
        <w:t>300</w:t>
      </w:r>
      <w:r>
        <w:rPr>
          <w:color w:val="auto"/>
          <w:sz w:val="24"/>
          <w:szCs w:val="22"/>
          <w:highlight w:val="none"/>
        </w:rPr>
        <w:t>天计，则作业机械年产生的污染物排放量为：</w:t>
      </w:r>
      <w:bookmarkStart w:id="395" w:name="_Hlk69974169"/>
      <w:r>
        <w:rPr>
          <w:color w:val="auto"/>
          <w:sz w:val="24"/>
          <w:szCs w:val="22"/>
          <w:highlight w:val="none"/>
        </w:rPr>
        <w:t xml:space="preserve">CO </w:t>
      </w:r>
      <w:r>
        <w:rPr>
          <w:rFonts w:hint="eastAsia"/>
          <w:color w:val="auto"/>
          <w:sz w:val="24"/>
          <w:szCs w:val="22"/>
          <w:highlight w:val="none"/>
          <w:lang w:val="en-US" w:eastAsia="zh-CN"/>
        </w:rPr>
        <w:t>0.0014t/a、</w:t>
      </w:r>
      <w:r>
        <w:rPr>
          <w:color w:val="auto"/>
          <w:sz w:val="24"/>
          <w:szCs w:val="22"/>
          <w:highlight w:val="none"/>
        </w:rPr>
        <w:t>0.000</w:t>
      </w:r>
      <w:r>
        <w:rPr>
          <w:rFonts w:hint="eastAsia"/>
          <w:color w:val="auto"/>
          <w:sz w:val="24"/>
          <w:szCs w:val="22"/>
          <w:highlight w:val="none"/>
          <w:lang w:val="en-US" w:eastAsia="zh-CN"/>
        </w:rPr>
        <w:t>58</w:t>
      </w:r>
      <w:r>
        <w:rPr>
          <w:color w:val="auto"/>
          <w:sz w:val="24"/>
          <w:szCs w:val="22"/>
          <w:highlight w:val="none"/>
        </w:rPr>
        <w:t>kg/h</w:t>
      </w:r>
      <w:r>
        <w:rPr>
          <w:rFonts w:hint="eastAsia"/>
          <w:color w:val="auto"/>
          <w:sz w:val="24"/>
          <w:szCs w:val="22"/>
          <w:highlight w:val="none"/>
          <w:lang w:eastAsia="zh-CN"/>
        </w:rPr>
        <w:t>、</w:t>
      </w:r>
      <w:r>
        <w:rPr>
          <w:color w:val="auto"/>
          <w:sz w:val="24"/>
          <w:szCs w:val="22"/>
          <w:highlight w:val="none"/>
        </w:rPr>
        <w:t xml:space="preserve">，HC </w:t>
      </w:r>
      <w:r>
        <w:rPr>
          <w:rFonts w:hint="eastAsia"/>
          <w:color w:val="auto"/>
          <w:sz w:val="24"/>
          <w:szCs w:val="22"/>
          <w:highlight w:val="none"/>
          <w:lang w:val="en-US" w:eastAsia="zh-CN"/>
        </w:rPr>
        <w:t>0.00045t/a、</w:t>
      </w:r>
      <w:r>
        <w:rPr>
          <w:color w:val="auto"/>
          <w:sz w:val="24"/>
          <w:szCs w:val="22"/>
          <w:highlight w:val="none"/>
        </w:rPr>
        <w:t>0.000</w:t>
      </w:r>
      <w:r>
        <w:rPr>
          <w:rFonts w:hint="eastAsia"/>
          <w:color w:val="auto"/>
          <w:sz w:val="24"/>
          <w:szCs w:val="22"/>
          <w:highlight w:val="none"/>
          <w:lang w:val="en-US" w:eastAsia="zh-CN"/>
        </w:rPr>
        <w:t>2</w:t>
      </w:r>
      <w:r>
        <w:rPr>
          <w:color w:val="auto"/>
          <w:sz w:val="24"/>
          <w:szCs w:val="22"/>
          <w:highlight w:val="none"/>
        </w:rPr>
        <w:t>kg/h，NOx</w:t>
      </w:r>
      <w:r>
        <w:rPr>
          <w:rFonts w:hint="eastAsia"/>
          <w:color w:val="auto"/>
          <w:sz w:val="24"/>
          <w:szCs w:val="22"/>
          <w:highlight w:val="none"/>
          <w:lang w:val="en-US" w:eastAsia="zh-CN"/>
        </w:rPr>
        <w:t>0.002t/a</w:t>
      </w:r>
      <w:r>
        <w:rPr>
          <w:rFonts w:hint="eastAsia"/>
          <w:color w:val="auto"/>
          <w:sz w:val="24"/>
          <w:szCs w:val="22"/>
          <w:highlight w:val="none"/>
          <w:lang w:eastAsia="zh-CN"/>
        </w:rPr>
        <w:t>、</w:t>
      </w:r>
      <w:r>
        <w:rPr>
          <w:color w:val="auto"/>
          <w:sz w:val="24"/>
          <w:szCs w:val="22"/>
          <w:highlight w:val="none"/>
        </w:rPr>
        <w:t>0.000</w:t>
      </w:r>
      <w:r>
        <w:rPr>
          <w:rFonts w:hint="eastAsia"/>
          <w:color w:val="auto"/>
          <w:sz w:val="24"/>
          <w:szCs w:val="22"/>
          <w:highlight w:val="none"/>
          <w:lang w:val="en-US" w:eastAsia="zh-CN"/>
        </w:rPr>
        <w:t>85</w:t>
      </w:r>
      <w:r>
        <w:rPr>
          <w:color w:val="auto"/>
          <w:sz w:val="24"/>
          <w:szCs w:val="22"/>
          <w:highlight w:val="none"/>
        </w:rPr>
        <w:t>kg/h</w:t>
      </w:r>
      <w:bookmarkEnd w:id="395"/>
      <w:r>
        <w:rPr>
          <w:color w:val="auto"/>
          <w:sz w:val="24"/>
          <w:szCs w:val="22"/>
          <w:highlight w:val="none"/>
        </w:rPr>
        <w:t>。</w:t>
      </w:r>
    </w:p>
    <w:p w14:paraId="4455BA24">
      <w:pPr>
        <w:spacing w:line="360" w:lineRule="auto"/>
        <w:ind w:firstLine="480"/>
        <w:rPr>
          <w:color w:val="auto"/>
          <w:highlight w:val="none"/>
        </w:rPr>
      </w:pPr>
      <w:r>
        <w:rPr>
          <w:rFonts w:ascii="Times New Roman"/>
          <w:color w:val="auto"/>
          <w:highlight w:val="none"/>
        </w:rPr>
        <w:t>本项目废气污染物排放情况详见表3</w:t>
      </w:r>
      <w:r>
        <w:rPr>
          <w:rFonts w:hint="eastAsia"/>
          <w:color w:val="auto"/>
          <w:highlight w:val="none"/>
          <w:lang w:val="en-US" w:eastAsia="zh-CN"/>
        </w:rPr>
        <w:t>.</w:t>
      </w:r>
      <w:r>
        <w:rPr>
          <w:rFonts w:hint="eastAsia" w:ascii="Times New Roman"/>
          <w:color w:val="auto"/>
          <w:highlight w:val="none"/>
        </w:rPr>
        <w:t>3</w:t>
      </w:r>
      <w:r>
        <w:rPr>
          <w:rFonts w:ascii="Times New Roman"/>
          <w:color w:val="auto"/>
          <w:highlight w:val="none"/>
        </w:rPr>
        <w:t>-</w:t>
      </w:r>
      <w:r>
        <w:rPr>
          <w:rFonts w:hint="eastAsia"/>
          <w:color w:val="auto"/>
          <w:highlight w:val="none"/>
          <w:lang w:val="en-US" w:eastAsia="zh-CN"/>
        </w:rPr>
        <w:t>5</w:t>
      </w:r>
      <w:r>
        <w:rPr>
          <w:rFonts w:ascii="Times New Roman"/>
          <w:color w:val="auto"/>
          <w:highlight w:val="none"/>
        </w:rPr>
        <w:t>。</w:t>
      </w:r>
    </w:p>
    <w:p w14:paraId="219456C8">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cs="Times New Roman"/>
          <w:b/>
          <w:bCs w:val="0"/>
          <w:color w:val="auto"/>
          <w:kern w:val="2"/>
          <w:sz w:val="24"/>
          <w:szCs w:val="24"/>
          <w:highlight w:val="none"/>
          <w:lang w:val="zh-CN" w:eastAsia="zh-CN" w:bidi="ar-SA"/>
        </w:rPr>
      </w:pPr>
      <w:r>
        <w:rPr>
          <w:rFonts w:hint="eastAsia" w:ascii="Times New Roman" w:hAnsi="Times New Roman" w:cs="Times New Roman"/>
          <w:b/>
          <w:bCs w:val="0"/>
          <w:color w:val="auto"/>
          <w:kern w:val="2"/>
          <w:sz w:val="24"/>
          <w:szCs w:val="24"/>
          <w:highlight w:val="none"/>
          <w:lang w:val="zh-CN" w:eastAsia="zh-CN" w:bidi="ar-SA"/>
        </w:rPr>
        <w:t>表3</w:t>
      </w:r>
      <w:r>
        <w:rPr>
          <w:rFonts w:hint="eastAsia" w:ascii="Times New Roman" w:hAnsi="Times New Roman" w:cs="Times New Roman"/>
          <w:b/>
          <w:bCs w:val="0"/>
          <w:color w:val="auto"/>
          <w:kern w:val="2"/>
          <w:sz w:val="24"/>
          <w:szCs w:val="24"/>
          <w:highlight w:val="none"/>
          <w:lang w:val="en-US" w:eastAsia="zh-CN" w:bidi="ar-SA"/>
        </w:rPr>
        <w:t>.</w:t>
      </w:r>
      <w:r>
        <w:rPr>
          <w:rFonts w:hint="eastAsia" w:ascii="Times New Roman" w:hAnsi="Times New Roman" w:cs="Times New Roman"/>
          <w:b/>
          <w:bCs w:val="0"/>
          <w:color w:val="auto"/>
          <w:kern w:val="2"/>
          <w:sz w:val="24"/>
          <w:szCs w:val="24"/>
          <w:highlight w:val="none"/>
          <w:lang w:val="zh-CN" w:eastAsia="zh-CN" w:bidi="ar-SA"/>
        </w:rPr>
        <w:t>3-</w:t>
      </w:r>
      <w:r>
        <w:rPr>
          <w:rFonts w:hint="eastAsia" w:ascii="Times New Roman" w:hAnsi="Times New Roman" w:cs="Times New Roman"/>
          <w:b/>
          <w:bCs w:val="0"/>
          <w:color w:val="auto"/>
          <w:kern w:val="2"/>
          <w:sz w:val="24"/>
          <w:szCs w:val="24"/>
          <w:highlight w:val="none"/>
          <w:lang w:val="en-US" w:eastAsia="zh-CN" w:bidi="ar-SA"/>
        </w:rPr>
        <w:t xml:space="preserve">5  </w:t>
      </w:r>
      <w:r>
        <w:rPr>
          <w:rFonts w:hint="eastAsia" w:ascii="Times New Roman" w:hAnsi="Times New Roman" w:cs="Times New Roman"/>
          <w:b/>
          <w:bCs w:val="0"/>
          <w:color w:val="auto"/>
          <w:kern w:val="2"/>
          <w:sz w:val="24"/>
          <w:szCs w:val="24"/>
          <w:highlight w:val="none"/>
          <w:lang w:val="zh-CN" w:eastAsia="zh-CN" w:bidi="ar-SA"/>
        </w:rPr>
        <w:t>废气污染物排放情况</w:t>
      </w:r>
    </w:p>
    <w:tbl>
      <w:tblPr>
        <w:tblStyle w:val="84"/>
        <w:tblW w:w="5159" w:type="pct"/>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30"/>
        <w:gridCol w:w="691"/>
        <w:gridCol w:w="434"/>
        <w:gridCol w:w="699"/>
        <w:gridCol w:w="765"/>
        <w:gridCol w:w="791"/>
        <w:gridCol w:w="787"/>
        <w:gridCol w:w="866"/>
        <w:gridCol w:w="478"/>
        <w:gridCol w:w="639"/>
        <w:gridCol w:w="750"/>
        <w:gridCol w:w="756"/>
        <w:gridCol w:w="714"/>
      </w:tblGrid>
      <w:tr w14:paraId="6F246FD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4" w:type="pct"/>
            <w:vMerge w:val="restart"/>
            <w:tcBorders>
              <w:tl2br w:val="nil"/>
              <w:tr2bl w:val="nil"/>
            </w:tcBorders>
            <w:noWrap w:val="0"/>
            <w:vAlign w:val="center"/>
          </w:tcPr>
          <w:p w14:paraId="6C4387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工序</w:t>
            </w:r>
          </w:p>
        </w:tc>
        <w:tc>
          <w:tcPr>
            <w:tcW w:w="392" w:type="pct"/>
            <w:vMerge w:val="restart"/>
            <w:tcBorders>
              <w:tl2br w:val="nil"/>
              <w:tr2bl w:val="nil"/>
            </w:tcBorders>
            <w:noWrap w:val="0"/>
            <w:vAlign w:val="center"/>
          </w:tcPr>
          <w:p w14:paraId="7ECB73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装置</w:t>
            </w:r>
          </w:p>
        </w:tc>
        <w:tc>
          <w:tcPr>
            <w:tcW w:w="246" w:type="pct"/>
            <w:vMerge w:val="restart"/>
            <w:tcBorders>
              <w:tl2br w:val="nil"/>
              <w:tr2bl w:val="nil"/>
            </w:tcBorders>
            <w:noWrap w:val="0"/>
            <w:vAlign w:val="center"/>
          </w:tcPr>
          <w:p w14:paraId="35DA3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污染源</w:t>
            </w:r>
          </w:p>
        </w:tc>
        <w:tc>
          <w:tcPr>
            <w:tcW w:w="397" w:type="pct"/>
            <w:vMerge w:val="restart"/>
            <w:tcBorders>
              <w:tl2br w:val="nil"/>
              <w:tr2bl w:val="nil"/>
            </w:tcBorders>
            <w:noWrap w:val="0"/>
            <w:vAlign w:val="center"/>
          </w:tcPr>
          <w:p w14:paraId="2BB409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污染物</w:t>
            </w:r>
          </w:p>
        </w:tc>
        <w:tc>
          <w:tcPr>
            <w:tcW w:w="1331" w:type="pct"/>
            <w:gridSpan w:val="3"/>
            <w:tcBorders>
              <w:tl2br w:val="nil"/>
              <w:tr2bl w:val="nil"/>
            </w:tcBorders>
            <w:noWrap w:val="0"/>
            <w:vAlign w:val="center"/>
          </w:tcPr>
          <w:p w14:paraId="663D36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污染物产生</w:t>
            </w:r>
          </w:p>
        </w:tc>
        <w:tc>
          <w:tcPr>
            <w:tcW w:w="763" w:type="pct"/>
            <w:gridSpan w:val="2"/>
            <w:tcBorders>
              <w:tl2br w:val="nil"/>
              <w:tr2bl w:val="nil"/>
            </w:tcBorders>
            <w:noWrap w:val="0"/>
            <w:vAlign w:val="center"/>
          </w:tcPr>
          <w:p w14:paraId="024E06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治理措施</w:t>
            </w:r>
          </w:p>
        </w:tc>
        <w:tc>
          <w:tcPr>
            <w:tcW w:w="1218" w:type="pct"/>
            <w:gridSpan w:val="3"/>
            <w:tcBorders>
              <w:tl2br w:val="nil"/>
              <w:tr2bl w:val="nil"/>
            </w:tcBorders>
            <w:noWrap w:val="0"/>
            <w:vAlign w:val="center"/>
          </w:tcPr>
          <w:p w14:paraId="69D685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污染物排放</w:t>
            </w:r>
          </w:p>
        </w:tc>
        <w:tc>
          <w:tcPr>
            <w:tcW w:w="405" w:type="pct"/>
            <w:vMerge w:val="restart"/>
            <w:tcBorders>
              <w:tl2br w:val="nil"/>
              <w:tr2bl w:val="nil"/>
            </w:tcBorders>
            <w:noWrap w:val="0"/>
            <w:vAlign w:val="center"/>
          </w:tcPr>
          <w:p w14:paraId="3705BB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工作时间</w:t>
            </w:r>
          </w:p>
          <w:p w14:paraId="2DF54F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h</w:t>
            </w:r>
          </w:p>
        </w:tc>
      </w:tr>
      <w:tr w14:paraId="66B9999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4" w:type="pct"/>
            <w:vMerge w:val="continue"/>
            <w:tcBorders>
              <w:tl2br w:val="nil"/>
              <w:tr2bl w:val="nil"/>
            </w:tcBorders>
            <w:noWrap w:val="0"/>
            <w:vAlign w:val="center"/>
          </w:tcPr>
          <w:p w14:paraId="5BDFA0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c>
          <w:tcPr>
            <w:tcW w:w="392" w:type="pct"/>
            <w:vMerge w:val="continue"/>
            <w:tcBorders>
              <w:tl2br w:val="nil"/>
              <w:tr2bl w:val="nil"/>
            </w:tcBorders>
            <w:noWrap w:val="0"/>
            <w:vAlign w:val="center"/>
          </w:tcPr>
          <w:p w14:paraId="29C48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c>
          <w:tcPr>
            <w:tcW w:w="246" w:type="pct"/>
            <w:vMerge w:val="continue"/>
            <w:tcBorders>
              <w:tl2br w:val="nil"/>
              <w:tr2bl w:val="nil"/>
            </w:tcBorders>
            <w:noWrap w:val="0"/>
            <w:vAlign w:val="center"/>
          </w:tcPr>
          <w:p w14:paraId="27DB4B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c>
          <w:tcPr>
            <w:tcW w:w="397" w:type="pct"/>
            <w:vMerge w:val="continue"/>
            <w:tcBorders>
              <w:tl2br w:val="nil"/>
              <w:tr2bl w:val="nil"/>
            </w:tcBorders>
            <w:noWrap w:val="0"/>
            <w:vAlign w:val="center"/>
          </w:tcPr>
          <w:p w14:paraId="55C0AB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c>
          <w:tcPr>
            <w:tcW w:w="434" w:type="pct"/>
            <w:tcBorders>
              <w:tl2br w:val="nil"/>
              <w:tr2bl w:val="nil"/>
            </w:tcBorders>
            <w:noWrap w:val="0"/>
            <w:vAlign w:val="center"/>
          </w:tcPr>
          <w:p w14:paraId="09886C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核算方法</w:t>
            </w:r>
          </w:p>
        </w:tc>
        <w:tc>
          <w:tcPr>
            <w:tcW w:w="449" w:type="pct"/>
            <w:tcBorders>
              <w:tl2br w:val="nil"/>
              <w:tr2bl w:val="nil"/>
            </w:tcBorders>
            <w:noWrap w:val="0"/>
            <w:vAlign w:val="center"/>
          </w:tcPr>
          <w:p w14:paraId="6F6F0F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产生量kg/h</w:t>
            </w:r>
          </w:p>
        </w:tc>
        <w:tc>
          <w:tcPr>
            <w:tcW w:w="447" w:type="pct"/>
            <w:tcBorders>
              <w:tl2br w:val="nil"/>
              <w:tr2bl w:val="nil"/>
            </w:tcBorders>
            <w:noWrap w:val="0"/>
            <w:vAlign w:val="center"/>
          </w:tcPr>
          <w:p w14:paraId="54D2A90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产生量t/a</w:t>
            </w:r>
          </w:p>
        </w:tc>
        <w:tc>
          <w:tcPr>
            <w:tcW w:w="492" w:type="pct"/>
            <w:tcBorders>
              <w:tl2br w:val="nil"/>
              <w:tr2bl w:val="nil"/>
            </w:tcBorders>
            <w:noWrap w:val="0"/>
            <w:vAlign w:val="center"/>
          </w:tcPr>
          <w:p w14:paraId="4FF660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工艺</w:t>
            </w:r>
          </w:p>
        </w:tc>
        <w:tc>
          <w:tcPr>
            <w:tcW w:w="271" w:type="pct"/>
            <w:tcBorders>
              <w:tl2br w:val="nil"/>
              <w:tr2bl w:val="nil"/>
            </w:tcBorders>
            <w:noWrap w:val="0"/>
            <w:vAlign w:val="center"/>
          </w:tcPr>
          <w:p w14:paraId="33F6D6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效率%</w:t>
            </w:r>
          </w:p>
        </w:tc>
        <w:tc>
          <w:tcPr>
            <w:tcW w:w="363" w:type="pct"/>
            <w:tcBorders>
              <w:tl2br w:val="nil"/>
              <w:tr2bl w:val="nil"/>
            </w:tcBorders>
            <w:noWrap w:val="0"/>
            <w:vAlign w:val="center"/>
          </w:tcPr>
          <w:p w14:paraId="6AB823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核算方法</w:t>
            </w:r>
          </w:p>
        </w:tc>
        <w:tc>
          <w:tcPr>
            <w:tcW w:w="426" w:type="pct"/>
            <w:tcBorders>
              <w:tl2br w:val="nil"/>
              <w:tr2bl w:val="nil"/>
            </w:tcBorders>
            <w:noWrap w:val="0"/>
            <w:vAlign w:val="center"/>
          </w:tcPr>
          <w:p w14:paraId="1D8C3E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排放</w:t>
            </w:r>
          </w:p>
          <w:p w14:paraId="3AEF4EE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量kg/h</w:t>
            </w:r>
          </w:p>
        </w:tc>
        <w:tc>
          <w:tcPr>
            <w:tcW w:w="429" w:type="pct"/>
            <w:tcBorders>
              <w:tl2br w:val="nil"/>
              <w:tr2bl w:val="nil"/>
            </w:tcBorders>
            <w:noWrap w:val="0"/>
            <w:vAlign w:val="center"/>
          </w:tcPr>
          <w:p w14:paraId="09F8318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排放量t/a</w:t>
            </w:r>
          </w:p>
        </w:tc>
        <w:tc>
          <w:tcPr>
            <w:tcW w:w="405" w:type="pct"/>
            <w:vMerge w:val="continue"/>
            <w:tcBorders>
              <w:tl2br w:val="nil"/>
              <w:tr2bl w:val="nil"/>
            </w:tcBorders>
            <w:noWrap w:val="0"/>
            <w:vAlign w:val="center"/>
          </w:tcPr>
          <w:p w14:paraId="2DBFF7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r>
      <w:tr w14:paraId="4F3F9A2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4" w:type="pct"/>
            <w:vMerge w:val="restart"/>
            <w:tcBorders>
              <w:tl2br w:val="nil"/>
              <w:tr2bl w:val="nil"/>
            </w:tcBorders>
            <w:noWrap w:val="0"/>
            <w:vAlign w:val="center"/>
          </w:tcPr>
          <w:p w14:paraId="4B8219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回填</w:t>
            </w:r>
          </w:p>
        </w:tc>
        <w:tc>
          <w:tcPr>
            <w:tcW w:w="392" w:type="pct"/>
            <w:tcBorders>
              <w:tl2br w:val="nil"/>
              <w:tr2bl w:val="nil"/>
            </w:tcBorders>
            <w:noWrap w:val="0"/>
            <w:vAlign w:val="center"/>
          </w:tcPr>
          <w:p w14:paraId="308114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14"/>
                <w:sz w:val="21"/>
                <w:szCs w:val="21"/>
                <w:highlight w:val="none"/>
                <w:lang w:val="en-US" w:eastAsia="zh-CN"/>
              </w:rPr>
            </w:pPr>
            <w:r>
              <w:rPr>
                <w:rFonts w:hint="default" w:ascii="Times New Roman" w:hAnsi="Times New Roman" w:eastAsia="宋体" w:cs="Times New Roman"/>
                <w:color w:val="auto"/>
                <w:spacing w:val="-14"/>
                <w:sz w:val="21"/>
                <w:szCs w:val="21"/>
                <w:highlight w:val="none"/>
                <w:lang w:val="en-US" w:eastAsia="zh-CN"/>
              </w:rPr>
              <w:t>回填区作业扬尘</w:t>
            </w:r>
          </w:p>
        </w:tc>
        <w:tc>
          <w:tcPr>
            <w:tcW w:w="246" w:type="pct"/>
            <w:tcBorders>
              <w:tl2br w:val="nil"/>
              <w:tr2bl w:val="nil"/>
            </w:tcBorders>
            <w:noWrap w:val="0"/>
            <w:vAlign w:val="center"/>
          </w:tcPr>
          <w:p w14:paraId="1635DE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无组织</w:t>
            </w:r>
          </w:p>
        </w:tc>
        <w:tc>
          <w:tcPr>
            <w:tcW w:w="397" w:type="pct"/>
            <w:tcBorders>
              <w:tl2br w:val="nil"/>
              <w:tr2bl w:val="nil"/>
            </w:tcBorders>
            <w:noWrap w:val="0"/>
            <w:vAlign w:val="center"/>
          </w:tcPr>
          <w:p w14:paraId="43B7668D">
            <w:pPr>
              <w:keepNext w:val="0"/>
              <w:keepLines w:val="0"/>
              <w:pageBreakBefore w:val="0"/>
              <w:widowControl w:val="0"/>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TSP</w:t>
            </w:r>
          </w:p>
        </w:tc>
        <w:tc>
          <w:tcPr>
            <w:tcW w:w="434" w:type="pct"/>
            <w:tcBorders>
              <w:tl2br w:val="nil"/>
              <w:tr2bl w:val="nil"/>
            </w:tcBorders>
            <w:noWrap w:val="0"/>
            <w:vAlign w:val="center"/>
          </w:tcPr>
          <w:p w14:paraId="403EA0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产排污系数法</w:t>
            </w:r>
          </w:p>
        </w:tc>
        <w:tc>
          <w:tcPr>
            <w:tcW w:w="449" w:type="pct"/>
            <w:tcBorders>
              <w:tl2br w:val="nil"/>
              <w:tr2bl w:val="nil"/>
            </w:tcBorders>
            <w:noWrap w:val="0"/>
            <w:vAlign w:val="center"/>
          </w:tcPr>
          <w:p w14:paraId="7AEBFD79">
            <w:pPr>
              <w:keepNext w:val="0"/>
              <w:keepLines w:val="0"/>
              <w:pageBreakBefore w:val="0"/>
              <w:widowControl w:val="0"/>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2.45</w:t>
            </w:r>
          </w:p>
        </w:tc>
        <w:tc>
          <w:tcPr>
            <w:tcW w:w="447" w:type="pct"/>
            <w:tcBorders>
              <w:tl2br w:val="nil"/>
              <w:tr2bl w:val="nil"/>
            </w:tcBorders>
            <w:noWrap w:val="0"/>
            <w:vAlign w:val="center"/>
          </w:tcPr>
          <w:p w14:paraId="2EFC7948">
            <w:pPr>
              <w:keepNext w:val="0"/>
              <w:keepLines w:val="0"/>
              <w:pageBreakBefore w:val="0"/>
              <w:widowControl w:val="0"/>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5.87</w:t>
            </w:r>
          </w:p>
        </w:tc>
        <w:tc>
          <w:tcPr>
            <w:tcW w:w="492" w:type="pct"/>
            <w:tcBorders>
              <w:tl2br w:val="nil"/>
              <w:tr2bl w:val="nil"/>
            </w:tcBorders>
            <w:noWrap w:val="0"/>
            <w:vAlign w:val="center"/>
          </w:tcPr>
          <w:p w14:paraId="1828FB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6"/>
                <w:sz w:val="21"/>
                <w:szCs w:val="21"/>
                <w:highlight w:val="none"/>
                <w:lang w:val="en-US" w:eastAsia="zh-CN"/>
              </w:rPr>
            </w:pPr>
            <w:r>
              <w:rPr>
                <w:rFonts w:hint="default" w:ascii="Times New Roman" w:hAnsi="Times New Roman" w:eastAsia="宋体" w:cs="Times New Roman"/>
                <w:color w:val="auto"/>
                <w:spacing w:val="-6"/>
                <w:sz w:val="21"/>
                <w:szCs w:val="21"/>
                <w:highlight w:val="none"/>
                <w:lang w:val="en-US" w:eastAsia="zh-CN"/>
              </w:rPr>
              <w:t>洒水抑尘，作业面四周加装隔声隔尘挡板</w:t>
            </w:r>
          </w:p>
        </w:tc>
        <w:tc>
          <w:tcPr>
            <w:tcW w:w="271" w:type="pct"/>
            <w:tcBorders>
              <w:tl2br w:val="nil"/>
              <w:tr2bl w:val="nil"/>
            </w:tcBorders>
            <w:noWrap w:val="0"/>
            <w:vAlign w:val="center"/>
          </w:tcPr>
          <w:p w14:paraId="7BCDD8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90</w:t>
            </w:r>
          </w:p>
        </w:tc>
        <w:tc>
          <w:tcPr>
            <w:tcW w:w="363" w:type="pct"/>
            <w:tcBorders>
              <w:tl2br w:val="nil"/>
              <w:tr2bl w:val="nil"/>
            </w:tcBorders>
            <w:noWrap w:val="0"/>
            <w:vAlign w:val="center"/>
          </w:tcPr>
          <w:p w14:paraId="703419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物料衡算法</w:t>
            </w:r>
          </w:p>
        </w:tc>
        <w:tc>
          <w:tcPr>
            <w:tcW w:w="426" w:type="pct"/>
            <w:tcBorders>
              <w:tl2br w:val="nil"/>
              <w:tr2bl w:val="nil"/>
            </w:tcBorders>
            <w:noWrap w:val="0"/>
            <w:vAlign w:val="center"/>
          </w:tcPr>
          <w:p w14:paraId="201FB585">
            <w:pPr>
              <w:keepNext w:val="0"/>
              <w:keepLines w:val="0"/>
              <w:pageBreakBefore w:val="0"/>
              <w:widowControl w:val="0"/>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0.245</w:t>
            </w:r>
          </w:p>
        </w:tc>
        <w:tc>
          <w:tcPr>
            <w:tcW w:w="429" w:type="pct"/>
            <w:tcBorders>
              <w:tl2br w:val="nil"/>
              <w:tr2bl w:val="nil"/>
            </w:tcBorders>
            <w:noWrap w:val="0"/>
            <w:vAlign w:val="center"/>
          </w:tcPr>
          <w:p w14:paraId="731D59AC">
            <w:pPr>
              <w:keepNext w:val="0"/>
              <w:keepLines w:val="0"/>
              <w:pageBreakBefore w:val="0"/>
              <w:widowControl w:val="0"/>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0.587</w:t>
            </w:r>
          </w:p>
        </w:tc>
        <w:tc>
          <w:tcPr>
            <w:tcW w:w="405" w:type="pct"/>
            <w:tcBorders>
              <w:tl2br w:val="nil"/>
              <w:tr2bl w:val="nil"/>
            </w:tcBorders>
            <w:noWrap w:val="0"/>
            <w:vAlign w:val="center"/>
          </w:tcPr>
          <w:p w14:paraId="0DBC55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2400</w:t>
            </w:r>
          </w:p>
        </w:tc>
      </w:tr>
      <w:tr w14:paraId="176FE58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4" w:type="pct"/>
            <w:vMerge w:val="continue"/>
            <w:tcBorders>
              <w:tl2br w:val="nil"/>
              <w:tr2bl w:val="nil"/>
            </w:tcBorders>
            <w:noWrap w:val="0"/>
            <w:vAlign w:val="center"/>
          </w:tcPr>
          <w:p w14:paraId="6F2383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392" w:type="pct"/>
            <w:tcBorders>
              <w:tl2br w:val="nil"/>
              <w:tr2bl w:val="nil"/>
            </w:tcBorders>
            <w:noWrap w:val="0"/>
            <w:vAlign w:val="center"/>
          </w:tcPr>
          <w:p w14:paraId="0C3B64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14"/>
                <w:sz w:val="21"/>
                <w:szCs w:val="21"/>
                <w:highlight w:val="none"/>
                <w:lang w:val="en-US" w:eastAsia="zh-CN"/>
              </w:rPr>
            </w:pPr>
            <w:r>
              <w:rPr>
                <w:rFonts w:hint="default" w:ascii="Times New Roman" w:hAnsi="Times New Roman" w:eastAsia="宋体" w:cs="Times New Roman"/>
                <w:color w:val="auto"/>
                <w:spacing w:val="-14"/>
                <w:sz w:val="21"/>
                <w:szCs w:val="21"/>
                <w:highlight w:val="none"/>
                <w:lang w:val="en-US" w:eastAsia="zh-CN"/>
              </w:rPr>
              <w:t>运输道路扬尘</w:t>
            </w:r>
          </w:p>
        </w:tc>
        <w:tc>
          <w:tcPr>
            <w:tcW w:w="246" w:type="pct"/>
            <w:tcBorders>
              <w:tl2br w:val="nil"/>
              <w:tr2bl w:val="nil"/>
            </w:tcBorders>
            <w:noWrap w:val="0"/>
            <w:vAlign w:val="center"/>
          </w:tcPr>
          <w:p w14:paraId="493EB9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color w:val="auto"/>
                <w:sz w:val="21"/>
                <w:szCs w:val="21"/>
                <w:highlight w:val="none"/>
              </w:rPr>
              <w:t>无组织</w:t>
            </w:r>
          </w:p>
        </w:tc>
        <w:tc>
          <w:tcPr>
            <w:tcW w:w="397" w:type="pct"/>
            <w:tcBorders>
              <w:tl2br w:val="nil"/>
              <w:tr2bl w:val="nil"/>
            </w:tcBorders>
            <w:noWrap w:val="0"/>
            <w:vAlign w:val="center"/>
          </w:tcPr>
          <w:p w14:paraId="3FB0A125">
            <w:pPr>
              <w:keepNext w:val="0"/>
              <w:keepLines w:val="0"/>
              <w:pageBreakBefore w:val="0"/>
              <w:widowControl w:val="0"/>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TSP</w:t>
            </w:r>
          </w:p>
        </w:tc>
        <w:tc>
          <w:tcPr>
            <w:tcW w:w="434" w:type="pct"/>
            <w:tcBorders>
              <w:tl2br w:val="nil"/>
              <w:tr2bl w:val="nil"/>
            </w:tcBorders>
            <w:noWrap w:val="0"/>
            <w:vAlign w:val="center"/>
          </w:tcPr>
          <w:p w14:paraId="36EAF5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产排污系数法</w:t>
            </w:r>
          </w:p>
        </w:tc>
        <w:tc>
          <w:tcPr>
            <w:tcW w:w="449" w:type="pct"/>
            <w:tcBorders>
              <w:tl2br w:val="nil"/>
              <w:tr2bl w:val="nil"/>
            </w:tcBorders>
            <w:noWrap w:val="0"/>
            <w:vAlign w:val="center"/>
          </w:tcPr>
          <w:p w14:paraId="124CAC51">
            <w:pPr>
              <w:keepNext w:val="0"/>
              <w:keepLines w:val="0"/>
              <w:pageBreakBefore w:val="0"/>
              <w:widowControl w:val="0"/>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bidi="ar-SA"/>
              </w:rPr>
              <w:t>0.00038</w:t>
            </w:r>
          </w:p>
        </w:tc>
        <w:tc>
          <w:tcPr>
            <w:tcW w:w="447" w:type="pct"/>
            <w:tcBorders>
              <w:tl2br w:val="nil"/>
              <w:tr2bl w:val="nil"/>
            </w:tcBorders>
            <w:noWrap w:val="0"/>
            <w:vAlign w:val="center"/>
          </w:tcPr>
          <w:p w14:paraId="5C0C8164">
            <w:pPr>
              <w:keepNext w:val="0"/>
              <w:keepLines w:val="0"/>
              <w:pageBreakBefore w:val="0"/>
              <w:widowControl w:val="0"/>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bidi="ar-SA"/>
              </w:rPr>
              <w:t>0.0009</w:t>
            </w:r>
          </w:p>
        </w:tc>
        <w:tc>
          <w:tcPr>
            <w:tcW w:w="492" w:type="pct"/>
            <w:tcBorders>
              <w:tl2br w:val="nil"/>
              <w:tr2bl w:val="nil"/>
            </w:tcBorders>
            <w:noWrap w:val="0"/>
            <w:vAlign w:val="center"/>
          </w:tcPr>
          <w:p w14:paraId="6542F9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6"/>
                <w:sz w:val="21"/>
                <w:szCs w:val="21"/>
                <w:highlight w:val="none"/>
                <w:lang w:val="en-US" w:eastAsia="zh-CN" w:bidi="ar-SA"/>
              </w:rPr>
            </w:pPr>
            <w:r>
              <w:rPr>
                <w:rFonts w:hint="default" w:ascii="Times New Roman" w:hAnsi="Times New Roman" w:eastAsia="宋体" w:cs="Times New Roman"/>
                <w:color w:val="auto"/>
                <w:spacing w:val="-6"/>
                <w:sz w:val="21"/>
                <w:szCs w:val="21"/>
                <w:highlight w:val="none"/>
                <w:lang w:val="en-US" w:eastAsia="zh-CN" w:bidi="ar-SA"/>
              </w:rPr>
              <w:t>密闭运输、减速慢行、洒水抑尘</w:t>
            </w:r>
          </w:p>
        </w:tc>
        <w:tc>
          <w:tcPr>
            <w:tcW w:w="271" w:type="pct"/>
            <w:tcBorders>
              <w:tl2br w:val="nil"/>
              <w:tr2bl w:val="nil"/>
            </w:tcBorders>
            <w:noWrap w:val="0"/>
            <w:vAlign w:val="center"/>
          </w:tcPr>
          <w:p w14:paraId="72EFA8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66</w:t>
            </w:r>
          </w:p>
        </w:tc>
        <w:tc>
          <w:tcPr>
            <w:tcW w:w="363" w:type="pct"/>
            <w:tcBorders>
              <w:tl2br w:val="nil"/>
              <w:tr2bl w:val="nil"/>
            </w:tcBorders>
            <w:noWrap w:val="0"/>
            <w:vAlign w:val="center"/>
          </w:tcPr>
          <w:p w14:paraId="75A9E8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物料衡算法</w:t>
            </w:r>
          </w:p>
        </w:tc>
        <w:tc>
          <w:tcPr>
            <w:tcW w:w="426" w:type="pct"/>
            <w:tcBorders>
              <w:tl2br w:val="nil"/>
              <w:tr2bl w:val="nil"/>
            </w:tcBorders>
            <w:noWrap w:val="0"/>
            <w:vAlign w:val="center"/>
          </w:tcPr>
          <w:p w14:paraId="7AB836C6">
            <w:pPr>
              <w:keepNext w:val="0"/>
              <w:keepLines w:val="0"/>
              <w:pageBreakBefore w:val="0"/>
              <w:widowControl w:val="0"/>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0.00013</w:t>
            </w:r>
          </w:p>
        </w:tc>
        <w:tc>
          <w:tcPr>
            <w:tcW w:w="429" w:type="pct"/>
            <w:tcBorders>
              <w:tl2br w:val="nil"/>
              <w:tr2bl w:val="nil"/>
            </w:tcBorders>
            <w:noWrap w:val="0"/>
            <w:vAlign w:val="center"/>
          </w:tcPr>
          <w:p w14:paraId="2E6248E6">
            <w:pPr>
              <w:keepNext w:val="0"/>
              <w:keepLines w:val="0"/>
              <w:pageBreakBefore w:val="0"/>
              <w:widowControl w:val="0"/>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0.0003</w:t>
            </w:r>
          </w:p>
        </w:tc>
        <w:tc>
          <w:tcPr>
            <w:tcW w:w="405" w:type="pct"/>
            <w:tcBorders>
              <w:tl2br w:val="nil"/>
              <w:tr2bl w:val="nil"/>
            </w:tcBorders>
            <w:noWrap w:val="0"/>
            <w:vAlign w:val="center"/>
          </w:tcPr>
          <w:p w14:paraId="4C1498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bidi="ar-SA"/>
              </w:rPr>
              <w:t>2400</w:t>
            </w:r>
          </w:p>
        </w:tc>
      </w:tr>
      <w:tr w14:paraId="4DDDBCB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4" w:type="pct"/>
            <w:vMerge w:val="continue"/>
            <w:tcBorders>
              <w:tl2br w:val="nil"/>
              <w:tr2bl w:val="nil"/>
            </w:tcBorders>
            <w:noWrap w:val="0"/>
            <w:vAlign w:val="center"/>
          </w:tcPr>
          <w:p w14:paraId="780A77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392" w:type="pct"/>
            <w:vMerge w:val="restart"/>
            <w:tcBorders>
              <w:tl2br w:val="nil"/>
              <w:tr2bl w:val="nil"/>
            </w:tcBorders>
            <w:noWrap w:val="0"/>
            <w:vAlign w:val="center"/>
          </w:tcPr>
          <w:p w14:paraId="0CD22D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14"/>
                <w:sz w:val="21"/>
                <w:szCs w:val="21"/>
                <w:highlight w:val="none"/>
                <w:lang w:val="en-US" w:eastAsia="zh-CN"/>
              </w:rPr>
            </w:pPr>
            <w:r>
              <w:rPr>
                <w:rFonts w:hint="default" w:ascii="Times New Roman" w:hAnsi="Times New Roman" w:eastAsia="宋体" w:cs="Times New Roman"/>
                <w:color w:val="auto"/>
                <w:spacing w:val="-14"/>
                <w:sz w:val="21"/>
                <w:szCs w:val="21"/>
                <w:highlight w:val="none"/>
                <w:lang w:val="en-US" w:eastAsia="zh-CN"/>
              </w:rPr>
              <w:t>机械废气</w:t>
            </w:r>
          </w:p>
        </w:tc>
        <w:tc>
          <w:tcPr>
            <w:tcW w:w="246" w:type="pct"/>
            <w:vMerge w:val="restart"/>
            <w:tcBorders>
              <w:tl2br w:val="nil"/>
              <w:tr2bl w:val="nil"/>
            </w:tcBorders>
            <w:noWrap w:val="0"/>
            <w:vAlign w:val="center"/>
          </w:tcPr>
          <w:p w14:paraId="3B12EA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无组织</w:t>
            </w:r>
          </w:p>
        </w:tc>
        <w:tc>
          <w:tcPr>
            <w:tcW w:w="397" w:type="pct"/>
            <w:tcBorders>
              <w:tl2br w:val="nil"/>
              <w:tr2bl w:val="nil"/>
            </w:tcBorders>
            <w:noWrap w:val="0"/>
            <w:vAlign w:val="center"/>
          </w:tcPr>
          <w:p w14:paraId="659C635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snapToGrid w:val="0"/>
                <w:color w:val="auto"/>
                <w:sz w:val="21"/>
                <w:szCs w:val="21"/>
                <w:highlight w:val="none"/>
                <w:lang w:val="zh-CN"/>
              </w:rPr>
              <w:t>CO</w:t>
            </w:r>
          </w:p>
        </w:tc>
        <w:tc>
          <w:tcPr>
            <w:tcW w:w="434" w:type="pct"/>
            <w:vMerge w:val="restart"/>
            <w:tcBorders>
              <w:tl2br w:val="nil"/>
              <w:tr2bl w:val="nil"/>
            </w:tcBorders>
            <w:noWrap w:val="0"/>
            <w:vAlign w:val="center"/>
          </w:tcPr>
          <w:p w14:paraId="0AE1B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产排污系数法</w:t>
            </w:r>
          </w:p>
        </w:tc>
        <w:tc>
          <w:tcPr>
            <w:tcW w:w="449" w:type="pct"/>
            <w:tcBorders>
              <w:tl2br w:val="nil"/>
              <w:tr2bl w:val="nil"/>
            </w:tcBorders>
            <w:shd w:val="clear" w:color="auto" w:fill="auto"/>
            <w:noWrap w:val="0"/>
            <w:vAlign w:val="center"/>
          </w:tcPr>
          <w:p w14:paraId="7503E03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0.000</w:t>
            </w:r>
            <w:r>
              <w:rPr>
                <w:rFonts w:hint="default" w:ascii="Times New Roman" w:hAnsi="Times New Roman" w:cs="Times New Roman"/>
                <w:color w:val="auto"/>
                <w:sz w:val="21"/>
                <w:szCs w:val="21"/>
                <w:highlight w:val="none"/>
                <w:lang w:val="en-US" w:eastAsia="zh-CN"/>
              </w:rPr>
              <w:t>58</w:t>
            </w:r>
          </w:p>
        </w:tc>
        <w:tc>
          <w:tcPr>
            <w:tcW w:w="447" w:type="pct"/>
            <w:tcBorders>
              <w:tl2br w:val="nil"/>
              <w:tr2bl w:val="nil"/>
            </w:tcBorders>
            <w:shd w:val="clear" w:color="auto" w:fill="auto"/>
            <w:noWrap w:val="0"/>
            <w:vAlign w:val="center"/>
          </w:tcPr>
          <w:p w14:paraId="40AF3CC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cs="Times New Roman"/>
                <w:color w:val="auto"/>
                <w:sz w:val="21"/>
                <w:szCs w:val="21"/>
                <w:highlight w:val="none"/>
                <w:lang w:val="en-US" w:eastAsia="zh-CN"/>
              </w:rPr>
              <w:t>0.0014</w:t>
            </w:r>
          </w:p>
        </w:tc>
        <w:tc>
          <w:tcPr>
            <w:tcW w:w="492" w:type="pct"/>
            <w:vMerge w:val="restart"/>
            <w:tcBorders>
              <w:tl2br w:val="nil"/>
              <w:tr2bl w:val="nil"/>
            </w:tcBorders>
            <w:noWrap w:val="0"/>
            <w:vAlign w:val="center"/>
          </w:tcPr>
          <w:p w14:paraId="4BE00F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6"/>
                <w:sz w:val="21"/>
                <w:szCs w:val="21"/>
                <w:highlight w:val="none"/>
              </w:rPr>
            </w:pPr>
            <w:r>
              <w:rPr>
                <w:rFonts w:hint="default" w:ascii="Times New Roman" w:hAnsi="Times New Roman" w:eastAsia="宋体" w:cs="Times New Roman"/>
                <w:color w:val="auto"/>
                <w:spacing w:val="-6"/>
                <w:sz w:val="21"/>
                <w:szCs w:val="21"/>
                <w:highlight w:val="none"/>
                <w:lang w:val="en-US" w:eastAsia="zh-CN"/>
              </w:rPr>
              <w:t>/</w:t>
            </w:r>
          </w:p>
        </w:tc>
        <w:tc>
          <w:tcPr>
            <w:tcW w:w="271" w:type="pct"/>
            <w:vMerge w:val="restart"/>
            <w:tcBorders>
              <w:tl2br w:val="nil"/>
              <w:tr2bl w:val="nil"/>
            </w:tcBorders>
            <w:noWrap w:val="0"/>
            <w:vAlign w:val="center"/>
          </w:tcPr>
          <w:p w14:paraId="5A0945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w:t>
            </w:r>
          </w:p>
        </w:tc>
        <w:tc>
          <w:tcPr>
            <w:tcW w:w="363" w:type="pct"/>
            <w:vMerge w:val="restart"/>
            <w:tcBorders>
              <w:tl2br w:val="nil"/>
              <w:tr2bl w:val="nil"/>
            </w:tcBorders>
            <w:noWrap w:val="0"/>
            <w:vAlign w:val="center"/>
          </w:tcPr>
          <w:p w14:paraId="352CA9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物料衡算法</w:t>
            </w:r>
          </w:p>
        </w:tc>
        <w:tc>
          <w:tcPr>
            <w:tcW w:w="426" w:type="pct"/>
            <w:tcBorders>
              <w:tl2br w:val="nil"/>
              <w:tr2bl w:val="nil"/>
            </w:tcBorders>
            <w:noWrap w:val="0"/>
            <w:vAlign w:val="center"/>
          </w:tcPr>
          <w:p w14:paraId="0692F2F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0.000</w:t>
            </w:r>
            <w:r>
              <w:rPr>
                <w:rFonts w:hint="default" w:ascii="Times New Roman" w:hAnsi="Times New Roman" w:cs="Times New Roman"/>
                <w:color w:val="auto"/>
                <w:sz w:val="21"/>
                <w:szCs w:val="21"/>
                <w:highlight w:val="none"/>
                <w:lang w:val="en-US" w:eastAsia="zh-CN"/>
              </w:rPr>
              <w:t>58</w:t>
            </w:r>
          </w:p>
        </w:tc>
        <w:tc>
          <w:tcPr>
            <w:tcW w:w="429" w:type="pct"/>
            <w:tcBorders>
              <w:tl2br w:val="nil"/>
              <w:tr2bl w:val="nil"/>
            </w:tcBorders>
            <w:noWrap w:val="0"/>
            <w:vAlign w:val="center"/>
          </w:tcPr>
          <w:p w14:paraId="49B7F28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cs="Times New Roman"/>
                <w:color w:val="auto"/>
                <w:sz w:val="21"/>
                <w:szCs w:val="21"/>
                <w:highlight w:val="none"/>
                <w:lang w:val="en-US" w:eastAsia="zh-CN"/>
              </w:rPr>
              <w:t>0.0014</w:t>
            </w:r>
          </w:p>
        </w:tc>
        <w:tc>
          <w:tcPr>
            <w:tcW w:w="405" w:type="pct"/>
            <w:vMerge w:val="restart"/>
            <w:tcBorders>
              <w:tl2br w:val="nil"/>
              <w:tr2bl w:val="nil"/>
            </w:tcBorders>
            <w:noWrap w:val="0"/>
            <w:vAlign w:val="center"/>
          </w:tcPr>
          <w:p w14:paraId="265944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2400</w:t>
            </w:r>
          </w:p>
        </w:tc>
      </w:tr>
      <w:tr w14:paraId="5AF7485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4" w:type="pct"/>
            <w:vMerge w:val="continue"/>
            <w:tcBorders>
              <w:tl2br w:val="nil"/>
              <w:tr2bl w:val="nil"/>
            </w:tcBorders>
            <w:noWrap w:val="0"/>
            <w:vAlign w:val="center"/>
          </w:tcPr>
          <w:p w14:paraId="140E9E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392" w:type="pct"/>
            <w:vMerge w:val="continue"/>
            <w:tcBorders>
              <w:tl2br w:val="nil"/>
              <w:tr2bl w:val="nil"/>
            </w:tcBorders>
            <w:noWrap w:val="0"/>
            <w:vAlign w:val="center"/>
          </w:tcPr>
          <w:p w14:paraId="3EE94F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14"/>
                <w:sz w:val="21"/>
                <w:szCs w:val="21"/>
                <w:highlight w:val="none"/>
                <w:lang w:val="en-US" w:eastAsia="zh-CN"/>
              </w:rPr>
            </w:pPr>
          </w:p>
        </w:tc>
        <w:tc>
          <w:tcPr>
            <w:tcW w:w="246" w:type="pct"/>
            <w:vMerge w:val="continue"/>
            <w:tcBorders>
              <w:tl2br w:val="nil"/>
              <w:tr2bl w:val="nil"/>
            </w:tcBorders>
            <w:noWrap w:val="0"/>
            <w:vAlign w:val="center"/>
          </w:tcPr>
          <w:p w14:paraId="1AA8D8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c>
          <w:tcPr>
            <w:tcW w:w="397" w:type="pct"/>
            <w:tcBorders>
              <w:tl2br w:val="nil"/>
              <w:tr2bl w:val="nil"/>
            </w:tcBorders>
            <w:noWrap w:val="0"/>
            <w:vAlign w:val="center"/>
          </w:tcPr>
          <w:p w14:paraId="5C733F2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snapToGrid w:val="0"/>
                <w:color w:val="auto"/>
                <w:sz w:val="21"/>
                <w:szCs w:val="21"/>
                <w:highlight w:val="none"/>
              </w:rPr>
              <w:t>NO</w:t>
            </w:r>
            <w:r>
              <w:rPr>
                <w:rFonts w:hint="default" w:ascii="Times New Roman" w:hAnsi="Times New Roman" w:cs="Times New Roman"/>
                <w:snapToGrid w:val="0"/>
                <w:color w:val="auto"/>
                <w:sz w:val="21"/>
                <w:szCs w:val="21"/>
                <w:highlight w:val="none"/>
                <w:vertAlign w:val="subscript"/>
              </w:rPr>
              <w:t>x</w:t>
            </w:r>
          </w:p>
        </w:tc>
        <w:tc>
          <w:tcPr>
            <w:tcW w:w="434" w:type="pct"/>
            <w:vMerge w:val="continue"/>
            <w:tcBorders>
              <w:tl2br w:val="nil"/>
              <w:tr2bl w:val="nil"/>
            </w:tcBorders>
            <w:noWrap w:val="0"/>
            <w:vAlign w:val="center"/>
          </w:tcPr>
          <w:p w14:paraId="1480C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449" w:type="pct"/>
            <w:tcBorders>
              <w:tl2br w:val="nil"/>
              <w:tr2bl w:val="nil"/>
            </w:tcBorders>
            <w:shd w:val="clear" w:color="auto" w:fill="auto"/>
            <w:noWrap w:val="0"/>
            <w:vAlign w:val="center"/>
          </w:tcPr>
          <w:p w14:paraId="10012D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0.000</w:t>
            </w:r>
            <w:r>
              <w:rPr>
                <w:rFonts w:hint="default" w:ascii="Times New Roman" w:hAnsi="Times New Roman" w:cs="Times New Roman"/>
                <w:color w:val="auto"/>
                <w:sz w:val="21"/>
                <w:szCs w:val="21"/>
                <w:highlight w:val="none"/>
                <w:lang w:val="en-US" w:eastAsia="zh-CN"/>
              </w:rPr>
              <w:t>2</w:t>
            </w:r>
          </w:p>
        </w:tc>
        <w:tc>
          <w:tcPr>
            <w:tcW w:w="447" w:type="pct"/>
            <w:tcBorders>
              <w:tl2br w:val="nil"/>
              <w:tr2bl w:val="nil"/>
            </w:tcBorders>
            <w:shd w:val="clear" w:color="auto" w:fill="auto"/>
            <w:noWrap w:val="0"/>
            <w:vAlign w:val="center"/>
          </w:tcPr>
          <w:p w14:paraId="2995340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cs="Times New Roman"/>
                <w:color w:val="auto"/>
                <w:sz w:val="21"/>
                <w:szCs w:val="21"/>
                <w:highlight w:val="none"/>
                <w:lang w:val="en-US" w:eastAsia="zh-CN"/>
              </w:rPr>
              <w:t>0.00045</w:t>
            </w:r>
          </w:p>
        </w:tc>
        <w:tc>
          <w:tcPr>
            <w:tcW w:w="492" w:type="pct"/>
            <w:vMerge w:val="continue"/>
            <w:tcBorders>
              <w:tl2br w:val="nil"/>
              <w:tr2bl w:val="nil"/>
            </w:tcBorders>
            <w:noWrap w:val="0"/>
            <w:vAlign w:val="center"/>
          </w:tcPr>
          <w:p w14:paraId="427D7B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6"/>
                <w:sz w:val="21"/>
                <w:szCs w:val="21"/>
                <w:highlight w:val="none"/>
                <w:lang w:val="en-US" w:eastAsia="zh-CN"/>
              </w:rPr>
            </w:pPr>
          </w:p>
        </w:tc>
        <w:tc>
          <w:tcPr>
            <w:tcW w:w="271" w:type="pct"/>
            <w:vMerge w:val="continue"/>
            <w:tcBorders>
              <w:tl2br w:val="nil"/>
              <w:tr2bl w:val="nil"/>
            </w:tcBorders>
            <w:noWrap w:val="0"/>
            <w:vAlign w:val="center"/>
          </w:tcPr>
          <w:p w14:paraId="1F8270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363" w:type="pct"/>
            <w:vMerge w:val="continue"/>
            <w:tcBorders>
              <w:tl2br w:val="nil"/>
              <w:tr2bl w:val="nil"/>
            </w:tcBorders>
            <w:noWrap w:val="0"/>
            <w:vAlign w:val="center"/>
          </w:tcPr>
          <w:p w14:paraId="164049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426" w:type="pct"/>
            <w:tcBorders>
              <w:tl2br w:val="nil"/>
              <w:tr2bl w:val="nil"/>
            </w:tcBorders>
            <w:noWrap w:val="0"/>
            <w:vAlign w:val="center"/>
          </w:tcPr>
          <w:p w14:paraId="313FD2F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0.000</w:t>
            </w:r>
            <w:r>
              <w:rPr>
                <w:rFonts w:hint="default" w:ascii="Times New Roman" w:hAnsi="Times New Roman" w:cs="Times New Roman"/>
                <w:color w:val="auto"/>
                <w:sz w:val="21"/>
                <w:szCs w:val="21"/>
                <w:highlight w:val="none"/>
                <w:lang w:val="en-US" w:eastAsia="zh-CN"/>
              </w:rPr>
              <w:t>2</w:t>
            </w:r>
          </w:p>
        </w:tc>
        <w:tc>
          <w:tcPr>
            <w:tcW w:w="429" w:type="pct"/>
            <w:tcBorders>
              <w:tl2br w:val="nil"/>
              <w:tr2bl w:val="nil"/>
            </w:tcBorders>
            <w:noWrap w:val="0"/>
            <w:vAlign w:val="center"/>
          </w:tcPr>
          <w:p w14:paraId="74AB970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cs="Times New Roman"/>
                <w:color w:val="auto"/>
                <w:sz w:val="21"/>
                <w:szCs w:val="21"/>
                <w:highlight w:val="none"/>
                <w:lang w:val="en-US" w:eastAsia="zh-CN"/>
              </w:rPr>
              <w:t>0.00045</w:t>
            </w:r>
          </w:p>
        </w:tc>
        <w:tc>
          <w:tcPr>
            <w:tcW w:w="405" w:type="pct"/>
            <w:vMerge w:val="continue"/>
            <w:tcBorders>
              <w:tl2br w:val="nil"/>
              <w:tr2bl w:val="nil"/>
            </w:tcBorders>
            <w:noWrap w:val="0"/>
            <w:vAlign w:val="center"/>
          </w:tcPr>
          <w:p w14:paraId="55CCAB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r>
      <w:tr w14:paraId="35E3741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4" w:type="pct"/>
            <w:vMerge w:val="continue"/>
            <w:tcBorders>
              <w:tl2br w:val="nil"/>
              <w:tr2bl w:val="nil"/>
            </w:tcBorders>
            <w:noWrap w:val="0"/>
            <w:vAlign w:val="center"/>
          </w:tcPr>
          <w:p w14:paraId="545551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392" w:type="pct"/>
            <w:vMerge w:val="continue"/>
            <w:tcBorders>
              <w:tl2br w:val="nil"/>
              <w:tr2bl w:val="nil"/>
            </w:tcBorders>
            <w:noWrap w:val="0"/>
            <w:vAlign w:val="center"/>
          </w:tcPr>
          <w:p w14:paraId="63D187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14"/>
                <w:sz w:val="21"/>
                <w:szCs w:val="21"/>
                <w:highlight w:val="none"/>
                <w:lang w:val="en-US" w:eastAsia="zh-CN"/>
              </w:rPr>
            </w:pPr>
          </w:p>
        </w:tc>
        <w:tc>
          <w:tcPr>
            <w:tcW w:w="246" w:type="pct"/>
            <w:vMerge w:val="continue"/>
            <w:tcBorders>
              <w:tl2br w:val="nil"/>
              <w:tr2bl w:val="nil"/>
            </w:tcBorders>
            <w:noWrap w:val="0"/>
            <w:vAlign w:val="center"/>
          </w:tcPr>
          <w:p w14:paraId="1C62C3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tc>
        <w:tc>
          <w:tcPr>
            <w:tcW w:w="397" w:type="pct"/>
            <w:tcBorders>
              <w:tl2br w:val="nil"/>
              <w:tr2bl w:val="nil"/>
            </w:tcBorders>
            <w:noWrap w:val="0"/>
            <w:vAlign w:val="center"/>
          </w:tcPr>
          <w:p w14:paraId="19847CF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snapToGrid w:val="0"/>
                <w:color w:val="auto"/>
                <w:sz w:val="21"/>
                <w:szCs w:val="21"/>
                <w:highlight w:val="none"/>
                <w:lang w:val="zh-CN"/>
              </w:rPr>
              <w:t>HC</w:t>
            </w:r>
          </w:p>
        </w:tc>
        <w:tc>
          <w:tcPr>
            <w:tcW w:w="434" w:type="pct"/>
            <w:vMerge w:val="continue"/>
            <w:tcBorders>
              <w:tl2br w:val="nil"/>
              <w:tr2bl w:val="nil"/>
            </w:tcBorders>
            <w:noWrap w:val="0"/>
            <w:vAlign w:val="center"/>
          </w:tcPr>
          <w:p w14:paraId="22FCEB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449" w:type="pct"/>
            <w:tcBorders>
              <w:tl2br w:val="nil"/>
              <w:tr2bl w:val="nil"/>
            </w:tcBorders>
            <w:shd w:val="clear" w:color="auto" w:fill="auto"/>
            <w:noWrap w:val="0"/>
            <w:vAlign w:val="center"/>
          </w:tcPr>
          <w:p w14:paraId="221B4CE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0.000</w:t>
            </w:r>
            <w:r>
              <w:rPr>
                <w:rFonts w:hint="default" w:ascii="Times New Roman" w:hAnsi="Times New Roman" w:cs="Times New Roman"/>
                <w:color w:val="auto"/>
                <w:sz w:val="21"/>
                <w:szCs w:val="21"/>
                <w:highlight w:val="none"/>
                <w:lang w:val="en-US" w:eastAsia="zh-CN"/>
              </w:rPr>
              <w:t>85</w:t>
            </w:r>
          </w:p>
        </w:tc>
        <w:tc>
          <w:tcPr>
            <w:tcW w:w="447" w:type="pct"/>
            <w:tcBorders>
              <w:tl2br w:val="nil"/>
              <w:tr2bl w:val="nil"/>
            </w:tcBorders>
            <w:shd w:val="clear" w:color="auto" w:fill="auto"/>
            <w:noWrap w:val="0"/>
            <w:vAlign w:val="center"/>
          </w:tcPr>
          <w:p w14:paraId="298C40B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cs="Times New Roman"/>
                <w:color w:val="auto"/>
                <w:sz w:val="21"/>
                <w:szCs w:val="21"/>
                <w:highlight w:val="none"/>
                <w:lang w:val="en-US" w:eastAsia="zh-CN"/>
              </w:rPr>
              <w:t>0.002</w:t>
            </w:r>
          </w:p>
        </w:tc>
        <w:tc>
          <w:tcPr>
            <w:tcW w:w="492" w:type="pct"/>
            <w:vMerge w:val="continue"/>
            <w:tcBorders>
              <w:tl2br w:val="nil"/>
              <w:tr2bl w:val="nil"/>
            </w:tcBorders>
            <w:noWrap w:val="0"/>
            <w:vAlign w:val="center"/>
          </w:tcPr>
          <w:p w14:paraId="07002C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pacing w:val="-6"/>
                <w:sz w:val="21"/>
                <w:szCs w:val="21"/>
                <w:highlight w:val="none"/>
                <w:lang w:val="en-US" w:eastAsia="zh-CN"/>
              </w:rPr>
            </w:pPr>
          </w:p>
        </w:tc>
        <w:tc>
          <w:tcPr>
            <w:tcW w:w="271" w:type="pct"/>
            <w:vMerge w:val="continue"/>
            <w:tcBorders>
              <w:tl2br w:val="nil"/>
              <w:tr2bl w:val="nil"/>
            </w:tcBorders>
            <w:noWrap w:val="0"/>
            <w:vAlign w:val="center"/>
          </w:tcPr>
          <w:p w14:paraId="73A5FB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363" w:type="pct"/>
            <w:vMerge w:val="continue"/>
            <w:tcBorders>
              <w:tl2br w:val="nil"/>
              <w:tr2bl w:val="nil"/>
            </w:tcBorders>
            <w:noWrap w:val="0"/>
            <w:vAlign w:val="center"/>
          </w:tcPr>
          <w:p w14:paraId="4DB3CF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426" w:type="pct"/>
            <w:tcBorders>
              <w:tl2br w:val="nil"/>
              <w:tr2bl w:val="nil"/>
            </w:tcBorders>
            <w:noWrap w:val="0"/>
            <w:vAlign w:val="center"/>
          </w:tcPr>
          <w:p w14:paraId="4D9488D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0.000</w:t>
            </w:r>
            <w:r>
              <w:rPr>
                <w:rFonts w:hint="default" w:ascii="Times New Roman" w:hAnsi="Times New Roman" w:cs="Times New Roman"/>
                <w:color w:val="auto"/>
                <w:sz w:val="21"/>
                <w:szCs w:val="21"/>
                <w:highlight w:val="none"/>
                <w:lang w:val="en-US" w:eastAsia="zh-CN"/>
              </w:rPr>
              <w:t>85</w:t>
            </w:r>
          </w:p>
        </w:tc>
        <w:tc>
          <w:tcPr>
            <w:tcW w:w="429" w:type="pct"/>
            <w:tcBorders>
              <w:tl2br w:val="nil"/>
              <w:tr2bl w:val="nil"/>
            </w:tcBorders>
            <w:noWrap w:val="0"/>
            <w:vAlign w:val="center"/>
          </w:tcPr>
          <w:p w14:paraId="4045584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cs="Times New Roman"/>
                <w:color w:val="auto"/>
                <w:sz w:val="21"/>
                <w:szCs w:val="21"/>
                <w:highlight w:val="none"/>
                <w:lang w:val="en-US" w:eastAsia="zh-CN"/>
              </w:rPr>
              <w:t>0.002</w:t>
            </w:r>
          </w:p>
        </w:tc>
        <w:tc>
          <w:tcPr>
            <w:tcW w:w="405" w:type="pct"/>
            <w:vMerge w:val="continue"/>
            <w:tcBorders>
              <w:tl2br w:val="nil"/>
              <w:tr2bl w:val="nil"/>
            </w:tcBorders>
            <w:noWrap w:val="0"/>
            <w:vAlign w:val="center"/>
          </w:tcPr>
          <w:p w14:paraId="6BEF7C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r>
    </w:tbl>
    <w:p w14:paraId="3133A253">
      <w:pPr>
        <w:bidi w:val="0"/>
        <w:rPr>
          <w:rFonts w:hint="eastAsia"/>
          <w:color w:val="auto"/>
          <w:highlight w:val="none"/>
        </w:rPr>
      </w:pPr>
    </w:p>
    <w:p w14:paraId="4CEAAB70">
      <w:pPr>
        <w:bidi w:val="0"/>
        <w:spacing w:line="360" w:lineRule="auto"/>
        <w:rPr>
          <w:b/>
          <w:bCs/>
          <w:color w:val="auto"/>
          <w:highlight w:val="none"/>
        </w:rPr>
      </w:pPr>
      <w:r>
        <w:rPr>
          <w:rFonts w:hint="eastAsia"/>
          <w:b/>
          <w:bCs/>
          <w:color w:val="auto"/>
          <w:highlight w:val="none"/>
        </w:rPr>
        <w:t>3.3.</w:t>
      </w:r>
      <w:r>
        <w:rPr>
          <w:rFonts w:hint="eastAsia"/>
          <w:b/>
          <w:bCs/>
          <w:color w:val="auto"/>
          <w:highlight w:val="none"/>
          <w:lang w:val="en-US" w:eastAsia="zh-CN"/>
        </w:rPr>
        <w:t>2</w:t>
      </w:r>
      <w:r>
        <w:rPr>
          <w:rFonts w:hint="eastAsia"/>
          <w:b/>
          <w:bCs/>
          <w:color w:val="auto"/>
          <w:highlight w:val="none"/>
        </w:rPr>
        <w:t>.2</w:t>
      </w:r>
      <w:r>
        <w:rPr>
          <w:b/>
          <w:bCs/>
          <w:color w:val="auto"/>
          <w:highlight w:val="none"/>
        </w:rPr>
        <w:t>废水污染源分析</w:t>
      </w:r>
    </w:p>
    <w:p w14:paraId="25905CFA">
      <w:pPr>
        <w:adjustRightInd w:val="0"/>
        <w:spacing w:line="360" w:lineRule="auto"/>
        <w:ind w:firstLine="480"/>
        <w:rPr>
          <w:rFonts w:ascii="Times New Roman"/>
          <w:color w:val="auto"/>
          <w:szCs w:val="21"/>
          <w:highlight w:val="none"/>
        </w:rPr>
      </w:pPr>
      <w:r>
        <w:rPr>
          <w:rFonts w:hint="eastAsia" w:ascii="Times New Roman"/>
          <w:color w:val="auto"/>
          <w:szCs w:val="21"/>
          <w:highlight w:val="none"/>
        </w:rPr>
        <w:t>本项目</w:t>
      </w:r>
      <w:r>
        <w:rPr>
          <w:rFonts w:hint="eastAsia"/>
          <w:color w:val="auto"/>
          <w:szCs w:val="21"/>
          <w:highlight w:val="none"/>
          <w:lang w:val="en-US" w:eastAsia="zh-CN"/>
        </w:rPr>
        <w:t>回填</w:t>
      </w:r>
      <w:r>
        <w:rPr>
          <w:rFonts w:hint="eastAsia" w:ascii="Times New Roman"/>
          <w:color w:val="auto"/>
          <w:szCs w:val="21"/>
          <w:highlight w:val="none"/>
        </w:rPr>
        <w:t>期</w:t>
      </w:r>
      <w:r>
        <w:rPr>
          <w:rFonts w:ascii="Times New Roman"/>
          <w:color w:val="auto"/>
          <w:szCs w:val="21"/>
          <w:highlight w:val="none"/>
        </w:rPr>
        <w:t>水环境影响主要为</w:t>
      </w:r>
      <w:r>
        <w:rPr>
          <w:rFonts w:hint="eastAsia" w:ascii="Times New Roman"/>
          <w:color w:val="auto"/>
          <w:szCs w:val="21"/>
          <w:highlight w:val="none"/>
        </w:rPr>
        <w:t>员</w:t>
      </w:r>
      <w:r>
        <w:rPr>
          <w:rFonts w:hint="eastAsia"/>
          <w:color w:val="auto"/>
          <w:szCs w:val="21"/>
          <w:highlight w:val="none"/>
          <w:lang w:val="en-US" w:eastAsia="zh-CN"/>
        </w:rPr>
        <w:t>工</w:t>
      </w:r>
      <w:r>
        <w:rPr>
          <w:rFonts w:ascii="Times New Roman"/>
          <w:color w:val="auto"/>
          <w:szCs w:val="21"/>
          <w:highlight w:val="none"/>
        </w:rPr>
        <w:t>生活</w:t>
      </w:r>
      <w:r>
        <w:rPr>
          <w:rFonts w:hint="eastAsia" w:ascii="Times New Roman"/>
          <w:color w:val="auto"/>
          <w:szCs w:val="21"/>
          <w:highlight w:val="none"/>
        </w:rPr>
        <w:t>污</w:t>
      </w:r>
      <w:r>
        <w:rPr>
          <w:rFonts w:ascii="Times New Roman"/>
          <w:color w:val="auto"/>
          <w:szCs w:val="21"/>
          <w:highlight w:val="none"/>
        </w:rPr>
        <w:t>水</w:t>
      </w:r>
      <w:r>
        <w:rPr>
          <w:rFonts w:hint="eastAsia"/>
          <w:color w:val="auto"/>
          <w:szCs w:val="21"/>
          <w:highlight w:val="none"/>
          <w:lang w:val="en-US" w:eastAsia="zh-CN"/>
        </w:rPr>
        <w:t>和</w:t>
      </w:r>
      <w:r>
        <w:rPr>
          <w:rFonts w:hint="eastAsia" w:ascii="Times New Roman" w:hAnsi="Times New Roman" w:eastAsia="宋体"/>
          <w:b w:val="0"/>
          <w:bCs w:val="0"/>
          <w:color w:val="auto"/>
          <w:sz w:val="24"/>
          <w:szCs w:val="24"/>
          <w:highlight w:val="none"/>
        </w:rPr>
        <w:t>淋滤水</w:t>
      </w:r>
      <w:r>
        <w:rPr>
          <w:rFonts w:ascii="Times New Roman"/>
          <w:color w:val="auto"/>
          <w:szCs w:val="21"/>
          <w:highlight w:val="none"/>
        </w:rPr>
        <w:t>。</w:t>
      </w:r>
    </w:p>
    <w:p w14:paraId="394B505F">
      <w:pPr>
        <w:numPr>
          <w:ilvl w:val="0"/>
          <w:numId w:val="0"/>
        </w:numPr>
        <w:spacing w:line="360" w:lineRule="auto"/>
        <w:ind w:firstLine="480" w:firstLineChars="200"/>
        <w:rPr>
          <w:rFonts w:hint="eastAsia"/>
          <w:color w:val="auto"/>
          <w:szCs w:val="21"/>
          <w:highlight w:val="none"/>
          <w:lang w:val="en-US" w:eastAsia="zh-CN"/>
        </w:rPr>
      </w:pPr>
      <w:r>
        <w:rPr>
          <w:rFonts w:hint="eastAsia"/>
          <w:color w:val="auto"/>
          <w:szCs w:val="21"/>
          <w:highlight w:val="none"/>
          <w:lang w:val="en-US" w:eastAsia="zh-CN"/>
        </w:rPr>
        <w:t>（1）生活污水</w:t>
      </w:r>
    </w:p>
    <w:p w14:paraId="68071F40">
      <w:pPr>
        <w:numPr>
          <w:ilvl w:val="0"/>
          <w:numId w:val="0"/>
        </w:numPr>
        <w:spacing w:line="360" w:lineRule="auto"/>
        <w:ind w:firstLine="480" w:firstLineChars="200"/>
        <w:rPr>
          <w:rFonts w:hint="eastAsia" w:eastAsia="宋体"/>
          <w:color w:val="auto"/>
          <w:szCs w:val="21"/>
          <w:highlight w:val="none"/>
          <w:lang w:val="en-US" w:eastAsia="zh-CN"/>
        </w:rPr>
      </w:pPr>
      <w:r>
        <w:rPr>
          <w:rFonts w:ascii="Times New Roman"/>
          <w:color w:val="auto"/>
          <w:szCs w:val="21"/>
          <w:highlight w:val="none"/>
        </w:rPr>
        <w:t>本项目施工人员最多为</w:t>
      </w:r>
      <w:r>
        <w:rPr>
          <w:rFonts w:hint="eastAsia"/>
          <w:color w:val="auto"/>
          <w:szCs w:val="21"/>
          <w:highlight w:val="none"/>
          <w:lang w:val="en-US" w:eastAsia="zh-CN"/>
        </w:rPr>
        <w:t>10</w:t>
      </w:r>
      <w:r>
        <w:rPr>
          <w:rFonts w:ascii="Times New Roman"/>
          <w:color w:val="auto"/>
          <w:szCs w:val="21"/>
          <w:highlight w:val="none"/>
        </w:rPr>
        <w:t>人，</w:t>
      </w:r>
      <w:r>
        <w:rPr>
          <w:rFonts w:hint="eastAsia"/>
          <w:color w:val="auto"/>
          <w:szCs w:val="21"/>
          <w:highlight w:val="none"/>
          <w:lang w:val="en-US" w:eastAsia="zh-CN"/>
        </w:rPr>
        <w:t>回填</w:t>
      </w:r>
      <w:r>
        <w:rPr>
          <w:rFonts w:ascii="Times New Roman"/>
          <w:color w:val="auto"/>
          <w:szCs w:val="21"/>
          <w:highlight w:val="none"/>
        </w:rPr>
        <w:t>工期为</w:t>
      </w:r>
      <w:r>
        <w:rPr>
          <w:rFonts w:hint="eastAsia"/>
          <w:color w:val="auto"/>
          <w:szCs w:val="21"/>
          <w:highlight w:val="none"/>
          <w:lang w:val="en-US" w:eastAsia="zh-CN"/>
        </w:rPr>
        <w:t>30个月（每月按30天计）</w:t>
      </w:r>
      <w:r>
        <w:rPr>
          <w:rFonts w:ascii="Times New Roman"/>
          <w:color w:val="auto"/>
          <w:szCs w:val="21"/>
          <w:highlight w:val="none"/>
        </w:rPr>
        <w:t>，根据黑龙江省地方标准《用水定额》（DB23/T727-202</w:t>
      </w:r>
      <w:r>
        <w:rPr>
          <w:rFonts w:hint="eastAsia"/>
          <w:color w:val="auto"/>
          <w:szCs w:val="21"/>
          <w:highlight w:val="none"/>
          <w:lang w:val="en-US" w:eastAsia="zh-CN"/>
        </w:rPr>
        <w:t>5</w:t>
      </w:r>
      <w:r>
        <w:rPr>
          <w:rFonts w:ascii="Times New Roman"/>
          <w:color w:val="auto"/>
          <w:szCs w:val="21"/>
          <w:highlight w:val="none"/>
        </w:rPr>
        <w:t>），并结合本项目实际情况，按照每人每天的用水量按</w:t>
      </w:r>
      <w:r>
        <w:rPr>
          <w:rFonts w:hint="eastAsia" w:ascii="Times New Roman"/>
          <w:color w:val="auto"/>
          <w:szCs w:val="21"/>
          <w:highlight w:val="none"/>
        </w:rPr>
        <w:t>8</w:t>
      </w:r>
      <w:r>
        <w:rPr>
          <w:rFonts w:ascii="Times New Roman"/>
          <w:color w:val="auto"/>
          <w:szCs w:val="21"/>
          <w:highlight w:val="none"/>
        </w:rPr>
        <w:t>0L/人·d，生活用水量为</w:t>
      </w:r>
      <w:r>
        <w:rPr>
          <w:rFonts w:hint="eastAsia"/>
          <w:color w:val="auto"/>
          <w:szCs w:val="21"/>
          <w:highlight w:val="none"/>
          <w:lang w:val="en-US" w:eastAsia="zh-CN"/>
        </w:rPr>
        <w:t>0.8</w:t>
      </w:r>
      <w:r>
        <w:rPr>
          <w:rFonts w:ascii="Times New Roman"/>
          <w:color w:val="auto"/>
          <w:szCs w:val="21"/>
          <w:highlight w:val="none"/>
        </w:rPr>
        <w:t>m</w:t>
      </w:r>
      <w:r>
        <w:rPr>
          <w:rFonts w:hint="eastAsia" w:ascii="Times New Roman"/>
          <w:color w:val="auto"/>
          <w:szCs w:val="21"/>
          <w:highlight w:val="none"/>
          <w:vertAlign w:val="superscript"/>
        </w:rPr>
        <w:t>3</w:t>
      </w:r>
      <w:r>
        <w:rPr>
          <w:rFonts w:ascii="Times New Roman"/>
          <w:color w:val="auto"/>
          <w:szCs w:val="21"/>
          <w:highlight w:val="none"/>
        </w:rPr>
        <w:t>/d，废水产生系数按0.8计算，则废水的产生量为</w:t>
      </w:r>
      <w:r>
        <w:rPr>
          <w:rFonts w:hint="eastAsia"/>
          <w:color w:val="auto"/>
          <w:szCs w:val="21"/>
          <w:highlight w:val="none"/>
          <w:lang w:val="en-US" w:eastAsia="zh-CN"/>
        </w:rPr>
        <w:t>0.64</w:t>
      </w:r>
      <w:r>
        <w:rPr>
          <w:rFonts w:ascii="Times New Roman"/>
          <w:color w:val="auto"/>
          <w:szCs w:val="21"/>
          <w:highlight w:val="none"/>
        </w:rPr>
        <w:t>m</w:t>
      </w:r>
      <w:r>
        <w:rPr>
          <w:rFonts w:ascii="Times New Roman"/>
          <w:color w:val="auto"/>
          <w:szCs w:val="21"/>
          <w:highlight w:val="none"/>
          <w:vertAlign w:val="superscript"/>
        </w:rPr>
        <w:t>3</w:t>
      </w:r>
      <w:r>
        <w:rPr>
          <w:rFonts w:ascii="Times New Roman"/>
          <w:color w:val="auto"/>
          <w:szCs w:val="21"/>
          <w:highlight w:val="none"/>
        </w:rPr>
        <w:t>/d</w:t>
      </w:r>
      <w:r>
        <w:rPr>
          <w:rFonts w:hint="eastAsia"/>
          <w:color w:val="auto"/>
          <w:szCs w:val="21"/>
          <w:highlight w:val="none"/>
          <w:lang w:eastAsia="zh-CN"/>
        </w:rPr>
        <w:t>，</w:t>
      </w:r>
      <w:r>
        <w:rPr>
          <w:rFonts w:hint="eastAsia"/>
          <w:color w:val="auto"/>
          <w:szCs w:val="21"/>
          <w:highlight w:val="none"/>
          <w:lang w:val="en-US" w:eastAsia="zh-CN"/>
        </w:rPr>
        <w:t>192</w:t>
      </w:r>
      <w:r>
        <w:rPr>
          <w:rFonts w:ascii="Times New Roman"/>
          <w:color w:val="auto"/>
          <w:szCs w:val="21"/>
          <w:highlight w:val="none"/>
        </w:rPr>
        <w:t>m</w:t>
      </w:r>
      <w:r>
        <w:rPr>
          <w:rFonts w:ascii="Times New Roman"/>
          <w:color w:val="auto"/>
          <w:szCs w:val="21"/>
          <w:highlight w:val="none"/>
          <w:vertAlign w:val="superscript"/>
        </w:rPr>
        <w:t>3</w:t>
      </w:r>
      <w:r>
        <w:rPr>
          <w:rFonts w:ascii="Times New Roman"/>
          <w:color w:val="auto"/>
          <w:szCs w:val="21"/>
          <w:highlight w:val="none"/>
        </w:rPr>
        <w:t>/</w:t>
      </w:r>
      <w:r>
        <w:rPr>
          <w:rFonts w:hint="eastAsia" w:ascii="Times New Roman"/>
          <w:color w:val="auto"/>
          <w:szCs w:val="21"/>
          <w:highlight w:val="none"/>
          <w:lang w:val="en-US" w:eastAsia="zh-CN"/>
        </w:rPr>
        <w:t>a。</w:t>
      </w:r>
    </w:p>
    <w:p w14:paraId="12F44E08">
      <w:pPr>
        <w:numPr>
          <w:ilvl w:val="0"/>
          <w:numId w:val="0"/>
        </w:numPr>
        <w:spacing w:line="360" w:lineRule="auto"/>
        <w:ind w:left="0" w:leftChars="0" w:firstLine="480" w:firstLineChars="200"/>
        <w:rPr>
          <w:rFonts w:hint="default"/>
          <w:color w:val="auto"/>
          <w:szCs w:val="21"/>
          <w:highlight w:val="none"/>
          <w:lang w:val="en-US" w:eastAsia="zh-CN"/>
        </w:rPr>
      </w:pPr>
      <w:r>
        <w:rPr>
          <w:rFonts w:hint="eastAsia" w:ascii="Times New Roman" w:hAnsi="Times New Roman" w:eastAsia="宋体"/>
          <w:color w:val="auto"/>
          <w:sz w:val="24"/>
          <w:szCs w:val="21"/>
          <w:highlight w:val="none"/>
          <w:lang w:val="en-US" w:eastAsia="zh-CN" w:bidi="ar-SA"/>
        </w:rPr>
        <w:t>（</w:t>
      </w:r>
      <w:r>
        <w:rPr>
          <w:rFonts w:hint="eastAsia"/>
          <w:color w:val="auto"/>
          <w:sz w:val="24"/>
          <w:szCs w:val="21"/>
          <w:highlight w:val="none"/>
          <w:lang w:val="en-US" w:eastAsia="zh-CN" w:bidi="ar-SA"/>
        </w:rPr>
        <w:t>2</w:t>
      </w:r>
      <w:r>
        <w:rPr>
          <w:rFonts w:hint="eastAsia" w:ascii="Times New Roman" w:hAnsi="Times New Roman" w:eastAsia="宋体"/>
          <w:color w:val="auto"/>
          <w:sz w:val="24"/>
          <w:szCs w:val="21"/>
          <w:highlight w:val="none"/>
          <w:lang w:val="en-US" w:eastAsia="zh-CN" w:bidi="ar-SA"/>
        </w:rPr>
        <w:t>）</w:t>
      </w:r>
      <w:r>
        <w:rPr>
          <w:rFonts w:hint="eastAsia" w:ascii="Times New Roman" w:hAnsi="Times New Roman" w:eastAsia="宋体"/>
          <w:b w:val="0"/>
          <w:bCs w:val="0"/>
          <w:color w:val="auto"/>
          <w:sz w:val="24"/>
          <w:szCs w:val="24"/>
          <w:highlight w:val="none"/>
        </w:rPr>
        <w:t>淋滤水</w:t>
      </w:r>
    </w:p>
    <w:p w14:paraId="78E6C699">
      <w:pPr>
        <w:spacing w:line="360" w:lineRule="auto"/>
        <w:ind w:firstLine="480" w:firstLineChars="200"/>
        <w:rPr>
          <w:rFonts w:hint="eastAsia"/>
          <w:color w:val="auto"/>
          <w:sz w:val="24"/>
          <w:szCs w:val="24"/>
          <w:highlight w:val="none"/>
        </w:rPr>
      </w:pPr>
      <w:r>
        <w:rPr>
          <w:rFonts w:hint="eastAsia"/>
          <w:color w:val="auto"/>
          <w:sz w:val="24"/>
          <w:szCs w:val="24"/>
          <w:highlight w:val="none"/>
        </w:rPr>
        <w:t>采坑回填复垦区产生的</w:t>
      </w:r>
      <w:r>
        <w:rPr>
          <w:rFonts w:hint="eastAsia" w:ascii="Times New Roman" w:hAnsi="Times New Roman" w:eastAsia="宋体"/>
          <w:b w:val="0"/>
          <w:bCs w:val="0"/>
          <w:color w:val="auto"/>
          <w:sz w:val="24"/>
          <w:szCs w:val="24"/>
          <w:highlight w:val="none"/>
        </w:rPr>
        <w:t>淋滤水</w:t>
      </w:r>
      <w:r>
        <w:rPr>
          <w:rFonts w:hint="eastAsia"/>
          <w:color w:val="auto"/>
          <w:sz w:val="24"/>
          <w:szCs w:val="24"/>
          <w:highlight w:val="none"/>
        </w:rPr>
        <w:t>主要来源于降雨，项目配套建设1座容积为</w:t>
      </w:r>
      <w:r>
        <w:rPr>
          <w:rFonts w:hint="eastAsia"/>
          <w:color w:val="auto"/>
          <w:sz w:val="24"/>
          <w:szCs w:val="24"/>
          <w:highlight w:val="none"/>
          <w:lang w:val="en-US" w:eastAsia="zh-CN"/>
        </w:rPr>
        <w:t>120</w:t>
      </w:r>
      <w:r>
        <w:rPr>
          <w:rFonts w:hint="eastAsia"/>
          <w:color w:val="auto"/>
          <w:sz w:val="24"/>
          <w:szCs w:val="24"/>
          <w:highlight w:val="none"/>
        </w:rPr>
        <w:t>m</w:t>
      </w:r>
      <w:r>
        <w:rPr>
          <w:rFonts w:hint="eastAsia"/>
          <w:color w:val="auto"/>
          <w:sz w:val="24"/>
          <w:szCs w:val="24"/>
          <w:highlight w:val="none"/>
          <w:vertAlign w:val="superscript"/>
        </w:rPr>
        <w:t>3</w:t>
      </w:r>
      <w:r>
        <w:rPr>
          <w:rFonts w:hint="eastAsia"/>
          <w:color w:val="auto"/>
          <w:sz w:val="24"/>
          <w:szCs w:val="24"/>
          <w:highlight w:val="none"/>
        </w:rPr>
        <w:t>的</w:t>
      </w:r>
      <w:r>
        <w:rPr>
          <w:rFonts w:hint="eastAsia"/>
          <w:color w:val="auto"/>
          <w:sz w:val="24"/>
          <w:szCs w:val="24"/>
          <w:highlight w:val="none"/>
          <w:lang w:val="en-US" w:eastAsia="zh-CN"/>
        </w:rPr>
        <w:t>沉淀</w:t>
      </w:r>
      <w:r>
        <w:rPr>
          <w:rFonts w:hint="eastAsia"/>
          <w:color w:val="auto"/>
          <w:sz w:val="24"/>
          <w:szCs w:val="24"/>
          <w:highlight w:val="none"/>
        </w:rPr>
        <w:t>池，</w:t>
      </w:r>
      <w:r>
        <w:rPr>
          <w:rFonts w:hint="eastAsia"/>
          <w:color w:val="auto"/>
          <w:sz w:val="24"/>
          <w:szCs w:val="24"/>
          <w:highlight w:val="none"/>
          <w:lang w:val="en-US" w:eastAsia="zh-CN"/>
        </w:rPr>
        <w:t>沉淀池位于采坑地势最低洼处，雨水排入沉淀</w:t>
      </w:r>
      <w:r>
        <w:rPr>
          <w:rFonts w:hint="eastAsia"/>
          <w:color w:val="auto"/>
          <w:sz w:val="24"/>
          <w:szCs w:val="24"/>
          <w:highlight w:val="none"/>
        </w:rPr>
        <w:t>池</w:t>
      </w:r>
      <w:r>
        <w:rPr>
          <w:rFonts w:hint="eastAsia"/>
          <w:color w:val="auto"/>
          <w:sz w:val="24"/>
          <w:szCs w:val="24"/>
          <w:highlight w:val="none"/>
          <w:lang w:val="en-US" w:eastAsia="zh-CN"/>
        </w:rPr>
        <w:t>经</w:t>
      </w:r>
      <w:r>
        <w:rPr>
          <w:rFonts w:hint="eastAsia"/>
          <w:color w:val="auto"/>
          <w:sz w:val="24"/>
          <w:szCs w:val="24"/>
          <w:highlight w:val="none"/>
        </w:rPr>
        <w:t>沉淀处理后，</w:t>
      </w:r>
      <w:r>
        <w:rPr>
          <w:rFonts w:hint="eastAsia"/>
          <w:color w:val="auto"/>
          <w:sz w:val="24"/>
          <w:szCs w:val="24"/>
          <w:highlight w:val="none"/>
          <w:lang w:val="en-US" w:eastAsia="zh-CN"/>
        </w:rPr>
        <w:t>用于回填区洒水降尘，不外排</w:t>
      </w:r>
      <w:r>
        <w:rPr>
          <w:rFonts w:hint="eastAsia"/>
          <w:color w:val="auto"/>
          <w:sz w:val="24"/>
          <w:szCs w:val="24"/>
          <w:highlight w:val="none"/>
        </w:rPr>
        <w:t>。</w:t>
      </w:r>
    </w:p>
    <w:p w14:paraId="768E09AB">
      <w:pPr>
        <w:spacing w:line="360" w:lineRule="auto"/>
        <w:ind w:firstLine="480" w:firstLineChars="200"/>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rPr>
        <w:t>露天采坑</w:t>
      </w:r>
      <w:r>
        <w:rPr>
          <w:rFonts w:hint="eastAsia" w:eastAsia="宋体" w:cs="Times New Roman"/>
          <w:color w:val="auto"/>
          <w:sz w:val="24"/>
          <w:szCs w:val="24"/>
          <w:highlight w:val="none"/>
          <w:lang w:val="en-US" w:eastAsia="zh-CN"/>
        </w:rPr>
        <w:t>回填</w:t>
      </w:r>
      <w:r>
        <w:rPr>
          <w:rFonts w:hint="default" w:ascii="Times New Roman" w:hAnsi="Times New Roman" w:eastAsia="宋体" w:cs="Times New Roman"/>
          <w:color w:val="auto"/>
          <w:sz w:val="24"/>
          <w:szCs w:val="24"/>
          <w:highlight w:val="none"/>
        </w:rPr>
        <w:t>区汇水面积约为</w:t>
      </w:r>
      <w:r>
        <w:rPr>
          <w:rFonts w:hint="eastAsia" w:ascii="Times New Roman" w:hAnsi="宋体" w:eastAsia="宋体" w:cs="Times New Roman"/>
          <w:color w:val="auto"/>
          <w:kern w:val="0"/>
          <w:sz w:val="24"/>
          <w:szCs w:val="24"/>
          <w:highlight w:val="none"/>
          <w:lang w:val="en-US" w:eastAsia="zh-CN"/>
        </w:rPr>
        <w:t>11296.10</w:t>
      </w:r>
      <w:r>
        <w:rPr>
          <w:rFonts w:hint="default" w:ascii="Times New Roman" w:hAnsi="Times New Roman" w:eastAsia="宋体" w:cs="Times New Roman"/>
          <w:color w:val="auto"/>
          <w:sz w:val="24"/>
          <w:szCs w:val="24"/>
          <w:highlight w:val="none"/>
        </w:rPr>
        <w:t>m</w:t>
      </w:r>
      <w:r>
        <w:rPr>
          <w:rFonts w:hint="default" w:ascii="Times New Roman" w:hAnsi="Times New Roman" w:eastAsia="宋体" w:cs="Times New Roman"/>
          <w:color w:val="auto"/>
          <w:sz w:val="24"/>
          <w:szCs w:val="24"/>
          <w:highlight w:val="none"/>
          <w:vertAlign w:val="superscript"/>
        </w:rPr>
        <w:t>2</w:t>
      </w:r>
      <w:r>
        <w:rPr>
          <w:rFonts w:hint="default" w:ascii="Times New Roman" w:hAnsi="Times New Roman" w:eastAsia="宋体" w:cs="Times New Roman"/>
          <w:color w:val="auto"/>
          <w:sz w:val="24"/>
          <w:szCs w:val="24"/>
          <w:highlight w:val="none"/>
        </w:rPr>
        <w:t>，</w:t>
      </w:r>
      <w:r>
        <w:rPr>
          <w:rFonts w:hint="eastAsia" w:eastAsia="宋体" w:cs="Times New Roman"/>
          <w:color w:val="auto"/>
          <w:sz w:val="24"/>
          <w:szCs w:val="24"/>
          <w:highlight w:val="none"/>
          <w:lang w:val="en-US" w:eastAsia="zh-CN"/>
        </w:rPr>
        <w:t>尚志市降雨主要集中在6-9月</w:t>
      </w:r>
      <w:r>
        <w:rPr>
          <w:rFonts w:hint="default"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val="en-US" w:eastAsia="zh-CN"/>
        </w:rPr>
        <w:t>根据暴雨强度及雨水流量计算公式，设暴雨重现期为2年，降雨历时20min，计算</w:t>
      </w:r>
      <w:r>
        <w:rPr>
          <w:rFonts w:hint="eastAsia" w:eastAsia="宋体" w:cs="Times New Roman"/>
          <w:color w:val="auto"/>
          <w:sz w:val="24"/>
          <w:szCs w:val="24"/>
          <w:highlight w:val="none"/>
          <w:lang w:val="en-US" w:eastAsia="zh-CN"/>
        </w:rPr>
        <w:t>采坑</w:t>
      </w:r>
      <w:r>
        <w:rPr>
          <w:rFonts w:hint="eastAsia" w:ascii="Times New Roman" w:hAnsi="Times New Roman" w:eastAsia="宋体"/>
          <w:b w:val="0"/>
          <w:bCs w:val="0"/>
          <w:color w:val="auto"/>
          <w:sz w:val="24"/>
          <w:szCs w:val="24"/>
          <w:highlight w:val="none"/>
        </w:rPr>
        <w:t>淋滤水</w:t>
      </w:r>
      <w:r>
        <w:rPr>
          <w:rFonts w:hint="eastAsia" w:eastAsia="宋体" w:cs="Times New Roman"/>
          <w:color w:val="auto"/>
          <w:sz w:val="24"/>
          <w:szCs w:val="24"/>
          <w:highlight w:val="none"/>
          <w:lang w:val="en-US" w:eastAsia="zh-CN"/>
        </w:rPr>
        <w:t>产生</w:t>
      </w:r>
      <w:r>
        <w:rPr>
          <w:rFonts w:hint="default" w:ascii="Times New Roman" w:hAnsi="Times New Roman" w:eastAsia="宋体" w:cs="Times New Roman"/>
          <w:color w:val="auto"/>
          <w:sz w:val="24"/>
          <w:szCs w:val="24"/>
          <w:highlight w:val="none"/>
        </w:rPr>
        <w:t>量为</w:t>
      </w:r>
      <w:r>
        <w:rPr>
          <w:rFonts w:hint="eastAsia" w:eastAsia="宋体" w:cs="Times New Roman"/>
          <w:color w:val="auto"/>
          <w:sz w:val="24"/>
          <w:szCs w:val="24"/>
          <w:highlight w:val="none"/>
          <w:lang w:val="en-US" w:eastAsia="zh-CN"/>
        </w:rPr>
        <w:t>112.29</w:t>
      </w:r>
      <w:r>
        <w:rPr>
          <w:rFonts w:hint="default" w:ascii="Times New Roman" w:hAnsi="Times New Roman" w:eastAsia="宋体" w:cs="Times New Roman"/>
          <w:color w:val="auto"/>
          <w:sz w:val="24"/>
          <w:szCs w:val="24"/>
          <w:highlight w:val="none"/>
        </w:rPr>
        <w:t>m</w:t>
      </w:r>
      <w:r>
        <w:rPr>
          <w:rFonts w:hint="default" w:ascii="Times New Roman" w:hAnsi="Times New Roman" w:eastAsia="宋体" w:cs="Times New Roman"/>
          <w:color w:val="auto"/>
          <w:sz w:val="24"/>
          <w:szCs w:val="24"/>
          <w:highlight w:val="none"/>
          <w:vertAlign w:val="superscript"/>
        </w:rPr>
        <w:t>3</w:t>
      </w:r>
      <w:r>
        <w:rPr>
          <w:rFonts w:hint="default"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val="en-US" w:eastAsia="zh-CN"/>
        </w:rPr>
        <w:t>h</w:t>
      </w:r>
      <w:r>
        <w:rPr>
          <w:rFonts w:hint="default" w:ascii="Times New Roman" w:hAnsi="Times New Roman" w:eastAsia="宋体" w:cs="Times New Roman"/>
          <w:color w:val="auto"/>
          <w:sz w:val="24"/>
          <w:szCs w:val="24"/>
          <w:highlight w:val="none"/>
        </w:rPr>
        <w:t>。</w:t>
      </w:r>
    </w:p>
    <w:p w14:paraId="652E172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cs="Times New Roman"/>
          <w:color w:val="auto"/>
          <w:highlight w:val="none"/>
        </w:rPr>
      </w:pPr>
      <w:r>
        <w:rPr>
          <w:rFonts w:hint="eastAsia"/>
          <w:color w:val="auto"/>
          <w:sz w:val="24"/>
          <w:szCs w:val="24"/>
          <w:highlight w:val="none"/>
          <w:lang w:val="en-US" w:eastAsia="zh-CN"/>
        </w:rPr>
        <w:t>可见</w:t>
      </w:r>
      <w:r>
        <w:rPr>
          <w:rFonts w:hint="eastAsia"/>
          <w:color w:val="auto"/>
          <w:sz w:val="24"/>
          <w:szCs w:val="24"/>
          <w:highlight w:val="none"/>
        </w:rPr>
        <w:t>项目配套建设1座容积为</w:t>
      </w:r>
      <w:r>
        <w:rPr>
          <w:rFonts w:hint="eastAsia"/>
          <w:color w:val="auto"/>
          <w:sz w:val="24"/>
          <w:szCs w:val="24"/>
          <w:highlight w:val="none"/>
          <w:lang w:val="en-US" w:eastAsia="zh-CN"/>
        </w:rPr>
        <w:t>120</w:t>
      </w:r>
      <w:r>
        <w:rPr>
          <w:rFonts w:hint="eastAsia"/>
          <w:color w:val="auto"/>
          <w:sz w:val="24"/>
          <w:szCs w:val="24"/>
          <w:highlight w:val="none"/>
        </w:rPr>
        <w:t>m</w:t>
      </w:r>
      <w:r>
        <w:rPr>
          <w:rFonts w:hint="eastAsia"/>
          <w:color w:val="auto"/>
          <w:sz w:val="24"/>
          <w:szCs w:val="24"/>
          <w:highlight w:val="none"/>
          <w:vertAlign w:val="superscript"/>
        </w:rPr>
        <w:t>3</w:t>
      </w:r>
      <w:r>
        <w:rPr>
          <w:rFonts w:hint="eastAsia"/>
          <w:color w:val="auto"/>
          <w:sz w:val="24"/>
          <w:szCs w:val="24"/>
          <w:highlight w:val="none"/>
        </w:rPr>
        <w:t>的</w:t>
      </w:r>
      <w:r>
        <w:rPr>
          <w:rFonts w:hint="eastAsia"/>
          <w:color w:val="auto"/>
          <w:sz w:val="24"/>
          <w:szCs w:val="24"/>
          <w:highlight w:val="none"/>
          <w:lang w:val="en-US" w:eastAsia="zh-CN"/>
        </w:rPr>
        <w:t>沉淀</w:t>
      </w:r>
      <w:r>
        <w:rPr>
          <w:rFonts w:hint="eastAsia"/>
          <w:color w:val="auto"/>
          <w:sz w:val="24"/>
          <w:szCs w:val="24"/>
          <w:highlight w:val="none"/>
        </w:rPr>
        <w:t>池，</w:t>
      </w:r>
      <w:r>
        <w:rPr>
          <w:rFonts w:hint="eastAsia"/>
          <w:color w:val="auto"/>
          <w:sz w:val="24"/>
          <w:szCs w:val="24"/>
          <w:highlight w:val="none"/>
          <w:lang w:val="en-US" w:eastAsia="zh-CN"/>
        </w:rPr>
        <w:t>容积可满足采坑</w:t>
      </w:r>
      <w:r>
        <w:rPr>
          <w:rFonts w:hint="eastAsia" w:ascii="Times New Roman" w:hAnsi="Times New Roman" w:eastAsia="宋体"/>
          <w:b w:val="0"/>
          <w:bCs w:val="0"/>
          <w:color w:val="auto"/>
          <w:sz w:val="24"/>
          <w:szCs w:val="24"/>
          <w:highlight w:val="none"/>
        </w:rPr>
        <w:t>淋滤水</w:t>
      </w:r>
      <w:r>
        <w:rPr>
          <w:rFonts w:hint="eastAsia"/>
          <w:color w:val="auto"/>
          <w:sz w:val="24"/>
          <w:szCs w:val="24"/>
          <w:highlight w:val="none"/>
          <w:lang w:val="en-US" w:eastAsia="zh-CN"/>
        </w:rPr>
        <w:t>收集需要</w:t>
      </w:r>
      <w:r>
        <w:rPr>
          <w:rFonts w:cs="Times New Roman"/>
          <w:color w:val="auto"/>
          <w:highlight w:val="none"/>
        </w:rPr>
        <w:t>。</w:t>
      </w:r>
    </w:p>
    <w:p w14:paraId="0CB119E8">
      <w:pPr>
        <w:pStyle w:val="217"/>
        <w:spacing w:line="360" w:lineRule="auto"/>
        <w:ind w:firstLine="480"/>
        <w:jc w:val="center"/>
        <w:rPr>
          <w:rFonts w:hint="eastAsia" w:ascii="Times New Roman" w:hAnsi="Times New Roman" w:eastAsia="宋体" w:cs="宋体"/>
          <w:b/>
          <w:bCs/>
          <w:color w:val="auto"/>
          <w:sz w:val="24"/>
          <w:szCs w:val="22"/>
          <w:highlight w:val="none"/>
          <w:lang w:val="en-US" w:eastAsia="zh-CN"/>
        </w:rPr>
      </w:pPr>
      <w:r>
        <w:rPr>
          <w:b/>
          <w:bCs/>
          <w:color w:val="auto"/>
          <w:highlight w:val="none"/>
        </w:rPr>
        <w:drawing>
          <wp:anchor distT="0" distB="0" distL="114300" distR="114300" simplePos="0" relativeHeight="251697152" behindDoc="0" locked="0" layoutInCell="1" allowOverlap="1">
            <wp:simplePos x="0" y="0"/>
            <wp:positionH relativeFrom="column">
              <wp:posOffset>657225</wp:posOffset>
            </wp:positionH>
            <wp:positionV relativeFrom="paragraph">
              <wp:posOffset>38100</wp:posOffset>
            </wp:positionV>
            <wp:extent cx="4074795" cy="3957955"/>
            <wp:effectExtent l="0" t="0" r="0" b="0"/>
            <wp:wrapTopAndBottom/>
            <wp:docPr id="2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1"/>
                    <pic:cNvPicPr>
                      <a:picLocks noChangeAspect="1"/>
                    </pic:cNvPicPr>
                  </pic:nvPicPr>
                  <pic:blipFill>
                    <a:blip r:embed="rId39"/>
                    <a:srcRect l="902" r="1039" b="1220"/>
                    <a:stretch>
                      <a:fillRect/>
                    </a:stretch>
                  </pic:blipFill>
                  <pic:spPr>
                    <a:xfrm>
                      <a:off x="0" y="0"/>
                      <a:ext cx="4074795" cy="3957955"/>
                    </a:xfrm>
                    <a:prstGeom prst="rect">
                      <a:avLst/>
                    </a:prstGeom>
                    <a:noFill/>
                    <a:ln>
                      <a:noFill/>
                    </a:ln>
                  </pic:spPr>
                </pic:pic>
              </a:graphicData>
            </a:graphic>
          </wp:anchor>
        </w:drawing>
      </w:r>
      <w:r>
        <w:rPr>
          <w:rFonts w:hint="eastAsia" w:ascii="Times New Roman" w:hAnsi="Times New Roman" w:eastAsia="宋体" w:cs="宋体"/>
          <w:b/>
          <w:bCs/>
          <w:color w:val="auto"/>
          <w:sz w:val="24"/>
          <w:szCs w:val="22"/>
          <w:highlight w:val="none"/>
          <w:lang w:val="en-US" w:eastAsia="zh-CN"/>
        </w:rPr>
        <w:t>图</w:t>
      </w:r>
      <w:r>
        <w:rPr>
          <w:rFonts w:hint="eastAsia" w:ascii="Times New Roman" w:hAnsi="Times New Roman" w:eastAsia="宋体" w:cs="宋体"/>
          <w:b/>
          <w:bCs/>
          <w:color w:val="auto"/>
          <w:sz w:val="24"/>
          <w:szCs w:val="22"/>
          <w:highlight w:val="none"/>
          <w:lang w:val="zh-CN"/>
        </w:rPr>
        <w:t>3</w:t>
      </w:r>
      <w:r>
        <w:rPr>
          <w:rFonts w:hint="eastAsia" w:ascii="Times New Roman" w:hAnsi="Times New Roman" w:eastAsia="宋体" w:cs="宋体"/>
          <w:b/>
          <w:bCs/>
          <w:color w:val="auto"/>
          <w:sz w:val="24"/>
          <w:szCs w:val="22"/>
          <w:highlight w:val="none"/>
          <w:lang w:val="en-US" w:eastAsia="zh-CN"/>
        </w:rPr>
        <w:t>.3</w:t>
      </w:r>
      <w:r>
        <w:rPr>
          <w:rFonts w:hint="eastAsia" w:ascii="Times New Roman" w:hAnsi="Times New Roman" w:cs="宋体"/>
          <w:b/>
          <w:bCs/>
          <w:color w:val="auto"/>
          <w:sz w:val="24"/>
          <w:szCs w:val="22"/>
          <w:highlight w:val="none"/>
          <w:lang w:val="en-US" w:eastAsia="zh-CN"/>
        </w:rPr>
        <w:t>-</w:t>
      </w:r>
      <w:r>
        <w:rPr>
          <w:rFonts w:hint="eastAsia" w:ascii="Times New Roman" w:hAnsi="Times New Roman" w:eastAsia="宋体" w:cs="宋体"/>
          <w:b/>
          <w:bCs/>
          <w:color w:val="auto"/>
          <w:sz w:val="24"/>
          <w:szCs w:val="22"/>
          <w:highlight w:val="none"/>
          <w:lang w:val="en-US" w:eastAsia="zh-CN"/>
        </w:rPr>
        <w:t>1</w:t>
      </w:r>
      <w:r>
        <w:rPr>
          <w:rFonts w:hint="eastAsia" w:ascii="Times New Roman" w:cs="宋体"/>
          <w:b/>
          <w:bCs/>
          <w:color w:val="auto"/>
          <w:sz w:val="24"/>
          <w:szCs w:val="22"/>
          <w:highlight w:val="none"/>
          <w:lang w:val="en-US" w:eastAsia="zh-CN"/>
        </w:rPr>
        <w:t xml:space="preserve">  </w:t>
      </w:r>
      <w:r>
        <w:rPr>
          <w:rFonts w:hint="eastAsia" w:ascii="Times New Roman" w:hAnsi="Times New Roman" w:eastAsia="宋体" w:cs="宋体"/>
          <w:b/>
          <w:bCs/>
          <w:color w:val="auto"/>
          <w:sz w:val="24"/>
          <w:szCs w:val="22"/>
          <w:highlight w:val="none"/>
          <w:lang w:val="en-US" w:eastAsia="zh-CN"/>
        </w:rPr>
        <w:t>汇水量计算图</w:t>
      </w:r>
    </w:p>
    <w:p w14:paraId="48157FBB">
      <w:pPr>
        <w:pStyle w:val="1053"/>
        <w:spacing w:line="360" w:lineRule="auto"/>
        <w:ind w:firstLine="480" w:firstLineChars="200"/>
        <w:rPr>
          <w:rFonts w:ascii="Times New Roman" w:hAnsi="Times New Roman" w:cs="Times New Roman"/>
          <w:color w:val="auto"/>
          <w:highlight w:val="none"/>
          <w:lang w:eastAsia="zh-CN"/>
        </w:rPr>
      </w:pPr>
      <w:r>
        <w:rPr>
          <w:rFonts w:ascii="Times New Roman" w:hAnsi="Times New Roman" w:cs="Times New Roman"/>
          <w:color w:val="auto"/>
          <w:highlight w:val="none"/>
          <w:lang w:eastAsia="zh-CN"/>
        </w:rPr>
        <w:t>本</w:t>
      </w:r>
      <w:r>
        <w:rPr>
          <w:rFonts w:hint="eastAsia" w:ascii="Times New Roman" w:hAnsi="Times New Roman" w:cs="Times New Roman"/>
          <w:color w:val="auto"/>
          <w:highlight w:val="none"/>
          <w:lang w:val="en-US" w:eastAsia="zh-CN"/>
        </w:rPr>
        <w:t>项目淋滤水</w:t>
      </w:r>
      <w:r>
        <w:rPr>
          <w:rFonts w:ascii="Times New Roman" w:hAnsi="Times New Roman" w:cs="Times New Roman"/>
          <w:color w:val="auto"/>
          <w:highlight w:val="none"/>
          <w:lang w:eastAsia="zh-CN"/>
        </w:rPr>
        <w:t>产生量主要来自</w:t>
      </w:r>
      <w:r>
        <w:rPr>
          <w:rFonts w:hint="eastAsia" w:ascii="Times New Roman" w:hAnsi="Times New Roman" w:cs="Times New Roman"/>
          <w:color w:val="auto"/>
          <w:highlight w:val="none"/>
          <w:lang w:val="en-US" w:eastAsia="zh-CN"/>
        </w:rPr>
        <w:t>采坑修复</w:t>
      </w:r>
      <w:r>
        <w:rPr>
          <w:rFonts w:ascii="Times New Roman" w:hAnsi="Times New Roman" w:cs="Times New Roman"/>
          <w:color w:val="auto"/>
          <w:highlight w:val="none"/>
          <w:lang w:eastAsia="zh-CN"/>
        </w:rPr>
        <w:t>区集雨面积范围内</w:t>
      </w:r>
      <w:r>
        <w:rPr>
          <w:rFonts w:ascii="Times New Roman" w:hAnsi="Times New Roman" w:cs="Times New Roman"/>
          <w:color w:val="auto"/>
          <w:spacing w:val="-1"/>
          <w:highlight w:val="none"/>
          <w:lang w:eastAsia="zh-CN"/>
        </w:rPr>
        <w:t>的降雨量。本项目雨水产生量计算公式如下：</w:t>
      </w:r>
    </w:p>
    <w:p w14:paraId="6BC84BC9">
      <w:pPr>
        <w:pStyle w:val="1319"/>
        <w:adjustRightInd/>
        <w:spacing w:line="360" w:lineRule="auto"/>
        <w:ind w:left="0" w:right="0" w:firstLine="0"/>
        <w:jc w:val="center"/>
        <w:rPr>
          <w:rFonts w:eastAsia="Times New Roman"/>
          <w:color w:val="auto"/>
          <w:spacing w:val="-1"/>
          <w:position w:val="4"/>
          <w:szCs w:val="24"/>
          <w:highlight w:val="none"/>
        </w:rPr>
      </w:pPr>
      <w:r>
        <w:rPr>
          <w:rFonts w:eastAsia="Times New Roman"/>
          <w:color w:val="auto"/>
          <w:spacing w:val="-1"/>
          <w:position w:val="4"/>
          <w:szCs w:val="24"/>
          <w:highlight w:val="none"/>
        </w:rPr>
        <w:t>Q=</w:t>
      </w:r>
      <w:r>
        <w:rPr>
          <w:rFonts w:hint="eastAsia" w:eastAsia="宋体"/>
          <w:color w:val="auto"/>
          <w:spacing w:val="-1"/>
          <w:position w:val="4"/>
          <w:szCs w:val="24"/>
          <w:highlight w:val="none"/>
          <w:lang w:eastAsia="zh-CN"/>
        </w:rPr>
        <w:t>（</w:t>
      </w:r>
      <w:r>
        <w:rPr>
          <w:rFonts w:eastAsia="Times New Roman"/>
          <w:color w:val="auto"/>
          <w:spacing w:val="-1"/>
          <w:position w:val="4"/>
          <w:szCs w:val="24"/>
          <w:highlight w:val="none"/>
        </w:rPr>
        <w:t>C·I·A</w:t>
      </w:r>
      <w:r>
        <w:rPr>
          <w:rFonts w:hint="eastAsia" w:eastAsia="宋体"/>
          <w:color w:val="auto"/>
          <w:spacing w:val="-1"/>
          <w:position w:val="4"/>
          <w:szCs w:val="24"/>
          <w:highlight w:val="none"/>
          <w:lang w:eastAsia="zh-CN"/>
        </w:rPr>
        <w:t>）</w:t>
      </w:r>
      <w:r>
        <w:rPr>
          <w:rFonts w:eastAsia="Times New Roman"/>
          <w:color w:val="auto"/>
          <w:spacing w:val="-1"/>
          <w:position w:val="4"/>
          <w:szCs w:val="24"/>
          <w:highlight w:val="none"/>
        </w:rPr>
        <w:t>/1000</w:t>
      </w:r>
    </w:p>
    <w:p w14:paraId="0DACDDAE">
      <w:pPr>
        <w:pStyle w:val="1053"/>
        <w:spacing w:line="360" w:lineRule="auto"/>
        <w:ind w:firstLine="476" w:firstLineChars="200"/>
        <w:rPr>
          <w:rFonts w:ascii="Times New Roman" w:hAnsi="Times New Roman" w:cs="Times New Roman"/>
          <w:color w:val="auto"/>
          <w:spacing w:val="-29"/>
          <w:highlight w:val="none"/>
        </w:rPr>
      </w:pPr>
      <w:r>
        <w:rPr>
          <w:rFonts w:ascii="Times New Roman" w:hAnsi="Times New Roman" w:cs="Times New Roman"/>
          <w:color w:val="auto"/>
          <w:spacing w:val="-1"/>
          <w:highlight w:val="none"/>
        </w:rPr>
        <w:t>式中：</w:t>
      </w:r>
      <w:r>
        <w:rPr>
          <w:rFonts w:ascii="Times New Roman" w:hAnsi="Times New Roman" w:eastAsia="Times New Roman" w:cs="Times New Roman"/>
          <w:color w:val="auto"/>
          <w:spacing w:val="-1"/>
          <w:highlight w:val="none"/>
        </w:rPr>
        <w:t>Q</w:t>
      </w:r>
      <w:r>
        <w:rPr>
          <w:rFonts w:ascii="Times New Roman" w:hAnsi="Times New Roman" w:cs="Times New Roman"/>
          <w:color w:val="auto"/>
          <w:spacing w:val="-1"/>
          <w:highlight w:val="none"/>
        </w:rPr>
        <w:t>——雨水产生量</w:t>
      </w:r>
      <w:r>
        <w:rPr>
          <w:rFonts w:hint="eastAsia" w:ascii="Times New Roman" w:hAnsi="Times New Roman" w:cs="Times New Roman"/>
          <w:color w:val="auto"/>
          <w:spacing w:val="-1"/>
          <w:highlight w:val="none"/>
          <w:lang w:eastAsia="zh-CN"/>
        </w:rPr>
        <w:t>，</w:t>
      </w:r>
      <w:r>
        <w:rPr>
          <w:rFonts w:ascii="Times New Roman" w:hAnsi="Times New Roman" w:eastAsia="Times New Roman" w:cs="Times New Roman"/>
          <w:color w:val="auto"/>
          <w:spacing w:val="-1"/>
          <w:highlight w:val="none"/>
        </w:rPr>
        <w:t>m</w:t>
      </w:r>
      <w:r>
        <w:rPr>
          <w:rFonts w:hint="eastAsia" w:ascii="Times New Roman" w:hAnsi="Times New Roman" w:cs="Times New Roman"/>
          <w:color w:val="auto"/>
          <w:spacing w:val="-1"/>
          <w:highlight w:val="none"/>
          <w:vertAlign w:val="superscript"/>
          <w:lang w:eastAsia="zh-CN"/>
        </w:rPr>
        <w:t>3</w:t>
      </w:r>
      <w:r>
        <w:rPr>
          <w:rFonts w:ascii="Times New Roman" w:hAnsi="Times New Roman" w:eastAsia="Times New Roman" w:cs="Times New Roman"/>
          <w:color w:val="auto"/>
          <w:spacing w:val="-1"/>
          <w:highlight w:val="none"/>
        </w:rPr>
        <w:t>/d</w:t>
      </w:r>
      <w:r>
        <w:rPr>
          <w:rFonts w:ascii="Times New Roman" w:hAnsi="Times New Roman" w:cs="Times New Roman"/>
          <w:color w:val="auto"/>
          <w:spacing w:val="-29"/>
          <w:highlight w:val="none"/>
        </w:rPr>
        <w:t>；</w:t>
      </w:r>
    </w:p>
    <w:p w14:paraId="34F0F54C">
      <w:pPr>
        <w:pStyle w:val="1053"/>
        <w:spacing w:line="360" w:lineRule="auto"/>
        <w:ind w:firstLine="1190" w:firstLineChars="500"/>
        <w:rPr>
          <w:rFonts w:ascii="Times New Roman" w:hAnsi="Times New Roman" w:cs="Times New Roman"/>
          <w:color w:val="auto"/>
          <w:highlight w:val="none"/>
        </w:rPr>
      </w:pPr>
      <w:r>
        <w:rPr>
          <w:rFonts w:ascii="Times New Roman" w:hAnsi="Times New Roman" w:eastAsia="Times New Roman" w:cs="Times New Roman"/>
          <w:color w:val="auto"/>
          <w:spacing w:val="-1"/>
          <w:highlight w:val="none"/>
        </w:rPr>
        <w:t>I</w:t>
      </w:r>
      <w:r>
        <w:rPr>
          <w:rFonts w:ascii="Times New Roman" w:hAnsi="Times New Roman" w:cs="Times New Roman"/>
          <w:color w:val="auto"/>
          <w:spacing w:val="-1"/>
          <w:highlight w:val="none"/>
        </w:rPr>
        <w:t>——多年平均日降雨量</w:t>
      </w:r>
      <w:r>
        <w:rPr>
          <w:rFonts w:hint="eastAsia" w:ascii="Times New Roman" w:hAnsi="Times New Roman" w:cs="Times New Roman"/>
          <w:color w:val="auto"/>
          <w:spacing w:val="-1"/>
          <w:highlight w:val="none"/>
          <w:lang w:eastAsia="zh-CN"/>
        </w:rPr>
        <w:t>，</w:t>
      </w:r>
      <w:r>
        <w:rPr>
          <w:rFonts w:ascii="Times New Roman" w:hAnsi="Times New Roman" w:eastAsia="Times New Roman" w:cs="Times New Roman"/>
          <w:color w:val="auto"/>
          <w:spacing w:val="-1"/>
          <w:highlight w:val="none"/>
        </w:rPr>
        <w:t>mm/d</w:t>
      </w:r>
      <w:r>
        <w:rPr>
          <w:rFonts w:ascii="Times New Roman" w:hAnsi="Times New Roman" w:cs="Times New Roman"/>
          <w:color w:val="auto"/>
          <w:spacing w:val="4"/>
          <w:highlight w:val="none"/>
        </w:rPr>
        <w:t>；</w:t>
      </w:r>
    </w:p>
    <w:p w14:paraId="675AB855">
      <w:pPr>
        <w:pStyle w:val="1053"/>
        <w:spacing w:line="360" w:lineRule="auto"/>
        <w:ind w:firstLine="1180" w:firstLineChars="500"/>
        <w:rPr>
          <w:rFonts w:ascii="Times New Roman" w:hAnsi="Times New Roman" w:cs="Times New Roman"/>
          <w:color w:val="auto"/>
          <w:highlight w:val="none"/>
          <w:lang w:eastAsia="zh-CN"/>
        </w:rPr>
      </w:pPr>
      <w:r>
        <w:rPr>
          <w:rFonts w:ascii="Times New Roman" w:hAnsi="Times New Roman" w:eastAsia="Times New Roman" w:cs="Times New Roman"/>
          <w:color w:val="auto"/>
          <w:spacing w:val="-2"/>
          <w:highlight w:val="none"/>
          <w:lang w:eastAsia="zh-CN"/>
        </w:rPr>
        <w:t>A</w:t>
      </w:r>
      <w:r>
        <w:rPr>
          <w:rFonts w:ascii="Times New Roman" w:hAnsi="Times New Roman" w:cs="Times New Roman"/>
          <w:color w:val="auto"/>
          <w:spacing w:val="-2"/>
          <w:highlight w:val="none"/>
          <w:lang w:eastAsia="zh-CN"/>
        </w:rPr>
        <w:t>——</w:t>
      </w:r>
      <w:r>
        <w:rPr>
          <w:rFonts w:hint="eastAsia" w:ascii="Times New Roman" w:hAnsi="Times New Roman" w:cs="Times New Roman"/>
          <w:color w:val="auto"/>
          <w:spacing w:val="-2"/>
          <w:highlight w:val="none"/>
          <w:lang w:eastAsia="zh-CN"/>
        </w:rPr>
        <w:t>集水面积</w:t>
      </w:r>
      <w:r>
        <w:rPr>
          <w:rFonts w:hint="eastAsia" w:ascii="Times New Roman" w:hAnsi="Times New Roman" w:cs="Times New Roman"/>
          <w:color w:val="auto"/>
          <w:spacing w:val="-9"/>
          <w:highlight w:val="none"/>
          <w:lang w:eastAsia="zh-CN"/>
        </w:rPr>
        <w:t>，</w:t>
      </w:r>
      <w:r>
        <w:rPr>
          <w:rFonts w:ascii="Times New Roman" w:hAnsi="Times New Roman" w:eastAsia="Times New Roman" w:cs="Times New Roman"/>
          <w:color w:val="auto"/>
          <w:spacing w:val="-2"/>
          <w:highlight w:val="none"/>
          <w:lang w:eastAsia="zh-CN"/>
        </w:rPr>
        <w:t>m</w:t>
      </w:r>
      <w:r>
        <w:rPr>
          <w:rFonts w:hint="eastAsia" w:ascii="Times New Roman" w:hAnsi="Times New Roman" w:cs="Times New Roman"/>
          <w:color w:val="auto"/>
          <w:spacing w:val="-2"/>
          <w:highlight w:val="none"/>
          <w:vertAlign w:val="superscript"/>
          <w:lang w:eastAsia="zh-CN"/>
        </w:rPr>
        <w:t>2</w:t>
      </w:r>
      <w:r>
        <w:rPr>
          <w:rFonts w:ascii="Times New Roman" w:hAnsi="Times New Roman" w:cs="Times New Roman"/>
          <w:color w:val="auto"/>
          <w:spacing w:val="-9"/>
          <w:highlight w:val="none"/>
          <w:lang w:eastAsia="zh-CN"/>
        </w:rPr>
        <w:t>，</w:t>
      </w:r>
      <w:r>
        <w:rPr>
          <w:rFonts w:ascii="Times New Roman" w:hAnsi="Times New Roman" w:cs="Times New Roman"/>
          <w:color w:val="auto"/>
          <w:spacing w:val="-2"/>
          <w:highlight w:val="none"/>
          <w:lang w:eastAsia="zh-CN"/>
        </w:rPr>
        <w:t>取</w:t>
      </w:r>
      <w:r>
        <w:rPr>
          <w:rFonts w:hint="eastAsia" w:ascii="Times New Roman" w:hAnsi="宋体" w:eastAsia="宋体" w:cs="Times New Roman"/>
          <w:color w:val="auto"/>
          <w:kern w:val="0"/>
          <w:sz w:val="24"/>
          <w:szCs w:val="24"/>
          <w:highlight w:val="none"/>
          <w:lang w:val="en-US" w:eastAsia="zh-CN"/>
        </w:rPr>
        <w:t>11296.10</w:t>
      </w:r>
      <w:r>
        <w:rPr>
          <w:rFonts w:ascii="Times New Roman" w:hAnsi="Times New Roman" w:eastAsia="Times New Roman" w:cs="Times New Roman"/>
          <w:color w:val="auto"/>
          <w:spacing w:val="-2"/>
          <w:highlight w:val="none"/>
          <w:lang w:eastAsia="zh-CN"/>
        </w:rPr>
        <w:t>m</w:t>
      </w:r>
      <w:r>
        <w:rPr>
          <w:rFonts w:hint="eastAsia" w:ascii="Times New Roman" w:hAnsi="Times New Roman" w:cs="Times New Roman"/>
          <w:color w:val="auto"/>
          <w:spacing w:val="-2"/>
          <w:highlight w:val="none"/>
          <w:vertAlign w:val="superscript"/>
          <w:lang w:eastAsia="zh-CN"/>
        </w:rPr>
        <w:t>2</w:t>
      </w:r>
      <w:r>
        <w:rPr>
          <w:rFonts w:ascii="Times New Roman" w:hAnsi="Times New Roman" w:cs="Times New Roman"/>
          <w:color w:val="auto"/>
          <w:spacing w:val="-2"/>
          <w:highlight w:val="none"/>
          <w:lang w:eastAsia="zh-CN"/>
        </w:rPr>
        <w:t>；</w:t>
      </w:r>
    </w:p>
    <w:p w14:paraId="413550EB">
      <w:pPr>
        <w:pStyle w:val="1053"/>
        <w:spacing w:line="360" w:lineRule="auto"/>
        <w:ind w:firstLine="1200" w:firstLineChars="500"/>
        <w:rPr>
          <w:rFonts w:ascii="Times New Roman" w:hAnsi="Times New Roman" w:cs="Times New Roman"/>
          <w:color w:val="auto"/>
          <w:highlight w:val="none"/>
          <w:lang w:eastAsia="zh-CN"/>
        </w:rPr>
      </w:pPr>
      <w:r>
        <w:rPr>
          <w:rFonts w:ascii="Times New Roman" w:hAnsi="Times New Roman" w:eastAsia="Times New Roman" w:cs="Times New Roman"/>
          <w:color w:val="auto"/>
          <w:position w:val="1"/>
          <w:highlight w:val="none"/>
          <w:lang w:eastAsia="zh-CN"/>
        </w:rPr>
        <w:t>C</w:t>
      </w:r>
      <w:r>
        <w:rPr>
          <w:rFonts w:ascii="Times New Roman" w:hAnsi="Times New Roman" w:cs="Times New Roman"/>
          <w:color w:val="auto"/>
          <w:position w:val="1"/>
          <w:highlight w:val="none"/>
          <w:lang w:eastAsia="zh-CN"/>
        </w:rPr>
        <w:t>——雨水下渗系数，因土质、地形垃圾种类、填埋方</w:t>
      </w:r>
      <w:r>
        <w:rPr>
          <w:rFonts w:ascii="Times New Roman" w:hAnsi="Times New Roman" w:cs="Times New Roman"/>
          <w:color w:val="auto"/>
          <w:spacing w:val="-1"/>
          <w:position w:val="1"/>
          <w:highlight w:val="none"/>
          <w:lang w:eastAsia="zh-CN"/>
        </w:rPr>
        <w:t>式而异，</w:t>
      </w:r>
      <w:r>
        <w:rPr>
          <w:rFonts w:ascii="Times New Roman" w:hAnsi="Times New Roman" w:eastAsia="Times New Roman" w:cs="Times New Roman"/>
          <w:color w:val="auto"/>
          <w:spacing w:val="-1"/>
          <w:position w:val="1"/>
          <w:highlight w:val="none"/>
          <w:lang w:eastAsia="zh-CN"/>
        </w:rPr>
        <w:t>C=0.2</w:t>
      </w:r>
      <w:r>
        <w:rPr>
          <w:rFonts w:ascii="Times New Roman" w:hAnsi="Times New Roman" w:cs="Times New Roman"/>
          <w:color w:val="auto"/>
          <w:spacing w:val="-1"/>
          <w:position w:val="1"/>
          <w:highlight w:val="none"/>
          <w:lang w:eastAsia="zh-CN"/>
        </w:rPr>
        <w:t>；</w:t>
      </w:r>
    </w:p>
    <w:p w14:paraId="1B07D12F">
      <w:pPr>
        <w:widowControl w:val="0"/>
        <w:adjustRightInd w:val="0"/>
        <w:snapToGrid w:val="0"/>
        <w:spacing w:line="360" w:lineRule="auto"/>
        <w:ind w:firstLine="472" w:firstLineChars="200"/>
        <w:jc w:val="both"/>
        <w:rPr>
          <w:rFonts w:hint="default" w:asciiTheme="minorEastAsia" w:hAnsiTheme="minorEastAsia" w:eastAsiaTheme="minorEastAsia" w:cstheme="minorEastAsia"/>
          <w:color w:val="auto"/>
          <w:kern w:val="2"/>
          <w:szCs w:val="24"/>
          <w:highlight w:val="none"/>
          <w:lang w:val="en-US" w:eastAsia="zh-CN"/>
        </w:rPr>
      </w:pPr>
      <w:r>
        <w:rPr>
          <w:rFonts w:hint="eastAsia"/>
          <w:b w:val="0"/>
          <w:color w:val="auto"/>
          <w:spacing w:val="-2"/>
          <w:szCs w:val="24"/>
          <w:highlight w:val="none"/>
        </w:rPr>
        <w:t>根据中国气象数据共享网的统计数据，</w:t>
      </w:r>
      <w:r>
        <w:rPr>
          <w:rFonts w:hint="eastAsia"/>
          <w:b w:val="0"/>
          <w:color w:val="auto"/>
          <w:spacing w:val="-2"/>
          <w:szCs w:val="24"/>
          <w:highlight w:val="none"/>
          <w:lang w:val="en-US" w:eastAsia="zh-CN"/>
        </w:rPr>
        <w:t>哈尔滨市</w:t>
      </w:r>
      <w:r>
        <w:rPr>
          <w:rFonts w:hint="eastAsia"/>
          <w:b w:val="0"/>
          <w:color w:val="auto"/>
          <w:spacing w:val="-2"/>
          <w:szCs w:val="24"/>
          <w:highlight w:val="none"/>
        </w:rPr>
        <w:t>年平均降雨量为</w:t>
      </w:r>
      <w:r>
        <w:rPr>
          <w:rFonts w:hint="eastAsia"/>
          <w:b w:val="0"/>
          <w:color w:val="auto"/>
          <w:spacing w:val="-2"/>
          <w:szCs w:val="24"/>
          <w:highlight w:val="none"/>
          <w:lang w:val="en-US" w:eastAsia="zh-CN"/>
        </w:rPr>
        <w:t>550</w:t>
      </w:r>
      <w:r>
        <w:rPr>
          <w:rFonts w:hint="eastAsia"/>
          <w:b w:val="0"/>
          <w:color w:val="auto"/>
          <w:spacing w:val="-2"/>
          <w:szCs w:val="24"/>
          <w:highlight w:val="none"/>
        </w:rPr>
        <w:t>mm，日平均降雨量为</w:t>
      </w:r>
      <w:r>
        <w:rPr>
          <w:rFonts w:hint="eastAsia"/>
          <w:b w:val="0"/>
          <w:color w:val="auto"/>
          <w:spacing w:val="-2"/>
          <w:szCs w:val="24"/>
          <w:highlight w:val="none"/>
          <w:lang w:val="en-US" w:eastAsia="zh-CN"/>
        </w:rPr>
        <w:t>1.4</w:t>
      </w:r>
      <w:r>
        <w:rPr>
          <w:rFonts w:hint="eastAsia"/>
          <w:b w:val="0"/>
          <w:color w:val="auto"/>
          <w:spacing w:val="-2"/>
          <w:szCs w:val="24"/>
          <w:highlight w:val="none"/>
        </w:rPr>
        <w:t>mm。</w:t>
      </w:r>
      <w:r>
        <w:rPr>
          <w:b w:val="0"/>
          <w:color w:val="auto"/>
          <w:spacing w:val="-2"/>
          <w:szCs w:val="24"/>
          <w:highlight w:val="none"/>
        </w:rPr>
        <w:t>计算，本项目雨水</w:t>
      </w:r>
      <w:r>
        <w:rPr>
          <w:rFonts w:hint="eastAsia"/>
          <w:b w:val="0"/>
          <w:color w:val="auto"/>
          <w:spacing w:val="-2"/>
          <w:szCs w:val="24"/>
          <w:highlight w:val="none"/>
          <w:lang w:val="en-US" w:eastAsia="zh-CN"/>
        </w:rPr>
        <w:t>渗水</w:t>
      </w:r>
      <w:r>
        <w:rPr>
          <w:b w:val="0"/>
          <w:color w:val="auto"/>
          <w:spacing w:val="-2"/>
          <w:szCs w:val="24"/>
          <w:highlight w:val="none"/>
        </w:rPr>
        <w:t>产生量为</w:t>
      </w:r>
      <w:r>
        <w:rPr>
          <w:rFonts w:hint="eastAsia" w:eastAsia="宋体"/>
          <w:b w:val="0"/>
          <w:color w:val="auto"/>
          <w:spacing w:val="-2"/>
          <w:szCs w:val="24"/>
          <w:highlight w:val="none"/>
          <w:lang w:val="en-US" w:eastAsia="zh-CN"/>
        </w:rPr>
        <w:t>3.16</w:t>
      </w:r>
      <w:r>
        <w:rPr>
          <w:rFonts w:eastAsia="Times New Roman"/>
          <w:b w:val="0"/>
          <w:color w:val="auto"/>
          <w:spacing w:val="-2"/>
          <w:szCs w:val="24"/>
          <w:highlight w:val="none"/>
        </w:rPr>
        <w:t>m</w:t>
      </w:r>
      <w:r>
        <w:rPr>
          <w:rFonts w:hint="eastAsia"/>
          <w:b w:val="0"/>
          <w:color w:val="auto"/>
          <w:spacing w:val="-2"/>
          <w:szCs w:val="24"/>
          <w:highlight w:val="none"/>
          <w:vertAlign w:val="superscript"/>
        </w:rPr>
        <w:t>3</w:t>
      </w:r>
      <w:r>
        <w:rPr>
          <w:rFonts w:eastAsia="Times New Roman"/>
          <w:b w:val="0"/>
          <w:color w:val="auto"/>
          <w:spacing w:val="-2"/>
          <w:szCs w:val="24"/>
          <w:highlight w:val="none"/>
        </w:rPr>
        <w:t>/d</w:t>
      </w:r>
      <w:r>
        <w:rPr>
          <w:rFonts w:hint="eastAsia"/>
          <w:b w:val="0"/>
          <w:color w:val="auto"/>
          <w:spacing w:val="-2"/>
          <w:szCs w:val="24"/>
          <w:highlight w:val="none"/>
          <w:lang w:eastAsia="zh-CN"/>
        </w:rPr>
        <w:t>，</w:t>
      </w:r>
      <w:r>
        <w:rPr>
          <w:rFonts w:hint="eastAsia"/>
          <w:b w:val="0"/>
          <w:color w:val="auto"/>
          <w:spacing w:val="-2"/>
          <w:szCs w:val="24"/>
          <w:highlight w:val="none"/>
          <w:lang w:val="en-US" w:eastAsia="zh-CN"/>
        </w:rPr>
        <w:t>664</w:t>
      </w:r>
      <w:r>
        <w:rPr>
          <w:rFonts w:eastAsia="Times New Roman"/>
          <w:b w:val="0"/>
          <w:color w:val="auto"/>
          <w:spacing w:val="-2"/>
          <w:szCs w:val="24"/>
          <w:highlight w:val="none"/>
        </w:rPr>
        <w:t>m</w:t>
      </w:r>
      <w:r>
        <w:rPr>
          <w:rFonts w:hint="eastAsia"/>
          <w:b w:val="0"/>
          <w:color w:val="auto"/>
          <w:spacing w:val="-2"/>
          <w:szCs w:val="24"/>
          <w:highlight w:val="none"/>
          <w:vertAlign w:val="superscript"/>
        </w:rPr>
        <w:t>3</w:t>
      </w:r>
      <w:r>
        <w:rPr>
          <w:rFonts w:eastAsia="Times New Roman"/>
          <w:b w:val="0"/>
          <w:color w:val="auto"/>
          <w:spacing w:val="-2"/>
          <w:szCs w:val="24"/>
          <w:highlight w:val="none"/>
        </w:rPr>
        <w:t>/</w:t>
      </w:r>
      <w:r>
        <w:rPr>
          <w:rFonts w:hint="eastAsia"/>
          <w:b w:val="0"/>
          <w:color w:val="auto"/>
          <w:spacing w:val="-2"/>
          <w:szCs w:val="24"/>
          <w:highlight w:val="none"/>
          <w:lang w:val="en-US" w:eastAsia="zh-CN"/>
        </w:rPr>
        <w:t>a</w:t>
      </w:r>
      <w:r>
        <w:rPr>
          <w:b w:val="0"/>
          <w:color w:val="auto"/>
          <w:spacing w:val="-3"/>
          <w:szCs w:val="24"/>
          <w:highlight w:val="none"/>
        </w:rPr>
        <w:t>。</w:t>
      </w:r>
      <w:r>
        <w:rPr>
          <w:rFonts w:hint="eastAsia"/>
          <w:color w:val="auto"/>
          <w:sz w:val="24"/>
          <w:szCs w:val="24"/>
          <w:highlight w:val="none"/>
          <w:lang w:val="en-US" w:eastAsia="zh-CN"/>
        </w:rPr>
        <w:t>雨水渗水排入沉淀</w:t>
      </w:r>
      <w:r>
        <w:rPr>
          <w:rFonts w:hint="eastAsia"/>
          <w:color w:val="auto"/>
          <w:sz w:val="24"/>
          <w:szCs w:val="24"/>
          <w:highlight w:val="none"/>
        </w:rPr>
        <w:t>池</w:t>
      </w:r>
      <w:r>
        <w:rPr>
          <w:rFonts w:hint="eastAsia"/>
          <w:color w:val="auto"/>
          <w:sz w:val="24"/>
          <w:szCs w:val="24"/>
          <w:highlight w:val="none"/>
          <w:lang w:val="en-US" w:eastAsia="zh-CN"/>
        </w:rPr>
        <w:t>经</w:t>
      </w:r>
      <w:r>
        <w:rPr>
          <w:rFonts w:hint="eastAsia"/>
          <w:color w:val="auto"/>
          <w:sz w:val="24"/>
          <w:szCs w:val="24"/>
          <w:highlight w:val="none"/>
        </w:rPr>
        <w:t>沉淀处理</w:t>
      </w:r>
      <w:r>
        <w:rPr>
          <w:rFonts w:hint="eastAsia"/>
          <w:color w:val="auto"/>
          <w:sz w:val="24"/>
          <w:szCs w:val="24"/>
          <w:highlight w:val="none"/>
          <w:lang w:val="en-US" w:eastAsia="zh-CN"/>
        </w:rPr>
        <w:t>后用于回填区洒水降尘，不外排</w:t>
      </w:r>
      <w:r>
        <w:rPr>
          <w:rFonts w:hint="eastAsia"/>
          <w:color w:val="auto"/>
          <w:sz w:val="24"/>
          <w:szCs w:val="24"/>
          <w:highlight w:val="none"/>
        </w:rPr>
        <w:t>。</w:t>
      </w:r>
    </w:p>
    <w:p w14:paraId="42F3B133">
      <w:pPr>
        <w:pStyle w:val="2"/>
        <w:rPr>
          <w:rFonts w:hint="default" w:asciiTheme="minorEastAsia" w:hAnsiTheme="minorEastAsia" w:eastAsiaTheme="minorEastAsia" w:cstheme="minorEastAsia"/>
          <w:color w:val="auto"/>
          <w:kern w:val="2"/>
          <w:szCs w:val="24"/>
          <w:highlight w:val="none"/>
          <w:lang w:val="en-US" w:eastAsia="zh-CN"/>
        </w:rPr>
      </w:pPr>
    </w:p>
    <w:p w14:paraId="4D9D05D3">
      <w:pPr>
        <w:pStyle w:val="2"/>
        <w:rPr>
          <w:rFonts w:hint="default" w:asciiTheme="minorEastAsia" w:hAnsiTheme="minorEastAsia" w:eastAsiaTheme="minorEastAsia" w:cstheme="minorEastAsia"/>
          <w:color w:val="auto"/>
          <w:kern w:val="2"/>
          <w:szCs w:val="24"/>
          <w:highlight w:val="none"/>
          <w:lang w:val="en-US" w:eastAsia="zh-CN"/>
        </w:rPr>
      </w:pPr>
    </w:p>
    <w:p w14:paraId="5106E424">
      <w:pPr>
        <w:pStyle w:val="2"/>
        <w:rPr>
          <w:rFonts w:hint="default" w:asciiTheme="minorEastAsia" w:hAnsiTheme="minorEastAsia" w:eastAsiaTheme="minorEastAsia" w:cstheme="minorEastAsia"/>
          <w:color w:val="auto"/>
          <w:kern w:val="2"/>
          <w:szCs w:val="24"/>
          <w:highlight w:val="none"/>
          <w:lang w:val="en-US" w:eastAsia="zh-CN"/>
        </w:rPr>
      </w:pPr>
    </w:p>
    <w:bookmarkEnd w:id="380"/>
    <w:bookmarkEnd w:id="381"/>
    <w:bookmarkEnd w:id="382"/>
    <w:p w14:paraId="68BCFCBC">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rPr>
      </w:pPr>
    </w:p>
    <w:p w14:paraId="4274E03F">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rPr>
        <w:sectPr>
          <w:pgSz w:w="11906" w:h="16838"/>
          <w:pgMar w:top="1440" w:right="1797" w:bottom="1440" w:left="1797" w:header="992" w:footer="992" w:gutter="0"/>
          <w:pgBorders>
            <w:top w:val="none" w:sz="0" w:space="0"/>
            <w:left w:val="none" w:sz="0" w:space="0"/>
            <w:bottom w:val="none" w:sz="0" w:space="0"/>
            <w:right w:val="none" w:sz="0" w:space="0"/>
          </w:pgBorders>
          <w:pgNumType w:fmt="numberInDash"/>
          <w:cols w:space="720" w:num="1"/>
          <w:docGrid w:type="lines" w:linePitch="312" w:charSpace="0"/>
        </w:sectPr>
      </w:pPr>
    </w:p>
    <w:p w14:paraId="5AA3FB24">
      <w:pPr>
        <w:bidi w:val="0"/>
        <w:jc w:val="center"/>
        <w:rPr>
          <w:rFonts w:hint="default"/>
          <w:b/>
          <w:bCs/>
          <w:color w:val="auto"/>
          <w:highlight w:val="none"/>
          <w:lang w:val="en-US" w:eastAsia="zh-CN"/>
        </w:rPr>
      </w:pPr>
      <w:r>
        <w:rPr>
          <w:rFonts w:hint="eastAsia"/>
          <w:b/>
          <w:bCs/>
          <w:color w:val="auto"/>
          <w:highlight w:val="none"/>
          <w:lang w:val="en-US" w:eastAsia="zh-CN"/>
        </w:rPr>
        <w:t>表3.3-6  废水源强一览表</w:t>
      </w:r>
    </w:p>
    <w:tbl>
      <w:tblPr>
        <w:tblStyle w:val="1344"/>
        <w:tblW w:w="14661" w:type="dxa"/>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88"/>
        <w:gridCol w:w="762"/>
        <w:gridCol w:w="738"/>
        <w:gridCol w:w="1350"/>
        <w:gridCol w:w="750"/>
        <w:gridCol w:w="1032"/>
        <w:gridCol w:w="1288"/>
        <w:gridCol w:w="1254"/>
        <w:gridCol w:w="1399"/>
        <w:gridCol w:w="1080"/>
        <w:gridCol w:w="795"/>
        <w:gridCol w:w="1005"/>
        <w:gridCol w:w="1260"/>
        <w:gridCol w:w="1260"/>
      </w:tblGrid>
      <w:tr w14:paraId="24C9A36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688" w:type="dxa"/>
            <w:vMerge w:val="restart"/>
            <w:tcBorders>
              <w:tl2br w:val="nil"/>
              <w:tr2bl w:val="nil"/>
            </w:tcBorders>
            <w:noWrap w:val="0"/>
            <w:vAlign w:val="center"/>
          </w:tcPr>
          <w:p w14:paraId="2FFA688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工序</w:t>
            </w:r>
          </w:p>
        </w:tc>
        <w:tc>
          <w:tcPr>
            <w:tcW w:w="762" w:type="dxa"/>
            <w:vMerge w:val="restart"/>
            <w:tcBorders>
              <w:tl2br w:val="nil"/>
              <w:tr2bl w:val="nil"/>
            </w:tcBorders>
            <w:noWrap w:val="0"/>
            <w:vAlign w:val="center"/>
          </w:tcPr>
          <w:p w14:paraId="1B6CF36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装置</w:t>
            </w:r>
          </w:p>
        </w:tc>
        <w:tc>
          <w:tcPr>
            <w:tcW w:w="738" w:type="dxa"/>
            <w:vMerge w:val="restart"/>
            <w:tcBorders>
              <w:tl2br w:val="nil"/>
              <w:tr2bl w:val="nil"/>
            </w:tcBorders>
            <w:noWrap w:val="0"/>
            <w:vAlign w:val="center"/>
          </w:tcPr>
          <w:p w14:paraId="1B8F1EF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污染源</w:t>
            </w:r>
          </w:p>
        </w:tc>
        <w:tc>
          <w:tcPr>
            <w:tcW w:w="1350" w:type="dxa"/>
            <w:vMerge w:val="restart"/>
            <w:tcBorders>
              <w:tl2br w:val="nil"/>
              <w:tr2bl w:val="nil"/>
            </w:tcBorders>
            <w:noWrap w:val="0"/>
            <w:vAlign w:val="center"/>
          </w:tcPr>
          <w:p w14:paraId="1F46B1B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污染物</w:t>
            </w:r>
          </w:p>
        </w:tc>
        <w:tc>
          <w:tcPr>
            <w:tcW w:w="4324" w:type="dxa"/>
            <w:gridSpan w:val="4"/>
            <w:tcBorders>
              <w:tl2br w:val="nil"/>
              <w:tr2bl w:val="nil"/>
            </w:tcBorders>
            <w:noWrap w:val="0"/>
            <w:vAlign w:val="center"/>
          </w:tcPr>
          <w:p w14:paraId="0623C3F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污染物产生</w:t>
            </w:r>
          </w:p>
        </w:tc>
        <w:tc>
          <w:tcPr>
            <w:tcW w:w="2479" w:type="dxa"/>
            <w:gridSpan w:val="2"/>
            <w:tcBorders>
              <w:tl2br w:val="nil"/>
              <w:tr2bl w:val="nil"/>
            </w:tcBorders>
            <w:noWrap w:val="0"/>
            <w:vAlign w:val="center"/>
          </w:tcPr>
          <w:p w14:paraId="003B639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治理措施</w:t>
            </w:r>
          </w:p>
        </w:tc>
        <w:tc>
          <w:tcPr>
            <w:tcW w:w="4320" w:type="dxa"/>
            <w:gridSpan w:val="4"/>
            <w:tcBorders>
              <w:tl2br w:val="nil"/>
              <w:tr2bl w:val="nil"/>
            </w:tcBorders>
            <w:noWrap w:val="0"/>
            <w:vAlign w:val="center"/>
          </w:tcPr>
          <w:p w14:paraId="551FB89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污染物排放</w:t>
            </w:r>
          </w:p>
        </w:tc>
      </w:tr>
      <w:tr w14:paraId="1F1ED6C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688" w:type="dxa"/>
            <w:vMerge w:val="continue"/>
            <w:tcBorders>
              <w:tl2br w:val="nil"/>
              <w:tr2bl w:val="nil"/>
            </w:tcBorders>
            <w:noWrap w:val="0"/>
            <w:vAlign w:val="center"/>
          </w:tcPr>
          <w:p w14:paraId="3BA9692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rPr>
            </w:pPr>
          </w:p>
        </w:tc>
        <w:tc>
          <w:tcPr>
            <w:tcW w:w="762" w:type="dxa"/>
            <w:vMerge w:val="continue"/>
            <w:tcBorders>
              <w:tl2br w:val="nil"/>
              <w:tr2bl w:val="nil"/>
            </w:tcBorders>
            <w:noWrap w:val="0"/>
            <w:vAlign w:val="center"/>
          </w:tcPr>
          <w:p w14:paraId="0669407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rPr>
            </w:pPr>
          </w:p>
        </w:tc>
        <w:tc>
          <w:tcPr>
            <w:tcW w:w="738" w:type="dxa"/>
            <w:vMerge w:val="continue"/>
            <w:tcBorders>
              <w:tl2br w:val="nil"/>
              <w:tr2bl w:val="nil"/>
            </w:tcBorders>
            <w:noWrap w:val="0"/>
            <w:vAlign w:val="center"/>
          </w:tcPr>
          <w:p w14:paraId="457CB72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rPr>
            </w:pPr>
          </w:p>
        </w:tc>
        <w:tc>
          <w:tcPr>
            <w:tcW w:w="1350" w:type="dxa"/>
            <w:vMerge w:val="continue"/>
            <w:tcBorders>
              <w:tl2br w:val="nil"/>
              <w:tr2bl w:val="nil"/>
            </w:tcBorders>
            <w:noWrap w:val="0"/>
            <w:vAlign w:val="center"/>
          </w:tcPr>
          <w:p w14:paraId="688B0AC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p>
        </w:tc>
        <w:tc>
          <w:tcPr>
            <w:tcW w:w="750" w:type="dxa"/>
            <w:tcBorders>
              <w:tl2br w:val="nil"/>
              <w:tr2bl w:val="nil"/>
            </w:tcBorders>
            <w:noWrap w:val="0"/>
            <w:vAlign w:val="center"/>
          </w:tcPr>
          <w:p w14:paraId="34072D2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核算方法</w:t>
            </w:r>
          </w:p>
        </w:tc>
        <w:tc>
          <w:tcPr>
            <w:tcW w:w="1032" w:type="dxa"/>
            <w:tcBorders>
              <w:tl2br w:val="nil"/>
              <w:tr2bl w:val="nil"/>
            </w:tcBorders>
            <w:noWrap w:val="0"/>
            <w:vAlign w:val="center"/>
          </w:tcPr>
          <w:p w14:paraId="04F61151">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b/>
                <w:snapToGrid w:val="0"/>
                <w:color w:val="auto"/>
                <w:sz w:val="21"/>
                <w:szCs w:val="21"/>
                <w:highlight w:val="none"/>
              </w:rPr>
            </w:pPr>
            <w:r>
              <w:rPr>
                <w:b/>
                <w:snapToGrid w:val="0"/>
                <w:color w:val="auto"/>
                <w:sz w:val="21"/>
                <w:szCs w:val="21"/>
                <w:highlight w:val="none"/>
              </w:rPr>
              <w:t>废水产生量</w:t>
            </w:r>
          </w:p>
          <w:p w14:paraId="4B02748B">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b/>
                <w:snapToGrid w:val="0"/>
                <w:color w:val="auto"/>
                <w:sz w:val="21"/>
                <w:szCs w:val="21"/>
                <w:highlight w:val="none"/>
              </w:rPr>
            </w:pPr>
            <w:r>
              <w:rPr>
                <w:b/>
                <w:snapToGrid w:val="0"/>
                <w:color w:val="auto"/>
                <w:sz w:val="21"/>
                <w:szCs w:val="21"/>
                <w:highlight w:val="none"/>
              </w:rPr>
              <w:t>（</w:t>
            </w:r>
            <w:r>
              <w:rPr>
                <w:rFonts w:cs="Times New Roman"/>
                <w:b/>
                <w:snapToGrid w:val="0"/>
                <w:color w:val="auto"/>
                <w:sz w:val="21"/>
                <w:szCs w:val="21"/>
                <w:highlight w:val="none"/>
              </w:rPr>
              <w:t>m</w:t>
            </w:r>
            <w:r>
              <w:rPr>
                <w:rFonts w:cs="Times New Roman"/>
                <w:b/>
                <w:snapToGrid w:val="0"/>
                <w:color w:val="auto"/>
                <w:sz w:val="21"/>
                <w:szCs w:val="21"/>
                <w:highlight w:val="none"/>
                <w:vertAlign w:val="superscript"/>
              </w:rPr>
              <w:t>3</w:t>
            </w:r>
            <w:r>
              <w:rPr>
                <w:rFonts w:cs="Times New Roman"/>
                <w:b/>
                <w:snapToGrid w:val="0"/>
                <w:color w:val="auto"/>
                <w:sz w:val="21"/>
                <w:szCs w:val="21"/>
                <w:highlight w:val="none"/>
              </w:rPr>
              <w:t>/</w:t>
            </w:r>
            <w:r>
              <w:rPr>
                <w:rFonts w:hint="eastAsia" w:cs="Times New Roman"/>
                <w:b/>
                <w:snapToGrid w:val="0"/>
                <w:color w:val="auto"/>
                <w:sz w:val="21"/>
                <w:szCs w:val="21"/>
                <w:highlight w:val="none"/>
                <w:lang w:val="en-US" w:eastAsia="zh-CN"/>
              </w:rPr>
              <w:t>a</w:t>
            </w:r>
            <w:r>
              <w:rPr>
                <w:b/>
                <w:snapToGrid w:val="0"/>
                <w:color w:val="auto"/>
                <w:sz w:val="21"/>
                <w:szCs w:val="21"/>
                <w:highlight w:val="none"/>
              </w:rPr>
              <w:t>）</w:t>
            </w:r>
          </w:p>
        </w:tc>
        <w:tc>
          <w:tcPr>
            <w:tcW w:w="1288" w:type="dxa"/>
            <w:tcBorders>
              <w:tl2br w:val="nil"/>
              <w:tr2bl w:val="nil"/>
            </w:tcBorders>
            <w:noWrap w:val="0"/>
            <w:vAlign w:val="center"/>
          </w:tcPr>
          <w:p w14:paraId="206FCEF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rPr>
            </w:pPr>
            <w:r>
              <w:rPr>
                <w:rStyle w:val="1357"/>
                <w:b/>
                <w:snapToGrid w:val="0"/>
                <w:color w:val="auto"/>
                <w:sz w:val="21"/>
                <w:szCs w:val="21"/>
                <w:highlight w:val="none"/>
              </w:rPr>
              <w:t>浓度mg/L</w:t>
            </w:r>
          </w:p>
        </w:tc>
        <w:tc>
          <w:tcPr>
            <w:tcW w:w="1254" w:type="dxa"/>
            <w:tcBorders>
              <w:tl2br w:val="nil"/>
              <w:tr2bl w:val="nil"/>
            </w:tcBorders>
            <w:noWrap w:val="0"/>
            <w:vAlign w:val="center"/>
          </w:tcPr>
          <w:p w14:paraId="15209D8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eastAsia="宋体"/>
                <w:b/>
                <w:snapToGrid w:val="0"/>
                <w:color w:val="auto"/>
                <w:kern w:val="0"/>
                <w:sz w:val="21"/>
                <w:szCs w:val="21"/>
                <w:highlight w:val="none"/>
                <w:lang w:eastAsia="zh-CN"/>
              </w:rPr>
            </w:pPr>
            <w:r>
              <w:rPr>
                <w:b/>
                <w:snapToGrid w:val="0"/>
                <w:color w:val="auto"/>
                <w:kern w:val="0"/>
                <w:sz w:val="21"/>
                <w:szCs w:val="21"/>
                <w:highlight w:val="none"/>
                <w:lang w:val="zh-CN"/>
              </w:rPr>
              <w:t>产生量</w:t>
            </w:r>
            <w:r>
              <w:rPr>
                <w:rFonts w:hint="eastAsia"/>
                <w:b/>
                <w:snapToGrid w:val="0"/>
                <w:color w:val="auto"/>
                <w:kern w:val="0"/>
                <w:sz w:val="21"/>
                <w:szCs w:val="21"/>
                <w:highlight w:val="none"/>
                <w:lang w:val="en-US" w:eastAsia="zh-CN"/>
              </w:rPr>
              <w:t>t/a</w:t>
            </w:r>
          </w:p>
        </w:tc>
        <w:tc>
          <w:tcPr>
            <w:tcW w:w="1399" w:type="dxa"/>
            <w:tcBorders>
              <w:tl2br w:val="nil"/>
              <w:tr2bl w:val="nil"/>
            </w:tcBorders>
            <w:noWrap w:val="0"/>
            <w:vAlign w:val="center"/>
          </w:tcPr>
          <w:p w14:paraId="38A11FD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工艺</w:t>
            </w:r>
          </w:p>
        </w:tc>
        <w:tc>
          <w:tcPr>
            <w:tcW w:w="1080" w:type="dxa"/>
            <w:tcBorders>
              <w:tl2br w:val="nil"/>
              <w:tr2bl w:val="nil"/>
            </w:tcBorders>
            <w:noWrap w:val="0"/>
            <w:vAlign w:val="center"/>
          </w:tcPr>
          <w:p w14:paraId="36C7730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处理效率%</w:t>
            </w:r>
          </w:p>
        </w:tc>
        <w:tc>
          <w:tcPr>
            <w:tcW w:w="795" w:type="dxa"/>
            <w:tcBorders>
              <w:tl2br w:val="nil"/>
              <w:tr2bl w:val="nil"/>
            </w:tcBorders>
            <w:noWrap w:val="0"/>
            <w:vAlign w:val="center"/>
          </w:tcPr>
          <w:p w14:paraId="1059C22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核算方法</w:t>
            </w:r>
          </w:p>
        </w:tc>
        <w:tc>
          <w:tcPr>
            <w:tcW w:w="1005" w:type="dxa"/>
            <w:tcBorders>
              <w:tl2br w:val="nil"/>
              <w:tr2bl w:val="nil"/>
            </w:tcBorders>
            <w:noWrap w:val="0"/>
            <w:vAlign w:val="center"/>
          </w:tcPr>
          <w:p w14:paraId="0D8016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sz w:val="21"/>
                <w:szCs w:val="21"/>
                <w:highlight w:val="none"/>
              </w:rPr>
            </w:pPr>
            <w:r>
              <w:rPr>
                <w:b/>
                <w:snapToGrid w:val="0"/>
                <w:color w:val="auto"/>
                <w:sz w:val="21"/>
                <w:szCs w:val="21"/>
                <w:highlight w:val="none"/>
              </w:rPr>
              <w:t>废水排放量</w:t>
            </w:r>
          </w:p>
          <w:p w14:paraId="3B7971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rStyle w:val="1357"/>
                <w:b/>
                <w:snapToGrid w:val="0"/>
                <w:color w:val="auto"/>
                <w:sz w:val="21"/>
                <w:szCs w:val="21"/>
                <w:highlight w:val="none"/>
              </w:rPr>
              <w:t>（</w:t>
            </w:r>
            <w:r>
              <w:rPr>
                <w:rFonts w:cs="Times New Roman"/>
                <w:b/>
                <w:snapToGrid w:val="0"/>
                <w:color w:val="auto"/>
                <w:sz w:val="21"/>
                <w:szCs w:val="21"/>
                <w:highlight w:val="none"/>
              </w:rPr>
              <w:t>m</w:t>
            </w:r>
            <w:r>
              <w:rPr>
                <w:rFonts w:cs="Times New Roman"/>
                <w:b/>
                <w:snapToGrid w:val="0"/>
                <w:color w:val="auto"/>
                <w:sz w:val="21"/>
                <w:szCs w:val="21"/>
                <w:highlight w:val="none"/>
                <w:vertAlign w:val="superscript"/>
              </w:rPr>
              <w:t>3</w:t>
            </w:r>
            <w:r>
              <w:rPr>
                <w:rFonts w:cs="Times New Roman"/>
                <w:b/>
                <w:snapToGrid w:val="0"/>
                <w:color w:val="auto"/>
                <w:sz w:val="21"/>
                <w:szCs w:val="21"/>
                <w:highlight w:val="none"/>
              </w:rPr>
              <w:t>/</w:t>
            </w:r>
            <w:r>
              <w:rPr>
                <w:rFonts w:hint="eastAsia" w:cs="Times New Roman"/>
                <w:b/>
                <w:snapToGrid w:val="0"/>
                <w:color w:val="auto"/>
                <w:sz w:val="21"/>
                <w:szCs w:val="21"/>
                <w:highlight w:val="none"/>
                <w:lang w:val="en-US" w:eastAsia="zh-CN"/>
              </w:rPr>
              <w:t>a</w:t>
            </w:r>
            <w:r>
              <w:rPr>
                <w:rStyle w:val="1357"/>
                <w:b/>
                <w:snapToGrid w:val="0"/>
                <w:color w:val="auto"/>
                <w:sz w:val="21"/>
                <w:szCs w:val="21"/>
                <w:highlight w:val="none"/>
              </w:rPr>
              <w:t>）</w:t>
            </w:r>
          </w:p>
        </w:tc>
        <w:tc>
          <w:tcPr>
            <w:tcW w:w="1260" w:type="dxa"/>
            <w:tcBorders>
              <w:tl2br w:val="nil"/>
              <w:tr2bl w:val="nil"/>
            </w:tcBorders>
            <w:noWrap w:val="0"/>
            <w:vAlign w:val="center"/>
          </w:tcPr>
          <w:p w14:paraId="404B6F1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排放浓度</w:t>
            </w:r>
            <w:r>
              <w:rPr>
                <w:rStyle w:val="1357"/>
                <w:b/>
                <w:snapToGrid w:val="0"/>
                <w:color w:val="auto"/>
                <w:sz w:val="21"/>
                <w:szCs w:val="21"/>
                <w:highlight w:val="none"/>
              </w:rPr>
              <w:t>mg/L</w:t>
            </w:r>
          </w:p>
        </w:tc>
        <w:tc>
          <w:tcPr>
            <w:tcW w:w="1260" w:type="dxa"/>
            <w:tcBorders>
              <w:tl2br w:val="nil"/>
              <w:tr2bl w:val="nil"/>
            </w:tcBorders>
            <w:noWrap w:val="0"/>
            <w:vAlign w:val="center"/>
          </w:tcPr>
          <w:p w14:paraId="737892E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b/>
                <w:snapToGrid w:val="0"/>
                <w:color w:val="auto"/>
                <w:kern w:val="0"/>
                <w:sz w:val="21"/>
                <w:szCs w:val="21"/>
                <w:highlight w:val="none"/>
                <w:lang w:val="zh-CN"/>
              </w:rPr>
            </w:pPr>
            <w:r>
              <w:rPr>
                <w:b/>
                <w:snapToGrid w:val="0"/>
                <w:color w:val="auto"/>
                <w:kern w:val="0"/>
                <w:sz w:val="21"/>
                <w:szCs w:val="21"/>
                <w:highlight w:val="none"/>
                <w:lang w:val="zh-CN"/>
              </w:rPr>
              <w:t>排放量</w:t>
            </w:r>
            <w:r>
              <w:rPr>
                <w:rFonts w:hint="eastAsia"/>
                <w:b/>
                <w:snapToGrid w:val="0"/>
                <w:color w:val="auto"/>
                <w:kern w:val="0"/>
                <w:sz w:val="21"/>
                <w:szCs w:val="21"/>
                <w:highlight w:val="none"/>
                <w:lang w:val="en-US" w:eastAsia="zh-CN"/>
              </w:rPr>
              <w:t>t</w:t>
            </w:r>
            <w:r>
              <w:rPr>
                <w:b/>
                <w:snapToGrid w:val="0"/>
                <w:color w:val="auto"/>
                <w:kern w:val="0"/>
                <w:sz w:val="21"/>
                <w:szCs w:val="21"/>
                <w:highlight w:val="none"/>
                <w:lang w:val="zh-CN"/>
              </w:rPr>
              <w:t>/</w:t>
            </w:r>
            <w:r>
              <w:rPr>
                <w:rFonts w:hint="eastAsia"/>
                <w:b/>
                <w:snapToGrid w:val="0"/>
                <w:color w:val="auto"/>
                <w:kern w:val="0"/>
                <w:sz w:val="21"/>
                <w:szCs w:val="21"/>
                <w:highlight w:val="none"/>
                <w:lang w:val="en-US" w:eastAsia="zh-CN"/>
              </w:rPr>
              <w:t>a</w:t>
            </w:r>
          </w:p>
        </w:tc>
      </w:tr>
      <w:tr w14:paraId="63C7002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2" w:hRule="atLeast"/>
          <w:jc w:val="center"/>
        </w:trPr>
        <w:tc>
          <w:tcPr>
            <w:tcW w:w="688" w:type="dxa"/>
            <w:vMerge w:val="restart"/>
            <w:tcBorders>
              <w:tl2br w:val="nil"/>
              <w:tr2bl w:val="nil"/>
            </w:tcBorders>
            <w:noWrap w:val="0"/>
            <w:vAlign w:val="center"/>
          </w:tcPr>
          <w:p w14:paraId="3B6AAC0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ascii="Times New Roman" w:eastAsia="宋体"/>
                <w:snapToGrid w:val="0"/>
                <w:color w:val="auto"/>
                <w:kern w:val="0"/>
                <w:sz w:val="21"/>
                <w:szCs w:val="21"/>
                <w:highlight w:val="none"/>
              </w:rPr>
              <w:t>回填作业</w:t>
            </w:r>
          </w:p>
        </w:tc>
        <w:tc>
          <w:tcPr>
            <w:tcW w:w="762" w:type="dxa"/>
            <w:vMerge w:val="restart"/>
            <w:tcBorders>
              <w:tl2br w:val="nil"/>
              <w:tr2bl w:val="nil"/>
            </w:tcBorders>
            <w:noWrap w:val="0"/>
            <w:vAlign w:val="center"/>
          </w:tcPr>
          <w:p w14:paraId="521B115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eastAsia="宋体"/>
                <w:snapToGrid w:val="0"/>
                <w:color w:val="auto"/>
                <w:kern w:val="0"/>
                <w:sz w:val="21"/>
                <w:szCs w:val="21"/>
                <w:highlight w:val="none"/>
                <w:lang w:eastAsia="zh-CN"/>
              </w:rPr>
            </w:pPr>
            <w:r>
              <w:rPr>
                <w:rFonts w:hint="eastAsia" w:ascii="Times New Roman" w:eastAsia="宋体"/>
                <w:snapToGrid w:val="0"/>
                <w:color w:val="auto"/>
                <w:kern w:val="0"/>
                <w:sz w:val="21"/>
                <w:szCs w:val="21"/>
                <w:highlight w:val="none"/>
                <w:lang w:val="en-US" w:eastAsia="zh-CN"/>
              </w:rPr>
              <w:t>沉淀池</w:t>
            </w:r>
          </w:p>
        </w:tc>
        <w:tc>
          <w:tcPr>
            <w:tcW w:w="738" w:type="dxa"/>
            <w:vMerge w:val="restart"/>
            <w:tcBorders>
              <w:tl2br w:val="nil"/>
              <w:tr2bl w:val="nil"/>
            </w:tcBorders>
            <w:noWrap w:val="0"/>
            <w:vAlign w:val="center"/>
          </w:tcPr>
          <w:p w14:paraId="556D019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ascii="Times New Roman" w:eastAsia="宋体"/>
                <w:snapToGrid w:val="0"/>
                <w:color w:val="auto"/>
                <w:kern w:val="0"/>
                <w:sz w:val="21"/>
                <w:szCs w:val="21"/>
                <w:highlight w:val="none"/>
              </w:rPr>
              <w:t>淋</w:t>
            </w:r>
            <w:r>
              <w:rPr>
                <w:rFonts w:hint="eastAsia" w:ascii="Times New Roman" w:eastAsia="宋体"/>
                <w:snapToGrid w:val="0"/>
                <w:color w:val="auto"/>
                <w:kern w:val="0"/>
                <w:sz w:val="21"/>
                <w:szCs w:val="21"/>
                <w:highlight w:val="none"/>
                <w:lang w:val="en-US" w:eastAsia="zh-CN"/>
              </w:rPr>
              <w:t>滤</w:t>
            </w:r>
            <w:r>
              <w:rPr>
                <w:rFonts w:ascii="Times New Roman" w:eastAsia="宋体"/>
                <w:snapToGrid w:val="0"/>
                <w:color w:val="auto"/>
                <w:kern w:val="0"/>
                <w:sz w:val="21"/>
                <w:szCs w:val="21"/>
                <w:highlight w:val="none"/>
              </w:rPr>
              <w:t>水</w:t>
            </w:r>
          </w:p>
        </w:tc>
        <w:tc>
          <w:tcPr>
            <w:tcW w:w="1350" w:type="dxa"/>
            <w:tcBorders>
              <w:tl2br w:val="nil"/>
              <w:tr2bl w:val="nil"/>
            </w:tcBorders>
            <w:noWrap w:val="0"/>
            <w:vAlign w:val="center"/>
          </w:tcPr>
          <w:p w14:paraId="21541790">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snapToGrid w:val="0"/>
                <w:color w:val="auto"/>
                <w:kern w:val="0"/>
                <w:sz w:val="21"/>
                <w:szCs w:val="21"/>
                <w:highlight w:val="none"/>
                <w:lang w:val="en-US" w:eastAsia="zh-CN" w:bidi="ar-SA"/>
              </w:rPr>
            </w:pPr>
            <w:r>
              <w:rPr>
                <w:rFonts w:hint="eastAsia" w:ascii="宋体" w:hAnsi="宋体" w:eastAsia="宋体" w:cs="宋体"/>
                <w:i w:val="0"/>
                <w:iCs w:val="0"/>
                <w:snapToGrid w:val="0"/>
                <w:color w:val="auto"/>
                <w:kern w:val="0"/>
                <w:sz w:val="21"/>
                <w:szCs w:val="21"/>
                <w:highlight w:val="none"/>
                <w:u w:val="none"/>
                <w:lang w:val="en-US" w:eastAsia="zh-CN" w:bidi="ar"/>
              </w:rPr>
              <w:t>六价铬</w:t>
            </w:r>
          </w:p>
        </w:tc>
        <w:tc>
          <w:tcPr>
            <w:tcW w:w="750" w:type="dxa"/>
            <w:vMerge w:val="restart"/>
            <w:tcBorders>
              <w:tl2br w:val="nil"/>
              <w:tr2bl w:val="nil"/>
            </w:tcBorders>
            <w:noWrap w:val="0"/>
            <w:vAlign w:val="center"/>
          </w:tcPr>
          <w:p w14:paraId="43853C0B">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ascii="Times New Roman" w:eastAsia="宋体"/>
                <w:snapToGrid w:val="0"/>
                <w:color w:val="auto"/>
                <w:sz w:val="21"/>
                <w:szCs w:val="21"/>
                <w:highlight w:val="none"/>
              </w:rPr>
              <w:t>类比法</w:t>
            </w:r>
          </w:p>
        </w:tc>
        <w:tc>
          <w:tcPr>
            <w:tcW w:w="1032" w:type="dxa"/>
            <w:vMerge w:val="restart"/>
            <w:tcBorders>
              <w:tl2br w:val="nil"/>
              <w:tr2bl w:val="nil"/>
            </w:tcBorders>
            <w:noWrap w:val="0"/>
            <w:vAlign w:val="center"/>
          </w:tcPr>
          <w:p w14:paraId="38410135">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eastAsia="宋体"/>
                <w:snapToGrid w:val="0"/>
                <w:color w:val="auto"/>
                <w:sz w:val="21"/>
                <w:szCs w:val="21"/>
                <w:highlight w:val="none"/>
                <w:lang w:val="en-US" w:eastAsia="zh-CN"/>
              </w:rPr>
            </w:pPr>
            <w:r>
              <w:rPr>
                <w:rFonts w:hint="eastAsia"/>
                <w:b w:val="0"/>
                <w:snapToGrid w:val="0"/>
                <w:color w:val="auto"/>
                <w:spacing w:val="-2"/>
                <w:szCs w:val="24"/>
                <w:highlight w:val="none"/>
                <w:lang w:val="en-US" w:eastAsia="zh-CN"/>
              </w:rPr>
              <w:t>664</w:t>
            </w:r>
          </w:p>
        </w:tc>
        <w:tc>
          <w:tcPr>
            <w:tcW w:w="1288" w:type="dxa"/>
            <w:tcBorders>
              <w:tl2br w:val="nil"/>
              <w:tr2bl w:val="nil"/>
            </w:tcBorders>
            <w:shd w:val="clear" w:color="auto" w:fill="auto"/>
            <w:noWrap w:val="0"/>
            <w:vAlign w:val="center"/>
          </w:tcPr>
          <w:p w14:paraId="33DC0F1A">
            <w:pPr>
              <w:keepNext w:val="0"/>
              <w:keepLines w:val="0"/>
              <w:widowControl/>
              <w:suppressLineNumbers w:val="0"/>
              <w:adjustRightInd w:val="0"/>
              <w:snapToGrid w:val="0"/>
              <w:spacing w:before="0" w:beforeAutospacing="0" w:after="0" w:afterAutospacing="0"/>
              <w:ind w:left="0" w:right="0"/>
              <w:jc w:val="center"/>
              <w:textAlignment w:val="center"/>
              <w:rPr>
                <w:rFonts w:hint="default" w:ascii="宋体" w:hAnsi="宋体" w:eastAsia="宋体" w:cs="宋体"/>
                <w:i w:val="0"/>
                <w:iCs w:val="0"/>
                <w:snapToGrid w:val="0"/>
                <w:color w:val="auto"/>
                <w:kern w:val="2"/>
                <w:sz w:val="20"/>
                <w:szCs w:val="20"/>
                <w:highlight w:val="none"/>
                <w:u w:val="none"/>
                <w:lang w:val="en-US" w:eastAsia="zh-CN" w:bidi="ar-SA"/>
              </w:rPr>
            </w:pPr>
            <w:r>
              <w:rPr>
                <w:rFonts w:hint="eastAsia" w:ascii="宋体" w:hAnsi="宋体" w:eastAsia="宋体" w:cs="宋体"/>
                <w:i w:val="0"/>
                <w:iCs w:val="0"/>
                <w:snapToGrid w:val="0"/>
                <w:color w:val="auto"/>
                <w:kern w:val="0"/>
                <w:sz w:val="21"/>
                <w:szCs w:val="21"/>
                <w:highlight w:val="none"/>
                <w:u w:val="none"/>
                <w:lang w:val="en-US" w:eastAsia="zh-CN" w:bidi="ar"/>
              </w:rPr>
              <w:t>0.010</w:t>
            </w:r>
          </w:p>
        </w:tc>
        <w:tc>
          <w:tcPr>
            <w:tcW w:w="1254" w:type="dxa"/>
            <w:tcBorders>
              <w:tl2br w:val="nil"/>
              <w:tr2bl w:val="nil"/>
            </w:tcBorders>
            <w:shd w:val="clear" w:color="auto" w:fill="auto"/>
            <w:noWrap w:val="0"/>
            <w:vAlign w:val="center"/>
          </w:tcPr>
          <w:p w14:paraId="6884FFB4">
            <w:pPr>
              <w:keepNext w:val="0"/>
              <w:keepLines w:val="0"/>
              <w:widowControl/>
              <w:suppressLineNumbers w:val="0"/>
              <w:adjustRightInd w:val="0"/>
              <w:snapToGrid w:val="0"/>
              <w:spacing w:before="0" w:beforeAutospacing="0" w:after="0" w:afterAutospacing="0"/>
              <w:ind w:left="0" w:right="0"/>
              <w:jc w:val="center"/>
              <w:textAlignment w:val="center"/>
              <w:rPr>
                <w:rFonts w:hint="default" w:ascii="宋体" w:hAnsi="宋体" w:eastAsia="宋体" w:cs="宋体"/>
                <w:i w:val="0"/>
                <w:iCs w:val="0"/>
                <w:snapToGrid w:val="0"/>
                <w:color w:val="auto"/>
                <w:kern w:val="2"/>
                <w:sz w:val="21"/>
                <w:szCs w:val="21"/>
                <w:highlight w:val="none"/>
                <w:u w:val="none"/>
                <w:lang w:val="en-US" w:eastAsia="zh-CN" w:bidi="ar-SA"/>
              </w:rPr>
            </w:pPr>
            <w:r>
              <w:rPr>
                <w:rFonts w:hint="eastAsia" w:hAnsi="宋体" w:cs="宋体"/>
                <w:i w:val="0"/>
                <w:iCs w:val="0"/>
                <w:snapToGrid w:val="0"/>
                <w:color w:val="auto"/>
                <w:kern w:val="2"/>
                <w:sz w:val="21"/>
                <w:szCs w:val="21"/>
                <w:highlight w:val="none"/>
                <w:u w:val="none"/>
                <w:lang w:val="en-US" w:eastAsia="zh-CN" w:bidi="ar-SA"/>
              </w:rPr>
              <w:t>0.000007</w:t>
            </w:r>
          </w:p>
        </w:tc>
        <w:tc>
          <w:tcPr>
            <w:tcW w:w="1399" w:type="dxa"/>
            <w:vMerge w:val="restart"/>
            <w:tcBorders>
              <w:tl2br w:val="nil"/>
              <w:tr2bl w:val="nil"/>
            </w:tcBorders>
            <w:noWrap w:val="0"/>
            <w:vAlign w:val="center"/>
          </w:tcPr>
          <w:p w14:paraId="49498F5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r>
              <w:rPr>
                <w:rFonts w:hint="eastAsia"/>
                <w:snapToGrid w:val="0"/>
                <w:color w:val="auto"/>
                <w:sz w:val="21"/>
                <w:szCs w:val="21"/>
                <w:highlight w:val="none"/>
                <w:lang w:val="en-US" w:eastAsia="zh-CN"/>
              </w:rPr>
              <w:t>经</w:t>
            </w:r>
            <w:r>
              <w:rPr>
                <w:rFonts w:hint="eastAsia"/>
                <w:snapToGrid w:val="0"/>
                <w:color w:val="auto"/>
                <w:sz w:val="21"/>
                <w:szCs w:val="21"/>
                <w:highlight w:val="none"/>
              </w:rPr>
              <w:t>沉淀处理</w:t>
            </w:r>
            <w:r>
              <w:rPr>
                <w:rFonts w:hint="eastAsia"/>
                <w:snapToGrid w:val="0"/>
                <w:color w:val="auto"/>
                <w:sz w:val="21"/>
                <w:szCs w:val="21"/>
                <w:highlight w:val="none"/>
                <w:lang w:val="en-US" w:eastAsia="zh-CN"/>
              </w:rPr>
              <w:t>后用于</w:t>
            </w:r>
            <w:r>
              <w:rPr>
                <w:rFonts w:hint="eastAsia"/>
                <w:snapToGrid w:val="0"/>
                <w:color w:val="auto"/>
                <w:sz w:val="24"/>
                <w:szCs w:val="24"/>
                <w:highlight w:val="none"/>
                <w:lang w:val="en-US" w:eastAsia="zh-CN"/>
              </w:rPr>
              <w:t>回填区</w:t>
            </w:r>
            <w:r>
              <w:rPr>
                <w:rFonts w:hint="eastAsia"/>
                <w:snapToGrid w:val="0"/>
                <w:color w:val="auto"/>
                <w:sz w:val="21"/>
                <w:szCs w:val="21"/>
                <w:highlight w:val="none"/>
                <w:lang w:val="en-US" w:eastAsia="zh-CN"/>
              </w:rPr>
              <w:t>洒水降尘，不外排</w:t>
            </w:r>
          </w:p>
        </w:tc>
        <w:tc>
          <w:tcPr>
            <w:tcW w:w="1080" w:type="dxa"/>
            <w:vMerge w:val="restart"/>
            <w:tcBorders>
              <w:tl2br w:val="nil"/>
              <w:tr2bl w:val="nil"/>
            </w:tcBorders>
            <w:noWrap w:val="0"/>
            <w:vAlign w:val="center"/>
          </w:tcPr>
          <w:p w14:paraId="5C3AAD7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eastAsia="宋体"/>
                <w:snapToGrid w:val="0"/>
                <w:color w:val="auto"/>
                <w:sz w:val="21"/>
                <w:szCs w:val="21"/>
                <w:highlight w:val="none"/>
              </w:rPr>
            </w:pPr>
            <w:r>
              <w:rPr>
                <w:rFonts w:ascii="Times New Roman" w:eastAsia="宋体"/>
                <w:snapToGrid w:val="0"/>
                <w:color w:val="auto"/>
                <w:kern w:val="0"/>
                <w:sz w:val="21"/>
                <w:szCs w:val="21"/>
                <w:highlight w:val="none"/>
                <w:lang w:val="zh-CN"/>
              </w:rPr>
              <w:t>/</w:t>
            </w:r>
          </w:p>
        </w:tc>
        <w:tc>
          <w:tcPr>
            <w:tcW w:w="795" w:type="dxa"/>
            <w:vMerge w:val="restart"/>
            <w:tcBorders>
              <w:tl2br w:val="nil"/>
              <w:tr2bl w:val="nil"/>
            </w:tcBorders>
            <w:noWrap w:val="0"/>
            <w:vAlign w:val="center"/>
          </w:tcPr>
          <w:p w14:paraId="12B7C436">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ascii="Times New Roman" w:eastAsia="宋体"/>
                <w:snapToGrid w:val="0"/>
                <w:color w:val="auto"/>
                <w:sz w:val="21"/>
                <w:szCs w:val="21"/>
                <w:highlight w:val="none"/>
              </w:rPr>
              <w:t>类比法</w:t>
            </w:r>
          </w:p>
        </w:tc>
        <w:tc>
          <w:tcPr>
            <w:tcW w:w="1005" w:type="dxa"/>
            <w:vMerge w:val="restart"/>
            <w:tcBorders>
              <w:tl2br w:val="nil"/>
              <w:tr2bl w:val="nil"/>
            </w:tcBorders>
            <w:noWrap w:val="0"/>
            <w:vAlign w:val="center"/>
          </w:tcPr>
          <w:p w14:paraId="141F009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eastAsia="宋体"/>
                <w:snapToGrid w:val="0"/>
                <w:color w:val="auto"/>
                <w:sz w:val="21"/>
                <w:szCs w:val="21"/>
                <w:highlight w:val="none"/>
                <w:lang w:val="en-US" w:eastAsia="zh-CN"/>
              </w:rPr>
            </w:pPr>
            <w:r>
              <w:rPr>
                <w:rFonts w:hint="eastAsia" w:ascii="Times New Roman" w:eastAsia="宋体"/>
                <w:snapToGrid w:val="0"/>
                <w:color w:val="auto"/>
                <w:sz w:val="21"/>
                <w:szCs w:val="21"/>
                <w:highlight w:val="none"/>
                <w:lang w:val="en-US" w:eastAsia="zh-CN"/>
              </w:rPr>
              <w:t>/</w:t>
            </w:r>
          </w:p>
        </w:tc>
        <w:tc>
          <w:tcPr>
            <w:tcW w:w="1260" w:type="dxa"/>
            <w:tcBorders>
              <w:tl2br w:val="nil"/>
              <w:tr2bl w:val="nil"/>
            </w:tcBorders>
            <w:noWrap w:val="0"/>
            <w:vAlign w:val="center"/>
          </w:tcPr>
          <w:p w14:paraId="023471D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268BCFB2">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09EB92A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2" w:hRule="atLeast"/>
          <w:jc w:val="center"/>
        </w:trPr>
        <w:tc>
          <w:tcPr>
            <w:tcW w:w="688" w:type="dxa"/>
            <w:vMerge w:val="continue"/>
            <w:tcBorders>
              <w:tl2br w:val="nil"/>
              <w:tr2bl w:val="nil"/>
            </w:tcBorders>
            <w:noWrap w:val="0"/>
            <w:vAlign w:val="center"/>
          </w:tcPr>
          <w:p w14:paraId="1E95368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005994E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eastAsia="宋体"/>
                <w:snapToGrid w:val="0"/>
                <w:color w:val="auto"/>
                <w:kern w:val="0"/>
                <w:sz w:val="21"/>
                <w:szCs w:val="21"/>
                <w:highlight w:val="none"/>
                <w:lang w:val="en-US" w:eastAsia="zh-CN"/>
              </w:rPr>
            </w:pPr>
          </w:p>
        </w:tc>
        <w:tc>
          <w:tcPr>
            <w:tcW w:w="738" w:type="dxa"/>
            <w:vMerge w:val="continue"/>
            <w:tcBorders>
              <w:tl2br w:val="nil"/>
              <w:tr2bl w:val="nil"/>
            </w:tcBorders>
            <w:noWrap w:val="0"/>
            <w:vAlign w:val="center"/>
          </w:tcPr>
          <w:p w14:paraId="5949EC2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noWrap w:val="0"/>
            <w:vAlign w:val="center"/>
          </w:tcPr>
          <w:p w14:paraId="01CE8394">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i w:val="0"/>
                <w:iCs w:val="0"/>
                <w:snapToGrid w:val="0"/>
                <w:color w:val="auto"/>
                <w:kern w:val="0"/>
                <w:sz w:val="20"/>
                <w:szCs w:val="20"/>
                <w:highlight w:val="none"/>
                <w:u w:val="none"/>
                <w:lang w:val="en-US" w:eastAsia="zh-CN" w:bidi="ar"/>
              </w:rPr>
            </w:pPr>
            <w:r>
              <w:rPr>
                <w:rFonts w:hint="eastAsia" w:ascii="宋体" w:hAnsi="宋体" w:eastAsia="宋体" w:cs="宋体"/>
                <w:i w:val="0"/>
                <w:iCs w:val="0"/>
                <w:snapToGrid w:val="0"/>
                <w:color w:val="auto"/>
                <w:kern w:val="0"/>
                <w:sz w:val="20"/>
                <w:szCs w:val="20"/>
                <w:highlight w:val="none"/>
                <w:u w:val="none"/>
                <w:lang w:val="en-US" w:eastAsia="zh-CN" w:bidi="ar"/>
              </w:rPr>
              <w:t>总砷</w:t>
            </w:r>
          </w:p>
        </w:tc>
        <w:tc>
          <w:tcPr>
            <w:tcW w:w="750" w:type="dxa"/>
            <w:vMerge w:val="continue"/>
            <w:tcBorders>
              <w:tl2br w:val="nil"/>
              <w:tr2bl w:val="nil"/>
            </w:tcBorders>
            <w:noWrap w:val="0"/>
            <w:vAlign w:val="center"/>
          </w:tcPr>
          <w:p w14:paraId="637423BD">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1032" w:type="dxa"/>
            <w:vMerge w:val="continue"/>
            <w:tcBorders>
              <w:tl2br w:val="nil"/>
              <w:tr2bl w:val="nil"/>
            </w:tcBorders>
            <w:noWrap w:val="0"/>
            <w:vAlign w:val="center"/>
          </w:tcPr>
          <w:p w14:paraId="0FF70675">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b w:val="0"/>
                <w:snapToGrid w:val="0"/>
                <w:color w:val="auto"/>
                <w:spacing w:val="-2"/>
                <w:szCs w:val="24"/>
                <w:highlight w:val="none"/>
                <w:lang w:val="en-US" w:eastAsia="zh-CN"/>
              </w:rPr>
            </w:pPr>
          </w:p>
        </w:tc>
        <w:tc>
          <w:tcPr>
            <w:tcW w:w="1288" w:type="dxa"/>
            <w:tcBorders>
              <w:tl2br w:val="nil"/>
              <w:tr2bl w:val="nil"/>
            </w:tcBorders>
            <w:shd w:val="clear" w:color="auto" w:fill="auto"/>
            <w:noWrap w:val="0"/>
            <w:vAlign w:val="center"/>
          </w:tcPr>
          <w:p w14:paraId="0C917E58">
            <w:pPr>
              <w:keepNext w:val="0"/>
              <w:keepLines w:val="0"/>
              <w:widowControl/>
              <w:suppressLineNumbers w:val="0"/>
              <w:adjustRightInd w:val="0"/>
              <w:snapToGrid w:val="0"/>
              <w:spacing w:before="0" w:beforeAutospacing="0" w:after="0" w:afterAutospacing="0"/>
              <w:ind w:left="0" w:leftChars="0" w:right="0" w:rightChars="0"/>
              <w:jc w:val="center"/>
              <w:textAlignment w:val="center"/>
              <w:rPr>
                <w:rFonts w:hint="eastAsia" w:ascii="宋体" w:hAnsi="宋体" w:eastAsia="宋体" w:cs="宋体"/>
                <w:i w:val="0"/>
                <w:iCs w:val="0"/>
                <w:snapToGrid w:val="0"/>
                <w:color w:val="auto"/>
                <w:kern w:val="2"/>
                <w:sz w:val="20"/>
                <w:szCs w:val="20"/>
                <w:highlight w:val="none"/>
                <w:u w:val="none"/>
                <w:lang w:val="en-US" w:eastAsia="zh-CN" w:bidi="ar-SA"/>
              </w:rPr>
            </w:pPr>
            <w:r>
              <w:rPr>
                <w:rFonts w:hint="eastAsia" w:ascii="宋体" w:hAnsi="宋体" w:eastAsia="宋体" w:cs="宋体"/>
                <w:i w:val="0"/>
                <w:iCs w:val="0"/>
                <w:snapToGrid w:val="0"/>
                <w:color w:val="auto"/>
                <w:sz w:val="20"/>
                <w:szCs w:val="20"/>
                <w:highlight w:val="none"/>
                <w:u w:val="none"/>
                <w:lang w:val="en-US" w:eastAsia="zh-CN"/>
              </w:rPr>
              <w:t>0.0</w:t>
            </w:r>
            <w:r>
              <w:rPr>
                <w:rFonts w:hint="eastAsia" w:hAnsi="宋体" w:cs="宋体"/>
                <w:i w:val="0"/>
                <w:iCs w:val="0"/>
                <w:snapToGrid w:val="0"/>
                <w:color w:val="auto"/>
                <w:sz w:val="20"/>
                <w:szCs w:val="20"/>
                <w:highlight w:val="none"/>
                <w:u w:val="none"/>
                <w:lang w:val="en-US" w:eastAsia="zh-CN"/>
              </w:rPr>
              <w:t>358</w:t>
            </w:r>
          </w:p>
        </w:tc>
        <w:tc>
          <w:tcPr>
            <w:tcW w:w="1254" w:type="dxa"/>
            <w:tcBorders>
              <w:tl2br w:val="nil"/>
              <w:tr2bl w:val="nil"/>
            </w:tcBorders>
            <w:shd w:val="clear" w:color="auto" w:fill="auto"/>
            <w:noWrap w:val="0"/>
            <w:vAlign w:val="center"/>
          </w:tcPr>
          <w:p w14:paraId="5409FA62">
            <w:pPr>
              <w:keepNext w:val="0"/>
              <w:keepLines w:val="0"/>
              <w:widowControl/>
              <w:suppressLineNumbers w:val="0"/>
              <w:adjustRightInd w:val="0"/>
              <w:snapToGrid w:val="0"/>
              <w:spacing w:before="0" w:beforeAutospacing="0" w:after="0" w:afterAutospacing="0"/>
              <w:ind w:left="0" w:leftChars="0" w:right="0" w:rightChars="0"/>
              <w:jc w:val="center"/>
              <w:textAlignment w:val="center"/>
              <w:rPr>
                <w:rFonts w:hint="eastAsia" w:ascii="宋体" w:hAnsi="宋体" w:eastAsia="宋体" w:cs="宋体"/>
                <w:i w:val="0"/>
                <w:iCs w:val="0"/>
                <w:snapToGrid w:val="0"/>
                <w:color w:val="auto"/>
                <w:kern w:val="2"/>
                <w:sz w:val="21"/>
                <w:szCs w:val="21"/>
                <w:highlight w:val="none"/>
                <w:u w:val="none"/>
                <w:lang w:val="en-US" w:eastAsia="zh-CN" w:bidi="ar-SA"/>
              </w:rPr>
            </w:pPr>
            <w:r>
              <w:rPr>
                <w:rFonts w:hint="eastAsia" w:ascii="宋体" w:hAnsi="宋体" w:eastAsia="宋体" w:cs="宋体"/>
                <w:i w:val="0"/>
                <w:iCs w:val="0"/>
                <w:snapToGrid w:val="0"/>
                <w:color w:val="auto"/>
                <w:kern w:val="0"/>
                <w:sz w:val="21"/>
                <w:szCs w:val="21"/>
                <w:highlight w:val="none"/>
                <w:u w:val="none"/>
                <w:lang w:val="en-US" w:eastAsia="zh-CN" w:bidi="ar"/>
              </w:rPr>
              <w:t>0.0000</w:t>
            </w:r>
            <w:r>
              <w:rPr>
                <w:rFonts w:hint="eastAsia" w:hAnsi="宋体" w:cs="宋体"/>
                <w:i w:val="0"/>
                <w:iCs w:val="0"/>
                <w:snapToGrid w:val="0"/>
                <w:color w:val="auto"/>
                <w:kern w:val="0"/>
                <w:sz w:val="21"/>
                <w:szCs w:val="21"/>
                <w:highlight w:val="none"/>
                <w:u w:val="none"/>
                <w:lang w:val="en-US" w:eastAsia="zh-CN" w:bidi="ar"/>
              </w:rPr>
              <w:t>24</w:t>
            </w:r>
          </w:p>
        </w:tc>
        <w:tc>
          <w:tcPr>
            <w:tcW w:w="1399" w:type="dxa"/>
            <w:vMerge w:val="continue"/>
            <w:tcBorders>
              <w:tl2br w:val="nil"/>
              <w:tr2bl w:val="nil"/>
            </w:tcBorders>
            <w:noWrap w:val="0"/>
            <w:vAlign w:val="center"/>
          </w:tcPr>
          <w:p w14:paraId="4DFBFE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snapToGrid w:val="0"/>
                <w:color w:val="auto"/>
                <w:sz w:val="21"/>
                <w:szCs w:val="21"/>
                <w:highlight w:val="none"/>
                <w:lang w:val="en-US" w:eastAsia="zh-CN"/>
              </w:rPr>
            </w:pPr>
          </w:p>
        </w:tc>
        <w:tc>
          <w:tcPr>
            <w:tcW w:w="1080" w:type="dxa"/>
            <w:vMerge w:val="continue"/>
            <w:tcBorders>
              <w:tl2br w:val="nil"/>
              <w:tr2bl w:val="nil"/>
            </w:tcBorders>
            <w:noWrap w:val="0"/>
            <w:vAlign w:val="center"/>
          </w:tcPr>
          <w:p w14:paraId="1DB50AC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eastAsia="宋体"/>
                <w:snapToGrid w:val="0"/>
                <w:color w:val="auto"/>
                <w:kern w:val="0"/>
                <w:sz w:val="21"/>
                <w:szCs w:val="21"/>
                <w:highlight w:val="none"/>
                <w:lang w:val="zh-CN"/>
              </w:rPr>
            </w:pPr>
          </w:p>
        </w:tc>
        <w:tc>
          <w:tcPr>
            <w:tcW w:w="795" w:type="dxa"/>
            <w:vMerge w:val="continue"/>
            <w:tcBorders>
              <w:tl2br w:val="nil"/>
              <w:tr2bl w:val="nil"/>
            </w:tcBorders>
            <w:noWrap w:val="0"/>
            <w:vAlign w:val="center"/>
          </w:tcPr>
          <w:p w14:paraId="47249733">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1005" w:type="dxa"/>
            <w:vMerge w:val="continue"/>
            <w:tcBorders>
              <w:tl2br w:val="nil"/>
              <w:tr2bl w:val="nil"/>
            </w:tcBorders>
            <w:noWrap w:val="0"/>
            <w:vAlign w:val="center"/>
          </w:tcPr>
          <w:p w14:paraId="43BA933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eastAsia="宋体"/>
                <w:snapToGrid w:val="0"/>
                <w:color w:val="auto"/>
                <w:sz w:val="21"/>
                <w:szCs w:val="21"/>
                <w:highlight w:val="none"/>
                <w:lang w:val="en-US" w:eastAsia="zh-CN"/>
              </w:rPr>
            </w:pPr>
          </w:p>
        </w:tc>
        <w:tc>
          <w:tcPr>
            <w:tcW w:w="1260" w:type="dxa"/>
            <w:tcBorders>
              <w:tl2br w:val="nil"/>
              <w:tr2bl w:val="nil"/>
            </w:tcBorders>
            <w:shd w:val="clear" w:color="auto" w:fill="auto"/>
            <w:noWrap w:val="0"/>
            <w:vAlign w:val="center"/>
          </w:tcPr>
          <w:p w14:paraId="263FCB3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3ECDCBE6">
            <w:pPr>
              <w:keepNext w:val="0"/>
              <w:keepLines w:val="0"/>
              <w:widowControl/>
              <w:suppressLineNumbers w:val="0"/>
              <w:adjustRightInd w:val="0"/>
              <w:snapToGrid w:val="0"/>
              <w:spacing w:before="0" w:beforeAutospacing="0" w:after="0" w:afterAutospacing="0"/>
              <w:ind w:left="0" w:leftChars="0" w:right="0" w:rightChars="0"/>
              <w:jc w:val="center"/>
              <w:textAlignment w:val="center"/>
              <w:rPr>
                <w:rFonts w:hint="eastAsia"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363FF0D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2" w:hRule="atLeast"/>
          <w:jc w:val="center"/>
        </w:trPr>
        <w:tc>
          <w:tcPr>
            <w:tcW w:w="688" w:type="dxa"/>
            <w:vMerge w:val="continue"/>
            <w:tcBorders>
              <w:tl2br w:val="nil"/>
              <w:tr2bl w:val="nil"/>
            </w:tcBorders>
            <w:noWrap w:val="0"/>
            <w:vAlign w:val="center"/>
          </w:tcPr>
          <w:p w14:paraId="68D1840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272A101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eastAsia="宋体"/>
                <w:snapToGrid w:val="0"/>
                <w:color w:val="auto"/>
                <w:kern w:val="0"/>
                <w:sz w:val="21"/>
                <w:szCs w:val="21"/>
                <w:highlight w:val="none"/>
                <w:lang w:val="en-US" w:eastAsia="zh-CN"/>
              </w:rPr>
            </w:pPr>
          </w:p>
        </w:tc>
        <w:tc>
          <w:tcPr>
            <w:tcW w:w="738" w:type="dxa"/>
            <w:vMerge w:val="continue"/>
            <w:tcBorders>
              <w:tl2br w:val="nil"/>
              <w:tr2bl w:val="nil"/>
            </w:tcBorders>
            <w:noWrap w:val="0"/>
            <w:vAlign w:val="center"/>
          </w:tcPr>
          <w:p w14:paraId="75D5581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noWrap w:val="0"/>
            <w:vAlign w:val="center"/>
          </w:tcPr>
          <w:p w14:paraId="78AB00CC">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i w:val="0"/>
                <w:iCs w:val="0"/>
                <w:snapToGrid w:val="0"/>
                <w:color w:val="auto"/>
                <w:kern w:val="0"/>
                <w:sz w:val="20"/>
                <w:szCs w:val="20"/>
                <w:highlight w:val="none"/>
                <w:u w:val="none"/>
                <w:lang w:val="en-US" w:eastAsia="zh-CN" w:bidi="ar"/>
              </w:rPr>
            </w:pPr>
            <w:r>
              <w:rPr>
                <w:rFonts w:hint="eastAsia" w:ascii="宋体" w:hAnsi="宋体" w:eastAsia="宋体" w:cs="宋体"/>
                <w:i w:val="0"/>
                <w:iCs w:val="0"/>
                <w:snapToGrid w:val="0"/>
                <w:color w:val="auto"/>
                <w:kern w:val="0"/>
                <w:sz w:val="21"/>
                <w:szCs w:val="21"/>
                <w:highlight w:val="none"/>
                <w:u w:val="none"/>
                <w:lang w:val="en-US" w:eastAsia="zh-CN" w:bidi="ar"/>
              </w:rPr>
              <w:t>总铍</w:t>
            </w:r>
          </w:p>
        </w:tc>
        <w:tc>
          <w:tcPr>
            <w:tcW w:w="750" w:type="dxa"/>
            <w:vMerge w:val="continue"/>
            <w:tcBorders>
              <w:tl2br w:val="nil"/>
              <w:tr2bl w:val="nil"/>
            </w:tcBorders>
            <w:noWrap w:val="0"/>
            <w:vAlign w:val="center"/>
          </w:tcPr>
          <w:p w14:paraId="72CC6F9B">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1032" w:type="dxa"/>
            <w:vMerge w:val="continue"/>
            <w:tcBorders>
              <w:tl2br w:val="nil"/>
              <w:tr2bl w:val="nil"/>
            </w:tcBorders>
            <w:noWrap w:val="0"/>
            <w:vAlign w:val="center"/>
          </w:tcPr>
          <w:p w14:paraId="549CE665">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b w:val="0"/>
                <w:snapToGrid w:val="0"/>
                <w:color w:val="auto"/>
                <w:spacing w:val="-2"/>
                <w:szCs w:val="24"/>
                <w:highlight w:val="none"/>
                <w:lang w:val="en-US" w:eastAsia="zh-CN"/>
              </w:rPr>
            </w:pPr>
          </w:p>
        </w:tc>
        <w:tc>
          <w:tcPr>
            <w:tcW w:w="1288" w:type="dxa"/>
            <w:tcBorders>
              <w:tl2br w:val="nil"/>
              <w:tr2bl w:val="nil"/>
            </w:tcBorders>
            <w:shd w:val="clear" w:color="auto" w:fill="auto"/>
            <w:noWrap w:val="0"/>
            <w:vAlign w:val="center"/>
          </w:tcPr>
          <w:p w14:paraId="0E2669AC">
            <w:pPr>
              <w:keepNext w:val="0"/>
              <w:keepLines w:val="0"/>
              <w:widowControl/>
              <w:suppressLineNumbers w:val="0"/>
              <w:adjustRightInd w:val="0"/>
              <w:snapToGrid w:val="0"/>
              <w:spacing w:before="0" w:beforeAutospacing="0" w:after="0" w:afterAutospacing="0"/>
              <w:ind w:left="0" w:leftChars="0" w:right="0" w:rightChars="0"/>
              <w:jc w:val="center"/>
              <w:textAlignment w:val="center"/>
              <w:rPr>
                <w:rFonts w:hint="eastAsia" w:ascii="宋体" w:hAnsi="宋体" w:eastAsia="宋体" w:cs="宋体"/>
                <w:i w:val="0"/>
                <w:iCs w:val="0"/>
                <w:snapToGrid w:val="0"/>
                <w:color w:val="auto"/>
                <w:sz w:val="20"/>
                <w:szCs w:val="20"/>
                <w:highlight w:val="none"/>
                <w:u w:val="none"/>
                <w:lang w:val="en-US" w:eastAsia="zh-CN"/>
              </w:rPr>
            </w:pPr>
            <w:r>
              <w:rPr>
                <w:rFonts w:hint="eastAsia" w:ascii="宋体" w:hAnsi="宋体" w:eastAsia="宋体" w:cs="宋体"/>
                <w:i w:val="0"/>
                <w:iCs w:val="0"/>
                <w:snapToGrid w:val="0"/>
                <w:color w:val="auto"/>
                <w:kern w:val="0"/>
                <w:sz w:val="21"/>
                <w:szCs w:val="21"/>
                <w:highlight w:val="none"/>
                <w:u w:val="none"/>
                <w:lang w:val="en-US" w:eastAsia="zh-CN" w:bidi="ar"/>
              </w:rPr>
              <w:t>0.0</w:t>
            </w:r>
            <w:r>
              <w:rPr>
                <w:rFonts w:hint="eastAsia" w:hAnsi="宋体" w:cs="宋体"/>
                <w:i w:val="0"/>
                <w:iCs w:val="0"/>
                <w:snapToGrid w:val="0"/>
                <w:color w:val="auto"/>
                <w:kern w:val="0"/>
                <w:sz w:val="21"/>
                <w:szCs w:val="21"/>
                <w:highlight w:val="none"/>
                <w:u w:val="none"/>
                <w:lang w:val="en-US" w:eastAsia="zh-CN" w:bidi="ar"/>
              </w:rPr>
              <w:t>000</w:t>
            </w:r>
            <w:r>
              <w:rPr>
                <w:rFonts w:hint="eastAsia" w:ascii="宋体" w:hAnsi="宋体" w:eastAsia="宋体" w:cs="宋体"/>
                <w:i w:val="0"/>
                <w:iCs w:val="0"/>
                <w:snapToGrid w:val="0"/>
                <w:color w:val="auto"/>
                <w:kern w:val="0"/>
                <w:sz w:val="21"/>
                <w:szCs w:val="21"/>
                <w:highlight w:val="none"/>
                <w:u w:val="none"/>
                <w:lang w:val="en-US" w:eastAsia="zh-CN" w:bidi="ar"/>
              </w:rPr>
              <w:t>5</w:t>
            </w:r>
          </w:p>
        </w:tc>
        <w:tc>
          <w:tcPr>
            <w:tcW w:w="1254" w:type="dxa"/>
            <w:tcBorders>
              <w:tl2br w:val="nil"/>
              <w:tr2bl w:val="nil"/>
            </w:tcBorders>
            <w:shd w:val="clear" w:color="auto" w:fill="auto"/>
            <w:noWrap w:val="0"/>
            <w:vAlign w:val="center"/>
          </w:tcPr>
          <w:p w14:paraId="06F9BCF9">
            <w:pPr>
              <w:keepNext w:val="0"/>
              <w:keepLines w:val="0"/>
              <w:widowControl/>
              <w:suppressLineNumbers w:val="0"/>
              <w:adjustRightInd w:val="0"/>
              <w:snapToGrid w:val="0"/>
              <w:spacing w:before="0" w:beforeAutospacing="0" w:after="0" w:afterAutospacing="0"/>
              <w:ind w:left="0" w:leftChars="0" w:right="0" w:rightChars="0"/>
              <w:jc w:val="center"/>
              <w:textAlignment w:val="center"/>
              <w:rPr>
                <w:rFonts w:hint="default" w:ascii="宋体" w:hAnsi="宋体" w:eastAsia="宋体" w:cs="宋体"/>
                <w:i w:val="0"/>
                <w:iCs w:val="0"/>
                <w:snapToGrid w:val="0"/>
                <w:color w:val="auto"/>
                <w:kern w:val="0"/>
                <w:sz w:val="21"/>
                <w:szCs w:val="21"/>
                <w:highlight w:val="none"/>
                <w:u w:val="none"/>
                <w:lang w:val="en-US" w:eastAsia="zh-CN" w:bidi="ar"/>
              </w:rPr>
            </w:pPr>
            <w:r>
              <w:rPr>
                <w:rFonts w:hint="eastAsia" w:hAnsi="宋体" w:cs="宋体"/>
                <w:i w:val="0"/>
                <w:iCs w:val="0"/>
                <w:snapToGrid w:val="0"/>
                <w:color w:val="auto"/>
                <w:kern w:val="0"/>
                <w:sz w:val="21"/>
                <w:szCs w:val="21"/>
                <w:highlight w:val="none"/>
                <w:u w:val="none"/>
                <w:lang w:val="en-US" w:eastAsia="zh-CN" w:bidi="ar"/>
              </w:rPr>
              <w:t>3.32×10</w:t>
            </w:r>
            <w:r>
              <w:rPr>
                <w:rFonts w:hint="eastAsia" w:hAnsi="宋体" w:cs="宋体"/>
                <w:i w:val="0"/>
                <w:iCs w:val="0"/>
                <w:snapToGrid w:val="0"/>
                <w:color w:val="auto"/>
                <w:kern w:val="0"/>
                <w:sz w:val="21"/>
                <w:szCs w:val="21"/>
                <w:highlight w:val="none"/>
                <w:u w:val="none"/>
                <w:vertAlign w:val="superscript"/>
                <w:lang w:val="en-US" w:eastAsia="zh-CN" w:bidi="ar"/>
              </w:rPr>
              <w:t>-8</w:t>
            </w:r>
          </w:p>
        </w:tc>
        <w:tc>
          <w:tcPr>
            <w:tcW w:w="1399" w:type="dxa"/>
            <w:vMerge w:val="continue"/>
            <w:tcBorders>
              <w:tl2br w:val="nil"/>
              <w:tr2bl w:val="nil"/>
            </w:tcBorders>
            <w:noWrap w:val="0"/>
            <w:vAlign w:val="center"/>
          </w:tcPr>
          <w:p w14:paraId="38C3A96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snapToGrid w:val="0"/>
                <w:color w:val="auto"/>
                <w:sz w:val="21"/>
                <w:szCs w:val="21"/>
                <w:highlight w:val="none"/>
                <w:lang w:val="en-US" w:eastAsia="zh-CN"/>
              </w:rPr>
            </w:pPr>
          </w:p>
        </w:tc>
        <w:tc>
          <w:tcPr>
            <w:tcW w:w="1080" w:type="dxa"/>
            <w:vMerge w:val="continue"/>
            <w:tcBorders>
              <w:tl2br w:val="nil"/>
              <w:tr2bl w:val="nil"/>
            </w:tcBorders>
            <w:noWrap w:val="0"/>
            <w:vAlign w:val="center"/>
          </w:tcPr>
          <w:p w14:paraId="4164D2C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eastAsia="宋体"/>
                <w:snapToGrid w:val="0"/>
                <w:color w:val="auto"/>
                <w:kern w:val="0"/>
                <w:sz w:val="21"/>
                <w:szCs w:val="21"/>
                <w:highlight w:val="none"/>
                <w:lang w:val="zh-CN"/>
              </w:rPr>
            </w:pPr>
          </w:p>
        </w:tc>
        <w:tc>
          <w:tcPr>
            <w:tcW w:w="795" w:type="dxa"/>
            <w:vMerge w:val="continue"/>
            <w:tcBorders>
              <w:tl2br w:val="nil"/>
              <w:tr2bl w:val="nil"/>
            </w:tcBorders>
            <w:noWrap w:val="0"/>
            <w:vAlign w:val="center"/>
          </w:tcPr>
          <w:p w14:paraId="10ECAEB0">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1005" w:type="dxa"/>
            <w:vMerge w:val="continue"/>
            <w:tcBorders>
              <w:tl2br w:val="nil"/>
              <w:tr2bl w:val="nil"/>
            </w:tcBorders>
            <w:noWrap w:val="0"/>
            <w:vAlign w:val="center"/>
          </w:tcPr>
          <w:p w14:paraId="207A2CD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eastAsia="宋体"/>
                <w:snapToGrid w:val="0"/>
                <w:color w:val="auto"/>
                <w:sz w:val="21"/>
                <w:szCs w:val="21"/>
                <w:highlight w:val="none"/>
                <w:lang w:val="en-US" w:eastAsia="zh-CN"/>
              </w:rPr>
            </w:pPr>
          </w:p>
        </w:tc>
        <w:tc>
          <w:tcPr>
            <w:tcW w:w="1260" w:type="dxa"/>
            <w:tcBorders>
              <w:tl2br w:val="nil"/>
              <w:tr2bl w:val="nil"/>
            </w:tcBorders>
            <w:shd w:val="clear" w:color="auto" w:fill="auto"/>
            <w:noWrap w:val="0"/>
            <w:vAlign w:val="center"/>
          </w:tcPr>
          <w:p w14:paraId="2BA68AC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2071BA3F">
            <w:pPr>
              <w:keepNext w:val="0"/>
              <w:keepLines w:val="0"/>
              <w:widowControl/>
              <w:suppressLineNumbers w:val="0"/>
              <w:adjustRightInd w:val="0"/>
              <w:snapToGrid w:val="0"/>
              <w:spacing w:before="0" w:beforeAutospacing="0" w:after="0" w:afterAutospacing="0"/>
              <w:ind w:left="0" w:leftChars="0" w:right="0" w:rightChars="0"/>
              <w:jc w:val="center"/>
              <w:textAlignment w:val="center"/>
              <w:rPr>
                <w:rFonts w:hint="eastAsia"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463BF5C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8" w:type="dxa"/>
            <w:vMerge w:val="continue"/>
            <w:tcBorders>
              <w:tl2br w:val="nil"/>
              <w:tr2bl w:val="nil"/>
            </w:tcBorders>
            <w:noWrap w:val="0"/>
            <w:vAlign w:val="center"/>
          </w:tcPr>
          <w:p w14:paraId="6F12163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287353A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38" w:type="dxa"/>
            <w:vMerge w:val="continue"/>
            <w:tcBorders>
              <w:tl2br w:val="nil"/>
              <w:tr2bl w:val="nil"/>
            </w:tcBorders>
            <w:noWrap w:val="0"/>
            <w:vAlign w:val="center"/>
          </w:tcPr>
          <w:p w14:paraId="4172B94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shd w:val="clear" w:color="auto" w:fill="auto"/>
            <w:noWrap w:val="0"/>
            <w:vAlign w:val="center"/>
          </w:tcPr>
          <w:p w14:paraId="260D966E">
            <w:pPr>
              <w:keepNext w:val="0"/>
              <w:keepLines w:val="0"/>
              <w:widowControl/>
              <w:suppressLineNumbers w:val="0"/>
              <w:adjustRightInd w:val="0"/>
              <w:snapToGrid w:val="0"/>
              <w:spacing w:before="0" w:beforeAutospacing="0" w:after="0" w:afterAutospacing="0"/>
              <w:ind w:left="0" w:right="0"/>
              <w:jc w:val="center"/>
              <w:textAlignment w:val="center"/>
              <w:rPr>
                <w:rFonts w:hint="eastAsia" w:ascii="宋体" w:hAnsi="宋体" w:eastAsia="宋体" w:cs="宋体"/>
                <w:i w:val="0"/>
                <w:iCs w:val="0"/>
                <w:snapToGrid w:val="0"/>
                <w:color w:val="auto"/>
                <w:kern w:val="2"/>
                <w:sz w:val="20"/>
                <w:szCs w:val="20"/>
                <w:highlight w:val="none"/>
                <w:u w:val="none"/>
                <w:lang w:val="en-US"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五日生化需氧量</w:t>
            </w:r>
          </w:p>
        </w:tc>
        <w:tc>
          <w:tcPr>
            <w:tcW w:w="750" w:type="dxa"/>
            <w:vMerge w:val="continue"/>
            <w:tcBorders>
              <w:tl2br w:val="nil"/>
              <w:tr2bl w:val="nil"/>
            </w:tcBorders>
            <w:noWrap w:val="0"/>
            <w:vAlign w:val="center"/>
          </w:tcPr>
          <w:p w14:paraId="01FE6033">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1032" w:type="dxa"/>
            <w:vMerge w:val="continue"/>
            <w:tcBorders>
              <w:tl2br w:val="nil"/>
              <w:tr2bl w:val="nil"/>
            </w:tcBorders>
            <w:noWrap w:val="0"/>
            <w:vAlign w:val="center"/>
          </w:tcPr>
          <w:p w14:paraId="02D36A1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p>
        </w:tc>
        <w:tc>
          <w:tcPr>
            <w:tcW w:w="1288" w:type="dxa"/>
            <w:tcBorders>
              <w:tl2br w:val="nil"/>
              <w:tr2bl w:val="nil"/>
            </w:tcBorders>
            <w:shd w:val="clear" w:color="auto" w:fill="auto"/>
            <w:noWrap w:val="0"/>
            <w:vAlign w:val="center"/>
          </w:tcPr>
          <w:p w14:paraId="5EDEE9FD">
            <w:pPr>
              <w:keepNext w:val="0"/>
              <w:keepLines w:val="0"/>
              <w:widowControl/>
              <w:suppressLineNumbers w:val="0"/>
              <w:adjustRightInd w:val="0"/>
              <w:snapToGrid w:val="0"/>
              <w:spacing w:before="0" w:beforeAutospacing="0" w:after="0" w:afterAutospacing="0"/>
              <w:ind w:left="0" w:right="0"/>
              <w:jc w:val="center"/>
              <w:textAlignment w:val="center"/>
              <w:rPr>
                <w:rFonts w:hint="default" w:ascii="宋体" w:hAnsi="宋体" w:eastAsia="宋体" w:cs="宋体"/>
                <w:i w:val="0"/>
                <w:iCs w:val="0"/>
                <w:snapToGrid w:val="0"/>
                <w:color w:val="auto"/>
                <w:kern w:val="2"/>
                <w:sz w:val="20"/>
                <w:szCs w:val="20"/>
                <w:highlight w:val="none"/>
                <w:u w:val="none"/>
                <w:lang w:val="en-US"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3.8</w:t>
            </w:r>
          </w:p>
        </w:tc>
        <w:tc>
          <w:tcPr>
            <w:tcW w:w="1254" w:type="dxa"/>
            <w:tcBorders>
              <w:tl2br w:val="nil"/>
              <w:tr2bl w:val="nil"/>
            </w:tcBorders>
            <w:noWrap w:val="0"/>
            <w:vAlign w:val="center"/>
          </w:tcPr>
          <w:p w14:paraId="05C0563F">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eastAsia" w:ascii="宋体" w:hAnsi="宋体" w:eastAsia="宋体" w:cs="宋体"/>
                <w:i w:val="0"/>
                <w:iCs w:val="0"/>
                <w:snapToGrid w:val="0"/>
                <w:color w:val="auto"/>
                <w:kern w:val="0"/>
                <w:sz w:val="21"/>
                <w:szCs w:val="21"/>
                <w:highlight w:val="none"/>
                <w:u w:val="none"/>
                <w:lang w:val="en-US" w:eastAsia="zh-CN" w:bidi="ar"/>
              </w:rPr>
              <w:t>0.002523</w:t>
            </w:r>
          </w:p>
        </w:tc>
        <w:tc>
          <w:tcPr>
            <w:tcW w:w="1399" w:type="dxa"/>
            <w:vMerge w:val="continue"/>
            <w:tcBorders>
              <w:tl2br w:val="nil"/>
              <w:tr2bl w:val="nil"/>
            </w:tcBorders>
            <w:noWrap w:val="0"/>
            <w:vAlign w:val="center"/>
          </w:tcPr>
          <w:p w14:paraId="1EE19326">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1080" w:type="dxa"/>
            <w:vMerge w:val="continue"/>
            <w:tcBorders>
              <w:tl2br w:val="nil"/>
              <w:tr2bl w:val="nil"/>
            </w:tcBorders>
            <w:noWrap w:val="0"/>
            <w:vAlign w:val="center"/>
          </w:tcPr>
          <w:p w14:paraId="35704464">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795" w:type="dxa"/>
            <w:vMerge w:val="continue"/>
            <w:tcBorders>
              <w:tl2br w:val="nil"/>
              <w:tr2bl w:val="nil"/>
            </w:tcBorders>
            <w:noWrap w:val="0"/>
            <w:vAlign w:val="center"/>
          </w:tcPr>
          <w:p w14:paraId="3F8AC88C">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1005" w:type="dxa"/>
            <w:vMerge w:val="continue"/>
            <w:tcBorders>
              <w:tl2br w:val="nil"/>
              <w:tr2bl w:val="nil"/>
            </w:tcBorders>
            <w:noWrap w:val="0"/>
            <w:vAlign w:val="center"/>
          </w:tcPr>
          <w:p w14:paraId="43C4DA7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1260" w:type="dxa"/>
            <w:tcBorders>
              <w:tl2br w:val="nil"/>
              <w:tr2bl w:val="nil"/>
            </w:tcBorders>
            <w:noWrap w:val="0"/>
            <w:vAlign w:val="center"/>
          </w:tcPr>
          <w:p w14:paraId="2C559B1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743531A8">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5D331DB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8" w:type="dxa"/>
            <w:vMerge w:val="continue"/>
            <w:tcBorders>
              <w:tl2br w:val="nil"/>
              <w:tr2bl w:val="nil"/>
            </w:tcBorders>
            <w:noWrap w:val="0"/>
            <w:vAlign w:val="center"/>
          </w:tcPr>
          <w:p w14:paraId="4E409B7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65E542E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38" w:type="dxa"/>
            <w:vMerge w:val="continue"/>
            <w:tcBorders>
              <w:tl2br w:val="nil"/>
              <w:tr2bl w:val="nil"/>
            </w:tcBorders>
            <w:noWrap w:val="0"/>
            <w:vAlign w:val="center"/>
          </w:tcPr>
          <w:p w14:paraId="7F3B039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shd w:val="clear" w:color="auto" w:fill="auto"/>
            <w:noWrap w:val="0"/>
            <w:vAlign w:val="center"/>
          </w:tcPr>
          <w:p w14:paraId="4BC1DC65">
            <w:pPr>
              <w:keepNext w:val="0"/>
              <w:keepLines w:val="0"/>
              <w:widowControl/>
              <w:suppressLineNumbers w:val="0"/>
              <w:adjustRightInd w:val="0"/>
              <w:snapToGrid w:val="0"/>
              <w:spacing w:before="0" w:beforeAutospacing="0" w:after="0" w:afterAutospacing="0"/>
              <w:ind w:left="0" w:right="0"/>
              <w:jc w:val="center"/>
              <w:textAlignment w:val="center"/>
              <w:rPr>
                <w:rFonts w:hint="eastAsia" w:ascii="宋体" w:hAnsi="宋体" w:eastAsia="宋体" w:cs="宋体"/>
                <w:i w:val="0"/>
                <w:iCs w:val="0"/>
                <w:snapToGrid w:val="0"/>
                <w:color w:val="auto"/>
                <w:kern w:val="2"/>
                <w:sz w:val="20"/>
                <w:szCs w:val="20"/>
                <w:highlight w:val="none"/>
                <w:u w:val="none"/>
                <w:lang w:val="en-US"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化学需氧量</w:t>
            </w:r>
          </w:p>
        </w:tc>
        <w:tc>
          <w:tcPr>
            <w:tcW w:w="750" w:type="dxa"/>
            <w:vMerge w:val="continue"/>
            <w:tcBorders>
              <w:tl2br w:val="nil"/>
              <w:tr2bl w:val="nil"/>
            </w:tcBorders>
            <w:noWrap w:val="0"/>
            <w:vAlign w:val="center"/>
          </w:tcPr>
          <w:p w14:paraId="53E0A4F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32" w:type="dxa"/>
            <w:vMerge w:val="continue"/>
            <w:tcBorders>
              <w:tl2br w:val="nil"/>
              <w:tr2bl w:val="nil"/>
            </w:tcBorders>
            <w:noWrap w:val="0"/>
            <w:vAlign w:val="center"/>
          </w:tcPr>
          <w:p w14:paraId="14596D6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p>
        </w:tc>
        <w:tc>
          <w:tcPr>
            <w:tcW w:w="1288" w:type="dxa"/>
            <w:tcBorders>
              <w:tl2br w:val="nil"/>
              <w:tr2bl w:val="nil"/>
            </w:tcBorders>
            <w:shd w:val="clear" w:color="auto" w:fill="auto"/>
            <w:noWrap w:val="0"/>
            <w:vAlign w:val="center"/>
          </w:tcPr>
          <w:p w14:paraId="33F7A1FC">
            <w:pPr>
              <w:keepNext w:val="0"/>
              <w:keepLines w:val="0"/>
              <w:widowControl/>
              <w:suppressLineNumbers w:val="0"/>
              <w:adjustRightInd w:val="0"/>
              <w:snapToGrid w:val="0"/>
              <w:spacing w:before="0" w:beforeAutospacing="0" w:after="0" w:afterAutospacing="0"/>
              <w:ind w:left="0" w:right="0"/>
              <w:jc w:val="center"/>
              <w:textAlignment w:val="center"/>
              <w:rPr>
                <w:rFonts w:hint="default" w:ascii="宋体" w:hAnsi="宋体" w:eastAsia="宋体" w:cs="宋体"/>
                <w:i w:val="0"/>
                <w:iCs w:val="0"/>
                <w:snapToGrid w:val="0"/>
                <w:color w:val="auto"/>
                <w:kern w:val="2"/>
                <w:sz w:val="20"/>
                <w:szCs w:val="20"/>
                <w:highlight w:val="none"/>
                <w:u w:val="none"/>
                <w:lang w:val="en-US"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84</w:t>
            </w:r>
          </w:p>
        </w:tc>
        <w:tc>
          <w:tcPr>
            <w:tcW w:w="1254" w:type="dxa"/>
            <w:tcBorders>
              <w:tl2br w:val="nil"/>
              <w:tr2bl w:val="nil"/>
            </w:tcBorders>
            <w:noWrap w:val="0"/>
            <w:vAlign w:val="center"/>
          </w:tcPr>
          <w:p w14:paraId="0B24A442">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eastAsia" w:ascii="宋体" w:hAnsi="宋体" w:eastAsia="宋体" w:cs="宋体"/>
                <w:i w:val="0"/>
                <w:iCs w:val="0"/>
                <w:snapToGrid w:val="0"/>
                <w:color w:val="auto"/>
                <w:kern w:val="0"/>
                <w:sz w:val="21"/>
                <w:szCs w:val="21"/>
                <w:highlight w:val="none"/>
                <w:u w:val="none"/>
                <w:lang w:val="en-US" w:eastAsia="zh-CN" w:bidi="ar"/>
              </w:rPr>
              <w:t>0.055776</w:t>
            </w:r>
          </w:p>
        </w:tc>
        <w:tc>
          <w:tcPr>
            <w:tcW w:w="1399" w:type="dxa"/>
            <w:vMerge w:val="continue"/>
            <w:tcBorders>
              <w:tl2br w:val="nil"/>
              <w:tr2bl w:val="nil"/>
            </w:tcBorders>
            <w:noWrap w:val="0"/>
            <w:vAlign w:val="center"/>
          </w:tcPr>
          <w:p w14:paraId="708BD44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80" w:type="dxa"/>
            <w:vMerge w:val="continue"/>
            <w:tcBorders>
              <w:tl2br w:val="nil"/>
              <w:tr2bl w:val="nil"/>
            </w:tcBorders>
            <w:noWrap w:val="0"/>
            <w:vAlign w:val="center"/>
          </w:tcPr>
          <w:p w14:paraId="11DF6AA5">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795" w:type="dxa"/>
            <w:vMerge w:val="continue"/>
            <w:tcBorders>
              <w:tl2br w:val="nil"/>
              <w:tr2bl w:val="nil"/>
            </w:tcBorders>
            <w:noWrap w:val="0"/>
            <w:vAlign w:val="center"/>
          </w:tcPr>
          <w:p w14:paraId="5E26E0E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05" w:type="dxa"/>
            <w:vMerge w:val="continue"/>
            <w:tcBorders>
              <w:tl2br w:val="nil"/>
              <w:tr2bl w:val="nil"/>
            </w:tcBorders>
            <w:noWrap w:val="0"/>
            <w:vAlign w:val="center"/>
          </w:tcPr>
          <w:p w14:paraId="71D3EE3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260" w:type="dxa"/>
            <w:tcBorders>
              <w:tl2br w:val="nil"/>
              <w:tr2bl w:val="nil"/>
            </w:tcBorders>
            <w:noWrap w:val="0"/>
            <w:vAlign w:val="center"/>
          </w:tcPr>
          <w:p w14:paraId="7F35EB8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7B48B67B">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76308B5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8" w:type="dxa"/>
            <w:vMerge w:val="continue"/>
            <w:tcBorders>
              <w:tl2br w:val="nil"/>
              <w:tr2bl w:val="nil"/>
            </w:tcBorders>
            <w:noWrap w:val="0"/>
            <w:vAlign w:val="center"/>
          </w:tcPr>
          <w:p w14:paraId="3C72B34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4A1E72B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38" w:type="dxa"/>
            <w:vMerge w:val="continue"/>
            <w:tcBorders>
              <w:tl2br w:val="nil"/>
              <w:tr2bl w:val="nil"/>
            </w:tcBorders>
            <w:noWrap w:val="0"/>
            <w:vAlign w:val="center"/>
          </w:tcPr>
          <w:p w14:paraId="6697CBD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noWrap w:val="0"/>
            <w:vAlign w:val="center"/>
          </w:tcPr>
          <w:p w14:paraId="2689CAA3">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snapToGrid w:val="0"/>
                <w:color w:val="auto"/>
                <w:kern w:val="0"/>
                <w:sz w:val="21"/>
                <w:szCs w:val="21"/>
                <w:highlight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石油类</w:t>
            </w:r>
          </w:p>
        </w:tc>
        <w:tc>
          <w:tcPr>
            <w:tcW w:w="750" w:type="dxa"/>
            <w:vMerge w:val="continue"/>
            <w:tcBorders>
              <w:tl2br w:val="nil"/>
              <w:tr2bl w:val="nil"/>
            </w:tcBorders>
            <w:noWrap w:val="0"/>
            <w:vAlign w:val="center"/>
          </w:tcPr>
          <w:p w14:paraId="423C58B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32" w:type="dxa"/>
            <w:vMerge w:val="continue"/>
            <w:tcBorders>
              <w:tl2br w:val="nil"/>
              <w:tr2bl w:val="nil"/>
            </w:tcBorders>
            <w:noWrap w:val="0"/>
            <w:vAlign w:val="center"/>
          </w:tcPr>
          <w:p w14:paraId="4BC5F06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p>
        </w:tc>
        <w:tc>
          <w:tcPr>
            <w:tcW w:w="1288" w:type="dxa"/>
            <w:tcBorders>
              <w:tl2br w:val="nil"/>
              <w:tr2bl w:val="nil"/>
            </w:tcBorders>
            <w:noWrap w:val="0"/>
            <w:vAlign w:val="center"/>
          </w:tcPr>
          <w:p w14:paraId="4D217B9A">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0.07</w:t>
            </w:r>
          </w:p>
        </w:tc>
        <w:tc>
          <w:tcPr>
            <w:tcW w:w="1254" w:type="dxa"/>
            <w:tcBorders>
              <w:tl2br w:val="nil"/>
              <w:tr2bl w:val="nil"/>
            </w:tcBorders>
            <w:noWrap w:val="0"/>
            <w:vAlign w:val="center"/>
          </w:tcPr>
          <w:p w14:paraId="76C64E2B">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0.000046</w:t>
            </w:r>
          </w:p>
        </w:tc>
        <w:tc>
          <w:tcPr>
            <w:tcW w:w="1399" w:type="dxa"/>
            <w:vMerge w:val="continue"/>
            <w:tcBorders>
              <w:tl2br w:val="nil"/>
              <w:tr2bl w:val="nil"/>
            </w:tcBorders>
            <w:noWrap w:val="0"/>
            <w:vAlign w:val="center"/>
          </w:tcPr>
          <w:p w14:paraId="46817BB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80" w:type="dxa"/>
            <w:vMerge w:val="continue"/>
            <w:tcBorders>
              <w:tl2br w:val="nil"/>
              <w:tr2bl w:val="nil"/>
            </w:tcBorders>
            <w:noWrap w:val="0"/>
            <w:vAlign w:val="center"/>
          </w:tcPr>
          <w:p w14:paraId="3BCAA312">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795" w:type="dxa"/>
            <w:vMerge w:val="continue"/>
            <w:tcBorders>
              <w:tl2br w:val="nil"/>
              <w:tr2bl w:val="nil"/>
            </w:tcBorders>
            <w:noWrap w:val="0"/>
            <w:vAlign w:val="center"/>
          </w:tcPr>
          <w:p w14:paraId="6F1FCC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05" w:type="dxa"/>
            <w:vMerge w:val="continue"/>
            <w:tcBorders>
              <w:tl2br w:val="nil"/>
              <w:tr2bl w:val="nil"/>
            </w:tcBorders>
            <w:noWrap w:val="0"/>
            <w:vAlign w:val="center"/>
          </w:tcPr>
          <w:p w14:paraId="699966D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260" w:type="dxa"/>
            <w:tcBorders>
              <w:tl2br w:val="nil"/>
              <w:tr2bl w:val="nil"/>
            </w:tcBorders>
            <w:noWrap w:val="0"/>
            <w:vAlign w:val="center"/>
          </w:tcPr>
          <w:p w14:paraId="35FC837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6B1F558B">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2F6CE76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688" w:type="dxa"/>
            <w:vMerge w:val="continue"/>
            <w:tcBorders>
              <w:tl2br w:val="nil"/>
              <w:tr2bl w:val="nil"/>
            </w:tcBorders>
            <w:noWrap w:val="0"/>
            <w:vAlign w:val="center"/>
          </w:tcPr>
          <w:p w14:paraId="4691117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7F4361F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38" w:type="dxa"/>
            <w:vMerge w:val="continue"/>
            <w:tcBorders>
              <w:tl2br w:val="nil"/>
              <w:tr2bl w:val="nil"/>
            </w:tcBorders>
            <w:noWrap w:val="0"/>
            <w:vAlign w:val="center"/>
          </w:tcPr>
          <w:p w14:paraId="5054ABD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noWrap w:val="0"/>
            <w:vAlign w:val="center"/>
          </w:tcPr>
          <w:p w14:paraId="6718A652">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snapToGrid w:val="0"/>
                <w:color w:val="auto"/>
                <w:kern w:val="0"/>
                <w:sz w:val="21"/>
                <w:szCs w:val="21"/>
                <w:highlight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氟化物</w:t>
            </w:r>
          </w:p>
        </w:tc>
        <w:tc>
          <w:tcPr>
            <w:tcW w:w="750" w:type="dxa"/>
            <w:vMerge w:val="continue"/>
            <w:tcBorders>
              <w:tl2br w:val="nil"/>
              <w:tr2bl w:val="nil"/>
            </w:tcBorders>
            <w:noWrap w:val="0"/>
            <w:vAlign w:val="center"/>
          </w:tcPr>
          <w:p w14:paraId="14F004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32" w:type="dxa"/>
            <w:vMerge w:val="continue"/>
            <w:tcBorders>
              <w:tl2br w:val="nil"/>
              <w:tr2bl w:val="nil"/>
            </w:tcBorders>
            <w:noWrap w:val="0"/>
            <w:vAlign w:val="center"/>
          </w:tcPr>
          <w:p w14:paraId="0FE03CD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p>
        </w:tc>
        <w:tc>
          <w:tcPr>
            <w:tcW w:w="1288" w:type="dxa"/>
            <w:tcBorders>
              <w:tl2br w:val="nil"/>
              <w:tr2bl w:val="nil"/>
            </w:tcBorders>
            <w:noWrap w:val="0"/>
            <w:vAlign w:val="center"/>
          </w:tcPr>
          <w:p w14:paraId="44B0D95A">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0.12</w:t>
            </w:r>
          </w:p>
        </w:tc>
        <w:tc>
          <w:tcPr>
            <w:tcW w:w="1254" w:type="dxa"/>
            <w:tcBorders>
              <w:tl2br w:val="nil"/>
              <w:tr2bl w:val="nil"/>
            </w:tcBorders>
            <w:noWrap w:val="0"/>
            <w:vAlign w:val="center"/>
          </w:tcPr>
          <w:p w14:paraId="028E91FC">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0.000080</w:t>
            </w:r>
          </w:p>
        </w:tc>
        <w:tc>
          <w:tcPr>
            <w:tcW w:w="1399" w:type="dxa"/>
            <w:vMerge w:val="continue"/>
            <w:tcBorders>
              <w:tl2br w:val="nil"/>
              <w:tr2bl w:val="nil"/>
            </w:tcBorders>
            <w:noWrap w:val="0"/>
            <w:vAlign w:val="center"/>
          </w:tcPr>
          <w:p w14:paraId="40BB968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80" w:type="dxa"/>
            <w:vMerge w:val="continue"/>
            <w:tcBorders>
              <w:tl2br w:val="nil"/>
              <w:tr2bl w:val="nil"/>
            </w:tcBorders>
            <w:noWrap w:val="0"/>
            <w:vAlign w:val="center"/>
          </w:tcPr>
          <w:p w14:paraId="5E4A617E">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795" w:type="dxa"/>
            <w:vMerge w:val="continue"/>
            <w:tcBorders>
              <w:tl2br w:val="nil"/>
              <w:tr2bl w:val="nil"/>
            </w:tcBorders>
            <w:noWrap w:val="0"/>
            <w:vAlign w:val="center"/>
          </w:tcPr>
          <w:p w14:paraId="39EC5D3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05" w:type="dxa"/>
            <w:vMerge w:val="continue"/>
            <w:tcBorders>
              <w:tl2br w:val="nil"/>
              <w:tr2bl w:val="nil"/>
            </w:tcBorders>
            <w:noWrap w:val="0"/>
            <w:vAlign w:val="center"/>
          </w:tcPr>
          <w:p w14:paraId="5C2C89B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260" w:type="dxa"/>
            <w:tcBorders>
              <w:tl2br w:val="nil"/>
              <w:tr2bl w:val="nil"/>
            </w:tcBorders>
            <w:noWrap w:val="0"/>
            <w:vAlign w:val="center"/>
          </w:tcPr>
          <w:p w14:paraId="011AC86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6C76C833">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46BB1CD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8" w:type="dxa"/>
            <w:vMerge w:val="continue"/>
            <w:tcBorders>
              <w:tl2br w:val="nil"/>
              <w:tr2bl w:val="nil"/>
            </w:tcBorders>
            <w:noWrap w:val="0"/>
            <w:vAlign w:val="center"/>
          </w:tcPr>
          <w:p w14:paraId="47FAB2F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eastAsia="宋体"/>
                <w:snapToGrid w:val="0"/>
                <w:color w:val="auto"/>
                <w:kern w:val="0"/>
                <w:sz w:val="21"/>
                <w:szCs w:val="21"/>
                <w:highlight w:val="none"/>
                <w:lang w:val="en-US" w:eastAsia="zh-CN"/>
              </w:rPr>
            </w:pPr>
          </w:p>
        </w:tc>
        <w:tc>
          <w:tcPr>
            <w:tcW w:w="762" w:type="dxa"/>
            <w:vMerge w:val="continue"/>
            <w:tcBorders>
              <w:tl2br w:val="nil"/>
              <w:tr2bl w:val="nil"/>
            </w:tcBorders>
            <w:noWrap w:val="0"/>
            <w:vAlign w:val="center"/>
          </w:tcPr>
          <w:p w14:paraId="085D7C8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38" w:type="dxa"/>
            <w:vMerge w:val="continue"/>
            <w:tcBorders>
              <w:tl2br w:val="nil"/>
              <w:tr2bl w:val="nil"/>
            </w:tcBorders>
            <w:noWrap w:val="0"/>
            <w:vAlign w:val="center"/>
          </w:tcPr>
          <w:p w14:paraId="09D68CC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noWrap w:val="0"/>
            <w:vAlign w:val="center"/>
          </w:tcPr>
          <w:p w14:paraId="5B620453">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snapToGrid w:val="0"/>
                <w:color w:val="auto"/>
                <w:kern w:val="0"/>
                <w:sz w:val="21"/>
                <w:szCs w:val="21"/>
                <w:highlight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磷酸盐</w:t>
            </w:r>
          </w:p>
        </w:tc>
        <w:tc>
          <w:tcPr>
            <w:tcW w:w="750" w:type="dxa"/>
            <w:vMerge w:val="continue"/>
            <w:tcBorders>
              <w:tl2br w:val="nil"/>
              <w:tr2bl w:val="nil"/>
            </w:tcBorders>
            <w:noWrap w:val="0"/>
            <w:vAlign w:val="center"/>
          </w:tcPr>
          <w:p w14:paraId="4B9823B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32" w:type="dxa"/>
            <w:vMerge w:val="continue"/>
            <w:tcBorders>
              <w:tl2br w:val="nil"/>
              <w:tr2bl w:val="nil"/>
            </w:tcBorders>
            <w:noWrap w:val="0"/>
            <w:vAlign w:val="center"/>
          </w:tcPr>
          <w:p w14:paraId="7FF2FC7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p>
        </w:tc>
        <w:tc>
          <w:tcPr>
            <w:tcW w:w="1288" w:type="dxa"/>
            <w:tcBorders>
              <w:tl2br w:val="nil"/>
              <w:tr2bl w:val="nil"/>
            </w:tcBorders>
            <w:noWrap w:val="0"/>
            <w:vAlign w:val="center"/>
          </w:tcPr>
          <w:p w14:paraId="16021D0F">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snapToGrid w:val="0"/>
                <w:color w:val="auto"/>
                <w:sz w:val="20"/>
                <w:szCs w:val="20"/>
                <w:highlight w:val="none"/>
                <w:u w:val="none"/>
                <w:lang w:val="en-US" w:eastAsia="zh-CN"/>
              </w:rPr>
              <w:t>0.</w:t>
            </w:r>
            <w:r>
              <w:rPr>
                <w:rFonts w:hint="eastAsia" w:hAnsi="宋体" w:cs="宋体"/>
                <w:i w:val="0"/>
                <w:iCs w:val="0"/>
                <w:snapToGrid w:val="0"/>
                <w:color w:val="auto"/>
                <w:sz w:val="20"/>
                <w:szCs w:val="20"/>
                <w:highlight w:val="none"/>
                <w:u w:val="none"/>
                <w:lang w:val="en-US" w:eastAsia="zh-CN"/>
              </w:rPr>
              <w:t>4</w:t>
            </w:r>
          </w:p>
        </w:tc>
        <w:tc>
          <w:tcPr>
            <w:tcW w:w="1254" w:type="dxa"/>
            <w:tcBorders>
              <w:tl2br w:val="nil"/>
              <w:tr2bl w:val="nil"/>
            </w:tcBorders>
            <w:noWrap w:val="0"/>
            <w:vAlign w:val="center"/>
          </w:tcPr>
          <w:p w14:paraId="2573B49F">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rPr>
            </w:pPr>
            <w:r>
              <w:rPr>
                <w:rFonts w:hint="eastAsia" w:ascii="宋体" w:hAnsi="宋体" w:eastAsia="宋体" w:cs="宋体"/>
                <w:i w:val="0"/>
                <w:iCs w:val="0"/>
                <w:snapToGrid w:val="0"/>
                <w:color w:val="auto"/>
                <w:kern w:val="0"/>
                <w:sz w:val="21"/>
                <w:szCs w:val="21"/>
                <w:highlight w:val="none"/>
                <w:u w:val="none"/>
                <w:lang w:val="en-US" w:eastAsia="zh-CN" w:bidi="ar"/>
              </w:rPr>
              <w:t>0.000</w:t>
            </w:r>
            <w:r>
              <w:rPr>
                <w:rFonts w:hint="eastAsia" w:hAnsi="宋体" w:cs="宋体"/>
                <w:i w:val="0"/>
                <w:iCs w:val="0"/>
                <w:snapToGrid w:val="0"/>
                <w:color w:val="auto"/>
                <w:kern w:val="0"/>
                <w:sz w:val="21"/>
                <w:szCs w:val="21"/>
                <w:highlight w:val="none"/>
                <w:u w:val="none"/>
                <w:lang w:val="en-US" w:eastAsia="zh-CN" w:bidi="ar"/>
              </w:rPr>
              <w:t>265</w:t>
            </w:r>
          </w:p>
        </w:tc>
        <w:tc>
          <w:tcPr>
            <w:tcW w:w="1399" w:type="dxa"/>
            <w:vMerge w:val="continue"/>
            <w:tcBorders>
              <w:tl2br w:val="nil"/>
              <w:tr2bl w:val="nil"/>
            </w:tcBorders>
            <w:noWrap w:val="0"/>
            <w:vAlign w:val="center"/>
          </w:tcPr>
          <w:p w14:paraId="4AC557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80" w:type="dxa"/>
            <w:vMerge w:val="continue"/>
            <w:tcBorders>
              <w:tl2br w:val="nil"/>
              <w:tr2bl w:val="nil"/>
            </w:tcBorders>
            <w:noWrap w:val="0"/>
            <w:vAlign w:val="center"/>
          </w:tcPr>
          <w:p w14:paraId="3154F814">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795" w:type="dxa"/>
            <w:vMerge w:val="continue"/>
            <w:tcBorders>
              <w:tl2br w:val="nil"/>
              <w:tr2bl w:val="nil"/>
            </w:tcBorders>
            <w:noWrap w:val="0"/>
            <w:vAlign w:val="center"/>
          </w:tcPr>
          <w:p w14:paraId="448C94D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05" w:type="dxa"/>
            <w:vMerge w:val="continue"/>
            <w:tcBorders>
              <w:tl2br w:val="nil"/>
              <w:tr2bl w:val="nil"/>
            </w:tcBorders>
            <w:noWrap w:val="0"/>
            <w:vAlign w:val="center"/>
          </w:tcPr>
          <w:p w14:paraId="48D93F2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260" w:type="dxa"/>
            <w:tcBorders>
              <w:tl2br w:val="nil"/>
              <w:tr2bl w:val="nil"/>
            </w:tcBorders>
            <w:noWrap w:val="0"/>
            <w:vAlign w:val="center"/>
          </w:tcPr>
          <w:p w14:paraId="7BFC616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67AEAD52">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3297771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8" w:type="dxa"/>
            <w:vMerge w:val="continue"/>
            <w:tcBorders>
              <w:tl2br w:val="nil"/>
              <w:tr2bl w:val="nil"/>
            </w:tcBorders>
            <w:noWrap w:val="0"/>
            <w:vAlign w:val="center"/>
          </w:tcPr>
          <w:p w14:paraId="0B25B28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50E44D4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38" w:type="dxa"/>
            <w:vMerge w:val="continue"/>
            <w:tcBorders>
              <w:tl2br w:val="nil"/>
              <w:tr2bl w:val="nil"/>
            </w:tcBorders>
            <w:noWrap w:val="0"/>
            <w:vAlign w:val="center"/>
          </w:tcPr>
          <w:p w14:paraId="4C61897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noWrap w:val="0"/>
            <w:vAlign w:val="center"/>
          </w:tcPr>
          <w:p w14:paraId="461F4885">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snapToGrid w:val="0"/>
                <w:color w:val="auto"/>
                <w:kern w:val="0"/>
                <w:sz w:val="21"/>
                <w:szCs w:val="21"/>
                <w:highlight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阴离子表面活性剂</w:t>
            </w:r>
          </w:p>
        </w:tc>
        <w:tc>
          <w:tcPr>
            <w:tcW w:w="750" w:type="dxa"/>
            <w:vMerge w:val="continue"/>
            <w:tcBorders>
              <w:tl2br w:val="nil"/>
              <w:tr2bl w:val="nil"/>
            </w:tcBorders>
            <w:noWrap w:val="0"/>
            <w:vAlign w:val="center"/>
          </w:tcPr>
          <w:p w14:paraId="0EBFE8F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32" w:type="dxa"/>
            <w:vMerge w:val="continue"/>
            <w:tcBorders>
              <w:tl2br w:val="nil"/>
              <w:tr2bl w:val="nil"/>
            </w:tcBorders>
            <w:noWrap w:val="0"/>
            <w:vAlign w:val="center"/>
          </w:tcPr>
          <w:p w14:paraId="00C58B7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p>
        </w:tc>
        <w:tc>
          <w:tcPr>
            <w:tcW w:w="1288" w:type="dxa"/>
            <w:tcBorders>
              <w:tl2br w:val="nil"/>
              <w:tr2bl w:val="nil"/>
            </w:tcBorders>
            <w:noWrap w:val="0"/>
            <w:vAlign w:val="center"/>
          </w:tcPr>
          <w:p w14:paraId="39EC0C0D">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0.184</w:t>
            </w:r>
          </w:p>
        </w:tc>
        <w:tc>
          <w:tcPr>
            <w:tcW w:w="1254" w:type="dxa"/>
            <w:tcBorders>
              <w:tl2br w:val="nil"/>
              <w:tr2bl w:val="nil"/>
            </w:tcBorders>
            <w:noWrap w:val="0"/>
            <w:vAlign w:val="center"/>
          </w:tcPr>
          <w:p w14:paraId="56615877">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0.000122</w:t>
            </w:r>
          </w:p>
        </w:tc>
        <w:tc>
          <w:tcPr>
            <w:tcW w:w="1399" w:type="dxa"/>
            <w:vMerge w:val="continue"/>
            <w:tcBorders>
              <w:tl2br w:val="nil"/>
              <w:tr2bl w:val="nil"/>
            </w:tcBorders>
            <w:noWrap w:val="0"/>
            <w:vAlign w:val="center"/>
          </w:tcPr>
          <w:p w14:paraId="6C7532C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80" w:type="dxa"/>
            <w:vMerge w:val="continue"/>
            <w:tcBorders>
              <w:tl2br w:val="nil"/>
              <w:tr2bl w:val="nil"/>
            </w:tcBorders>
            <w:noWrap w:val="0"/>
            <w:vAlign w:val="center"/>
          </w:tcPr>
          <w:p w14:paraId="560CE25E">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795" w:type="dxa"/>
            <w:vMerge w:val="continue"/>
            <w:tcBorders>
              <w:tl2br w:val="nil"/>
              <w:tr2bl w:val="nil"/>
            </w:tcBorders>
            <w:noWrap w:val="0"/>
            <w:vAlign w:val="center"/>
          </w:tcPr>
          <w:p w14:paraId="7DF788C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05" w:type="dxa"/>
            <w:vMerge w:val="continue"/>
            <w:tcBorders>
              <w:tl2br w:val="nil"/>
              <w:tr2bl w:val="nil"/>
            </w:tcBorders>
            <w:noWrap w:val="0"/>
            <w:vAlign w:val="center"/>
          </w:tcPr>
          <w:p w14:paraId="0AE16C44">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260" w:type="dxa"/>
            <w:tcBorders>
              <w:tl2br w:val="nil"/>
              <w:tr2bl w:val="nil"/>
            </w:tcBorders>
            <w:noWrap w:val="0"/>
            <w:vAlign w:val="center"/>
          </w:tcPr>
          <w:p w14:paraId="77D45C1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21606F70">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42D288F5">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8" w:type="dxa"/>
            <w:vMerge w:val="continue"/>
            <w:tcBorders>
              <w:tl2br w:val="nil"/>
              <w:tr2bl w:val="nil"/>
            </w:tcBorders>
            <w:noWrap w:val="0"/>
            <w:vAlign w:val="center"/>
          </w:tcPr>
          <w:p w14:paraId="4692D9C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58A391E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38" w:type="dxa"/>
            <w:vMerge w:val="continue"/>
            <w:tcBorders>
              <w:tl2br w:val="nil"/>
              <w:tr2bl w:val="nil"/>
            </w:tcBorders>
            <w:noWrap w:val="0"/>
            <w:vAlign w:val="center"/>
          </w:tcPr>
          <w:p w14:paraId="0A42517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shd w:val="clear" w:color="auto" w:fill="auto"/>
            <w:noWrap w:val="0"/>
            <w:vAlign w:val="center"/>
          </w:tcPr>
          <w:p w14:paraId="11E4E7A5">
            <w:pPr>
              <w:keepNext w:val="0"/>
              <w:keepLines w:val="0"/>
              <w:widowControl/>
              <w:suppressLineNumbers w:val="0"/>
              <w:adjustRightInd w:val="0"/>
              <w:snapToGrid w:val="0"/>
              <w:spacing w:before="0" w:beforeAutospacing="0" w:after="0" w:afterAutospacing="0"/>
              <w:ind w:left="0" w:right="0"/>
              <w:jc w:val="center"/>
              <w:textAlignment w:val="center"/>
              <w:rPr>
                <w:rFonts w:hint="eastAsia" w:ascii="宋体" w:hAnsi="宋体" w:eastAsia="宋体" w:cs="宋体"/>
                <w:i w:val="0"/>
                <w:iCs w:val="0"/>
                <w:snapToGrid w:val="0"/>
                <w:color w:val="auto"/>
                <w:kern w:val="2"/>
                <w:sz w:val="20"/>
                <w:szCs w:val="20"/>
                <w:highlight w:val="none"/>
                <w:u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总锌</w:t>
            </w:r>
          </w:p>
        </w:tc>
        <w:tc>
          <w:tcPr>
            <w:tcW w:w="750" w:type="dxa"/>
            <w:vMerge w:val="continue"/>
            <w:tcBorders>
              <w:tl2br w:val="nil"/>
              <w:tr2bl w:val="nil"/>
            </w:tcBorders>
            <w:noWrap w:val="0"/>
            <w:vAlign w:val="center"/>
          </w:tcPr>
          <w:p w14:paraId="67D1074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32" w:type="dxa"/>
            <w:vMerge w:val="continue"/>
            <w:tcBorders>
              <w:tl2br w:val="nil"/>
              <w:tr2bl w:val="nil"/>
            </w:tcBorders>
            <w:noWrap w:val="0"/>
            <w:vAlign w:val="center"/>
          </w:tcPr>
          <w:p w14:paraId="11FC53C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p>
        </w:tc>
        <w:tc>
          <w:tcPr>
            <w:tcW w:w="1288" w:type="dxa"/>
            <w:tcBorders>
              <w:tl2br w:val="nil"/>
              <w:tr2bl w:val="nil"/>
            </w:tcBorders>
            <w:shd w:val="clear" w:color="auto" w:fill="auto"/>
            <w:noWrap w:val="0"/>
            <w:vAlign w:val="center"/>
          </w:tcPr>
          <w:p w14:paraId="21BFC149">
            <w:pPr>
              <w:keepNext w:val="0"/>
              <w:keepLines w:val="0"/>
              <w:widowControl/>
              <w:suppressLineNumbers w:val="0"/>
              <w:adjustRightInd w:val="0"/>
              <w:snapToGrid w:val="0"/>
              <w:spacing w:before="0" w:beforeAutospacing="0" w:after="0" w:afterAutospacing="0"/>
              <w:ind w:left="0" w:right="0"/>
              <w:jc w:val="center"/>
              <w:textAlignment w:val="center"/>
              <w:rPr>
                <w:rFonts w:hint="default" w:ascii="宋体" w:hAnsi="宋体" w:eastAsia="宋体" w:cs="宋体"/>
                <w:i w:val="0"/>
                <w:iCs w:val="0"/>
                <w:snapToGrid w:val="0"/>
                <w:color w:val="auto"/>
                <w:kern w:val="2"/>
                <w:sz w:val="20"/>
                <w:szCs w:val="20"/>
                <w:highlight w:val="none"/>
                <w:u w:val="none"/>
                <w:lang w:val="en-US"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0.055</w:t>
            </w:r>
          </w:p>
        </w:tc>
        <w:tc>
          <w:tcPr>
            <w:tcW w:w="1254" w:type="dxa"/>
            <w:tcBorders>
              <w:tl2br w:val="nil"/>
              <w:tr2bl w:val="nil"/>
            </w:tcBorders>
            <w:noWrap w:val="0"/>
            <w:vAlign w:val="center"/>
          </w:tcPr>
          <w:p w14:paraId="67955583">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0.000037</w:t>
            </w:r>
          </w:p>
        </w:tc>
        <w:tc>
          <w:tcPr>
            <w:tcW w:w="1399" w:type="dxa"/>
            <w:vMerge w:val="continue"/>
            <w:tcBorders>
              <w:tl2br w:val="nil"/>
              <w:tr2bl w:val="nil"/>
            </w:tcBorders>
            <w:noWrap w:val="0"/>
            <w:vAlign w:val="center"/>
          </w:tcPr>
          <w:p w14:paraId="30C1820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80" w:type="dxa"/>
            <w:vMerge w:val="continue"/>
            <w:tcBorders>
              <w:tl2br w:val="nil"/>
              <w:tr2bl w:val="nil"/>
            </w:tcBorders>
            <w:noWrap w:val="0"/>
            <w:vAlign w:val="center"/>
          </w:tcPr>
          <w:p w14:paraId="1BE08B2D">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795" w:type="dxa"/>
            <w:vMerge w:val="continue"/>
            <w:tcBorders>
              <w:tl2br w:val="nil"/>
              <w:tr2bl w:val="nil"/>
            </w:tcBorders>
            <w:noWrap w:val="0"/>
            <w:vAlign w:val="center"/>
          </w:tcPr>
          <w:p w14:paraId="29A7E0F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05" w:type="dxa"/>
            <w:vMerge w:val="continue"/>
            <w:tcBorders>
              <w:tl2br w:val="nil"/>
              <w:tr2bl w:val="nil"/>
            </w:tcBorders>
            <w:noWrap w:val="0"/>
            <w:vAlign w:val="center"/>
          </w:tcPr>
          <w:p w14:paraId="1FB20F6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260" w:type="dxa"/>
            <w:tcBorders>
              <w:tl2br w:val="nil"/>
              <w:tr2bl w:val="nil"/>
            </w:tcBorders>
            <w:noWrap w:val="0"/>
            <w:vAlign w:val="center"/>
          </w:tcPr>
          <w:p w14:paraId="669A305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5CF9BFBC">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1731F46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8" w:type="dxa"/>
            <w:vMerge w:val="continue"/>
            <w:tcBorders>
              <w:tl2br w:val="nil"/>
              <w:tr2bl w:val="nil"/>
            </w:tcBorders>
            <w:noWrap w:val="0"/>
            <w:vAlign w:val="center"/>
          </w:tcPr>
          <w:p w14:paraId="623C2FC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3417C5C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38" w:type="dxa"/>
            <w:vMerge w:val="continue"/>
            <w:tcBorders>
              <w:tl2br w:val="nil"/>
              <w:tr2bl w:val="nil"/>
            </w:tcBorders>
            <w:noWrap w:val="0"/>
            <w:vAlign w:val="center"/>
          </w:tcPr>
          <w:p w14:paraId="729CACF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shd w:val="clear" w:color="auto" w:fill="auto"/>
            <w:noWrap w:val="0"/>
            <w:vAlign w:val="center"/>
          </w:tcPr>
          <w:p w14:paraId="035D1A33">
            <w:pPr>
              <w:keepNext w:val="0"/>
              <w:keepLines w:val="0"/>
              <w:widowControl/>
              <w:suppressLineNumbers w:val="0"/>
              <w:adjustRightInd w:val="0"/>
              <w:snapToGrid w:val="0"/>
              <w:spacing w:before="0" w:beforeAutospacing="0" w:after="0" w:afterAutospacing="0"/>
              <w:ind w:left="0" w:right="0"/>
              <w:jc w:val="center"/>
              <w:textAlignment w:val="center"/>
              <w:rPr>
                <w:rFonts w:hint="eastAsia" w:ascii="宋体" w:hAnsi="宋体" w:eastAsia="宋体" w:cs="宋体"/>
                <w:i w:val="0"/>
                <w:iCs w:val="0"/>
                <w:snapToGrid w:val="0"/>
                <w:color w:val="auto"/>
                <w:kern w:val="2"/>
                <w:sz w:val="20"/>
                <w:szCs w:val="20"/>
                <w:highlight w:val="none"/>
                <w:u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总锰</w:t>
            </w:r>
          </w:p>
        </w:tc>
        <w:tc>
          <w:tcPr>
            <w:tcW w:w="750" w:type="dxa"/>
            <w:vMerge w:val="continue"/>
            <w:tcBorders>
              <w:tl2br w:val="nil"/>
              <w:tr2bl w:val="nil"/>
            </w:tcBorders>
            <w:noWrap w:val="0"/>
            <w:vAlign w:val="center"/>
          </w:tcPr>
          <w:p w14:paraId="5CD7CA8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32" w:type="dxa"/>
            <w:vMerge w:val="continue"/>
            <w:tcBorders>
              <w:tl2br w:val="nil"/>
              <w:tr2bl w:val="nil"/>
            </w:tcBorders>
            <w:noWrap w:val="0"/>
            <w:vAlign w:val="center"/>
          </w:tcPr>
          <w:p w14:paraId="7B6B081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p>
        </w:tc>
        <w:tc>
          <w:tcPr>
            <w:tcW w:w="1288" w:type="dxa"/>
            <w:tcBorders>
              <w:tl2br w:val="nil"/>
              <w:tr2bl w:val="nil"/>
            </w:tcBorders>
            <w:shd w:val="clear" w:color="auto" w:fill="auto"/>
            <w:noWrap w:val="0"/>
            <w:vAlign w:val="center"/>
          </w:tcPr>
          <w:p w14:paraId="259D6697">
            <w:pPr>
              <w:keepNext w:val="0"/>
              <w:keepLines w:val="0"/>
              <w:widowControl/>
              <w:suppressLineNumbers w:val="0"/>
              <w:adjustRightInd w:val="0"/>
              <w:snapToGrid w:val="0"/>
              <w:spacing w:before="0" w:beforeAutospacing="0" w:after="0" w:afterAutospacing="0"/>
              <w:ind w:left="0" w:right="0"/>
              <w:jc w:val="center"/>
              <w:textAlignment w:val="center"/>
              <w:rPr>
                <w:rFonts w:hint="default" w:ascii="宋体" w:hAnsi="宋体" w:eastAsia="宋体" w:cs="宋体"/>
                <w:i w:val="0"/>
                <w:iCs w:val="0"/>
                <w:snapToGrid w:val="0"/>
                <w:color w:val="auto"/>
                <w:kern w:val="2"/>
                <w:sz w:val="20"/>
                <w:szCs w:val="20"/>
                <w:highlight w:val="none"/>
                <w:u w:val="none"/>
                <w:lang w:val="en-US"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0.10</w:t>
            </w:r>
          </w:p>
        </w:tc>
        <w:tc>
          <w:tcPr>
            <w:tcW w:w="1254" w:type="dxa"/>
            <w:tcBorders>
              <w:tl2br w:val="nil"/>
              <w:tr2bl w:val="nil"/>
            </w:tcBorders>
            <w:noWrap w:val="0"/>
            <w:vAlign w:val="center"/>
          </w:tcPr>
          <w:p w14:paraId="31D15A0F">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0.000066</w:t>
            </w:r>
          </w:p>
        </w:tc>
        <w:tc>
          <w:tcPr>
            <w:tcW w:w="1399" w:type="dxa"/>
            <w:vMerge w:val="continue"/>
            <w:tcBorders>
              <w:tl2br w:val="nil"/>
              <w:tr2bl w:val="nil"/>
            </w:tcBorders>
            <w:noWrap w:val="0"/>
            <w:vAlign w:val="center"/>
          </w:tcPr>
          <w:p w14:paraId="6E12052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80" w:type="dxa"/>
            <w:vMerge w:val="continue"/>
            <w:tcBorders>
              <w:tl2br w:val="nil"/>
              <w:tr2bl w:val="nil"/>
            </w:tcBorders>
            <w:noWrap w:val="0"/>
            <w:vAlign w:val="center"/>
          </w:tcPr>
          <w:p w14:paraId="3DA74304">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795" w:type="dxa"/>
            <w:vMerge w:val="continue"/>
            <w:tcBorders>
              <w:tl2br w:val="nil"/>
              <w:tr2bl w:val="nil"/>
            </w:tcBorders>
            <w:noWrap w:val="0"/>
            <w:vAlign w:val="center"/>
          </w:tcPr>
          <w:p w14:paraId="0255FAE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05" w:type="dxa"/>
            <w:vMerge w:val="continue"/>
            <w:tcBorders>
              <w:tl2br w:val="nil"/>
              <w:tr2bl w:val="nil"/>
            </w:tcBorders>
            <w:noWrap w:val="0"/>
            <w:vAlign w:val="center"/>
          </w:tcPr>
          <w:p w14:paraId="3E35430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260" w:type="dxa"/>
            <w:tcBorders>
              <w:tl2br w:val="nil"/>
              <w:tr2bl w:val="nil"/>
            </w:tcBorders>
            <w:noWrap w:val="0"/>
            <w:vAlign w:val="center"/>
          </w:tcPr>
          <w:p w14:paraId="5EF0A9F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03032621">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0D1A093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8" w:type="dxa"/>
            <w:vMerge w:val="continue"/>
            <w:tcBorders>
              <w:tl2br w:val="nil"/>
              <w:tr2bl w:val="nil"/>
            </w:tcBorders>
            <w:noWrap w:val="0"/>
            <w:vAlign w:val="center"/>
          </w:tcPr>
          <w:p w14:paraId="4794C39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33179DA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38" w:type="dxa"/>
            <w:vMerge w:val="continue"/>
            <w:tcBorders>
              <w:tl2br w:val="nil"/>
              <w:tr2bl w:val="nil"/>
            </w:tcBorders>
            <w:noWrap w:val="0"/>
            <w:vAlign w:val="center"/>
          </w:tcPr>
          <w:p w14:paraId="4B213E9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noWrap w:val="0"/>
            <w:vAlign w:val="center"/>
          </w:tcPr>
          <w:p w14:paraId="5FD84DCF">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snapToGrid w:val="0"/>
                <w:color w:val="auto"/>
                <w:kern w:val="0"/>
                <w:sz w:val="21"/>
                <w:szCs w:val="21"/>
                <w:highlight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可吸附有机卤化物（AOX）（以Cl计）</w:t>
            </w:r>
          </w:p>
        </w:tc>
        <w:tc>
          <w:tcPr>
            <w:tcW w:w="750" w:type="dxa"/>
            <w:vMerge w:val="continue"/>
            <w:tcBorders>
              <w:tl2br w:val="nil"/>
              <w:tr2bl w:val="nil"/>
            </w:tcBorders>
            <w:noWrap w:val="0"/>
            <w:vAlign w:val="center"/>
          </w:tcPr>
          <w:p w14:paraId="78AA877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32" w:type="dxa"/>
            <w:vMerge w:val="continue"/>
            <w:tcBorders>
              <w:tl2br w:val="nil"/>
              <w:tr2bl w:val="nil"/>
            </w:tcBorders>
            <w:noWrap w:val="0"/>
            <w:vAlign w:val="center"/>
          </w:tcPr>
          <w:p w14:paraId="0B26180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p>
        </w:tc>
        <w:tc>
          <w:tcPr>
            <w:tcW w:w="1288" w:type="dxa"/>
            <w:tcBorders>
              <w:tl2br w:val="nil"/>
              <w:tr2bl w:val="nil"/>
            </w:tcBorders>
            <w:noWrap w:val="0"/>
            <w:vAlign w:val="center"/>
          </w:tcPr>
          <w:p w14:paraId="18FA2EBA">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snapToGrid w:val="0"/>
                <w:color w:val="auto"/>
                <w:sz w:val="21"/>
                <w:szCs w:val="21"/>
                <w:highlight w:val="none"/>
                <w:lang w:val="en-US" w:eastAsia="zh-CN"/>
              </w:rPr>
              <w:t>0.595</w:t>
            </w:r>
          </w:p>
        </w:tc>
        <w:tc>
          <w:tcPr>
            <w:tcW w:w="1254" w:type="dxa"/>
            <w:tcBorders>
              <w:tl2br w:val="nil"/>
              <w:tr2bl w:val="nil"/>
            </w:tcBorders>
            <w:noWrap w:val="0"/>
            <w:vAlign w:val="center"/>
          </w:tcPr>
          <w:p w14:paraId="6359762C">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0.000395</w:t>
            </w:r>
          </w:p>
        </w:tc>
        <w:tc>
          <w:tcPr>
            <w:tcW w:w="1399" w:type="dxa"/>
            <w:vMerge w:val="continue"/>
            <w:tcBorders>
              <w:tl2br w:val="nil"/>
              <w:tr2bl w:val="nil"/>
            </w:tcBorders>
            <w:noWrap w:val="0"/>
            <w:vAlign w:val="center"/>
          </w:tcPr>
          <w:p w14:paraId="743AEB2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80" w:type="dxa"/>
            <w:vMerge w:val="continue"/>
            <w:tcBorders>
              <w:tl2br w:val="nil"/>
              <w:tr2bl w:val="nil"/>
            </w:tcBorders>
            <w:noWrap w:val="0"/>
            <w:vAlign w:val="center"/>
          </w:tcPr>
          <w:p w14:paraId="52222BA2">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795" w:type="dxa"/>
            <w:vMerge w:val="continue"/>
            <w:tcBorders>
              <w:tl2br w:val="nil"/>
              <w:tr2bl w:val="nil"/>
            </w:tcBorders>
            <w:noWrap w:val="0"/>
            <w:vAlign w:val="center"/>
          </w:tcPr>
          <w:p w14:paraId="405143D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05" w:type="dxa"/>
            <w:vMerge w:val="continue"/>
            <w:tcBorders>
              <w:tl2br w:val="nil"/>
              <w:tr2bl w:val="nil"/>
            </w:tcBorders>
            <w:noWrap w:val="0"/>
            <w:vAlign w:val="center"/>
          </w:tcPr>
          <w:p w14:paraId="231E985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260" w:type="dxa"/>
            <w:tcBorders>
              <w:tl2br w:val="nil"/>
              <w:tr2bl w:val="nil"/>
            </w:tcBorders>
            <w:noWrap w:val="0"/>
            <w:vAlign w:val="center"/>
          </w:tcPr>
          <w:p w14:paraId="6DF1DBF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671949E8">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28ABB551">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8" w:type="dxa"/>
            <w:vMerge w:val="continue"/>
            <w:tcBorders>
              <w:tl2br w:val="nil"/>
              <w:tr2bl w:val="nil"/>
            </w:tcBorders>
            <w:noWrap w:val="0"/>
            <w:vAlign w:val="center"/>
          </w:tcPr>
          <w:p w14:paraId="65EE8B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4E0BD2E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38" w:type="dxa"/>
            <w:vMerge w:val="continue"/>
            <w:tcBorders>
              <w:tl2br w:val="nil"/>
              <w:tr2bl w:val="nil"/>
            </w:tcBorders>
            <w:noWrap w:val="0"/>
            <w:vAlign w:val="center"/>
          </w:tcPr>
          <w:p w14:paraId="6AF2104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noWrap w:val="0"/>
            <w:vAlign w:val="center"/>
          </w:tcPr>
          <w:p w14:paraId="1CDA1CDA">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snapToGrid w:val="0"/>
                <w:color w:val="auto"/>
                <w:kern w:val="0"/>
                <w:sz w:val="21"/>
                <w:szCs w:val="21"/>
                <w:highlight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总有机碳</w:t>
            </w:r>
          </w:p>
        </w:tc>
        <w:tc>
          <w:tcPr>
            <w:tcW w:w="750" w:type="dxa"/>
            <w:vMerge w:val="continue"/>
            <w:tcBorders>
              <w:tl2br w:val="nil"/>
              <w:tr2bl w:val="nil"/>
            </w:tcBorders>
            <w:noWrap w:val="0"/>
            <w:vAlign w:val="center"/>
          </w:tcPr>
          <w:p w14:paraId="7990ECB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32" w:type="dxa"/>
            <w:vMerge w:val="continue"/>
            <w:tcBorders>
              <w:tl2br w:val="nil"/>
              <w:tr2bl w:val="nil"/>
            </w:tcBorders>
            <w:noWrap w:val="0"/>
            <w:vAlign w:val="center"/>
          </w:tcPr>
          <w:p w14:paraId="64E90D9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p>
        </w:tc>
        <w:tc>
          <w:tcPr>
            <w:tcW w:w="1288" w:type="dxa"/>
            <w:tcBorders>
              <w:tl2br w:val="nil"/>
              <w:tr2bl w:val="nil"/>
            </w:tcBorders>
            <w:noWrap w:val="0"/>
            <w:vAlign w:val="center"/>
          </w:tcPr>
          <w:p w14:paraId="4CCBD51A">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4.6</w:t>
            </w:r>
          </w:p>
        </w:tc>
        <w:tc>
          <w:tcPr>
            <w:tcW w:w="1254" w:type="dxa"/>
            <w:tcBorders>
              <w:tl2br w:val="nil"/>
              <w:tr2bl w:val="nil"/>
            </w:tcBorders>
            <w:noWrap w:val="0"/>
            <w:vAlign w:val="center"/>
          </w:tcPr>
          <w:p w14:paraId="0E4554BD">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rPr>
            </w:pPr>
            <w:r>
              <w:rPr>
                <w:rFonts w:hint="eastAsia" w:ascii="宋体" w:hAnsi="宋体" w:eastAsia="宋体" w:cs="宋体"/>
                <w:i w:val="0"/>
                <w:iCs w:val="0"/>
                <w:snapToGrid w:val="0"/>
                <w:color w:val="auto"/>
                <w:kern w:val="0"/>
                <w:sz w:val="21"/>
                <w:szCs w:val="21"/>
                <w:highlight w:val="none"/>
                <w:u w:val="none"/>
                <w:lang w:val="en-US" w:eastAsia="zh-CN" w:bidi="ar"/>
              </w:rPr>
              <w:t>0.003054</w:t>
            </w:r>
          </w:p>
        </w:tc>
        <w:tc>
          <w:tcPr>
            <w:tcW w:w="1399" w:type="dxa"/>
            <w:vMerge w:val="continue"/>
            <w:tcBorders>
              <w:tl2br w:val="nil"/>
              <w:tr2bl w:val="nil"/>
            </w:tcBorders>
            <w:noWrap w:val="0"/>
            <w:vAlign w:val="center"/>
          </w:tcPr>
          <w:p w14:paraId="32D697D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80" w:type="dxa"/>
            <w:vMerge w:val="continue"/>
            <w:tcBorders>
              <w:tl2br w:val="nil"/>
              <w:tr2bl w:val="nil"/>
            </w:tcBorders>
            <w:noWrap w:val="0"/>
            <w:vAlign w:val="center"/>
          </w:tcPr>
          <w:p w14:paraId="2CEBA277">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795" w:type="dxa"/>
            <w:vMerge w:val="continue"/>
            <w:tcBorders>
              <w:tl2br w:val="nil"/>
              <w:tr2bl w:val="nil"/>
            </w:tcBorders>
            <w:noWrap w:val="0"/>
            <w:vAlign w:val="center"/>
          </w:tcPr>
          <w:p w14:paraId="0F6293A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05" w:type="dxa"/>
            <w:vMerge w:val="continue"/>
            <w:tcBorders>
              <w:tl2br w:val="nil"/>
              <w:tr2bl w:val="nil"/>
            </w:tcBorders>
            <w:noWrap w:val="0"/>
            <w:vAlign w:val="center"/>
          </w:tcPr>
          <w:p w14:paraId="35168AE1">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260" w:type="dxa"/>
            <w:tcBorders>
              <w:tl2br w:val="nil"/>
              <w:tr2bl w:val="nil"/>
            </w:tcBorders>
            <w:noWrap w:val="0"/>
            <w:vAlign w:val="center"/>
          </w:tcPr>
          <w:p w14:paraId="71DB5D5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hint="eastAsia" w:ascii="Times New Roman" w:hAnsi="Times New Roman" w:eastAsia="宋体" w:cs="Times New Roman"/>
                <w:snapToGrid w:val="0"/>
                <w:color w:val="auto"/>
                <w:sz w:val="21"/>
                <w:szCs w:val="21"/>
                <w:highlight w:val="none"/>
                <w:lang w:val="en-US" w:eastAsia="zh-CN"/>
              </w:rPr>
              <w:t>/</w:t>
            </w:r>
          </w:p>
        </w:tc>
        <w:tc>
          <w:tcPr>
            <w:tcW w:w="1260" w:type="dxa"/>
            <w:tcBorders>
              <w:tl2br w:val="nil"/>
              <w:tr2bl w:val="nil"/>
            </w:tcBorders>
            <w:shd w:val="clear" w:color="auto" w:fill="auto"/>
            <w:noWrap w:val="0"/>
            <w:vAlign w:val="center"/>
          </w:tcPr>
          <w:p w14:paraId="45B70D80">
            <w:pPr>
              <w:keepNext w:val="0"/>
              <w:keepLines w:val="0"/>
              <w:widowControl/>
              <w:suppressLineNumbers w:val="0"/>
              <w:adjustRightInd w:val="0"/>
              <w:snapToGrid w:val="0"/>
              <w:spacing w:before="0" w:beforeAutospacing="0" w:after="0" w:afterAutospacing="0"/>
              <w:ind w:left="0" w:right="0"/>
              <w:jc w:val="center"/>
              <w:textAlignment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sz w:val="21"/>
                <w:szCs w:val="21"/>
                <w:highlight w:val="none"/>
                <w:lang w:val="en-US" w:eastAsia="zh-CN"/>
              </w:rPr>
              <w:t>/</w:t>
            </w:r>
          </w:p>
        </w:tc>
      </w:tr>
      <w:tr w14:paraId="2E62335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8" w:type="dxa"/>
            <w:vMerge w:val="continue"/>
            <w:tcBorders>
              <w:tl2br w:val="nil"/>
              <w:tr2bl w:val="nil"/>
            </w:tcBorders>
            <w:noWrap w:val="0"/>
            <w:vAlign w:val="center"/>
          </w:tcPr>
          <w:p w14:paraId="2F2B450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21F37E4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738" w:type="dxa"/>
            <w:vMerge w:val="continue"/>
            <w:tcBorders>
              <w:tl2br w:val="nil"/>
              <w:tr2bl w:val="nil"/>
            </w:tcBorders>
            <w:noWrap w:val="0"/>
            <w:vAlign w:val="center"/>
          </w:tcPr>
          <w:p w14:paraId="6B16C81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p>
        </w:tc>
        <w:tc>
          <w:tcPr>
            <w:tcW w:w="1350" w:type="dxa"/>
            <w:tcBorders>
              <w:tl2br w:val="nil"/>
              <w:tr2bl w:val="nil"/>
            </w:tcBorders>
            <w:noWrap w:val="0"/>
            <w:vAlign w:val="center"/>
          </w:tcPr>
          <w:p w14:paraId="42D6C595">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r>
              <w:rPr>
                <w:rFonts w:hint="eastAsia" w:ascii="Times New Roman" w:eastAsia="宋体"/>
                <w:snapToGrid w:val="0"/>
                <w:color w:val="auto"/>
                <w:sz w:val="21"/>
                <w:szCs w:val="21"/>
                <w:highlight w:val="none"/>
                <w:lang w:val="en-US" w:eastAsia="zh-CN"/>
              </w:rPr>
              <w:t>pH</w:t>
            </w:r>
          </w:p>
        </w:tc>
        <w:tc>
          <w:tcPr>
            <w:tcW w:w="750" w:type="dxa"/>
            <w:vMerge w:val="continue"/>
            <w:tcBorders>
              <w:tl2br w:val="nil"/>
              <w:tr2bl w:val="nil"/>
            </w:tcBorders>
            <w:noWrap w:val="0"/>
            <w:vAlign w:val="center"/>
          </w:tcPr>
          <w:p w14:paraId="132F34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32" w:type="dxa"/>
            <w:vMerge w:val="continue"/>
            <w:tcBorders>
              <w:tl2br w:val="nil"/>
              <w:tr2bl w:val="nil"/>
            </w:tcBorders>
            <w:noWrap w:val="0"/>
            <w:vAlign w:val="center"/>
          </w:tcPr>
          <w:p w14:paraId="342C502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p>
        </w:tc>
        <w:tc>
          <w:tcPr>
            <w:tcW w:w="2542" w:type="dxa"/>
            <w:gridSpan w:val="2"/>
            <w:tcBorders>
              <w:tl2br w:val="nil"/>
              <w:tr2bl w:val="nil"/>
            </w:tcBorders>
            <w:noWrap w:val="0"/>
            <w:vAlign w:val="center"/>
          </w:tcPr>
          <w:p w14:paraId="35F49C9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eastAsia="宋体"/>
                <w:snapToGrid w:val="0"/>
                <w:color w:val="auto"/>
                <w:kern w:val="0"/>
                <w:sz w:val="21"/>
                <w:szCs w:val="21"/>
                <w:highlight w:val="none"/>
                <w:lang w:val="en-US" w:eastAsia="zh-CN"/>
              </w:rPr>
            </w:pPr>
            <w:r>
              <w:rPr>
                <w:rFonts w:hint="eastAsia" w:ascii="Times New Roman"/>
                <w:snapToGrid w:val="0"/>
                <w:color w:val="auto"/>
                <w:kern w:val="0"/>
                <w:sz w:val="21"/>
                <w:szCs w:val="21"/>
                <w:highlight w:val="none"/>
                <w:lang w:val="en-US" w:eastAsia="zh-CN"/>
              </w:rPr>
              <w:t>8.2</w:t>
            </w:r>
            <w:r>
              <w:rPr>
                <w:rFonts w:hint="eastAsia" w:ascii="Times New Roman" w:eastAsia="宋体"/>
                <w:snapToGrid w:val="0"/>
                <w:color w:val="auto"/>
                <w:kern w:val="0"/>
                <w:sz w:val="21"/>
                <w:szCs w:val="21"/>
                <w:highlight w:val="none"/>
                <w:lang w:val="en-US" w:eastAsia="zh-CN"/>
              </w:rPr>
              <w:t>（无量纲）</w:t>
            </w:r>
          </w:p>
        </w:tc>
        <w:tc>
          <w:tcPr>
            <w:tcW w:w="1399" w:type="dxa"/>
            <w:vMerge w:val="continue"/>
            <w:tcBorders>
              <w:tl2br w:val="nil"/>
              <w:tr2bl w:val="nil"/>
            </w:tcBorders>
            <w:noWrap w:val="0"/>
            <w:vAlign w:val="center"/>
          </w:tcPr>
          <w:p w14:paraId="22E5255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80" w:type="dxa"/>
            <w:vMerge w:val="continue"/>
            <w:tcBorders>
              <w:tl2br w:val="nil"/>
              <w:tr2bl w:val="nil"/>
            </w:tcBorders>
            <w:noWrap w:val="0"/>
            <w:vAlign w:val="center"/>
          </w:tcPr>
          <w:p w14:paraId="10DC9D1B">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rPr>
            </w:pPr>
          </w:p>
        </w:tc>
        <w:tc>
          <w:tcPr>
            <w:tcW w:w="795" w:type="dxa"/>
            <w:vMerge w:val="continue"/>
            <w:tcBorders>
              <w:tl2br w:val="nil"/>
              <w:tr2bl w:val="nil"/>
            </w:tcBorders>
            <w:noWrap w:val="0"/>
            <w:vAlign w:val="center"/>
          </w:tcPr>
          <w:p w14:paraId="302B0A7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05" w:type="dxa"/>
            <w:vMerge w:val="continue"/>
            <w:tcBorders>
              <w:tl2br w:val="nil"/>
              <w:tr2bl w:val="nil"/>
            </w:tcBorders>
            <w:noWrap w:val="0"/>
            <w:vAlign w:val="center"/>
          </w:tcPr>
          <w:p w14:paraId="524D6CD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2520" w:type="dxa"/>
            <w:gridSpan w:val="2"/>
            <w:tcBorders>
              <w:tl2br w:val="nil"/>
              <w:tr2bl w:val="nil"/>
            </w:tcBorders>
            <w:noWrap w:val="0"/>
            <w:vAlign w:val="center"/>
          </w:tcPr>
          <w:p w14:paraId="3CB062E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eastAsia="宋体"/>
                <w:snapToGrid w:val="0"/>
                <w:color w:val="auto"/>
                <w:kern w:val="0"/>
                <w:sz w:val="21"/>
                <w:szCs w:val="21"/>
                <w:highlight w:val="none"/>
                <w:lang w:val="en-US" w:eastAsia="zh-CN"/>
              </w:rPr>
            </w:pPr>
            <w:r>
              <w:rPr>
                <w:rFonts w:hint="eastAsia" w:ascii="Times New Roman" w:eastAsia="宋体"/>
                <w:snapToGrid w:val="0"/>
                <w:color w:val="auto"/>
                <w:kern w:val="0"/>
                <w:sz w:val="21"/>
                <w:szCs w:val="21"/>
                <w:highlight w:val="none"/>
                <w:lang w:val="en-US" w:eastAsia="zh-CN"/>
              </w:rPr>
              <w:t>/</w:t>
            </w:r>
          </w:p>
        </w:tc>
      </w:tr>
      <w:tr w14:paraId="1CF9877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8" w:type="dxa"/>
            <w:vMerge w:val="restart"/>
            <w:tcBorders>
              <w:tl2br w:val="nil"/>
              <w:tr2bl w:val="nil"/>
            </w:tcBorders>
            <w:noWrap w:val="0"/>
            <w:vAlign w:val="center"/>
          </w:tcPr>
          <w:p w14:paraId="3F35654D">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工作人员生活</w:t>
            </w:r>
          </w:p>
        </w:tc>
        <w:tc>
          <w:tcPr>
            <w:tcW w:w="762" w:type="dxa"/>
            <w:vMerge w:val="restart"/>
            <w:tcBorders>
              <w:tl2br w:val="nil"/>
              <w:tr2bl w:val="nil"/>
            </w:tcBorders>
            <w:noWrap w:val="0"/>
            <w:vAlign w:val="center"/>
          </w:tcPr>
          <w:p w14:paraId="555F3933">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工作人员生活</w:t>
            </w:r>
          </w:p>
        </w:tc>
        <w:tc>
          <w:tcPr>
            <w:tcW w:w="738" w:type="dxa"/>
            <w:vMerge w:val="restart"/>
            <w:tcBorders>
              <w:tl2br w:val="nil"/>
              <w:tr2bl w:val="nil"/>
            </w:tcBorders>
            <w:noWrap w:val="0"/>
            <w:vAlign w:val="center"/>
          </w:tcPr>
          <w:p w14:paraId="21684C30">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工作人员生活</w:t>
            </w:r>
          </w:p>
        </w:tc>
        <w:tc>
          <w:tcPr>
            <w:tcW w:w="1350" w:type="dxa"/>
            <w:tcBorders>
              <w:tl2br w:val="nil"/>
              <w:tr2bl w:val="nil"/>
            </w:tcBorders>
            <w:noWrap w:val="0"/>
            <w:vAlign w:val="center"/>
          </w:tcPr>
          <w:p w14:paraId="4B2B5F8E">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sz w:val="21"/>
                <w:szCs w:val="21"/>
                <w:highlight w:val="none"/>
                <w:lang w:val="zh-CN" w:eastAsia="zh-CN"/>
              </w:rPr>
            </w:pPr>
            <w:r>
              <w:rPr>
                <w:rFonts w:hint="eastAsia" w:ascii="Times New Roman" w:hAnsi="Times New Roman" w:eastAsia="宋体" w:cs="Times New Roman"/>
                <w:snapToGrid w:val="0"/>
                <w:color w:val="auto"/>
                <w:sz w:val="21"/>
                <w:szCs w:val="21"/>
                <w:highlight w:val="none"/>
                <w:lang w:val="zh-CN" w:eastAsia="zh-CN"/>
              </w:rPr>
              <w:t>CODcr</w:t>
            </w:r>
          </w:p>
        </w:tc>
        <w:tc>
          <w:tcPr>
            <w:tcW w:w="750" w:type="dxa"/>
            <w:vMerge w:val="restart"/>
            <w:tcBorders>
              <w:tl2br w:val="nil"/>
              <w:tr2bl w:val="nil"/>
            </w:tcBorders>
            <w:noWrap w:val="0"/>
            <w:vAlign w:val="center"/>
          </w:tcPr>
          <w:p w14:paraId="0DD775FC">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sz w:val="21"/>
                <w:szCs w:val="21"/>
                <w:highlight w:val="none"/>
                <w:lang w:val="zh-CN" w:eastAsia="zh-CN"/>
              </w:rPr>
            </w:pPr>
            <w:r>
              <w:rPr>
                <w:rFonts w:hint="eastAsia" w:ascii="Times New Roman" w:hAnsi="Times New Roman" w:eastAsia="宋体" w:cs="Times New Roman"/>
                <w:snapToGrid w:val="0"/>
                <w:color w:val="auto"/>
                <w:sz w:val="21"/>
                <w:szCs w:val="21"/>
                <w:highlight w:val="none"/>
                <w:lang w:val="en-US" w:eastAsia="zh-CN"/>
              </w:rPr>
              <w:t>类比法</w:t>
            </w:r>
          </w:p>
        </w:tc>
        <w:tc>
          <w:tcPr>
            <w:tcW w:w="1032" w:type="dxa"/>
            <w:vMerge w:val="restart"/>
            <w:tcBorders>
              <w:tl2br w:val="nil"/>
              <w:tr2bl w:val="nil"/>
            </w:tcBorders>
            <w:noWrap w:val="0"/>
            <w:vAlign w:val="center"/>
          </w:tcPr>
          <w:p w14:paraId="46737E5E">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sz w:val="21"/>
                <w:szCs w:val="21"/>
                <w:highlight w:val="none"/>
                <w:lang w:val="en-US" w:eastAsia="zh-CN"/>
              </w:rPr>
            </w:pPr>
            <w:r>
              <w:rPr>
                <w:rFonts w:hint="eastAsia"/>
                <w:snapToGrid w:val="0"/>
                <w:color w:val="auto"/>
                <w:szCs w:val="21"/>
                <w:highlight w:val="none"/>
                <w:lang w:val="en-US" w:eastAsia="zh-CN"/>
              </w:rPr>
              <w:t>192</w:t>
            </w:r>
          </w:p>
        </w:tc>
        <w:tc>
          <w:tcPr>
            <w:tcW w:w="1288" w:type="dxa"/>
            <w:tcBorders>
              <w:tl2br w:val="nil"/>
              <w:tr2bl w:val="nil"/>
            </w:tcBorders>
            <w:noWrap w:val="0"/>
            <w:vAlign w:val="center"/>
          </w:tcPr>
          <w:p w14:paraId="6524A1B2">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350</w:t>
            </w:r>
          </w:p>
        </w:tc>
        <w:tc>
          <w:tcPr>
            <w:tcW w:w="1254" w:type="dxa"/>
            <w:tcBorders>
              <w:tl2br w:val="nil"/>
              <w:tr2bl w:val="nil"/>
            </w:tcBorders>
            <w:noWrap w:val="0"/>
            <w:vAlign w:val="center"/>
          </w:tcPr>
          <w:p w14:paraId="19BBAA69">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0.067</w:t>
            </w:r>
          </w:p>
        </w:tc>
        <w:tc>
          <w:tcPr>
            <w:tcW w:w="1399" w:type="dxa"/>
            <w:vMerge w:val="restart"/>
            <w:tcBorders>
              <w:tl2br w:val="nil"/>
              <w:tr2bl w:val="nil"/>
            </w:tcBorders>
            <w:noWrap w:val="0"/>
            <w:vAlign w:val="center"/>
          </w:tcPr>
          <w:p w14:paraId="179F1158">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sz w:val="21"/>
                <w:szCs w:val="21"/>
                <w:highlight w:val="none"/>
                <w:lang w:val="zh-CN" w:eastAsia="zh-CN"/>
              </w:rPr>
            </w:pPr>
            <w:r>
              <w:rPr>
                <w:rFonts w:hint="eastAsia" w:ascii="Times New Roman" w:hAnsi="Times New Roman" w:eastAsia="宋体" w:cs="Times New Roman"/>
                <w:snapToGrid w:val="0"/>
                <w:color w:val="auto"/>
                <w:sz w:val="21"/>
                <w:szCs w:val="21"/>
                <w:highlight w:val="none"/>
                <w:lang w:val="zh-CN" w:eastAsia="zh-CN"/>
              </w:rPr>
              <w:t>排入防渗旱厕，定期外运</w:t>
            </w:r>
            <w:r>
              <w:rPr>
                <w:rFonts w:hint="eastAsia" w:ascii="Times New Roman" w:hAnsi="Times New Roman" w:eastAsia="宋体" w:cs="Times New Roman"/>
                <w:snapToGrid w:val="0"/>
                <w:color w:val="auto"/>
                <w:sz w:val="21"/>
                <w:szCs w:val="21"/>
                <w:highlight w:val="none"/>
                <w:lang w:val="en-US" w:eastAsia="zh-CN"/>
              </w:rPr>
              <w:t>堆肥</w:t>
            </w:r>
          </w:p>
        </w:tc>
        <w:tc>
          <w:tcPr>
            <w:tcW w:w="1080" w:type="dxa"/>
            <w:vMerge w:val="restart"/>
            <w:tcBorders>
              <w:tl2br w:val="nil"/>
              <w:tr2bl w:val="nil"/>
            </w:tcBorders>
            <w:noWrap w:val="0"/>
            <w:vAlign w:val="center"/>
          </w:tcPr>
          <w:p w14:paraId="626E0705">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w:t>
            </w:r>
          </w:p>
        </w:tc>
        <w:tc>
          <w:tcPr>
            <w:tcW w:w="795" w:type="dxa"/>
            <w:vMerge w:val="restart"/>
            <w:tcBorders>
              <w:tl2br w:val="nil"/>
              <w:tr2bl w:val="nil"/>
            </w:tcBorders>
            <w:noWrap w:val="0"/>
            <w:vAlign w:val="center"/>
          </w:tcPr>
          <w:p w14:paraId="5940A8FC">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sz w:val="21"/>
                <w:szCs w:val="21"/>
                <w:highlight w:val="none"/>
                <w:lang w:val="zh-CN" w:eastAsia="zh-CN"/>
              </w:rPr>
            </w:pPr>
            <w:r>
              <w:rPr>
                <w:rFonts w:hint="eastAsia" w:ascii="Times New Roman" w:hAnsi="Times New Roman" w:eastAsia="宋体" w:cs="Times New Roman"/>
                <w:snapToGrid w:val="0"/>
                <w:color w:val="auto"/>
                <w:sz w:val="21"/>
                <w:szCs w:val="21"/>
                <w:highlight w:val="none"/>
                <w:lang w:val="en-US" w:eastAsia="zh-CN"/>
              </w:rPr>
              <w:t>类比法</w:t>
            </w:r>
          </w:p>
        </w:tc>
        <w:tc>
          <w:tcPr>
            <w:tcW w:w="1005" w:type="dxa"/>
            <w:vMerge w:val="restart"/>
            <w:tcBorders>
              <w:tl2br w:val="nil"/>
              <w:tr2bl w:val="nil"/>
            </w:tcBorders>
            <w:noWrap w:val="0"/>
            <w:vAlign w:val="center"/>
          </w:tcPr>
          <w:p w14:paraId="75AAFA32">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sz w:val="21"/>
                <w:szCs w:val="21"/>
                <w:highlight w:val="none"/>
                <w:lang w:val="zh-CN" w:eastAsia="zh-CN"/>
              </w:rPr>
            </w:pPr>
            <w:r>
              <w:rPr>
                <w:rFonts w:hint="eastAsia" w:ascii="Times New Roman" w:hAnsi="Times New Roman" w:eastAsia="宋体" w:cs="Times New Roman"/>
                <w:snapToGrid w:val="0"/>
                <w:color w:val="auto"/>
                <w:sz w:val="21"/>
                <w:szCs w:val="21"/>
                <w:highlight w:val="none"/>
                <w:lang w:val="en-US" w:eastAsia="zh-CN"/>
              </w:rPr>
              <w:t>0</w:t>
            </w:r>
          </w:p>
        </w:tc>
        <w:tc>
          <w:tcPr>
            <w:tcW w:w="1260" w:type="dxa"/>
            <w:vMerge w:val="restart"/>
            <w:tcBorders>
              <w:tl2br w:val="nil"/>
              <w:tr2bl w:val="nil"/>
            </w:tcBorders>
            <w:noWrap w:val="0"/>
            <w:vAlign w:val="center"/>
          </w:tcPr>
          <w:p w14:paraId="627C2576">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0</w:t>
            </w:r>
          </w:p>
        </w:tc>
        <w:tc>
          <w:tcPr>
            <w:tcW w:w="1260" w:type="dxa"/>
            <w:vMerge w:val="restart"/>
            <w:tcBorders>
              <w:tl2br w:val="nil"/>
              <w:tr2bl w:val="nil"/>
            </w:tcBorders>
            <w:noWrap w:val="0"/>
            <w:vAlign w:val="center"/>
          </w:tcPr>
          <w:p w14:paraId="7133EFEB">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sz w:val="21"/>
                <w:szCs w:val="21"/>
                <w:highlight w:val="none"/>
                <w:lang w:val="en-US" w:eastAsia="zh-CN"/>
              </w:rPr>
            </w:pPr>
            <w:r>
              <w:rPr>
                <w:rFonts w:hint="eastAsia" w:ascii="Times New Roman" w:hAnsi="Times New Roman" w:eastAsia="宋体" w:cs="Times New Roman"/>
                <w:snapToGrid w:val="0"/>
                <w:color w:val="auto"/>
                <w:sz w:val="21"/>
                <w:szCs w:val="21"/>
                <w:highlight w:val="none"/>
                <w:lang w:val="en-US" w:eastAsia="zh-CN"/>
              </w:rPr>
              <w:t>0</w:t>
            </w:r>
          </w:p>
        </w:tc>
      </w:tr>
      <w:tr w14:paraId="5813B3E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8" w:type="dxa"/>
            <w:vMerge w:val="continue"/>
            <w:tcBorders>
              <w:tl2br w:val="nil"/>
              <w:tr2bl w:val="nil"/>
            </w:tcBorders>
            <w:noWrap w:val="0"/>
            <w:vAlign w:val="center"/>
          </w:tcPr>
          <w:p w14:paraId="6AC7FB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left"/>
              <w:textAlignment w:val="auto"/>
              <w:rPr>
                <w:rFonts w:ascii="Times New Roman" w:eastAsia="宋体"/>
                <w:snapToGrid w:val="0"/>
                <w:color w:val="auto"/>
                <w:kern w:val="0"/>
                <w:sz w:val="21"/>
                <w:szCs w:val="21"/>
                <w:highlight w:val="none"/>
              </w:rPr>
            </w:pPr>
          </w:p>
        </w:tc>
        <w:tc>
          <w:tcPr>
            <w:tcW w:w="762" w:type="dxa"/>
            <w:vMerge w:val="continue"/>
            <w:tcBorders>
              <w:tl2br w:val="nil"/>
              <w:tr2bl w:val="nil"/>
            </w:tcBorders>
            <w:noWrap w:val="0"/>
            <w:vAlign w:val="center"/>
          </w:tcPr>
          <w:p w14:paraId="7814C00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left"/>
              <w:textAlignment w:val="auto"/>
              <w:rPr>
                <w:rFonts w:ascii="Times New Roman" w:eastAsia="宋体"/>
                <w:snapToGrid w:val="0"/>
                <w:color w:val="auto"/>
                <w:kern w:val="0"/>
                <w:sz w:val="21"/>
                <w:szCs w:val="21"/>
                <w:highlight w:val="none"/>
              </w:rPr>
            </w:pPr>
          </w:p>
        </w:tc>
        <w:tc>
          <w:tcPr>
            <w:tcW w:w="738" w:type="dxa"/>
            <w:vMerge w:val="continue"/>
            <w:tcBorders>
              <w:tl2br w:val="nil"/>
              <w:tr2bl w:val="nil"/>
            </w:tcBorders>
            <w:noWrap w:val="0"/>
            <w:vAlign w:val="center"/>
          </w:tcPr>
          <w:p w14:paraId="24E263E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left"/>
              <w:textAlignment w:val="auto"/>
              <w:rPr>
                <w:rFonts w:ascii="Times New Roman" w:eastAsia="宋体"/>
                <w:snapToGrid w:val="0"/>
                <w:color w:val="auto"/>
                <w:kern w:val="0"/>
                <w:sz w:val="21"/>
                <w:szCs w:val="21"/>
                <w:highlight w:val="none"/>
              </w:rPr>
            </w:pPr>
          </w:p>
        </w:tc>
        <w:tc>
          <w:tcPr>
            <w:tcW w:w="1350" w:type="dxa"/>
            <w:tcBorders>
              <w:tl2br w:val="nil"/>
              <w:tr2bl w:val="nil"/>
            </w:tcBorders>
            <w:noWrap w:val="0"/>
            <w:vAlign w:val="center"/>
          </w:tcPr>
          <w:p w14:paraId="08647EFE">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highlight w:val="none"/>
              </w:rPr>
            </w:pPr>
            <w:r>
              <w:rPr>
                <w:rFonts w:ascii="Times New Roman" w:eastAsia="宋体"/>
                <w:snapToGrid w:val="0"/>
                <w:color w:val="auto"/>
                <w:sz w:val="21"/>
                <w:highlight w:val="none"/>
              </w:rPr>
              <w:t>氨氮</w:t>
            </w:r>
          </w:p>
        </w:tc>
        <w:tc>
          <w:tcPr>
            <w:tcW w:w="750" w:type="dxa"/>
            <w:vMerge w:val="continue"/>
            <w:tcBorders>
              <w:tl2br w:val="nil"/>
              <w:tr2bl w:val="nil"/>
            </w:tcBorders>
            <w:noWrap w:val="0"/>
            <w:vAlign w:val="center"/>
          </w:tcPr>
          <w:p w14:paraId="1B81748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32" w:type="dxa"/>
            <w:vMerge w:val="continue"/>
            <w:tcBorders>
              <w:tl2br w:val="nil"/>
              <w:tr2bl w:val="nil"/>
            </w:tcBorders>
            <w:noWrap w:val="0"/>
            <w:vAlign w:val="center"/>
          </w:tcPr>
          <w:p w14:paraId="5F05973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lang w:val="zh-CN"/>
              </w:rPr>
            </w:pPr>
          </w:p>
        </w:tc>
        <w:tc>
          <w:tcPr>
            <w:tcW w:w="1288" w:type="dxa"/>
            <w:tcBorders>
              <w:tl2br w:val="nil"/>
              <w:tr2bl w:val="nil"/>
            </w:tcBorders>
            <w:noWrap w:val="0"/>
            <w:vAlign w:val="center"/>
          </w:tcPr>
          <w:p w14:paraId="51B8D4A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kern w:val="0"/>
                <w:sz w:val="21"/>
                <w:szCs w:val="21"/>
                <w:highlight w:val="none"/>
              </w:rPr>
            </w:pPr>
            <w:r>
              <w:rPr>
                <w:rFonts w:ascii="Times New Roman" w:eastAsia="宋体"/>
                <w:snapToGrid w:val="0"/>
                <w:color w:val="auto"/>
                <w:kern w:val="0"/>
                <w:sz w:val="21"/>
                <w:szCs w:val="21"/>
                <w:highlight w:val="none"/>
              </w:rPr>
              <w:t>30</w:t>
            </w:r>
          </w:p>
        </w:tc>
        <w:tc>
          <w:tcPr>
            <w:tcW w:w="1254" w:type="dxa"/>
            <w:tcBorders>
              <w:tl2br w:val="nil"/>
              <w:tr2bl w:val="nil"/>
            </w:tcBorders>
            <w:noWrap w:val="0"/>
            <w:vAlign w:val="center"/>
          </w:tcPr>
          <w:p w14:paraId="331BD46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eastAsia="宋体"/>
                <w:snapToGrid w:val="0"/>
                <w:color w:val="auto"/>
                <w:kern w:val="0"/>
                <w:sz w:val="21"/>
                <w:szCs w:val="21"/>
                <w:highlight w:val="none"/>
                <w:lang w:val="en-US" w:eastAsia="zh-CN"/>
              </w:rPr>
            </w:pPr>
            <w:r>
              <w:rPr>
                <w:rFonts w:hint="eastAsia" w:ascii="Times New Roman" w:eastAsia="宋体"/>
                <w:snapToGrid w:val="0"/>
                <w:color w:val="auto"/>
                <w:kern w:val="0"/>
                <w:sz w:val="21"/>
                <w:szCs w:val="21"/>
                <w:highlight w:val="none"/>
                <w:lang w:val="en-US" w:eastAsia="zh-CN"/>
              </w:rPr>
              <w:t>0.006</w:t>
            </w:r>
          </w:p>
        </w:tc>
        <w:tc>
          <w:tcPr>
            <w:tcW w:w="1399" w:type="dxa"/>
            <w:vMerge w:val="continue"/>
            <w:tcBorders>
              <w:tl2br w:val="nil"/>
              <w:tr2bl w:val="nil"/>
            </w:tcBorders>
            <w:noWrap w:val="0"/>
            <w:vAlign w:val="center"/>
          </w:tcPr>
          <w:p w14:paraId="693B028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80" w:type="dxa"/>
            <w:vMerge w:val="continue"/>
            <w:tcBorders>
              <w:tl2br w:val="nil"/>
              <w:tr2bl w:val="nil"/>
            </w:tcBorders>
            <w:noWrap w:val="0"/>
            <w:vAlign w:val="center"/>
          </w:tcPr>
          <w:p w14:paraId="2D3294D6">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ascii="Times New Roman" w:eastAsia="宋体"/>
                <w:snapToGrid w:val="0"/>
                <w:color w:val="auto"/>
                <w:sz w:val="21"/>
                <w:highlight w:val="none"/>
              </w:rPr>
            </w:pPr>
          </w:p>
        </w:tc>
        <w:tc>
          <w:tcPr>
            <w:tcW w:w="795" w:type="dxa"/>
            <w:vMerge w:val="continue"/>
            <w:tcBorders>
              <w:tl2br w:val="nil"/>
              <w:tr2bl w:val="nil"/>
            </w:tcBorders>
            <w:noWrap w:val="0"/>
            <w:vAlign w:val="center"/>
          </w:tcPr>
          <w:p w14:paraId="0607258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005" w:type="dxa"/>
            <w:vMerge w:val="continue"/>
            <w:tcBorders>
              <w:tl2br w:val="nil"/>
              <w:tr2bl w:val="nil"/>
            </w:tcBorders>
            <w:noWrap w:val="0"/>
            <w:vAlign w:val="center"/>
          </w:tcPr>
          <w:p w14:paraId="31D36D7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ascii="Times New Roman" w:eastAsia="宋体"/>
                <w:snapToGrid w:val="0"/>
                <w:color w:val="auto"/>
                <w:sz w:val="21"/>
                <w:szCs w:val="21"/>
                <w:highlight w:val="none"/>
                <w:lang w:val="zh-CN"/>
              </w:rPr>
            </w:pPr>
          </w:p>
        </w:tc>
        <w:tc>
          <w:tcPr>
            <w:tcW w:w="1260" w:type="dxa"/>
            <w:vMerge w:val="continue"/>
            <w:tcBorders>
              <w:tl2br w:val="nil"/>
              <w:tr2bl w:val="nil"/>
            </w:tcBorders>
            <w:noWrap w:val="0"/>
            <w:vAlign w:val="center"/>
          </w:tcPr>
          <w:p w14:paraId="06DD0C70">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ascii="Times New Roman" w:eastAsia="宋体"/>
                <w:snapToGrid w:val="0"/>
                <w:color w:val="auto"/>
                <w:kern w:val="0"/>
                <w:sz w:val="21"/>
                <w:highlight w:val="none"/>
              </w:rPr>
            </w:pPr>
          </w:p>
        </w:tc>
        <w:tc>
          <w:tcPr>
            <w:tcW w:w="1260" w:type="dxa"/>
            <w:vMerge w:val="continue"/>
            <w:tcBorders>
              <w:tl2br w:val="nil"/>
              <w:tr2bl w:val="nil"/>
            </w:tcBorders>
            <w:noWrap w:val="0"/>
            <w:vAlign w:val="center"/>
          </w:tcPr>
          <w:p w14:paraId="03BBB488">
            <w:pPr>
              <w:pStyle w:val="1080"/>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ascii="Times New Roman" w:eastAsia="宋体"/>
                <w:snapToGrid w:val="0"/>
                <w:color w:val="auto"/>
                <w:kern w:val="0"/>
                <w:sz w:val="21"/>
                <w:highlight w:val="none"/>
              </w:rPr>
            </w:pPr>
          </w:p>
        </w:tc>
      </w:tr>
    </w:tbl>
    <w:p w14:paraId="0321F20E">
      <w:pPr>
        <w:pStyle w:val="2"/>
        <w:rPr>
          <w:rFonts w:hint="eastAsia"/>
          <w:color w:val="auto"/>
          <w:highlight w:val="none"/>
        </w:rPr>
        <w:sectPr>
          <w:pgSz w:w="16838" w:h="11906" w:orient="landscape"/>
          <w:pgMar w:top="1797" w:right="1440" w:bottom="1797" w:left="1440" w:header="992" w:footer="992" w:gutter="0"/>
          <w:pgBorders>
            <w:top w:val="none" w:sz="0" w:space="0"/>
            <w:left w:val="none" w:sz="0" w:space="0"/>
            <w:bottom w:val="none" w:sz="0" w:space="0"/>
            <w:right w:val="none" w:sz="0" w:space="0"/>
          </w:pgBorders>
          <w:pgNumType w:fmt="numberInDash"/>
          <w:cols w:space="720" w:num="1"/>
          <w:docGrid w:type="lines" w:linePitch="312" w:charSpace="0"/>
        </w:sectPr>
      </w:pPr>
    </w:p>
    <w:p w14:paraId="5D389E47">
      <w:pPr>
        <w:pStyle w:val="217"/>
        <w:ind w:firstLine="480"/>
        <w:jc w:val="center"/>
        <w:rPr>
          <w:rFonts w:hint="eastAsia" w:ascii="Times New Roman"/>
          <w:b/>
          <w:bCs w:val="0"/>
          <w:color w:val="auto"/>
          <w:sz w:val="24"/>
          <w:szCs w:val="24"/>
          <w:highlight w:val="none"/>
          <w:lang w:bidi="ar"/>
        </w:rPr>
      </w:pPr>
      <w:r>
        <w:rPr>
          <w:rFonts w:ascii="Times New Roman"/>
          <w:b/>
          <w:bCs w:val="0"/>
          <w:color w:val="auto"/>
          <w:sz w:val="24"/>
          <w:szCs w:val="24"/>
          <w:highlight w:val="none"/>
        </w:rPr>
        <w:t>表3</w:t>
      </w:r>
      <w:r>
        <w:rPr>
          <w:rFonts w:hint="eastAsia"/>
          <w:b/>
          <w:bCs w:val="0"/>
          <w:color w:val="auto"/>
          <w:sz w:val="24"/>
          <w:szCs w:val="24"/>
          <w:highlight w:val="none"/>
          <w:lang w:val="en-US" w:eastAsia="zh-CN"/>
        </w:rPr>
        <w:t>.</w:t>
      </w:r>
      <w:r>
        <w:rPr>
          <w:rFonts w:hint="eastAsia" w:ascii="Times New Roman"/>
          <w:b/>
          <w:bCs w:val="0"/>
          <w:color w:val="auto"/>
          <w:sz w:val="24"/>
          <w:szCs w:val="24"/>
          <w:highlight w:val="none"/>
        </w:rPr>
        <w:t>3</w:t>
      </w:r>
      <w:r>
        <w:rPr>
          <w:rFonts w:ascii="Times New Roman"/>
          <w:b/>
          <w:bCs w:val="0"/>
          <w:color w:val="auto"/>
          <w:sz w:val="24"/>
          <w:szCs w:val="24"/>
          <w:highlight w:val="none"/>
        </w:rPr>
        <w:t>-</w:t>
      </w:r>
      <w:r>
        <w:rPr>
          <w:rFonts w:hint="eastAsia"/>
          <w:b/>
          <w:bCs w:val="0"/>
          <w:color w:val="auto"/>
          <w:sz w:val="24"/>
          <w:szCs w:val="24"/>
          <w:highlight w:val="none"/>
          <w:lang w:val="en-US" w:eastAsia="zh-CN"/>
        </w:rPr>
        <w:t xml:space="preserve">7  </w:t>
      </w:r>
      <w:r>
        <w:rPr>
          <w:rFonts w:hint="eastAsia" w:ascii="Times New Roman"/>
          <w:b/>
          <w:bCs w:val="0"/>
          <w:color w:val="auto"/>
          <w:sz w:val="24"/>
          <w:szCs w:val="24"/>
          <w:highlight w:val="none"/>
          <w:lang w:bidi="ar"/>
        </w:rPr>
        <w:t>噪声源强调查清单（室外声</w:t>
      </w:r>
      <w:r>
        <w:rPr>
          <w:rFonts w:hint="eastAsia" w:ascii="Times New Roman"/>
          <w:b/>
          <w:bCs w:val="0"/>
          <w:color w:val="auto"/>
          <w:sz w:val="24"/>
          <w:szCs w:val="24"/>
          <w:highlight w:val="none"/>
          <w:lang w:val="en-US" w:eastAsia="zh-CN" w:bidi="ar"/>
        </w:rPr>
        <w:t>源</w:t>
      </w:r>
      <w:r>
        <w:rPr>
          <w:rFonts w:hint="eastAsia" w:ascii="Times New Roman"/>
          <w:b/>
          <w:bCs w:val="0"/>
          <w:color w:val="auto"/>
          <w:sz w:val="24"/>
          <w:szCs w:val="24"/>
          <w:highlight w:val="none"/>
          <w:lang w:bidi="ar"/>
        </w:rPr>
        <w:t>）</w:t>
      </w:r>
    </w:p>
    <w:tbl>
      <w:tblPr>
        <w:tblStyle w:val="84"/>
        <w:tblW w:w="4986" w:type="pct"/>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53"/>
        <w:gridCol w:w="1512"/>
        <w:gridCol w:w="2409"/>
        <w:gridCol w:w="712"/>
        <w:gridCol w:w="816"/>
        <w:gridCol w:w="682"/>
        <w:gridCol w:w="2255"/>
        <w:gridCol w:w="1686"/>
        <w:gridCol w:w="2354"/>
        <w:gridCol w:w="1156"/>
      </w:tblGrid>
      <w:tr w14:paraId="5BED4DA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0" w:hRule="exact"/>
        </w:trPr>
        <w:tc>
          <w:tcPr>
            <w:tcW w:w="195" w:type="pct"/>
            <w:vMerge w:val="restart"/>
            <w:tcBorders>
              <w:tl2br w:val="nil"/>
              <w:tr2bl w:val="nil"/>
            </w:tcBorders>
            <w:noWrap w:val="0"/>
            <w:vAlign w:val="center"/>
          </w:tcPr>
          <w:p w14:paraId="24DC00E2">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bookmarkStart w:id="396" w:name="PT_5"/>
            <w:r>
              <w:rPr>
                <w:rFonts w:ascii="Times New Roman" w:hAnsi="Times New Roman" w:eastAsia="宋体" w:cs="Times New Roman"/>
                <w:b w:val="0"/>
                <w:bCs/>
                <w:color w:val="auto"/>
                <w:kern w:val="0"/>
                <w:sz w:val="21"/>
                <w:szCs w:val="21"/>
                <w:highlight w:val="none"/>
                <w:lang w:eastAsia="en-US"/>
              </w:rPr>
              <w:t>序号</w:t>
            </w:r>
          </w:p>
        </w:tc>
        <w:tc>
          <w:tcPr>
            <w:tcW w:w="534" w:type="pct"/>
            <w:vMerge w:val="restart"/>
            <w:tcBorders>
              <w:tl2br w:val="nil"/>
              <w:tr2bl w:val="nil"/>
            </w:tcBorders>
            <w:noWrap w:val="0"/>
            <w:vAlign w:val="center"/>
          </w:tcPr>
          <w:p w14:paraId="50F75BF6">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r>
              <w:rPr>
                <w:rFonts w:ascii="Times New Roman" w:hAnsi="Times New Roman" w:eastAsia="宋体" w:cs="Times New Roman"/>
                <w:b w:val="0"/>
                <w:bCs/>
                <w:color w:val="auto"/>
                <w:kern w:val="0"/>
                <w:sz w:val="21"/>
                <w:szCs w:val="21"/>
                <w:highlight w:val="none"/>
                <w:lang w:eastAsia="en-US"/>
              </w:rPr>
              <w:t>声源名称</w:t>
            </w:r>
          </w:p>
        </w:tc>
        <w:tc>
          <w:tcPr>
            <w:tcW w:w="852" w:type="pct"/>
            <w:vMerge w:val="restart"/>
            <w:tcBorders>
              <w:tl2br w:val="nil"/>
              <w:tr2bl w:val="nil"/>
            </w:tcBorders>
            <w:noWrap w:val="0"/>
            <w:vAlign w:val="center"/>
          </w:tcPr>
          <w:p w14:paraId="7E9A59B0">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r>
              <w:rPr>
                <w:rFonts w:ascii="Times New Roman" w:hAnsi="Times New Roman" w:eastAsia="宋体" w:cs="Times New Roman"/>
                <w:b w:val="0"/>
                <w:bCs/>
                <w:color w:val="auto"/>
                <w:kern w:val="0"/>
                <w:sz w:val="21"/>
                <w:szCs w:val="21"/>
                <w:highlight w:val="none"/>
                <w:lang w:eastAsia="en-US"/>
              </w:rPr>
              <w:t>型号</w:t>
            </w:r>
          </w:p>
        </w:tc>
        <w:tc>
          <w:tcPr>
            <w:tcW w:w="781" w:type="pct"/>
            <w:gridSpan w:val="3"/>
            <w:tcBorders>
              <w:tl2br w:val="nil"/>
              <w:tr2bl w:val="nil"/>
            </w:tcBorders>
            <w:noWrap w:val="0"/>
            <w:vAlign w:val="center"/>
          </w:tcPr>
          <w:p w14:paraId="27A5BE51">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r>
              <w:rPr>
                <w:rFonts w:ascii="Times New Roman" w:hAnsi="Times New Roman" w:eastAsia="宋体" w:cs="Times New Roman"/>
                <w:b w:val="0"/>
                <w:bCs/>
                <w:color w:val="auto"/>
                <w:kern w:val="0"/>
                <w:sz w:val="21"/>
                <w:szCs w:val="21"/>
                <w:highlight w:val="none"/>
                <w:lang w:eastAsia="en-US"/>
              </w:rPr>
              <w:t>空间相对位置/m</w:t>
            </w:r>
          </w:p>
        </w:tc>
        <w:tc>
          <w:tcPr>
            <w:tcW w:w="1394" w:type="pct"/>
            <w:gridSpan w:val="2"/>
            <w:tcBorders>
              <w:tl2br w:val="nil"/>
              <w:tr2bl w:val="nil"/>
            </w:tcBorders>
            <w:noWrap w:val="0"/>
            <w:vAlign w:val="center"/>
          </w:tcPr>
          <w:p w14:paraId="132CF0FC">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zh-CN"/>
              </w:rPr>
            </w:pPr>
            <w:r>
              <w:rPr>
                <w:rFonts w:ascii="Times New Roman" w:hAnsi="Times New Roman" w:eastAsia="宋体" w:cs="Times New Roman"/>
                <w:b w:val="0"/>
                <w:bCs/>
                <w:color w:val="auto"/>
                <w:kern w:val="0"/>
                <w:sz w:val="21"/>
                <w:szCs w:val="21"/>
                <w:highlight w:val="none"/>
                <w:lang w:eastAsia="zh-CN"/>
              </w:rPr>
              <w:t>声源源强</w:t>
            </w:r>
          </w:p>
        </w:tc>
        <w:tc>
          <w:tcPr>
            <w:tcW w:w="832" w:type="pct"/>
            <w:vMerge w:val="restart"/>
            <w:tcBorders>
              <w:tl2br w:val="nil"/>
              <w:tr2bl w:val="nil"/>
            </w:tcBorders>
            <w:noWrap w:val="0"/>
            <w:vAlign w:val="center"/>
          </w:tcPr>
          <w:p w14:paraId="6BA9C0ED">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r>
              <w:rPr>
                <w:rFonts w:ascii="Times New Roman" w:hAnsi="Times New Roman" w:eastAsia="宋体" w:cs="Times New Roman"/>
                <w:b w:val="0"/>
                <w:bCs/>
                <w:color w:val="auto"/>
                <w:kern w:val="0"/>
                <w:sz w:val="21"/>
                <w:szCs w:val="21"/>
                <w:highlight w:val="none"/>
                <w:lang w:eastAsia="en-US"/>
              </w:rPr>
              <w:t>声源控制措施</w:t>
            </w:r>
          </w:p>
        </w:tc>
        <w:tc>
          <w:tcPr>
            <w:tcW w:w="408" w:type="pct"/>
            <w:vMerge w:val="restart"/>
            <w:tcBorders>
              <w:tl2br w:val="nil"/>
              <w:tr2bl w:val="nil"/>
            </w:tcBorders>
            <w:noWrap w:val="0"/>
            <w:vAlign w:val="center"/>
          </w:tcPr>
          <w:p w14:paraId="0115C888">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r>
              <w:rPr>
                <w:rFonts w:ascii="Times New Roman" w:hAnsi="Times New Roman" w:eastAsia="宋体" w:cs="Times New Roman"/>
                <w:b w:val="0"/>
                <w:bCs/>
                <w:color w:val="auto"/>
                <w:kern w:val="0"/>
                <w:sz w:val="21"/>
                <w:szCs w:val="21"/>
                <w:highlight w:val="none"/>
                <w:lang w:eastAsia="en-US"/>
              </w:rPr>
              <w:t>运行时段</w:t>
            </w:r>
          </w:p>
        </w:tc>
      </w:tr>
      <w:tr w14:paraId="6647663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40" w:hRule="atLeast"/>
        </w:trPr>
        <w:tc>
          <w:tcPr>
            <w:tcW w:w="195" w:type="pct"/>
            <w:vMerge w:val="continue"/>
            <w:tcBorders>
              <w:tl2br w:val="nil"/>
              <w:tr2bl w:val="nil"/>
            </w:tcBorders>
            <w:shd w:val="clear" w:color="auto" w:fill="FFFFFF"/>
            <w:noWrap w:val="0"/>
            <w:vAlign w:val="center"/>
          </w:tcPr>
          <w:p w14:paraId="1B1C2E01">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p>
        </w:tc>
        <w:tc>
          <w:tcPr>
            <w:tcW w:w="534" w:type="pct"/>
            <w:vMerge w:val="continue"/>
            <w:tcBorders>
              <w:tl2br w:val="nil"/>
              <w:tr2bl w:val="nil"/>
            </w:tcBorders>
            <w:shd w:val="clear" w:color="auto" w:fill="FFFFFF"/>
            <w:noWrap w:val="0"/>
            <w:vAlign w:val="center"/>
          </w:tcPr>
          <w:p w14:paraId="7AACC52A">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p>
        </w:tc>
        <w:tc>
          <w:tcPr>
            <w:tcW w:w="852" w:type="pct"/>
            <w:vMerge w:val="continue"/>
            <w:tcBorders>
              <w:tl2br w:val="nil"/>
              <w:tr2bl w:val="nil"/>
            </w:tcBorders>
            <w:shd w:val="clear" w:color="auto" w:fill="FFFFFF"/>
            <w:noWrap w:val="0"/>
            <w:vAlign w:val="center"/>
          </w:tcPr>
          <w:p w14:paraId="53DA5FBE">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p>
        </w:tc>
        <w:tc>
          <w:tcPr>
            <w:tcW w:w="251" w:type="pct"/>
            <w:tcBorders>
              <w:tl2br w:val="nil"/>
              <w:tr2bl w:val="nil"/>
            </w:tcBorders>
            <w:shd w:val="clear" w:color="auto" w:fill="FFFFFF"/>
            <w:noWrap w:val="0"/>
            <w:vAlign w:val="center"/>
          </w:tcPr>
          <w:p w14:paraId="73804C8B">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r>
              <w:rPr>
                <w:rFonts w:ascii="Times New Roman" w:hAnsi="Times New Roman" w:eastAsia="宋体" w:cs="Times New Roman"/>
                <w:b w:val="0"/>
                <w:bCs/>
                <w:color w:val="auto"/>
                <w:kern w:val="0"/>
                <w:sz w:val="21"/>
                <w:szCs w:val="21"/>
                <w:highlight w:val="none"/>
                <w:lang w:eastAsia="en-US"/>
              </w:rPr>
              <w:t>X</w:t>
            </w:r>
          </w:p>
        </w:tc>
        <w:tc>
          <w:tcPr>
            <w:tcW w:w="288" w:type="pct"/>
            <w:tcBorders>
              <w:tl2br w:val="nil"/>
              <w:tr2bl w:val="nil"/>
            </w:tcBorders>
            <w:shd w:val="clear" w:color="auto" w:fill="FFFFFF"/>
            <w:noWrap w:val="0"/>
            <w:vAlign w:val="center"/>
          </w:tcPr>
          <w:p w14:paraId="1DDE140B">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r>
              <w:rPr>
                <w:rFonts w:ascii="Times New Roman" w:hAnsi="Times New Roman" w:eastAsia="宋体" w:cs="Times New Roman"/>
                <w:b w:val="0"/>
                <w:bCs/>
                <w:color w:val="auto"/>
                <w:kern w:val="0"/>
                <w:sz w:val="21"/>
                <w:szCs w:val="21"/>
                <w:highlight w:val="none"/>
                <w:lang w:eastAsia="en-US"/>
              </w:rPr>
              <w:t>Y</w:t>
            </w:r>
          </w:p>
        </w:tc>
        <w:tc>
          <w:tcPr>
            <w:tcW w:w="241" w:type="pct"/>
            <w:tcBorders>
              <w:tl2br w:val="nil"/>
              <w:tr2bl w:val="nil"/>
            </w:tcBorders>
            <w:shd w:val="clear" w:color="auto" w:fill="FFFFFF"/>
            <w:noWrap w:val="0"/>
            <w:vAlign w:val="center"/>
          </w:tcPr>
          <w:p w14:paraId="5A22BCF4">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r>
              <w:rPr>
                <w:rFonts w:ascii="Times New Roman" w:hAnsi="Times New Roman" w:eastAsia="宋体" w:cs="Times New Roman"/>
                <w:b w:val="0"/>
                <w:bCs/>
                <w:color w:val="auto"/>
                <w:kern w:val="0"/>
                <w:sz w:val="21"/>
                <w:szCs w:val="21"/>
                <w:highlight w:val="none"/>
                <w:lang w:eastAsia="en-US"/>
              </w:rPr>
              <w:t>Z</w:t>
            </w:r>
          </w:p>
        </w:tc>
        <w:tc>
          <w:tcPr>
            <w:tcW w:w="797" w:type="pct"/>
            <w:tcBorders>
              <w:tl2br w:val="nil"/>
              <w:tr2bl w:val="nil"/>
            </w:tcBorders>
            <w:shd w:val="clear" w:color="auto" w:fill="FFFFFF"/>
            <w:noWrap w:val="0"/>
            <w:vAlign w:val="center"/>
          </w:tcPr>
          <w:p w14:paraId="1E8D00C1">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r>
              <w:rPr>
                <w:rFonts w:ascii="Times New Roman" w:hAnsi="Times New Roman" w:eastAsia="宋体" w:cs="Times New Roman"/>
                <w:color w:val="auto"/>
                <w:sz w:val="21"/>
                <w:szCs w:val="21"/>
                <w:highlight w:val="none"/>
              </w:rPr>
              <w:t>声压级/距声源距离）/（dB(A)/m）</w:t>
            </w:r>
          </w:p>
        </w:tc>
        <w:tc>
          <w:tcPr>
            <w:tcW w:w="596" w:type="pct"/>
            <w:tcBorders>
              <w:tl2br w:val="nil"/>
              <w:tr2bl w:val="nil"/>
            </w:tcBorders>
            <w:shd w:val="clear" w:color="auto" w:fill="FFFFFF"/>
            <w:noWrap w:val="0"/>
            <w:vAlign w:val="top"/>
          </w:tcPr>
          <w:p w14:paraId="7B53691F">
            <w:pPr>
              <w:pStyle w:val="1053"/>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ascii="Times New Roman" w:hAnsi="Times New Roman" w:eastAsia="宋体" w:cs="Times New Roman"/>
                <w:color w:val="auto"/>
                <w:sz w:val="21"/>
                <w:szCs w:val="21"/>
                <w:highlight w:val="none"/>
              </w:rPr>
            </w:pPr>
            <w:r>
              <w:rPr>
                <w:color w:val="auto"/>
                <w:spacing w:val="6"/>
                <w:sz w:val="21"/>
                <w:szCs w:val="21"/>
                <w:highlight w:val="none"/>
              </w:rPr>
              <w:t>声功率级</w:t>
            </w:r>
            <w:r>
              <w:rPr>
                <w:color w:val="auto"/>
                <w:sz w:val="21"/>
                <w:szCs w:val="21"/>
                <w:highlight w:val="none"/>
              </w:rPr>
              <w:t xml:space="preserve"> </w:t>
            </w:r>
            <w:r>
              <w:rPr>
                <w:rFonts w:ascii="Times New Roman" w:hAnsi="Times New Roman" w:eastAsia="Times New Roman" w:cs="Times New Roman"/>
                <w:color w:val="auto"/>
                <w:spacing w:val="6"/>
                <w:sz w:val="21"/>
                <w:szCs w:val="21"/>
                <w:highlight w:val="none"/>
              </w:rPr>
              <w:t>/</w:t>
            </w:r>
            <w:r>
              <w:rPr>
                <w:rFonts w:ascii="Times New Roman" w:hAnsi="Times New Roman" w:eastAsia="Times New Roman" w:cs="Times New Roman"/>
                <w:color w:val="auto"/>
                <w:sz w:val="21"/>
                <w:szCs w:val="21"/>
                <w:highlight w:val="none"/>
              </w:rPr>
              <w:t>dB</w:t>
            </w:r>
            <w:r>
              <w:rPr>
                <w:rFonts w:ascii="Times New Roman" w:hAnsi="Times New Roman" w:eastAsia="Times New Roman" w:cs="Times New Roman"/>
                <w:color w:val="auto"/>
                <w:spacing w:val="6"/>
                <w:sz w:val="21"/>
                <w:szCs w:val="21"/>
                <w:highlight w:val="none"/>
              </w:rPr>
              <w:t>(A)</w:t>
            </w:r>
          </w:p>
        </w:tc>
        <w:tc>
          <w:tcPr>
            <w:tcW w:w="832" w:type="pct"/>
            <w:vMerge w:val="continue"/>
            <w:tcBorders>
              <w:tl2br w:val="nil"/>
              <w:tr2bl w:val="nil"/>
            </w:tcBorders>
            <w:shd w:val="clear" w:color="auto" w:fill="FFFFFF"/>
            <w:noWrap w:val="0"/>
            <w:vAlign w:val="center"/>
          </w:tcPr>
          <w:p w14:paraId="4139E299">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p>
        </w:tc>
        <w:tc>
          <w:tcPr>
            <w:tcW w:w="408" w:type="pct"/>
            <w:vMerge w:val="continue"/>
            <w:tcBorders>
              <w:tl2br w:val="nil"/>
              <w:tr2bl w:val="nil"/>
            </w:tcBorders>
            <w:shd w:val="clear" w:color="auto" w:fill="FFFFFF"/>
            <w:noWrap w:val="0"/>
            <w:vAlign w:val="center"/>
          </w:tcPr>
          <w:p w14:paraId="732334A6">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p>
        </w:tc>
      </w:tr>
      <w:tr w14:paraId="6044AD8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195" w:type="pct"/>
            <w:tcBorders>
              <w:tl2br w:val="nil"/>
              <w:tr2bl w:val="nil"/>
            </w:tcBorders>
            <w:shd w:val="clear" w:color="auto" w:fill="FFFFFF"/>
            <w:noWrap w:val="0"/>
            <w:vAlign w:val="center"/>
          </w:tcPr>
          <w:p w14:paraId="7F6D6526">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ascii="Times New Roman" w:hAnsi="Times New Roman" w:eastAsia="宋体" w:cs="Times New Roman"/>
                <w:b w:val="0"/>
                <w:bCs/>
                <w:color w:val="auto"/>
                <w:kern w:val="0"/>
                <w:sz w:val="21"/>
                <w:szCs w:val="21"/>
                <w:highlight w:val="none"/>
                <w:lang w:eastAsia="en-US"/>
              </w:rPr>
            </w:pPr>
            <w:r>
              <w:rPr>
                <w:rFonts w:ascii="Times New Roman" w:hAnsi="Times New Roman" w:eastAsia="宋体" w:cs="Times New Roman"/>
                <w:b w:val="0"/>
                <w:bCs/>
                <w:color w:val="auto"/>
                <w:kern w:val="0"/>
                <w:sz w:val="21"/>
                <w:szCs w:val="21"/>
                <w:highlight w:val="none"/>
                <w:lang w:eastAsia="en-US"/>
              </w:rPr>
              <w:t>1</w:t>
            </w:r>
          </w:p>
        </w:tc>
        <w:tc>
          <w:tcPr>
            <w:tcW w:w="534" w:type="pct"/>
            <w:tcBorders>
              <w:tl2br w:val="nil"/>
              <w:tr2bl w:val="nil"/>
            </w:tcBorders>
            <w:shd w:val="clear" w:color="auto" w:fill="FFFFFF"/>
            <w:noWrap w:val="0"/>
            <w:vAlign w:val="center"/>
          </w:tcPr>
          <w:p w14:paraId="4695C063">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宋体"/>
                <w:color w:val="auto"/>
                <w:kern w:val="0"/>
                <w:sz w:val="21"/>
                <w:szCs w:val="21"/>
                <w:highlight w:val="none"/>
              </w:rPr>
              <w:t>推土机</w:t>
            </w:r>
          </w:p>
        </w:tc>
        <w:tc>
          <w:tcPr>
            <w:tcW w:w="852" w:type="pct"/>
            <w:tcBorders>
              <w:tl2br w:val="nil"/>
              <w:tr2bl w:val="nil"/>
            </w:tcBorders>
            <w:shd w:val="clear" w:color="auto" w:fill="FFFFFF"/>
            <w:noWrap w:val="0"/>
            <w:vAlign w:val="center"/>
          </w:tcPr>
          <w:p w14:paraId="1DB18C6E">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ascii="Times New Roman"/>
                <w:color w:val="auto"/>
                <w:sz w:val="21"/>
                <w:szCs w:val="24"/>
                <w:highlight w:val="none"/>
                <w:lang w:bidi="ar"/>
              </w:rPr>
              <w:t>59k</w:t>
            </w:r>
            <w:r>
              <w:rPr>
                <w:rFonts w:hint="eastAsia" w:ascii="Times New Roman"/>
                <w:color w:val="auto"/>
                <w:sz w:val="21"/>
                <w:szCs w:val="24"/>
                <w:highlight w:val="none"/>
                <w:lang w:val="en-US" w:eastAsia="zh-CN" w:bidi="ar"/>
              </w:rPr>
              <w:t>W</w:t>
            </w:r>
          </w:p>
        </w:tc>
        <w:tc>
          <w:tcPr>
            <w:tcW w:w="251" w:type="pct"/>
            <w:tcBorders>
              <w:tl2br w:val="nil"/>
              <w:tr2bl w:val="nil"/>
            </w:tcBorders>
            <w:shd w:val="clear" w:color="auto" w:fill="FFFFFF"/>
            <w:noWrap w:val="0"/>
            <w:vAlign w:val="center"/>
          </w:tcPr>
          <w:p w14:paraId="01C06D26">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288" w:type="pct"/>
            <w:tcBorders>
              <w:tl2br w:val="nil"/>
              <w:tr2bl w:val="nil"/>
            </w:tcBorders>
            <w:shd w:val="clear" w:color="auto" w:fill="FFFFFF"/>
            <w:noWrap w:val="0"/>
            <w:vAlign w:val="center"/>
          </w:tcPr>
          <w:p w14:paraId="5D2BE076">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241" w:type="pct"/>
            <w:tcBorders>
              <w:tl2br w:val="nil"/>
              <w:tr2bl w:val="nil"/>
            </w:tcBorders>
            <w:shd w:val="clear" w:color="auto" w:fill="FFFFFF"/>
            <w:noWrap w:val="0"/>
            <w:vAlign w:val="center"/>
          </w:tcPr>
          <w:p w14:paraId="2D61F018">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797" w:type="pct"/>
            <w:tcBorders>
              <w:tl2br w:val="nil"/>
              <w:tr2bl w:val="nil"/>
            </w:tcBorders>
            <w:shd w:val="clear" w:color="auto" w:fill="FFFFFF"/>
            <w:noWrap w:val="0"/>
            <w:vAlign w:val="center"/>
          </w:tcPr>
          <w:p w14:paraId="5749F3D9">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rPr>
              <w:t>8</w:t>
            </w:r>
            <w:r>
              <w:rPr>
                <w:rFonts w:hint="eastAsia" w:ascii="Times New Roman" w:hAnsi="Times New Roman" w:cs="Times New Roman"/>
                <w:color w:val="auto"/>
                <w:kern w:val="2"/>
                <w:sz w:val="21"/>
                <w:szCs w:val="21"/>
                <w:highlight w:val="none"/>
                <w:lang w:val="en-US" w:eastAsia="zh-CN"/>
              </w:rPr>
              <w:t>3/5m</w:t>
            </w:r>
          </w:p>
        </w:tc>
        <w:tc>
          <w:tcPr>
            <w:tcW w:w="596" w:type="pct"/>
            <w:tcBorders>
              <w:tl2br w:val="nil"/>
              <w:tr2bl w:val="nil"/>
            </w:tcBorders>
            <w:shd w:val="clear" w:color="auto" w:fill="FFFFFF"/>
            <w:noWrap w:val="0"/>
            <w:vAlign w:val="top"/>
          </w:tcPr>
          <w:p w14:paraId="34ED2E51">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leftChars="0" w:right="0" w:firstLine="0" w:firstLineChars="0"/>
              <w:jc w:val="center"/>
              <w:textAlignment w:val="baseline"/>
              <w:rPr>
                <w:rFonts w:hint="eastAsia" w:ascii="Times New Roman" w:hAnsi="Times New Roman" w:cs="Times New Roman"/>
                <w:color w:val="auto"/>
                <w:kern w:val="2"/>
                <w:sz w:val="21"/>
                <w:szCs w:val="21"/>
                <w:highlight w:val="none"/>
              </w:rPr>
            </w:pPr>
            <w:r>
              <w:rPr>
                <w:rFonts w:hint="eastAsia" w:ascii="Times New Roman" w:hAnsi="Times New Roman" w:cs="Times New Roman"/>
                <w:color w:val="auto"/>
                <w:sz w:val="21"/>
                <w:szCs w:val="21"/>
                <w:highlight w:val="none"/>
                <w:lang w:val="en-US" w:eastAsia="zh-CN"/>
              </w:rPr>
              <w:t>/</w:t>
            </w:r>
          </w:p>
        </w:tc>
        <w:tc>
          <w:tcPr>
            <w:tcW w:w="832" w:type="pct"/>
            <w:vMerge w:val="restart"/>
            <w:tcBorders>
              <w:tl2br w:val="nil"/>
              <w:tr2bl w:val="nil"/>
            </w:tcBorders>
            <w:shd w:val="clear" w:color="auto" w:fill="FFFFFF"/>
            <w:noWrap w:val="0"/>
            <w:vAlign w:val="center"/>
          </w:tcPr>
          <w:p w14:paraId="1040C9DA">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选用低噪声，加强车辆维护保养，作业面四周加装隔声隔尘挡板</w:t>
            </w:r>
          </w:p>
        </w:tc>
        <w:tc>
          <w:tcPr>
            <w:tcW w:w="408" w:type="pct"/>
            <w:tcBorders>
              <w:tl2br w:val="nil"/>
              <w:tr2bl w:val="nil"/>
            </w:tcBorders>
            <w:shd w:val="clear" w:color="auto" w:fill="FFFFFF"/>
            <w:noWrap w:val="0"/>
            <w:vAlign w:val="center"/>
          </w:tcPr>
          <w:p w14:paraId="44749425">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昼间</w:t>
            </w:r>
          </w:p>
        </w:tc>
      </w:tr>
      <w:tr w14:paraId="5DD20995">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195" w:type="pct"/>
            <w:tcBorders>
              <w:tl2br w:val="nil"/>
              <w:tr2bl w:val="nil"/>
            </w:tcBorders>
            <w:shd w:val="clear" w:color="auto" w:fill="FFFFFF"/>
            <w:noWrap w:val="0"/>
            <w:vAlign w:val="center"/>
          </w:tcPr>
          <w:p w14:paraId="017D37CF">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2</w:t>
            </w:r>
          </w:p>
        </w:tc>
        <w:tc>
          <w:tcPr>
            <w:tcW w:w="534" w:type="pct"/>
            <w:tcBorders>
              <w:tl2br w:val="nil"/>
              <w:tr2bl w:val="nil"/>
            </w:tcBorders>
            <w:shd w:val="clear" w:color="auto" w:fill="FFFFFF"/>
            <w:noWrap w:val="0"/>
            <w:vAlign w:val="center"/>
          </w:tcPr>
          <w:p w14:paraId="06255FEC">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宋体"/>
                <w:color w:val="auto"/>
                <w:kern w:val="0"/>
                <w:sz w:val="21"/>
                <w:szCs w:val="21"/>
                <w:highlight w:val="none"/>
              </w:rPr>
              <w:t>压实机</w:t>
            </w:r>
          </w:p>
        </w:tc>
        <w:tc>
          <w:tcPr>
            <w:tcW w:w="852" w:type="pct"/>
            <w:tcBorders>
              <w:tl2br w:val="nil"/>
              <w:tr2bl w:val="nil"/>
            </w:tcBorders>
            <w:shd w:val="clear" w:color="auto" w:fill="FFFFFF"/>
            <w:noWrap w:val="0"/>
            <w:vAlign w:val="center"/>
          </w:tcPr>
          <w:p w14:paraId="047253F2">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251" w:type="pct"/>
            <w:tcBorders>
              <w:tl2br w:val="nil"/>
              <w:tr2bl w:val="nil"/>
            </w:tcBorders>
            <w:shd w:val="clear" w:color="auto" w:fill="FFFFFF"/>
            <w:noWrap w:val="0"/>
            <w:vAlign w:val="center"/>
          </w:tcPr>
          <w:p w14:paraId="07091F88">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288" w:type="pct"/>
            <w:tcBorders>
              <w:tl2br w:val="nil"/>
              <w:tr2bl w:val="nil"/>
            </w:tcBorders>
            <w:shd w:val="clear" w:color="auto" w:fill="FFFFFF"/>
            <w:noWrap w:val="0"/>
            <w:vAlign w:val="center"/>
          </w:tcPr>
          <w:p w14:paraId="78BB52F6">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241" w:type="pct"/>
            <w:tcBorders>
              <w:tl2br w:val="nil"/>
              <w:tr2bl w:val="nil"/>
            </w:tcBorders>
            <w:shd w:val="clear" w:color="auto" w:fill="FFFFFF"/>
            <w:noWrap w:val="0"/>
            <w:vAlign w:val="center"/>
          </w:tcPr>
          <w:p w14:paraId="5824BAB3">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797" w:type="pct"/>
            <w:tcBorders>
              <w:tl2br w:val="nil"/>
              <w:tr2bl w:val="nil"/>
            </w:tcBorders>
            <w:shd w:val="clear" w:color="auto" w:fill="FFFFFF"/>
            <w:noWrap w:val="0"/>
            <w:vAlign w:val="center"/>
          </w:tcPr>
          <w:p w14:paraId="7867536A">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rPr>
              <w:t>8</w:t>
            </w:r>
            <w:r>
              <w:rPr>
                <w:rFonts w:hint="eastAsia" w:ascii="Times New Roman" w:hAnsi="Times New Roman" w:cs="Times New Roman"/>
                <w:color w:val="auto"/>
                <w:kern w:val="2"/>
                <w:sz w:val="21"/>
                <w:szCs w:val="21"/>
                <w:highlight w:val="none"/>
                <w:lang w:val="en-US" w:eastAsia="zh-CN"/>
              </w:rPr>
              <w:t>3/5m</w:t>
            </w:r>
          </w:p>
        </w:tc>
        <w:tc>
          <w:tcPr>
            <w:tcW w:w="596" w:type="pct"/>
            <w:tcBorders>
              <w:tl2br w:val="nil"/>
              <w:tr2bl w:val="nil"/>
            </w:tcBorders>
            <w:shd w:val="clear" w:color="auto" w:fill="FFFFFF"/>
            <w:noWrap w:val="0"/>
            <w:vAlign w:val="top"/>
          </w:tcPr>
          <w:p w14:paraId="791C4F8D">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leftChars="0" w:right="0" w:firstLine="0" w:firstLineChars="0"/>
              <w:jc w:val="center"/>
              <w:textAlignment w:val="baseline"/>
              <w:rPr>
                <w:rFonts w:hint="eastAsia" w:ascii="Times New Roman" w:hAnsi="Times New Roman" w:cs="Times New Roman"/>
                <w:color w:val="auto"/>
                <w:kern w:val="2"/>
                <w:sz w:val="21"/>
                <w:szCs w:val="21"/>
                <w:highlight w:val="none"/>
              </w:rPr>
            </w:pPr>
            <w:r>
              <w:rPr>
                <w:rFonts w:hint="eastAsia" w:ascii="Times New Roman" w:hAnsi="Times New Roman" w:cs="Times New Roman"/>
                <w:color w:val="auto"/>
                <w:sz w:val="21"/>
                <w:szCs w:val="21"/>
                <w:highlight w:val="none"/>
                <w:lang w:val="en-US" w:eastAsia="zh-CN"/>
              </w:rPr>
              <w:t>/</w:t>
            </w:r>
          </w:p>
        </w:tc>
        <w:tc>
          <w:tcPr>
            <w:tcW w:w="832" w:type="pct"/>
            <w:vMerge w:val="continue"/>
            <w:tcBorders>
              <w:tl2br w:val="nil"/>
              <w:tr2bl w:val="nil"/>
            </w:tcBorders>
            <w:shd w:val="clear" w:color="auto" w:fill="FFFFFF"/>
            <w:noWrap w:val="0"/>
            <w:vAlign w:val="center"/>
          </w:tcPr>
          <w:p w14:paraId="1BE5B02B">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bidi="ar-SA"/>
              </w:rPr>
            </w:pPr>
          </w:p>
        </w:tc>
        <w:tc>
          <w:tcPr>
            <w:tcW w:w="408" w:type="pct"/>
            <w:tcBorders>
              <w:tl2br w:val="nil"/>
              <w:tr2bl w:val="nil"/>
            </w:tcBorders>
            <w:shd w:val="clear" w:color="auto" w:fill="FFFFFF"/>
            <w:noWrap w:val="0"/>
            <w:vAlign w:val="center"/>
          </w:tcPr>
          <w:p w14:paraId="542CD804">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昼间</w:t>
            </w:r>
          </w:p>
        </w:tc>
      </w:tr>
      <w:tr w14:paraId="162E53B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195" w:type="pct"/>
            <w:tcBorders>
              <w:tl2br w:val="nil"/>
              <w:tr2bl w:val="nil"/>
            </w:tcBorders>
            <w:shd w:val="clear" w:color="auto" w:fill="FFFFFF"/>
            <w:noWrap w:val="0"/>
            <w:vAlign w:val="center"/>
          </w:tcPr>
          <w:p w14:paraId="30F8A265">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3</w:t>
            </w:r>
          </w:p>
        </w:tc>
        <w:tc>
          <w:tcPr>
            <w:tcW w:w="534" w:type="pct"/>
            <w:tcBorders>
              <w:tl2br w:val="nil"/>
              <w:tr2bl w:val="nil"/>
            </w:tcBorders>
            <w:shd w:val="clear" w:color="auto" w:fill="FFFFFF"/>
            <w:noWrap w:val="0"/>
            <w:vAlign w:val="center"/>
          </w:tcPr>
          <w:p w14:paraId="114819EC">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宋体"/>
                <w:color w:val="auto"/>
                <w:kern w:val="0"/>
                <w:sz w:val="21"/>
                <w:szCs w:val="21"/>
                <w:highlight w:val="none"/>
              </w:rPr>
              <w:t>洒水车</w:t>
            </w:r>
          </w:p>
        </w:tc>
        <w:tc>
          <w:tcPr>
            <w:tcW w:w="852" w:type="pct"/>
            <w:tcBorders>
              <w:tl2br w:val="nil"/>
              <w:tr2bl w:val="nil"/>
            </w:tcBorders>
            <w:shd w:val="clear" w:color="auto" w:fill="FFFFFF"/>
            <w:noWrap w:val="0"/>
            <w:vAlign w:val="center"/>
          </w:tcPr>
          <w:p w14:paraId="4143F9CD">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rPr>
            </w:pPr>
            <w:r>
              <w:rPr>
                <w:rFonts w:ascii="Times New Roman"/>
                <w:color w:val="auto"/>
                <w:sz w:val="21"/>
                <w:szCs w:val="24"/>
                <w:highlight w:val="none"/>
                <w:lang w:bidi="ar"/>
              </w:rPr>
              <w:t>4800L</w:t>
            </w:r>
          </w:p>
        </w:tc>
        <w:tc>
          <w:tcPr>
            <w:tcW w:w="251" w:type="pct"/>
            <w:tcBorders>
              <w:tl2br w:val="nil"/>
              <w:tr2bl w:val="nil"/>
            </w:tcBorders>
            <w:shd w:val="clear" w:color="auto" w:fill="FFFFFF"/>
            <w:noWrap w:val="0"/>
            <w:vAlign w:val="center"/>
          </w:tcPr>
          <w:p w14:paraId="1208D2ED">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288" w:type="pct"/>
            <w:tcBorders>
              <w:tl2br w:val="nil"/>
              <w:tr2bl w:val="nil"/>
            </w:tcBorders>
            <w:shd w:val="clear" w:color="auto" w:fill="FFFFFF"/>
            <w:noWrap w:val="0"/>
            <w:vAlign w:val="center"/>
          </w:tcPr>
          <w:p w14:paraId="3A281CEB">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241" w:type="pct"/>
            <w:tcBorders>
              <w:tl2br w:val="nil"/>
              <w:tr2bl w:val="nil"/>
            </w:tcBorders>
            <w:shd w:val="clear" w:color="auto" w:fill="FFFFFF"/>
            <w:noWrap w:val="0"/>
            <w:vAlign w:val="center"/>
          </w:tcPr>
          <w:p w14:paraId="71367D6A">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797" w:type="pct"/>
            <w:tcBorders>
              <w:tl2br w:val="nil"/>
              <w:tr2bl w:val="nil"/>
            </w:tcBorders>
            <w:shd w:val="clear" w:color="auto" w:fill="FFFFFF"/>
            <w:noWrap w:val="0"/>
            <w:vAlign w:val="center"/>
          </w:tcPr>
          <w:p w14:paraId="09E547D8">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rPr>
              <w:t>78/5m</w:t>
            </w:r>
          </w:p>
        </w:tc>
        <w:tc>
          <w:tcPr>
            <w:tcW w:w="596" w:type="pct"/>
            <w:tcBorders>
              <w:tl2br w:val="nil"/>
              <w:tr2bl w:val="nil"/>
            </w:tcBorders>
            <w:shd w:val="clear" w:color="auto" w:fill="FFFFFF"/>
            <w:noWrap w:val="0"/>
            <w:vAlign w:val="top"/>
          </w:tcPr>
          <w:p w14:paraId="3A58BE6F">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leftChars="0" w:right="0" w:firstLine="0" w:firstLineChars="0"/>
              <w:jc w:val="center"/>
              <w:textAlignment w:val="baseline"/>
              <w:rPr>
                <w:rFonts w:hint="eastAsia" w:ascii="Times New Roman" w:hAnsi="Times New Roman" w:cs="Times New Roman"/>
                <w:color w:val="auto"/>
                <w:kern w:val="2"/>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832" w:type="pct"/>
            <w:vMerge w:val="continue"/>
            <w:tcBorders>
              <w:tl2br w:val="nil"/>
              <w:tr2bl w:val="nil"/>
            </w:tcBorders>
            <w:shd w:val="clear" w:color="auto" w:fill="FFFFFF"/>
            <w:noWrap w:val="0"/>
            <w:vAlign w:val="center"/>
          </w:tcPr>
          <w:p w14:paraId="0D465002">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en-US" w:bidi="ar-SA"/>
              </w:rPr>
            </w:pPr>
          </w:p>
        </w:tc>
        <w:tc>
          <w:tcPr>
            <w:tcW w:w="408" w:type="pct"/>
            <w:tcBorders>
              <w:tl2br w:val="nil"/>
              <w:tr2bl w:val="nil"/>
            </w:tcBorders>
            <w:shd w:val="clear" w:color="auto" w:fill="FFFFFF"/>
            <w:noWrap w:val="0"/>
            <w:vAlign w:val="center"/>
          </w:tcPr>
          <w:p w14:paraId="3156AC61">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昼间</w:t>
            </w:r>
          </w:p>
        </w:tc>
      </w:tr>
      <w:tr w14:paraId="09113EE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195" w:type="pct"/>
            <w:tcBorders>
              <w:tl2br w:val="nil"/>
              <w:tr2bl w:val="nil"/>
            </w:tcBorders>
            <w:shd w:val="clear" w:color="auto" w:fill="FFFFFF"/>
            <w:noWrap w:val="0"/>
            <w:vAlign w:val="center"/>
          </w:tcPr>
          <w:p w14:paraId="2B9B34AF">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4</w:t>
            </w:r>
          </w:p>
        </w:tc>
        <w:tc>
          <w:tcPr>
            <w:tcW w:w="534" w:type="pct"/>
            <w:tcBorders>
              <w:tl2br w:val="nil"/>
              <w:tr2bl w:val="nil"/>
            </w:tcBorders>
            <w:shd w:val="clear" w:color="auto" w:fill="FFFFFF"/>
            <w:noWrap w:val="0"/>
            <w:vAlign w:val="center"/>
          </w:tcPr>
          <w:p w14:paraId="0141B0B3">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宋体"/>
                <w:color w:val="auto"/>
                <w:kern w:val="0"/>
                <w:sz w:val="21"/>
                <w:szCs w:val="21"/>
                <w:highlight w:val="none"/>
              </w:rPr>
              <w:t>铲车</w:t>
            </w:r>
          </w:p>
        </w:tc>
        <w:tc>
          <w:tcPr>
            <w:tcW w:w="852" w:type="pct"/>
            <w:tcBorders>
              <w:tl2br w:val="nil"/>
              <w:tr2bl w:val="nil"/>
            </w:tcBorders>
            <w:shd w:val="clear" w:color="auto" w:fill="FFFFFF"/>
            <w:noWrap w:val="0"/>
            <w:vAlign w:val="center"/>
          </w:tcPr>
          <w:p w14:paraId="11BFCDF9">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color w:val="auto"/>
                <w:sz w:val="21"/>
                <w:szCs w:val="24"/>
                <w:highlight w:val="none"/>
                <w:lang w:bidi="ar"/>
              </w:rPr>
              <w:t>液压2m³</w:t>
            </w:r>
          </w:p>
        </w:tc>
        <w:tc>
          <w:tcPr>
            <w:tcW w:w="251" w:type="pct"/>
            <w:tcBorders>
              <w:tl2br w:val="nil"/>
              <w:tr2bl w:val="nil"/>
            </w:tcBorders>
            <w:shd w:val="clear" w:color="auto" w:fill="FFFFFF"/>
            <w:noWrap w:val="0"/>
            <w:vAlign w:val="center"/>
          </w:tcPr>
          <w:p w14:paraId="4D41847D">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288" w:type="pct"/>
            <w:tcBorders>
              <w:tl2br w:val="nil"/>
              <w:tr2bl w:val="nil"/>
            </w:tcBorders>
            <w:shd w:val="clear" w:color="auto" w:fill="FFFFFF"/>
            <w:noWrap w:val="0"/>
            <w:vAlign w:val="center"/>
          </w:tcPr>
          <w:p w14:paraId="55BE5023">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241" w:type="pct"/>
            <w:tcBorders>
              <w:tl2br w:val="nil"/>
              <w:tr2bl w:val="nil"/>
            </w:tcBorders>
            <w:shd w:val="clear" w:color="auto" w:fill="FFFFFF"/>
            <w:noWrap w:val="0"/>
            <w:vAlign w:val="center"/>
          </w:tcPr>
          <w:p w14:paraId="2A33EF38">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w:t>
            </w:r>
          </w:p>
        </w:tc>
        <w:tc>
          <w:tcPr>
            <w:tcW w:w="797" w:type="pct"/>
            <w:tcBorders>
              <w:tl2br w:val="nil"/>
              <w:tr2bl w:val="nil"/>
            </w:tcBorders>
            <w:shd w:val="clear" w:color="auto" w:fill="FFFFFF"/>
            <w:noWrap w:val="0"/>
            <w:vAlign w:val="center"/>
          </w:tcPr>
          <w:p w14:paraId="58942E97">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rPr>
              <w:t>82/5m</w:t>
            </w:r>
          </w:p>
        </w:tc>
        <w:tc>
          <w:tcPr>
            <w:tcW w:w="596" w:type="pct"/>
            <w:tcBorders>
              <w:tl2br w:val="nil"/>
              <w:tr2bl w:val="nil"/>
            </w:tcBorders>
            <w:shd w:val="clear" w:color="auto" w:fill="FFFFFF"/>
            <w:noWrap w:val="0"/>
            <w:vAlign w:val="top"/>
          </w:tcPr>
          <w:p w14:paraId="17C2636D">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leftChars="0" w:right="0" w:firstLine="0" w:firstLineChars="0"/>
              <w:jc w:val="center"/>
              <w:textAlignment w:val="baseline"/>
              <w:rPr>
                <w:rFonts w:hint="eastAsia" w:ascii="Times New Roman" w:hAnsi="Times New Roman" w:cs="Times New Roman"/>
                <w:color w:val="auto"/>
                <w:kern w:val="2"/>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832" w:type="pct"/>
            <w:vMerge w:val="continue"/>
            <w:tcBorders>
              <w:tl2br w:val="nil"/>
              <w:tr2bl w:val="nil"/>
            </w:tcBorders>
            <w:shd w:val="clear" w:color="auto" w:fill="FFFFFF"/>
            <w:noWrap w:val="0"/>
            <w:vAlign w:val="center"/>
          </w:tcPr>
          <w:p w14:paraId="682F297F">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p>
        </w:tc>
        <w:tc>
          <w:tcPr>
            <w:tcW w:w="408" w:type="pct"/>
            <w:tcBorders>
              <w:tl2br w:val="nil"/>
              <w:tr2bl w:val="nil"/>
            </w:tcBorders>
            <w:shd w:val="clear" w:color="auto" w:fill="FFFFFF"/>
            <w:noWrap w:val="0"/>
            <w:vAlign w:val="center"/>
          </w:tcPr>
          <w:p w14:paraId="1DD9DD9E">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昼间</w:t>
            </w:r>
          </w:p>
        </w:tc>
      </w:tr>
      <w:tr w14:paraId="58C5EF4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195" w:type="pct"/>
            <w:tcBorders>
              <w:tl2br w:val="nil"/>
              <w:tr2bl w:val="nil"/>
            </w:tcBorders>
            <w:shd w:val="clear" w:color="auto" w:fill="FFFFFF"/>
            <w:noWrap w:val="0"/>
            <w:vAlign w:val="center"/>
          </w:tcPr>
          <w:p w14:paraId="447BD559">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5</w:t>
            </w:r>
          </w:p>
        </w:tc>
        <w:tc>
          <w:tcPr>
            <w:tcW w:w="534" w:type="pct"/>
            <w:tcBorders>
              <w:tl2br w:val="nil"/>
              <w:tr2bl w:val="nil"/>
            </w:tcBorders>
            <w:shd w:val="clear" w:color="auto" w:fill="FFFFFF"/>
            <w:noWrap w:val="0"/>
            <w:vAlign w:val="center"/>
          </w:tcPr>
          <w:p w14:paraId="480FCF45">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宋体"/>
                <w:color w:val="auto"/>
                <w:kern w:val="0"/>
                <w:sz w:val="21"/>
                <w:szCs w:val="21"/>
                <w:highlight w:val="none"/>
              </w:rPr>
            </w:pPr>
            <w:r>
              <w:rPr>
                <w:rFonts w:hint="eastAsia" w:ascii="Times New Roman" w:hAnsi="Times New Roman" w:eastAsia="宋体" w:cs="宋体"/>
                <w:color w:val="auto"/>
                <w:kern w:val="0"/>
                <w:sz w:val="21"/>
                <w:szCs w:val="21"/>
                <w:highlight w:val="none"/>
                <w:lang w:val="en-US" w:eastAsia="zh-CN"/>
              </w:rPr>
              <w:t>自卸汽车</w:t>
            </w:r>
          </w:p>
        </w:tc>
        <w:tc>
          <w:tcPr>
            <w:tcW w:w="852" w:type="pct"/>
            <w:tcBorders>
              <w:tl2br w:val="nil"/>
              <w:tr2bl w:val="nil"/>
            </w:tcBorders>
            <w:shd w:val="clear" w:color="auto" w:fill="FFFFFF"/>
            <w:noWrap w:val="0"/>
            <w:vAlign w:val="center"/>
          </w:tcPr>
          <w:p w14:paraId="434DAC26">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51" w:type="pct"/>
            <w:tcBorders>
              <w:tl2br w:val="nil"/>
              <w:tr2bl w:val="nil"/>
            </w:tcBorders>
            <w:shd w:val="clear" w:color="auto" w:fill="FFFFFF"/>
            <w:noWrap w:val="0"/>
            <w:vAlign w:val="center"/>
          </w:tcPr>
          <w:p w14:paraId="00680E7F">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88" w:type="pct"/>
            <w:tcBorders>
              <w:tl2br w:val="nil"/>
              <w:tr2bl w:val="nil"/>
            </w:tcBorders>
            <w:shd w:val="clear" w:color="auto" w:fill="FFFFFF"/>
            <w:noWrap w:val="0"/>
            <w:vAlign w:val="center"/>
          </w:tcPr>
          <w:p w14:paraId="3AC0725D">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41" w:type="pct"/>
            <w:tcBorders>
              <w:tl2br w:val="nil"/>
              <w:tr2bl w:val="nil"/>
            </w:tcBorders>
            <w:shd w:val="clear" w:color="auto" w:fill="FFFFFF"/>
            <w:noWrap w:val="0"/>
            <w:vAlign w:val="center"/>
          </w:tcPr>
          <w:p w14:paraId="7921008C">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797" w:type="pct"/>
            <w:tcBorders>
              <w:tl2br w:val="nil"/>
              <w:tr2bl w:val="nil"/>
            </w:tcBorders>
            <w:shd w:val="clear" w:color="auto" w:fill="FFFFFF"/>
            <w:noWrap w:val="0"/>
            <w:vAlign w:val="center"/>
          </w:tcPr>
          <w:p w14:paraId="0296D5C0">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rPr>
              <w:t>82/5m</w:t>
            </w:r>
          </w:p>
        </w:tc>
        <w:tc>
          <w:tcPr>
            <w:tcW w:w="596" w:type="pct"/>
            <w:tcBorders>
              <w:tl2br w:val="nil"/>
              <w:tr2bl w:val="nil"/>
            </w:tcBorders>
            <w:shd w:val="clear" w:color="auto" w:fill="FFFFFF"/>
            <w:noWrap w:val="0"/>
            <w:vAlign w:val="top"/>
          </w:tcPr>
          <w:p w14:paraId="4652D20A">
            <w:pPr>
              <w:pStyle w:val="1053"/>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hint="eastAsia" w:ascii="Times New Roman" w:hAnsi="Times New Roman" w:cs="Times New Roman"/>
                <w:color w:val="auto"/>
                <w:kern w:val="2"/>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c>
          <w:tcPr>
            <w:tcW w:w="832" w:type="pct"/>
            <w:vMerge w:val="continue"/>
            <w:tcBorders>
              <w:tl2br w:val="nil"/>
              <w:tr2bl w:val="nil"/>
            </w:tcBorders>
            <w:shd w:val="clear" w:color="auto" w:fill="FFFFFF"/>
            <w:noWrap w:val="0"/>
            <w:vAlign w:val="center"/>
          </w:tcPr>
          <w:p w14:paraId="7735606F">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rPr>
            </w:pPr>
          </w:p>
        </w:tc>
        <w:tc>
          <w:tcPr>
            <w:tcW w:w="408" w:type="pct"/>
            <w:tcBorders>
              <w:tl2br w:val="nil"/>
              <w:tr2bl w:val="nil"/>
            </w:tcBorders>
            <w:shd w:val="clear" w:color="auto" w:fill="FFFFFF"/>
            <w:noWrap w:val="0"/>
            <w:vAlign w:val="center"/>
          </w:tcPr>
          <w:p w14:paraId="4A1A2482">
            <w:pPr>
              <w:keepNext w:val="0"/>
              <w:keepLines w:val="0"/>
              <w:suppressLineNumbers w:val="0"/>
              <w:autoSpaceDE w:val="0"/>
              <w:autoSpaceDN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昼间</w:t>
            </w:r>
          </w:p>
        </w:tc>
      </w:tr>
      <w:bookmarkEnd w:id="396"/>
    </w:tbl>
    <w:p w14:paraId="7F727978">
      <w:pPr>
        <w:pStyle w:val="2"/>
        <w:rPr>
          <w:rFonts w:hint="eastAsia"/>
          <w:color w:val="auto"/>
          <w:highlight w:val="none"/>
        </w:rPr>
        <w:sectPr>
          <w:pgSz w:w="16838" w:h="11906" w:orient="landscape"/>
          <w:pgMar w:top="1797" w:right="1440" w:bottom="1797" w:left="1440" w:header="992" w:footer="992" w:gutter="0"/>
          <w:pgBorders>
            <w:top w:val="none" w:sz="0" w:space="0"/>
            <w:left w:val="none" w:sz="0" w:space="0"/>
            <w:bottom w:val="none" w:sz="0" w:space="0"/>
            <w:right w:val="none" w:sz="0" w:space="0"/>
          </w:pgBorders>
          <w:pgNumType w:fmt="numberInDash"/>
          <w:cols w:space="720" w:num="1"/>
          <w:docGrid w:type="lines" w:linePitch="312" w:charSpace="0"/>
        </w:sectPr>
      </w:pPr>
    </w:p>
    <w:p w14:paraId="596FA71A">
      <w:pPr>
        <w:bidi w:val="0"/>
        <w:spacing w:line="360" w:lineRule="auto"/>
        <w:rPr>
          <w:b/>
          <w:bCs/>
          <w:color w:val="auto"/>
          <w:highlight w:val="none"/>
        </w:rPr>
      </w:pPr>
      <w:r>
        <w:rPr>
          <w:rFonts w:hint="eastAsia"/>
          <w:b/>
          <w:bCs/>
          <w:color w:val="auto"/>
          <w:highlight w:val="none"/>
        </w:rPr>
        <w:t>3.3.</w:t>
      </w:r>
      <w:r>
        <w:rPr>
          <w:rFonts w:hint="eastAsia"/>
          <w:b/>
          <w:bCs/>
          <w:color w:val="auto"/>
          <w:highlight w:val="none"/>
          <w:lang w:val="en-US" w:eastAsia="zh-CN"/>
        </w:rPr>
        <w:t>2</w:t>
      </w:r>
      <w:r>
        <w:rPr>
          <w:rFonts w:hint="eastAsia"/>
          <w:b/>
          <w:bCs/>
          <w:color w:val="auto"/>
          <w:highlight w:val="none"/>
        </w:rPr>
        <w:t>.3</w:t>
      </w:r>
      <w:r>
        <w:rPr>
          <w:b/>
          <w:bCs/>
          <w:color w:val="auto"/>
          <w:highlight w:val="none"/>
        </w:rPr>
        <w:t>噪声污染源分析</w:t>
      </w:r>
    </w:p>
    <w:p w14:paraId="23DC2897">
      <w:pPr>
        <w:spacing w:line="360" w:lineRule="auto"/>
        <w:ind w:firstLine="480"/>
        <w:rPr>
          <w:rFonts w:hint="eastAsia"/>
          <w:color w:val="auto"/>
          <w:highlight w:val="none"/>
          <w:lang w:val="en-US" w:eastAsia="zh-CN"/>
        </w:rPr>
      </w:pPr>
      <w:r>
        <w:rPr>
          <w:rFonts w:ascii="Times New Roman"/>
          <w:color w:val="auto"/>
          <w:highlight w:val="none"/>
        </w:rPr>
        <w:t>施工噪声主要来源于施工机械，主要有</w:t>
      </w:r>
      <w:r>
        <w:rPr>
          <w:rFonts w:ascii="Times New Roman"/>
          <w:color w:val="auto"/>
          <w:szCs w:val="21"/>
          <w:highlight w:val="none"/>
        </w:rPr>
        <w:t>推土机</w:t>
      </w:r>
      <w:r>
        <w:rPr>
          <w:rFonts w:hint="eastAsia"/>
          <w:color w:val="auto"/>
          <w:highlight w:val="none"/>
          <w:lang w:eastAsia="zh-CN"/>
        </w:rPr>
        <w:t>、</w:t>
      </w:r>
      <w:r>
        <w:rPr>
          <w:rFonts w:hint="eastAsia"/>
          <w:color w:val="auto"/>
          <w:highlight w:val="none"/>
          <w:lang w:val="en-US" w:eastAsia="zh-CN"/>
        </w:rPr>
        <w:t>压实</w:t>
      </w:r>
      <w:r>
        <w:rPr>
          <w:rFonts w:hint="eastAsia"/>
          <w:color w:val="auto"/>
          <w:highlight w:val="none"/>
          <w:lang w:eastAsia="zh-CN"/>
        </w:rPr>
        <w:t>机</w:t>
      </w:r>
      <w:r>
        <w:rPr>
          <w:rFonts w:ascii="Times New Roman"/>
          <w:color w:val="auto"/>
          <w:szCs w:val="21"/>
          <w:highlight w:val="none"/>
        </w:rPr>
        <w:t>、洒水车</w:t>
      </w:r>
      <w:r>
        <w:rPr>
          <w:rFonts w:hint="eastAsia" w:ascii="Times New Roman"/>
          <w:color w:val="auto"/>
          <w:szCs w:val="21"/>
          <w:highlight w:val="none"/>
          <w:lang w:eastAsia="zh-CN"/>
        </w:rPr>
        <w:t>、</w:t>
      </w:r>
      <w:r>
        <w:rPr>
          <w:rFonts w:hint="eastAsia"/>
          <w:color w:val="auto"/>
          <w:highlight w:val="none"/>
          <w:lang w:val="en-US" w:eastAsia="zh-CN"/>
        </w:rPr>
        <w:t>铲车</w:t>
      </w:r>
      <w:r>
        <w:rPr>
          <w:rFonts w:hint="eastAsia"/>
          <w:color w:val="auto"/>
          <w:highlight w:val="none"/>
          <w:lang w:eastAsia="zh-CN"/>
        </w:rPr>
        <w:t>、</w:t>
      </w:r>
      <w:r>
        <w:rPr>
          <w:rFonts w:hint="eastAsia" w:ascii="Times New Roman"/>
          <w:color w:val="auto"/>
          <w:szCs w:val="21"/>
          <w:highlight w:val="none"/>
        </w:rPr>
        <w:t>自卸汽车</w:t>
      </w:r>
      <w:r>
        <w:rPr>
          <w:rFonts w:ascii="Times New Roman"/>
          <w:color w:val="auto"/>
          <w:highlight w:val="none"/>
        </w:rPr>
        <w:t>，工程施工机械与公路建设中使用的筑路机械相同，其噪声类比值见表</w:t>
      </w:r>
      <w:r>
        <w:rPr>
          <w:rFonts w:hint="eastAsia"/>
          <w:color w:val="auto"/>
          <w:highlight w:val="none"/>
          <w:lang w:val="en-US" w:eastAsia="zh-CN"/>
        </w:rPr>
        <w:t>3.3-7</w:t>
      </w:r>
      <w:r>
        <w:rPr>
          <w:rFonts w:ascii="Times New Roman"/>
          <w:color w:val="auto"/>
          <w:highlight w:val="none"/>
        </w:rPr>
        <w:t>所示</w:t>
      </w:r>
      <w:r>
        <w:rPr>
          <w:rFonts w:hint="eastAsia"/>
          <w:color w:val="auto"/>
          <w:highlight w:val="none"/>
          <w:lang w:val="en-US" w:eastAsia="zh-CN"/>
        </w:rPr>
        <w:t>。</w:t>
      </w:r>
    </w:p>
    <w:p w14:paraId="485D7AC8">
      <w:pPr>
        <w:spacing w:line="360" w:lineRule="auto"/>
        <w:rPr>
          <w:b/>
          <w:bCs/>
          <w:color w:val="auto"/>
          <w:highlight w:val="none"/>
        </w:rPr>
      </w:pPr>
      <w:r>
        <w:rPr>
          <w:rFonts w:hint="eastAsia"/>
          <w:b/>
          <w:bCs/>
          <w:color w:val="auto"/>
          <w:highlight w:val="none"/>
        </w:rPr>
        <w:t>3.3.</w:t>
      </w:r>
      <w:r>
        <w:rPr>
          <w:rFonts w:hint="eastAsia"/>
          <w:b/>
          <w:bCs/>
          <w:color w:val="auto"/>
          <w:highlight w:val="none"/>
          <w:lang w:val="en-US" w:eastAsia="zh-CN"/>
        </w:rPr>
        <w:t>2</w:t>
      </w:r>
      <w:r>
        <w:rPr>
          <w:rFonts w:hint="eastAsia"/>
          <w:b/>
          <w:bCs/>
          <w:color w:val="auto"/>
          <w:highlight w:val="none"/>
        </w:rPr>
        <w:t>.4</w:t>
      </w:r>
      <w:r>
        <w:rPr>
          <w:b/>
          <w:bCs/>
          <w:color w:val="auto"/>
          <w:highlight w:val="none"/>
        </w:rPr>
        <w:t>固废污染源分析</w:t>
      </w:r>
    </w:p>
    <w:p w14:paraId="02D68992">
      <w:pPr>
        <w:pStyle w:val="217"/>
        <w:spacing w:line="360" w:lineRule="auto"/>
        <w:ind w:firstLine="480"/>
        <w:rPr>
          <w:rFonts w:hint="eastAsia" w:cs="Times New Roman"/>
          <w:color w:val="auto"/>
          <w:highlight w:val="none"/>
          <w:lang w:eastAsia="zh-CN"/>
        </w:rPr>
      </w:pPr>
      <w:r>
        <w:rPr>
          <w:rFonts w:hint="eastAsia"/>
          <w:color w:val="auto"/>
          <w:highlight w:val="none"/>
          <w:lang w:val="en-US" w:eastAsia="zh-CN"/>
        </w:rPr>
        <w:t>回填</w:t>
      </w:r>
      <w:r>
        <w:rPr>
          <w:rFonts w:ascii="Times New Roman"/>
          <w:color w:val="auto"/>
          <w:highlight w:val="none"/>
        </w:rPr>
        <w:t>过程</w:t>
      </w:r>
      <w:r>
        <w:rPr>
          <w:rFonts w:hint="eastAsia"/>
          <w:color w:val="auto"/>
          <w:highlight w:val="none"/>
          <w:lang w:val="en-US" w:eastAsia="zh-CN"/>
        </w:rPr>
        <w:t>中</w:t>
      </w:r>
      <w:r>
        <w:rPr>
          <w:rFonts w:ascii="Times New Roman"/>
          <w:color w:val="auto"/>
          <w:highlight w:val="none"/>
        </w:rPr>
        <w:t>产生的固体废物包括</w:t>
      </w:r>
      <w:r>
        <w:rPr>
          <w:rFonts w:cs="Times New Roman"/>
          <w:color w:val="auto"/>
          <w:highlight w:val="none"/>
        </w:rPr>
        <w:t>施工人员产生的生活垃圾</w:t>
      </w:r>
      <w:r>
        <w:rPr>
          <w:rFonts w:hint="eastAsia" w:cs="Times New Roman"/>
          <w:color w:val="auto"/>
          <w:highlight w:val="none"/>
          <w:lang w:eastAsia="zh-CN"/>
        </w:rPr>
        <w:t>、</w:t>
      </w:r>
      <w:r>
        <w:rPr>
          <w:rFonts w:hint="eastAsia" w:cs="Times New Roman"/>
          <w:color w:val="auto"/>
          <w:highlight w:val="none"/>
          <w:lang w:val="en-US" w:eastAsia="zh-CN"/>
        </w:rPr>
        <w:t>沉淀池中产生的沉渣</w:t>
      </w:r>
      <w:r>
        <w:rPr>
          <w:rFonts w:hint="eastAsia" w:cs="Times New Roman"/>
          <w:color w:val="auto"/>
          <w:highlight w:val="none"/>
          <w:lang w:eastAsia="zh-CN"/>
        </w:rPr>
        <w:t>。</w:t>
      </w:r>
    </w:p>
    <w:p w14:paraId="0AEFD6C3">
      <w:pPr>
        <w:spacing w:line="360" w:lineRule="auto"/>
        <w:ind w:firstLine="480"/>
        <w:rPr>
          <w:rFonts w:ascii="Times New Roman"/>
          <w:color w:val="auto"/>
          <w:highlight w:val="none"/>
        </w:rPr>
      </w:pPr>
      <w:r>
        <w:rPr>
          <w:rFonts w:ascii="Times New Roman"/>
          <w:color w:val="auto"/>
          <w:highlight w:val="none"/>
        </w:rPr>
        <w:t>（</w:t>
      </w:r>
      <w:r>
        <w:rPr>
          <w:rFonts w:hint="eastAsia"/>
          <w:color w:val="auto"/>
          <w:highlight w:val="none"/>
          <w:lang w:val="en-US" w:eastAsia="zh-CN"/>
        </w:rPr>
        <w:t>1</w:t>
      </w:r>
      <w:r>
        <w:rPr>
          <w:rFonts w:ascii="Times New Roman"/>
          <w:color w:val="auto"/>
          <w:highlight w:val="none"/>
        </w:rPr>
        <w:t>）生活垃圾</w:t>
      </w:r>
    </w:p>
    <w:p w14:paraId="57A366D5">
      <w:pPr>
        <w:pStyle w:val="217"/>
        <w:spacing w:line="360" w:lineRule="auto"/>
        <w:ind w:firstLine="480"/>
        <w:rPr>
          <w:rFonts w:hint="eastAsia" w:cs="Times New Roman"/>
          <w:color w:val="auto"/>
          <w:highlight w:val="none"/>
          <w:lang w:eastAsia="zh-CN"/>
        </w:rPr>
      </w:pPr>
      <w:r>
        <w:rPr>
          <w:rFonts w:hint="eastAsia"/>
          <w:color w:val="auto"/>
          <w:highlight w:val="none"/>
          <w:lang w:val="en-US" w:eastAsia="zh-CN"/>
        </w:rPr>
        <w:t>回填</w:t>
      </w:r>
      <w:r>
        <w:rPr>
          <w:rFonts w:ascii="Times New Roman"/>
          <w:color w:val="auto"/>
          <w:highlight w:val="none"/>
        </w:rPr>
        <w:t>期施工人员生活垃圾排放量按0.</w:t>
      </w:r>
      <w:r>
        <w:rPr>
          <w:rFonts w:hint="eastAsia"/>
          <w:color w:val="auto"/>
          <w:highlight w:val="none"/>
          <w:lang w:val="en-US" w:eastAsia="zh-CN"/>
        </w:rPr>
        <w:t>5</w:t>
      </w:r>
      <w:r>
        <w:rPr>
          <w:rFonts w:ascii="Times New Roman"/>
          <w:color w:val="auto"/>
          <w:highlight w:val="none"/>
        </w:rPr>
        <w:t>kg/人日计算，人员</w:t>
      </w:r>
      <w:r>
        <w:rPr>
          <w:rFonts w:hint="eastAsia"/>
          <w:color w:val="auto"/>
          <w:highlight w:val="none"/>
          <w:lang w:val="en-US" w:eastAsia="zh-CN"/>
        </w:rPr>
        <w:t>1</w:t>
      </w:r>
      <w:r>
        <w:rPr>
          <w:rFonts w:ascii="Times New Roman"/>
          <w:color w:val="auto"/>
          <w:highlight w:val="none"/>
        </w:rPr>
        <w:t>0人，日</w:t>
      </w:r>
      <w:r>
        <w:rPr>
          <w:rFonts w:hint="eastAsia" w:ascii="Times New Roman"/>
          <w:color w:val="auto"/>
          <w:highlight w:val="none"/>
        </w:rPr>
        <w:t>产生</w:t>
      </w:r>
      <w:r>
        <w:rPr>
          <w:rFonts w:ascii="Times New Roman"/>
          <w:color w:val="auto"/>
          <w:highlight w:val="none"/>
        </w:rPr>
        <w:t>量约为</w:t>
      </w:r>
      <w:r>
        <w:rPr>
          <w:rFonts w:hint="eastAsia"/>
          <w:color w:val="auto"/>
          <w:highlight w:val="none"/>
          <w:lang w:val="en-US" w:eastAsia="zh-CN"/>
        </w:rPr>
        <w:t>5kg</w:t>
      </w:r>
      <w:r>
        <w:rPr>
          <w:rFonts w:ascii="Times New Roman"/>
          <w:color w:val="auto"/>
          <w:highlight w:val="none"/>
        </w:rPr>
        <w:t>/d</w:t>
      </w:r>
      <w:r>
        <w:rPr>
          <w:rFonts w:hint="eastAsia" w:ascii="Times New Roman"/>
          <w:color w:val="auto"/>
          <w:highlight w:val="none"/>
          <w:lang w:eastAsia="zh-CN"/>
        </w:rPr>
        <w:t>、</w:t>
      </w:r>
      <w:r>
        <w:rPr>
          <w:rFonts w:hint="eastAsia" w:ascii="Times New Roman"/>
          <w:color w:val="auto"/>
          <w:highlight w:val="none"/>
          <w:lang w:val="en-US" w:eastAsia="zh-CN"/>
        </w:rPr>
        <w:t>1.5t/a</w:t>
      </w:r>
      <w:r>
        <w:rPr>
          <w:rFonts w:ascii="Times New Roman"/>
          <w:color w:val="auto"/>
          <w:highlight w:val="none"/>
        </w:rPr>
        <w:t>。</w:t>
      </w:r>
      <w:r>
        <w:rPr>
          <w:rFonts w:hint="eastAsia"/>
          <w:color w:val="auto"/>
          <w:highlight w:val="none"/>
          <w:lang w:val="en-US" w:eastAsia="zh-CN"/>
        </w:rPr>
        <w:t>集中收集，定期由市政环卫部门清运处理。</w:t>
      </w:r>
    </w:p>
    <w:p w14:paraId="08061A7D">
      <w:pPr>
        <w:pStyle w:val="217"/>
        <w:numPr>
          <w:ilvl w:val="0"/>
          <w:numId w:val="16"/>
        </w:numPr>
        <w:spacing w:line="360" w:lineRule="auto"/>
        <w:ind w:left="0" w:leftChars="0" w:firstLine="480" w:firstLineChars="200"/>
        <w:rPr>
          <w:rFonts w:hint="eastAsia" w:cs="Times New Roman"/>
          <w:color w:val="auto"/>
          <w:highlight w:val="none"/>
          <w:lang w:eastAsia="zh-CN"/>
        </w:rPr>
      </w:pPr>
      <w:r>
        <w:rPr>
          <w:rFonts w:hint="eastAsia" w:cs="Times New Roman"/>
          <w:color w:val="auto"/>
          <w:highlight w:val="none"/>
          <w:lang w:val="en-US" w:eastAsia="zh-CN"/>
        </w:rPr>
        <w:t>沉渣</w:t>
      </w:r>
    </w:p>
    <w:p w14:paraId="4C3FC39F">
      <w:pPr>
        <w:pStyle w:val="217"/>
        <w:numPr>
          <w:ilvl w:val="0"/>
          <w:numId w:val="0"/>
        </w:numPr>
        <w:spacing w:line="360" w:lineRule="auto"/>
        <w:ind w:firstLine="480" w:firstLineChars="200"/>
        <w:rPr>
          <w:rFonts w:hint="eastAsia" w:cs="Times New Roman"/>
          <w:color w:val="auto"/>
          <w:highlight w:val="none"/>
          <w:lang w:val="en-US" w:eastAsia="zh-CN"/>
        </w:rPr>
      </w:pPr>
      <w:r>
        <w:rPr>
          <w:rFonts w:hint="eastAsia" w:cs="Times New Roman"/>
          <w:color w:val="auto"/>
          <w:highlight w:val="none"/>
          <w:lang w:val="en-US" w:eastAsia="zh-CN"/>
        </w:rPr>
        <w:t>沉淀池中沉渣，集中收集，综合利用厂区修路。</w:t>
      </w:r>
    </w:p>
    <w:p w14:paraId="02C50BC2">
      <w:pPr>
        <w:pStyle w:val="217"/>
        <w:numPr>
          <w:ilvl w:val="0"/>
          <w:numId w:val="0"/>
        </w:numPr>
        <w:spacing w:line="240" w:lineRule="auto"/>
        <w:ind w:firstLine="482" w:firstLineChars="200"/>
        <w:jc w:val="center"/>
        <w:rPr>
          <w:rFonts w:hint="default" w:cs="Times New Roman"/>
          <w:b/>
          <w:bCs w:val="0"/>
          <w:color w:val="auto"/>
          <w:highlight w:val="none"/>
          <w:lang w:val="en-US" w:eastAsia="zh-CN"/>
        </w:rPr>
      </w:pPr>
      <w:r>
        <w:rPr>
          <w:rFonts w:ascii="Times New Roman"/>
          <w:b/>
          <w:bCs w:val="0"/>
          <w:color w:val="auto"/>
          <w:sz w:val="24"/>
          <w:szCs w:val="24"/>
          <w:highlight w:val="none"/>
        </w:rPr>
        <w:t>表3</w:t>
      </w:r>
      <w:r>
        <w:rPr>
          <w:rFonts w:hint="eastAsia"/>
          <w:b/>
          <w:bCs w:val="0"/>
          <w:color w:val="auto"/>
          <w:sz w:val="24"/>
          <w:szCs w:val="24"/>
          <w:highlight w:val="none"/>
          <w:lang w:val="en-US" w:eastAsia="zh-CN"/>
        </w:rPr>
        <w:t>.</w:t>
      </w:r>
      <w:r>
        <w:rPr>
          <w:rFonts w:hint="eastAsia" w:ascii="Times New Roman"/>
          <w:b/>
          <w:bCs w:val="0"/>
          <w:color w:val="auto"/>
          <w:sz w:val="24"/>
          <w:szCs w:val="24"/>
          <w:highlight w:val="none"/>
        </w:rPr>
        <w:t>3</w:t>
      </w:r>
      <w:r>
        <w:rPr>
          <w:rFonts w:ascii="Times New Roman"/>
          <w:b/>
          <w:bCs w:val="0"/>
          <w:color w:val="auto"/>
          <w:sz w:val="24"/>
          <w:szCs w:val="24"/>
          <w:highlight w:val="none"/>
        </w:rPr>
        <w:t>-</w:t>
      </w:r>
      <w:r>
        <w:rPr>
          <w:rFonts w:hint="eastAsia"/>
          <w:b/>
          <w:bCs w:val="0"/>
          <w:color w:val="auto"/>
          <w:sz w:val="24"/>
          <w:szCs w:val="24"/>
          <w:highlight w:val="none"/>
          <w:lang w:val="en-US" w:eastAsia="zh-CN"/>
        </w:rPr>
        <w:t xml:space="preserve">8  </w:t>
      </w:r>
      <w:r>
        <w:rPr>
          <w:rFonts w:ascii="Times New Roman"/>
          <w:b/>
          <w:bCs w:val="0"/>
          <w:color w:val="auto"/>
          <w:sz w:val="24"/>
          <w:szCs w:val="24"/>
          <w:highlight w:val="none"/>
          <w:lang w:bidi="ar"/>
        </w:rPr>
        <w:t>固体废物污染物排放源强核算结果汇总</w:t>
      </w:r>
    </w:p>
    <w:tbl>
      <w:tblPr>
        <w:tblStyle w:val="84"/>
        <w:tblW w:w="857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22"/>
        <w:gridCol w:w="641"/>
        <w:gridCol w:w="818"/>
        <w:gridCol w:w="1654"/>
        <w:gridCol w:w="721"/>
        <w:gridCol w:w="687"/>
        <w:gridCol w:w="1231"/>
        <w:gridCol w:w="820"/>
        <w:gridCol w:w="1382"/>
      </w:tblGrid>
      <w:tr w14:paraId="0341D7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622" w:type="dxa"/>
            <w:vMerge w:val="restart"/>
            <w:tcBorders>
              <w:tl2br w:val="nil"/>
              <w:tr2bl w:val="nil"/>
            </w:tcBorders>
            <w:noWrap w:val="0"/>
            <w:vAlign w:val="center"/>
          </w:tcPr>
          <w:p w14:paraId="5EDC394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工序</w:t>
            </w:r>
          </w:p>
        </w:tc>
        <w:tc>
          <w:tcPr>
            <w:tcW w:w="641" w:type="dxa"/>
            <w:vMerge w:val="restart"/>
            <w:tcBorders>
              <w:tl2br w:val="nil"/>
              <w:tr2bl w:val="nil"/>
            </w:tcBorders>
            <w:noWrap w:val="0"/>
            <w:vAlign w:val="center"/>
          </w:tcPr>
          <w:p w14:paraId="2EAB4FE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装置</w:t>
            </w:r>
          </w:p>
        </w:tc>
        <w:tc>
          <w:tcPr>
            <w:tcW w:w="818" w:type="dxa"/>
            <w:vMerge w:val="restart"/>
            <w:tcBorders>
              <w:tl2br w:val="nil"/>
              <w:tr2bl w:val="nil"/>
            </w:tcBorders>
            <w:noWrap w:val="0"/>
            <w:vAlign w:val="center"/>
          </w:tcPr>
          <w:p w14:paraId="59BD189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固体废物名称</w:t>
            </w:r>
          </w:p>
        </w:tc>
        <w:tc>
          <w:tcPr>
            <w:tcW w:w="1654" w:type="dxa"/>
            <w:vMerge w:val="restart"/>
            <w:tcBorders>
              <w:tl2br w:val="nil"/>
              <w:tr2bl w:val="nil"/>
            </w:tcBorders>
            <w:noWrap w:val="0"/>
            <w:vAlign w:val="center"/>
          </w:tcPr>
          <w:p w14:paraId="4BB95B1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固废属性</w:t>
            </w:r>
          </w:p>
        </w:tc>
        <w:tc>
          <w:tcPr>
            <w:tcW w:w="1408" w:type="dxa"/>
            <w:gridSpan w:val="2"/>
            <w:tcBorders>
              <w:tl2br w:val="nil"/>
              <w:tr2bl w:val="nil"/>
            </w:tcBorders>
            <w:noWrap w:val="0"/>
            <w:vAlign w:val="center"/>
          </w:tcPr>
          <w:p w14:paraId="4AA7CC2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产生情况</w:t>
            </w:r>
          </w:p>
        </w:tc>
        <w:tc>
          <w:tcPr>
            <w:tcW w:w="2051" w:type="dxa"/>
            <w:gridSpan w:val="2"/>
            <w:tcBorders>
              <w:tl2br w:val="nil"/>
              <w:tr2bl w:val="nil"/>
            </w:tcBorders>
            <w:noWrap w:val="0"/>
            <w:vAlign w:val="center"/>
          </w:tcPr>
          <w:p w14:paraId="3C9319F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处置措施</w:t>
            </w:r>
          </w:p>
        </w:tc>
        <w:tc>
          <w:tcPr>
            <w:tcW w:w="1382" w:type="dxa"/>
            <w:vMerge w:val="restart"/>
            <w:tcBorders>
              <w:tl2br w:val="nil"/>
              <w:tr2bl w:val="nil"/>
            </w:tcBorders>
            <w:noWrap w:val="0"/>
            <w:vAlign w:val="center"/>
          </w:tcPr>
          <w:p w14:paraId="5CF3878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最终去向</w:t>
            </w:r>
          </w:p>
        </w:tc>
      </w:tr>
      <w:tr w14:paraId="6DC098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4" w:hRule="atLeast"/>
          <w:jc w:val="center"/>
        </w:trPr>
        <w:tc>
          <w:tcPr>
            <w:tcW w:w="622" w:type="dxa"/>
            <w:vMerge w:val="continue"/>
            <w:tcBorders>
              <w:tl2br w:val="nil"/>
              <w:tr2bl w:val="nil"/>
            </w:tcBorders>
            <w:noWrap w:val="0"/>
            <w:vAlign w:val="center"/>
          </w:tcPr>
          <w:p w14:paraId="57A780B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p>
        </w:tc>
        <w:tc>
          <w:tcPr>
            <w:tcW w:w="641" w:type="dxa"/>
            <w:vMerge w:val="continue"/>
            <w:tcBorders>
              <w:tl2br w:val="nil"/>
              <w:tr2bl w:val="nil"/>
            </w:tcBorders>
            <w:noWrap w:val="0"/>
            <w:vAlign w:val="center"/>
          </w:tcPr>
          <w:p w14:paraId="340A4E4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p>
        </w:tc>
        <w:tc>
          <w:tcPr>
            <w:tcW w:w="818" w:type="dxa"/>
            <w:vMerge w:val="continue"/>
            <w:tcBorders>
              <w:tl2br w:val="nil"/>
              <w:tr2bl w:val="nil"/>
            </w:tcBorders>
            <w:noWrap w:val="0"/>
            <w:vAlign w:val="center"/>
          </w:tcPr>
          <w:p w14:paraId="1EFF902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p>
        </w:tc>
        <w:tc>
          <w:tcPr>
            <w:tcW w:w="1654" w:type="dxa"/>
            <w:vMerge w:val="continue"/>
            <w:tcBorders>
              <w:tl2br w:val="nil"/>
              <w:tr2bl w:val="nil"/>
            </w:tcBorders>
            <w:noWrap w:val="0"/>
            <w:vAlign w:val="center"/>
          </w:tcPr>
          <w:p w14:paraId="43DB0BD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p>
        </w:tc>
        <w:tc>
          <w:tcPr>
            <w:tcW w:w="721" w:type="dxa"/>
            <w:tcBorders>
              <w:tl2br w:val="nil"/>
              <w:tr2bl w:val="nil"/>
            </w:tcBorders>
            <w:noWrap w:val="0"/>
            <w:vAlign w:val="center"/>
          </w:tcPr>
          <w:p w14:paraId="2006A6C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核算方法</w:t>
            </w:r>
          </w:p>
        </w:tc>
        <w:tc>
          <w:tcPr>
            <w:tcW w:w="687" w:type="dxa"/>
            <w:tcBorders>
              <w:tl2br w:val="nil"/>
              <w:tr2bl w:val="nil"/>
            </w:tcBorders>
            <w:noWrap w:val="0"/>
            <w:vAlign w:val="center"/>
          </w:tcPr>
          <w:p w14:paraId="05A8DD0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eastAsia="宋体"/>
                <w:color w:val="auto"/>
                <w:sz w:val="21"/>
                <w:szCs w:val="24"/>
                <w:highlight w:val="none"/>
                <w:lang w:eastAsia="zh-CN" w:bidi="ar"/>
              </w:rPr>
            </w:pPr>
            <w:r>
              <w:rPr>
                <w:rFonts w:ascii="Times New Roman"/>
                <w:color w:val="auto"/>
                <w:sz w:val="21"/>
                <w:szCs w:val="24"/>
                <w:highlight w:val="none"/>
                <w:lang w:bidi="ar"/>
              </w:rPr>
              <w:t>产生量</w:t>
            </w:r>
          </w:p>
        </w:tc>
        <w:tc>
          <w:tcPr>
            <w:tcW w:w="1231" w:type="dxa"/>
            <w:tcBorders>
              <w:tl2br w:val="nil"/>
              <w:tr2bl w:val="nil"/>
            </w:tcBorders>
            <w:noWrap w:val="0"/>
            <w:vAlign w:val="center"/>
          </w:tcPr>
          <w:p w14:paraId="07EE522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工艺</w:t>
            </w:r>
          </w:p>
        </w:tc>
        <w:tc>
          <w:tcPr>
            <w:tcW w:w="820" w:type="dxa"/>
            <w:tcBorders>
              <w:tl2br w:val="nil"/>
              <w:tr2bl w:val="nil"/>
            </w:tcBorders>
            <w:noWrap w:val="0"/>
            <w:vAlign w:val="center"/>
          </w:tcPr>
          <w:p w14:paraId="73D6C3E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处置量</w:t>
            </w:r>
          </w:p>
        </w:tc>
        <w:tc>
          <w:tcPr>
            <w:tcW w:w="1382" w:type="dxa"/>
            <w:vMerge w:val="continue"/>
            <w:tcBorders>
              <w:tl2br w:val="nil"/>
              <w:tr2bl w:val="nil"/>
            </w:tcBorders>
            <w:noWrap w:val="0"/>
            <w:vAlign w:val="center"/>
          </w:tcPr>
          <w:p w14:paraId="773DB6B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p>
        </w:tc>
      </w:tr>
      <w:tr w14:paraId="7D946F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19" w:hRule="atLeast"/>
          <w:jc w:val="center"/>
        </w:trPr>
        <w:tc>
          <w:tcPr>
            <w:tcW w:w="622" w:type="dxa"/>
            <w:tcBorders>
              <w:tl2br w:val="nil"/>
              <w:tr2bl w:val="nil"/>
            </w:tcBorders>
            <w:noWrap w:val="0"/>
            <w:vAlign w:val="center"/>
          </w:tcPr>
          <w:p w14:paraId="0251A2D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生活</w:t>
            </w:r>
          </w:p>
        </w:tc>
        <w:tc>
          <w:tcPr>
            <w:tcW w:w="641" w:type="dxa"/>
            <w:tcBorders>
              <w:tl2br w:val="nil"/>
              <w:tr2bl w:val="nil"/>
            </w:tcBorders>
            <w:noWrap w:val="0"/>
            <w:vAlign w:val="center"/>
          </w:tcPr>
          <w:p w14:paraId="101DFA4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职工</w:t>
            </w:r>
          </w:p>
          <w:p w14:paraId="77960D6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生活</w:t>
            </w:r>
          </w:p>
        </w:tc>
        <w:tc>
          <w:tcPr>
            <w:tcW w:w="818" w:type="dxa"/>
            <w:tcBorders>
              <w:tl2br w:val="nil"/>
              <w:tr2bl w:val="nil"/>
            </w:tcBorders>
            <w:noWrap w:val="0"/>
            <w:vAlign w:val="center"/>
          </w:tcPr>
          <w:p w14:paraId="76C9EF3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生活垃圾</w:t>
            </w:r>
          </w:p>
        </w:tc>
        <w:tc>
          <w:tcPr>
            <w:tcW w:w="1654" w:type="dxa"/>
            <w:tcBorders>
              <w:tl2br w:val="nil"/>
              <w:tr2bl w:val="nil"/>
            </w:tcBorders>
            <w:noWrap w:val="0"/>
            <w:vAlign w:val="center"/>
          </w:tcPr>
          <w:p w14:paraId="31F808B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生活垃圾</w:t>
            </w:r>
          </w:p>
        </w:tc>
        <w:tc>
          <w:tcPr>
            <w:tcW w:w="721" w:type="dxa"/>
            <w:tcBorders>
              <w:tl2br w:val="nil"/>
              <w:tr2bl w:val="nil"/>
            </w:tcBorders>
            <w:noWrap w:val="0"/>
            <w:vAlign w:val="center"/>
          </w:tcPr>
          <w:p w14:paraId="26DF693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类比法</w:t>
            </w:r>
          </w:p>
        </w:tc>
        <w:tc>
          <w:tcPr>
            <w:tcW w:w="687" w:type="dxa"/>
            <w:tcBorders>
              <w:tl2br w:val="nil"/>
              <w:tr2bl w:val="nil"/>
            </w:tcBorders>
            <w:noWrap w:val="0"/>
            <w:vAlign w:val="center"/>
          </w:tcPr>
          <w:p w14:paraId="5857B72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eastAsia="宋体"/>
                <w:color w:val="auto"/>
                <w:sz w:val="21"/>
                <w:szCs w:val="24"/>
                <w:highlight w:val="none"/>
                <w:lang w:val="en-US" w:eastAsia="zh-CN" w:bidi="ar"/>
              </w:rPr>
            </w:pPr>
            <w:r>
              <w:rPr>
                <w:rFonts w:hint="eastAsia"/>
                <w:color w:val="auto"/>
                <w:sz w:val="21"/>
                <w:szCs w:val="24"/>
                <w:highlight w:val="none"/>
                <w:lang w:val="en-US" w:eastAsia="zh-CN" w:bidi="ar"/>
              </w:rPr>
              <w:t>1.5t/a</w:t>
            </w:r>
          </w:p>
        </w:tc>
        <w:tc>
          <w:tcPr>
            <w:tcW w:w="1231" w:type="dxa"/>
            <w:tcBorders>
              <w:tl2br w:val="nil"/>
              <w:tr2bl w:val="nil"/>
            </w:tcBorders>
            <w:noWrap w:val="0"/>
            <w:vAlign w:val="center"/>
          </w:tcPr>
          <w:p w14:paraId="45C94A3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卫生填埋</w:t>
            </w:r>
          </w:p>
        </w:tc>
        <w:tc>
          <w:tcPr>
            <w:tcW w:w="820" w:type="dxa"/>
            <w:tcBorders>
              <w:tl2br w:val="nil"/>
              <w:tr2bl w:val="nil"/>
            </w:tcBorders>
            <w:noWrap w:val="0"/>
            <w:vAlign w:val="center"/>
          </w:tcPr>
          <w:p w14:paraId="2F66D44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hint="eastAsia"/>
                <w:color w:val="auto"/>
                <w:sz w:val="21"/>
                <w:szCs w:val="24"/>
                <w:highlight w:val="none"/>
                <w:lang w:val="en-US" w:eastAsia="zh-CN" w:bidi="ar"/>
              </w:rPr>
              <w:t>1.5t/a</w:t>
            </w:r>
          </w:p>
        </w:tc>
        <w:tc>
          <w:tcPr>
            <w:tcW w:w="1382" w:type="dxa"/>
            <w:tcBorders>
              <w:tl2br w:val="nil"/>
              <w:tr2bl w:val="nil"/>
            </w:tcBorders>
            <w:noWrap w:val="0"/>
            <w:vAlign w:val="center"/>
          </w:tcPr>
          <w:p w14:paraId="7F6670C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hint="eastAsia" w:ascii="Times New Roman"/>
                <w:color w:val="auto"/>
                <w:sz w:val="21"/>
                <w:szCs w:val="24"/>
                <w:highlight w:val="none"/>
                <w:lang w:bidi="ar"/>
              </w:rPr>
              <w:t>集中收集，定期由市政环卫部门处理。</w:t>
            </w:r>
          </w:p>
        </w:tc>
      </w:tr>
      <w:tr w14:paraId="1CF257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67" w:hRule="atLeast"/>
          <w:jc w:val="center"/>
        </w:trPr>
        <w:tc>
          <w:tcPr>
            <w:tcW w:w="622" w:type="dxa"/>
            <w:tcBorders>
              <w:tl2br w:val="nil"/>
              <w:tr2bl w:val="nil"/>
            </w:tcBorders>
            <w:noWrap w:val="0"/>
            <w:vAlign w:val="center"/>
          </w:tcPr>
          <w:p w14:paraId="3CD1CA1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回填期</w:t>
            </w:r>
          </w:p>
        </w:tc>
        <w:tc>
          <w:tcPr>
            <w:tcW w:w="641" w:type="dxa"/>
            <w:tcBorders>
              <w:tl2br w:val="nil"/>
              <w:tr2bl w:val="nil"/>
            </w:tcBorders>
            <w:noWrap w:val="0"/>
            <w:vAlign w:val="center"/>
          </w:tcPr>
          <w:p w14:paraId="18057AA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沉淀池</w:t>
            </w:r>
          </w:p>
        </w:tc>
        <w:tc>
          <w:tcPr>
            <w:tcW w:w="818" w:type="dxa"/>
            <w:tcBorders>
              <w:tl2br w:val="nil"/>
              <w:tr2bl w:val="nil"/>
            </w:tcBorders>
            <w:noWrap w:val="0"/>
            <w:vAlign w:val="center"/>
          </w:tcPr>
          <w:p w14:paraId="5453DCF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沉渣</w:t>
            </w:r>
          </w:p>
        </w:tc>
        <w:tc>
          <w:tcPr>
            <w:tcW w:w="1654" w:type="dxa"/>
            <w:tcBorders>
              <w:tl2br w:val="nil"/>
              <w:tr2bl w:val="nil"/>
            </w:tcBorders>
            <w:noWrap w:val="0"/>
            <w:vAlign w:val="center"/>
          </w:tcPr>
          <w:p w14:paraId="273EEBE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一般工业固体废物</w:t>
            </w:r>
          </w:p>
        </w:tc>
        <w:tc>
          <w:tcPr>
            <w:tcW w:w="721" w:type="dxa"/>
            <w:tcBorders>
              <w:tl2br w:val="nil"/>
              <w:tr2bl w:val="nil"/>
            </w:tcBorders>
            <w:noWrap w:val="0"/>
            <w:vAlign w:val="center"/>
          </w:tcPr>
          <w:p w14:paraId="08D72F6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ascii="Times New Roman"/>
                <w:color w:val="auto"/>
                <w:sz w:val="21"/>
                <w:szCs w:val="24"/>
                <w:highlight w:val="none"/>
                <w:lang w:bidi="ar"/>
              </w:rPr>
            </w:pPr>
            <w:r>
              <w:rPr>
                <w:rFonts w:ascii="Times New Roman"/>
                <w:color w:val="auto"/>
                <w:sz w:val="21"/>
                <w:szCs w:val="24"/>
                <w:highlight w:val="none"/>
                <w:lang w:bidi="ar"/>
              </w:rPr>
              <w:t>类比法</w:t>
            </w:r>
          </w:p>
        </w:tc>
        <w:tc>
          <w:tcPr>
            <w:tcW w:w="687" w:type="dxa"/>
            <w:tcBorders>
              <w:tl2br w:val="nil"/>
              <w:tr2bl w:val="nil"/>
            </w:tcBorders>
            <w:noWrap w:val="0"/>
            <w:vAlign w:val="center"/>
          </w:tcPr>
          <w:p w14:paraId="1CB8E90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olor w:val="auto"/>
                <w:sz w:val="21"/>
                <w:szCs w:val="24"/>
                <w:highlight w:val="none"/>
                <w:lang w:val="en-US" w:eastAsia="zh-CN" w:bidi="ar"/>
              </w:rPr>
            </w:pPr>
            <w:r>
              <w:rPr>
                <w:rFonts w:hint="eastAsia"/>
                <w:color w:val="auto"/>
                <w:sz w:val="21"/>
                <w:szCs w:val="24"/>
                <w:highlight w:val="none"/>
                <w:lang w:val="en-US" w:eastAsia="zh-CN" w:bidi="ar"/>
              </w:rPr>
              <w:t>0.3t</w:t>
            </w:r>
          </w:p>
        </w:tc>
        <w:tc>
          <w:tcPr>
            <w:tcW w:w="1231" w:type="dxa"/>
            <w:tcBorders>
              <w:tl2br w:val="nil"/>
              <w:tr2bl w:val="nil"/>
            </w:tcBorders>
            <w:noWrap w:val="0"/>
            <w:vAlign w:val="center"/>
          </w:tcPr>
          <w:p w14:paraId="29F322D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ascii="Times New Roman" w:eastAsia="宋体"/>
                <w:color w:val="auto"/>
                <w:sz w:val="21"/>
                <w:szCs w:val="24"/>
                <w:highlight w:val="none"/>
                <w:lang w:val="en-US" w:eastAsia="zh-CN" w:bidi="ar"/>
              </w:rPr>
            </w:pPr>
            <w:r>
              <w:rPr>
                <w:rFonts w:hint="eastAsia" w:ascii="Times New Roman"/>
                <w:color w:val="auto"/>
                <w:sz w:val="21"/>
                <w:szCs w:val="24"/>
                <w:highlight w:val="none"/>
                <w:lang w:val="en-US" w:eastAsia="zh-CN" w:bidi="ar"/>
              </w:rPr>
              <w:t>综合利用</w:t>
            </w:r>
          </w:p>
        </w:tc>
        <w:tc>
          <w:tcPr>
            <w:tcW w:w="820" w:type="dxa"/>
            <w:tcBorders>
              <w:tl2br w:val="nil"/>
              <w:tr2bl w:val="nil"/>
            </w:tcBorders>
            <w:noWrap w:val="0"/>
            <w:vAlign w:val="center"/>
          </w:tcPr>
          <w:p w14:paraId="3FC9B97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color w:val="auto"/>
                <w:sz w:val="21"/>
                <w:szCs w:val="24"/>
                <w:highlight w:val="none"/>
                <w:lang w:val="en-US" w:eastAsia="zh-CN" w:bidi="ar"/>
              </w:rPr>
            </w:pPr>
            <w:r>
              <w:rPr>
                <w:rFonts w:hint="eastAsia"/>
                <w:color w:val="auto"/>
                <w:sz w:val="21"/>
                <w:szCs w:val="24"/>
                <w:highlight w:val="none"/>
                <w:lang w:val="en-US" w:eastAsia="zh-CN" w:bidi="ar"/>
              </w:rPr>
              <w:t>0.3t</w:t>
            </w:r>
          </w:p>
        </w:tc>
        <w:tc>
          <w:tcPr>
            <w:tcW w:w="1382" w:type="dxa"/>
            <w:tcBorders>
              <w:tl2br w:val="nil"/>
              <w:tr2bl w:val="nil"/>
            </w:tcBorders>
            <w:noWrap w:val="0"/>
            <w:vAlign w:val="center"/>
          </w:tcPr>
          <w:p w14:paraId="6008FAD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eastAsia="宋体"/>
                <w:color w:val="auto"/>
                <w:sz w:val="21"/>
                <w:szCs w:val="24"/>
                <w:highlight w:val="none"/>
                <w:lang w:val="en-US" w:eastAsia="zh-CN" w:bidi="ar"/>
              </w:rPr>
            </w:pPr>
            <w:r>
              <w:rPr>
                <w:rFonts w:hint="eastAsia" w:ascii="Times New Roman"/>
                <w:color w:val="auto"/>
                <w:sz w:val="21"/>
                <w:szCs w:val="24"/>
                <w:highlight w:val="none"/>
                <w:lang w:bidi="ar"/>
              </w:rPr>
              <w:t>集中收集，</w:t>
            </w:r>
            <w:r>
              <w:rPr>
                <w:rFonts w:hint="eastAsia" w:ascii="Times New Roman"/>
                <w:color w:val="auto"/>
                <w:sz w:val="21"/>
                <w:szCs w:val="24"/>
                <w:highlight w:val="none"/>
                <w:lang w:val="en-US" w:eastAsia="zh-CN" w:bidi="ar"/>
              </w:rPr>
              <w:t>综合利用厂区修路</w:t>
            </w:r>
          </w:p>
        </w:tc>
      </w:tr>
    </w:tbl>
    <w:p w14:paraId="151A2634">
      <w:pPr>
        <w:bidi w:val="0"/>
        <w:spacing w:line="360" w:lineRule="auto"/>
        <w:rPr>
          <w:b/>
          <w:bCs/>
          <w:color w:val="auto"/>
          <w:highlight w:val="none"/>
        </w:rPr>
      </w:pPr>
      <w:r>
        <w:rPr>
          <w:rFonts w:hint="eastAsia"/>
          <w:b/>
          <w:bCs/>
          <w:color w:val="auto"/>
          <w:highlight w:val="none"/>
        </w:rPr>
        <w:t>3.3.</w:t>
      </w:r>
      <w:r>
        <w:rPr>
          <w:rFonts w:hint="eastAsia"/>
          <w:b/>
          <w:bCs/>
          <w:color w:val="auto"/>
          <w:highlight w:val="none"/>
          <w:lang w:val="en-US" w:eastAsia="zh-CN"/>
        </w:rPr>
        <w:t>2</w:t>
      </w:r>
      <w:r>
        <w:rPr>
          <w:rFonts w:hint="eastAsia"/>
          <w:b/>
          <w:bCs/>
          <w:color w:val="auto"/>
          <w:highlight w:val="none"/>
        </w:rPr>
        <w:t>.5</w:t>
      </w:r>
      <w:r>
        <w:rPr>
          <w:b/>
          <w:bCs/>
          <w:color w:val="auto"/>
          <w:highlight w:val="none"/>
        </w:rPr>
        <w:t>生态</w:t>
      </w:r>
      <w:r>
        <w:rPr>
          <w:rFonts w:hint="eastAsia"/>
          <w:b/>
          <w:bCs/>
          <w:color w:val="auto"/>
          <w:highlight w:val="none"/>
        </w:rPr>
        <w:t>影响因素</w:t>
      </w:r>
      <w:r>
        <w:rPr>
          <w:b/>
          <w:bCs/>
          <w:color w:val="auto"/>
          <w:highlight w:val="none"/>
        </w:rPr>
        <w:t>分析</w:t>
      </w:r>
    </w:p>
    <w:p w14:paraId="632792FB">
      <w:pPr>
        <w:spacing w:line="360" w:lineRule="auto"/>
        <w:ind w:firstLine="480"/>
        <w:rPr>
          <w:rFonts w:ascii="Times New Roman"/>
          <w:color w:val="auto"/>
          <w:highlight w:val="none"/>
        </w:rPr>
      </w:pPr>
      <w:r>
        <w:rPr>
          <w:rFonts w:hint="eastAsia"/>
          <w:color w:val="auto"/>
          <w:highlight w:val="none"/>
          <w:lang w:eastAsia="zh-CN"/>
        </w:rPr>
        <w:t>本项目</w:t>
      </w:r>
      <w:r>
        <w:rPr>
          <w:rFonts w:hint="eastAsia" w:ascii="Times New Roman"/>
          <w:color w:val="auto"/>
          <w:highlight w:val="none"/>
        </w:rPr>
        <w:t>位于</w:t>
      </w:r>
      <w:r>
        <w:rPr>
          <w:rFonts w:hint="eastAsia" w:ascii="Times New Roman" w:hAnsi="宋体" w:eastAsia="宋体" w:cs="Times New Roman"/>
          <w:color w:val="auto"/>
          <w:kern w:val="0"/>
          <w:sz w:val="24"/>
          <w:szCs w:val="24"/>
          <w:highlight w:val="none"/>
          <w:lang w:val="en-US" w:eastAsia="zh-CN"/>
        </w:rPr>
        <w:t>黑龙江省哈尔滨市</w:t>
      </w:r>
      <w:r>
        <w:rPr>
          <w:rFonts w:hint="default" w:ascii="Times New Roman" w:hAnsi="宋体" w:eastAsia="宋体" w:cs="Times New Roman"/>
          <w:color w:val="auto"/>
          <w:kern w:val="0"/>
          <w:sz w:val="24"/>
          <w:szCs w:val="24"/>
          <w:highlight w:val="none"/>
          <w:lang w:val="en-US" w:eastAsia="zh-CN"/>
        </w:rPr>
        <w:t>尚志市元宝镇元宝村新村北侧</w:t>
      </w:r>
      <w:r>
        <w:rPr>
          <w:rFonts w:hint="eastAsia" w:ascii="Times New Roman"/>
          <w:color w:val="auto"/>
          <w:highlight w:val="none"/>
          <w:lang w:val="en-US" w:eastAsia="zh-CN"/>
        </w:rPr>
        <w:t>。废弃</w:t>
      </w:r>
      <w:r>
        <w:rPr>
          <w:rFonts w:hint="eastAsia" w:asciiTheme="minorEastAsia" w:hAnsiTheme="minorEastAsia" w:eastAsiaTheme="minorEastAsia" w:cstheme="minorEastAsia"/>
          <w:color w:val="auto"/>
          <w:szCs w:val="24"/>
          <w:highlight w:val="none"/>
        </w:rPr>
        <w:t>采砂坑</w:t>
      </w:r>
      <w:r>
        <w:rPr>
          <w:rFonts w:ascii="Times New Roman"/>
          <w:color w:val="auto"/>
          <w:highlight w:val="none"/>
        </w:rPr>
        <w:t>不仅成为威胁周围环境的重大隐患，也造成了环境污染、水土流失等次生灾害，恶化了生态环境，给当地居民的生命财产安全构成了严重威胁。</w:t>
      </w:r>
    </w:p>
    <w:p w14:paraId="46D86F94">
      <w:pPr>
        <w:spacing w:line="360" w:lineRule="auto"/>
        <w:ind w:firstLine="480"/>
        <w:rPr>
          <w:rFonts w:ascii="Times New Roman"/>
          <w:color w:val="auto"/>
          <w:highlight w:val="none"/>
        </w:rPr>
      </w:pPr>
      <w:r>
        <w:rPr>
          <w:rFonts w:hint="eastAsia" w:ascii="Times New Roman"/>
          <w:color w:val="auto"/>
          <w:highlight w:val="none"/>
          <w:lang w:eastAsia="zh-CN"/>
        </w:rPr>
        <w:t>本项目</w:t>
      </w:r>
      <w:r>
        <w:rPr>
          <w:rFonts w:hint="eastAsia" w:ascii="Times New Roman"/>
          <w:color w:val="auto"/>
          <w:highlight w:val="none"/>
        </w:rPr>
        <w:t>为</w:t>
      </w:r>
      <w:r>
        <w:rPr>
          <w:rFonts w:hint="eastAsia" w:ascii="宋体" w:hAnsi="Times New Roman" w:eastAsia="宋体" w:cs="Times New Roman"/>
          <w:color w:val="auto"/>
          <w:highlight w:val="none"/>
          <w:lang w:val="en-US" w:eastAsia="zh-CN"/>
        </w:rPr>
        <w:t>灰渣回填复垦利用项目</w:t>
      </w:r>
      <w:r>
        <w:rPr>
          <w:rFonts w:ascii="Times New Roman"/>
          <w:color w:val="auto"/>
          <w:highlight w:val="none"/>
        </w:rPr>
        <w:t>，</w:t>
      </w:r>
      <w:r>
        <w:rPr>
          <w:rFonts w:ascii="Times New Roman"/>
          <w:color w:val="auto"/>
          <w:szCs w:val="24"/>
          <w:highlight w:val="none"/>
        </w:rPr>
        <w:t>综合利用</w:t>
      </w:r>
      <w:r>
        <w:rPr>
          <w:rFonts w:hint="eastAsia"/>
          <w:color w:val="auto"/>
          <w:highlight w:val="none"/>
          <w:lang w:val="en-US" w:eastAsia="zh-CN"/>
        </w:rPr>
        <w:t>灰渣</w:t>
      </w:r>
      <w:r>
        <w:rPr>
          <w:rFonts w:ascii="Times New Roman"/>
          <w:color w:val="auto"/>
          <w:szCs w:val="24"/>
          <w:highlight w:val="none"/>
        </w:rPr>
        <w:t>进行</w:t>
      </w:r>
      <w:r>
        <w:rPr>
          <w:rFonts w:hint="eastAsia" w:ascii="Times New Roman"/>
          <w:color w:val="auto"/>
          <w:szCs w:val="24"/>
          <w:highlight w:val="none"/>
          <w:lang w:val="en-US" w:eastAsia="zh-CN"/>
        </w:rPr>
        <w:t>修复</w:t>
      </w:r>
      <w:r>
        <w:rPr>
          <w:rFonts w:ascii="Times New Roman"/>
          <w:color w:val="auto"/>
          <w:szCs w:val="24"/>
          <w:highlight w:val="none"/>
        </w:rPr>
        <w:t>回填，项目</w:t>
      </w:r>
      <w:r>
        <w:rPr>
          <w:rFonts w:hint="eastAsia" w:ascii="Times New Roman"/>
          <w:color w:val="auto"/>
          <w:szCs w:val="24"/>
          <w:highlight w:val="none"/>
          <w:lang w:val="en-US" w:eastAsia="zh-CN"/>
        </w:rPr>
        <w:t>回填</w:t>
      </w:r>
      <w:r>
        <w:rPr>
          <w:rFonts w:ascii="Times New Roman"/>
          <w:color w:val="auto"/>
          <w:szCs w:val="24"/>
          <w:highlight w:val="none"/>
        </w:rPr>
        <w:t>完毕后对区域进行覆土</w:t>
      </w:r>
      <w:r>
        <w:rPr>
          <w:rFonts w:hint="eastAsia" w:ascii="Times New Roman"/>
          <w:color w:val="auto"/>
          <w:szCs w:val="24"/>
          <w:highlight w:val="none"/>
          <w:lang w:val="en-US" w:eastAsia="zh-CN"/>
        </w:rPr>
        <w:t>绿化</w:t>
      </w:r>
      <w:r>
        <w:rPr>
          <w:rFonts w:ascii="Times New Roman"/>
          <w:color w:val="auto"/>
          <w:szCs w:val="24"/>
          <w:highlight w:val="none"/>
        </w:rPr>
        <w:t>治理</w:t>
      </w:r>
      <w:r>
        <w:rPr>
          <w:rFonts w:hint="eastAsia" w:ascii="Times New Roman"/>
          <w:bCs/>
          <w:color w:val="auto"/>
          <w:szCs w:val="24"/>
          <w:highlight w:val="none"/>
        </w:rPr>
        <w:t>。</w:t>
      </w:r>
      <w:r>
        <w:rPr>
          <w:rFonts w:hint="eastAsia" w:ascii="Times New Roman"/>
          <w:color w:val="auto"/>
          <w:highlight w:val="none"/>
        </w:rPr>
        <w:t>本项目</w:t>
      </w:r>
      <w:r>
        <w:rPr>
          <w:rFonts w:ascii="Times New Roman"/>
          <w:color w:val="auto"/>
          <w:highlight w:val="none"/>
        </w:rPr>
        <w:t>对生态环境的负面影响主要表现在对场地</w:t>
      </w:r>
      <w:r>
        <w:rPr>
          <w:rFonts w:hint="eastAsia"/>
          <w:color w:val="auto"/>
          <w:highlight w:val="none"/>
          <w:lang w:val="en-US" w:eastAsia="zh-CN"/>
        </w:rPr>
        <w:t>平整</w:t>
      </w:r>
      <w:r>
        <w:rPr>
          <w:rFonts w:ascii="Times New Roman"/>
          <w:color w:val="auto"/>
          <w:highlight w:val="none"/>
        </w:rPr>
        <w:t>、</w:t>
      </w:r>
      <w:r>
        <w:rPr>
          <w:rFonts w:hint="eastAsia" w:ascii="Times New Roman"/>
          <w:color w:val="auto"/>
          <w:highlight w:val="none"/>
        </w:rPr>
        <w:t>一般固体废物的回填、覆土绿化建设</w:t>
      </w:r>
      <w:r>
        <w:rPr>
          <w:rFonts w:ascii="Times New Roman"/>
          <w:color w:val="auto"/>
          <w:highlight w:val="none"/>
        </w:rPr>
        <w:t>等会对地表植被造成破坏和影响</w:t>
      </w:r>
      <w:r>
        <w:rPr>
          <w:rFonts w:hint="eastAsia" w:ascii="Times New Roman"/>
          <w:color w:val="auto"/>
          <w:highlight w:val="none"/>
        </w:rPr>
        <w:t>，项目作业期间扰动面积</w:t>
      </w:r>
      <w:r>
        <w:rPr>
          <w:rFonts w:hint="eastAsia" w:ascii="Times New Roman" w:hAnsi="宋体" w:eastAsia="宋体" w:cs="Times New Roman"/>
          <w:color w:val="auto"/>
          <w:kern w:val="0"/>
          <w:sz w:val="24"/>
          <w:szCs w:val="24"/>
          <w:highlight w:val="none"/>
          <w:lang w:val="en-US" w:eastAsia="zh-CN"/>
        </w:rPr>
        <w:t>11296.10</w:t>
      </w:r>
      <w:r>
        <w:rPr>
          <w:rFonts w:hint="eastAsia" w:ascii="Times New Roman"/>
          <w:bCs/>
          <w:iCs/>
          <w:color w:val="auto"/>
          <w:kern w:val="2"/>
          <w:szCs w:val="24"/>
          <w:highlight w:val="none"/>
        </w:rPr>
        <w:t>m</w:t>
      </w:r>
      <w:r>
        <w:rPr>
          <w:rFonts w:hint="eastAsia" w:ascii="Times New Roman"/>
          <w:bCs/>
          <w:iCs/>
          <w:color w:val="auto"/>
          <w:kern w:val="2"/>
          <w:szCs w:val="24"/>
          <w:highlight w:val="none"/>
          <w:vertAlign w:val="superscript"/>
        </w:rPr>
        <w:t>2</w:t>
      </w:r>
      <w:r>
        <w:rPr>
          <w:rFonts w:hint="eastAsia" w:ascii="Times New Roman"/>
          <w:color w:val="auto"/>
          <w:highlight w:val="none"/>
        </w:rPr>
        <w:t>，</w:t>
      </w:r>
      <w:r>
        <w:rPr>
          <w:rFonts w:ascii="Times New Roman"/>
          <w:color w:val="auto"/>
          <w:highlight w:val="none"/>
        </w:rPr>
        <w:t>项目回填完成后，矿山区域内土地得到了修复，</w:t>
      </w:r>
      <w:r>
        <w:rPr>
          <w:rFonts w:hint="eastAsia"/>
          <w:color w:val="auto"/>
          <w:highlight w:val="none"/>
          <w:lang w:val="en-US" w:eastAsia="zh-CN"/>
        </w:rPr>
        <w:t>恢复成林地，</w:t>
      </w:r>
      <w:r>
        <w:rPr>
          <w:rFonts w:ascii="Times New Roman"/>
          <w:color w:val="auto"/>
          <w:highlight w:val="none"/>
        </w:rPr>
        <w:t>土地利用率提高，对生态环境的改善起到积极作用。</w:t>
      </w:r>
    </w:p>
    <w:p w14:paraId="2A18EEE0">
      <w:pPr>
        <w:bidi w:val="0"/>
        <w:spacing w:line="360" w:lineRule="auto"/>
        <w:rPr>
          <w:rFonts w:hint="eastAsia"/>
          <w:b/>
          <w:bCs/>
          <w:color w:val="auto"/>
          <w:highlight w:val="none"/>
        </w:rPr>
      </w:pPr>
      <w:r>
        <w:rPr>
          <w:rFonts w:hint="eastAsia"/>
          <w:b/>
          <w:bCs/>
          <w:color w:val="auto"/>
          <w:highlight w:val="none"/>
          <w:lang w:val="en-US" w:eastAsia="zh-CN"/>
        </w:rPr>
        <w:t>3.3.2.6地下水污染源分析</w:t>
      </w:r>
    </w:p>
    <w:p w14:paraId="143409D1">
      <w:pPr>
        <w:spacing w:line="360" w:lineRule="auto"/>
        <w:ind w:firstLine="480"/>
        <w:rPr>
          <w:color w:val="auto"/>
          <w:highlight w:val="none"/>
        </w:rPr>
      </w:pPr>
      <w:r>
        <w:rPr>
          <w:rFonts w:hint="eastAsia"/>
          <w:color w:val="auto"/>
          <w:highlight w:val="none"/>
        </w:rPr>
        <w:t>回填期间由于回填过程为露天作业，如遇雨季，</w:t>
      </w:r>
      <w:r>
        <w:rPr>
          <w:rFonts w:hint="eastAsia"/>
          <w:color w:val="auto"/>
          <w:highlight w:val="none"/>
          <w:lang w:val="en-US" w:eastAsia="zh-CN"/>
        </w:rPr>
        <w:t>灰渣</w:t>
      </w:r>
      <w:r>
        <w:rPr>
          <w:rFonts w:hint="eastAsia"/>
          <w:color w:val="auto"/>
          <w:highlight w:val="none"/>
        </w:rPr>
        <w:t>经降雨淋溶后，其中的可溶性元素可随雨水迁移渗出后成为</w:t>
      </w:r>
      <w:r>
        <w:rPr>
          <w:rFonts w:hint="eastAsia" w:ascii="Times New Roman"/>
          <w:color w:val="auto"/>
          <w:szCs w:val="28"/>
          <w:highlight w:val="none"/>
          <w:lang w:eastAsia="zh-CN"/>
        </w:rPr>
        <w:t>淋滤水</w:t>
      </w:r>
      <w:r>
        <w:rPr>
          <w:rFonts w:hint="eastAsia"/>
          <w:color w:val="auto"/>
          <w:highlight w:val="none"/>
        </w:rPr>
        <w:t>，</w:t>
      </w:r>
      <w:r>
        <w:rPr>
          <w:rFonts w:hint="eastAsia" w:ascii="Times New Roman"/>
          <w:color w:val="auto"/>
          <w:szCs w:val="28"/>
          <w:highlight w:val="none"/>
          <w:lang w:eastAsia="zh-CN"/>
        </w:rPr>
        <w:t>淋滤水</w:t>
      </w:r>
      <w:r>
        <w:rPr>
          <w:rFonts w:hint="eastAsia"/>
          <w:color w:val="auto"/>
          <w:highlight w:val="none"/>
        </w:rPr>
        <w:t>进入土壤和地下水后，会对土壤</w:t>
      </w:r>
      <w:r>
        <w:rPr>
          <w:rFonts w:hint="eastAsia"/>
          <w:color w:val="auto"/>
          <w:highlight w:val="none"/>
          <w:lang w:eastAsia="zh-CN"/>
        </w:rPr>
        <w:t>，</w:t>
      </w:r>
      <w:r>
        <w:rPr>
          <w:rFonts w:hint="eastAsia"/>
          <w:color w:val="auto"/>
          <w:highlight w:val="none"/>
        </w:rPr>
        <w:t>以及地下水产生一定的影响。</w:t>
      </w:r>
    </w:p>
    <w:p w14:paraId="5CD45F12">
      <w:pPr>
        <w:spacing w:line="360" w:lineRule="auto"/>
        <w:ind w:firstLine="480"/>
        <w:rPr>
          <w:color w:val="auto"/>
          <w:highlight w:val="none"/>
        </w:rPr>
      </w:pPr>
      <w:r>
        <w:rPr>
          <w:rFonts w:hint="eastAsia"/>
          <w:color w:val="auto"/>
          <w:highlight w:val="none"/>
        </w:rPr>
        <w:t>①正常情况下</w:t>
      </w:r>
      <w:r>
        <w:rPr>
          <w:rFonts w:hint="eastAsia" w:ascii="Times New Roman"/>
          <w:color w:val="auto"/>
          <w:szCs w:val="28"/>
          <w:highlight w:val="none"/>
          <w:lang w:eastAsia="zh-CN"/>
        </w:rPr>
        <w:t>淋滤水</w:t>
      </w:r>
      <w:r>
        <w:rPr>
          <w:rFonts w:hint="eastAsia"/>
          <w:color w:val="auto"/>
          <w:highlight w:val="none"/>
        </w:rPr>
        <w:t>产生量</w:t>
      </w:r>
    </w:p>
    <w:p w14:paraId="7122D660">
      <w:pPr>
        <w:adjustRightInd w:val="0"/>
        <w:spacing w:line="360" w:lineRule="auto"/>
        <w:ind w:firstLine="480"/>
        <w:rPr>
          <w:rFonts w:hint="eastAsia"/>
          <w:color w:val="auto"/>
          <w:highlight w:val="none"/>
          <w:lang w:eastAsia="zh-CN"/>
        </w:rPr>
      </w:pPr>
      <w:r>
        <w:rPr>
          <w:rFonts w:hint="eastAsia" w:ascii="Times New Roman"/>
          <w:color w:val="auto"/>
          <w:szCs w:val="32"/>
          <w:highlight w:val="none"/>
        </w:rPr>
        <w:t>本</w:t>
      </w:r>
      <w:r>
        <w:rPr>
          <w:rFonts w:hint="eastAsia" w:ascii="Times New Roman"/>
          <w:color w:val="auto"/>
          <w:szCs w:val="24"/>
          <w:highlight w:val="none"/>
        </w:rPr>
        <w:t>项目</w:t>
      </w:r>
      <w:r>
        <w:rPr>
          <w:rFonts w:hint="eastAsia"/>
          <w:color w:val="auto"/>
          <w:szCs w:val="28"/>
          <w:highlight w:val="none"/>
          <w:lang w:val="en-US" w:eastAsia="zh-CN"/>
        </w:rPr>
        <w:t>回填</w:t>
      </w:r>
      <w:r>
        <w:rPr>
          <w:rFonts w:hint="eastAsia"/>
          <w:color w:val="auto"/>
          <w:highlight w:val="none"/>
          <w:lang w:val="en-US" w:eastAsia="zh-CN"/>
        </w:rPr>
        <w:t>灰渣</w:t>
      </w:r>
      <w:r>
        <w:rPr>
          <w:rFonts w:hint="eastAsia" w:ascii="Times New Roman"/>
          <w:color w:val="auto"/>
          <w:szCs w:val="28"/>
          <w:highlight w:val="none"/>
        </w:rPr>
        <w:t>的含水率</w:t>
      </w:r>
      <w:r>
        <w:rPr>
          <w:rFonts w:hint="eastAsia"/>
          <w:color w:val="auto"/>
          <w:szCs w:val="28"/>
          <w:highlight w:val="none"/>
          <w:lang w:val="en-US" w:eastAsia="zh-CN"/>
        </w:rPr>
        <w:t>约</w:t>
      </w:r>
      <w:r>
        <w:rPr>
          <w:rFonts w:hint="eastAsia" w:ascii="Times New Roman"/>
          <w:color w:val="auto"/>
          <w:szCs w:val="28"/>
          <w:highlight w:val="none"/>
        </w:rPr>
        <w:t>为</w:t>
      </w:r>
      <w:r>
        <w:rPr>
          <w:rFonts w:hint="eastAsia"/>
          <w:color w:val="auto"/>
          <w:szCs w:val="28"/>
          <w:highlight w:val="none"/>
          <w:lang w:val="en-US" w:eastAsia="zh-CN"/>
        </w:rPr>
        <w:t>10</w:t>
      </w:r>
      <w:r>
        <w:rPr>
          <w:rFonts w:hint="eastAsia" w:ascii="Times New Roman"/>
          <w:color w:val="auto"/>
          <w:szCs w:val="28"/>
          <w:highlight w:val="none"/>
        </w:rPr>
        <w:t>%，</w:t>
      </w:r>
      <w:r>
        <w:rPr>
          <w:rFonts w:ascii="Times New Roman"/>
          <w:color w:val="auto"/>
          <w:szCs w:val="28"/>
          <w:highlight w:val="none"/>
        </w:rPr>
        <w:t>一般达不到充分浸泡的状态，</w:t>
      </w:r>
      <w:r>
        <w:rPr>
          <w:rFonts w:hint="eastAsia"/>
          <w:color w:val="auto"/>
          <w:highlight w:val="none"/>
        </w:rPr>
        <w:t>不产生</w:t>
      </w:r>
      <w:r>
        <w:rPr>
          <w:rFonts w:hint="eastAsia" w:ascii="Times New Roman"/>
          <w:color w:val="auto"/>
          <w:szCs w:val="28"/>
          <w:highlight w:val="none"/>
          <w:lang w:eastAsia="zh-CN"/>
        </w:rPr>
        <w:t>淋滤水</w:t>
      </w:r>
      <w:r>
        <w:rPr>
          <w:rFonts w:hint="eastAsia"/>
          <w:color w:val="auto"/>
          <w:highlight w:val="none"/>
          <w:lang w:eastAsia="zh-CN"/>
        </w:rPr>
        <w:t>。</w:t>
      </w:r>
    </w:p>
    <w:p w14:paraId="46EAA621">
      <w:pPr>
        <w:adjustRightInd w:val="0"/>
        <w:spacing w:line="360" w:lineRule="auto"/>
        <w:ind w:firstLine="480"/>
        <w:rPr>
          <w:rFonts w:hint="eastAsia"/>
          <w:color w:val="auto"/>
          <w:highlight w:val="none"/>
          <w:lang w:eastAsia="zh-CN"/>
        </w:rPr>
      </w:pPr>
      <w:r>
        <w:rPr>
          <w:rFonts w:hint="eastAsia"/>
          <w:color w:val="auto"/>
          <w:highlight w:val="none"/>
        </w:rPr>
        <w:t>本项目</w:t>
      </w:r>
      <w:r>
        <w:rPr>
          <w:rFonts w:hint="eastAsia" w:ascii="Times New Roman"/>
          <w:color w:val="auto"/>
          <w:highlight w:val="none"/>
          <w:lang w:val="en-US" w:eastAsia="zh-CN"/>
        </w:rPr>
        <w:t>采砂坑</w:t>
      </w:r>
      <w:r>
        <w:rPr>
          <w:rFonts w:hint="eastAsia"/>
          <w:color w:val="auto"/>
          <w:highlight w:val="none"/>
        </w:rPr>
        <w:t>回填区内汇水以降雨</w:t>
      </w:r>
      <w:r>
        <w:rPr>
          <w:rFonts w:hint="eastAsia" w:ascii="Times New Roman" w:hAnsi="Times New Roman" w:eastAsia="宋体"/>
          <w:b w:val="0"/>
          <w:bCs w:val="0"/>
          <w:color w:val="auto"/>
          <w:sz w:val="24"/>
          <w:szCs w:val="24"/>
          <w:highlight w:val="none"/>
        </w:rPr>
        <w:t>淋滤水</w:t>
      </w:r>
      <w:r>
        <w:rPr>
          <w:rFonts w:hint="eastAsia"/>
          <w:color w:val="auto"/>
          <w:highlight w:val="none"/>
        </w:rPr>
        <w:t>为主，</w:t>
      </w:r>
      <w:r>
        <w:rPr>
          <w:rFonts w:hint="eastAsia" w:ascii="Times New Roman"/>
          <w:color w:val="auto"/>
          <w:highlight w:val="none"/>
          <w:lang w:val="en-US" w:eastAsia="zh-CN"/>
        </w:rPr>
        <w:t>采砂坑</w:t>
      </w:r>
      <w:r>
        <w:rPr>
          <w:rFonts w:hint="eastAsia"/>
          <w:color w:val="auto"/>
          <w:highlight w:val="none"/>
          <w:lang w:val="en-US" w:eastAsia="zh-CN"/>
        </w:rPr>
        <w:t>西侧和北侧</w:t>
      </w:r>
      <w:r>
        <w:rPr>
          <w:rFonts w:hint="eastAsia"/>
          <w:color w:val="auto"/>
          <w:highlight w:val="none"/>
        </w:rPr>
        <w:t>设</w:t>
      </w:r>
      <w:r>
        <w:rPr>
          <w:rFonts w:hint="eastAsia"/>
          <w:color w:val="auto"/>
          <w:highlight w:val="none"/>
          <w:lang w:eastAsia="zh-CN"/>
        </w:rPr>
        <w:t>拦挡埂</w:t>
      </w:r>
      <w:r>
        <w:rPr>
          <w:rFonts w:hint="eastAsia"/>
          <w:color w:val="auto"/>
          <w:highlight w:val="none"/>
        </w:rPr>
        <w:t>，外部雨水不会进入回填区</w:t>
      </w:r>
      <w:r>
        <w:rPr>
          <w:rFonts w:hint="eastAsia"/>
          <w:color w:val="auto"/>
          <w:highlight w:val="none"/>
          <w:lang w:eastAsia="zh-CN"/>
        </w:rPr>
        <w:t>。</w:t>
      </w:r>
      <w:r>
        <w:rPr>
          <w:rFonts w:hint="eastAsia"/>
          <w:color w:val="auto"/>
          <w:highlight w:val="none"/>
        </w:rPr>
        <w:t>汇水面积为回填区面积</w:t>
      </w:r>
      <w:r>
        <w:rPr>
          <w:rFonts w:hint="eastAsia" w:ascii="Times New Roman" w:hAnsi="宋体" w:eastAsia="宋体" w:cs="Times New Roman"/>
          <w:color w:val="auto"/>
          <w:kern w:val="0"/>
          <w:sz w:val="24"/>
          <w:szCs w:val="24"/>
          <w:highlight w:val="none"/>
          <w:lang w:val="en-US" w:eastAsia="zh-CN"/>
        </w:rPr>
        <w:t>11296.10</w:t>
      </w:r>
      <w:r>
        <w:rPr>
          <w:rFonts w:hint="eastAsia" w:ascii="Times New Roman"/>
          <w:bCs/>
          <w:iCs/>
          <w:color w:val="auto"/>
          <w:kern w:val="2"/>
          <w:szCs w:val="24"/>
          <w:highlight w:val="none"/>
        </w:rPr>
        <w:t>m</w:t>
      </w:r>
      <w:r>
        <w:rPr>
          <w:rFonts w:hint="eastAsia" w:ascii="Times New Roman"/>
          <w:bCs/>
          <w:iCs/>
          <w:color w:val="auto"/>
          <w:kern w:val="2"/>
          <w:szCs w:val="24"/>
          <w:highlight w:val="none"/>
          <w:vertAlign w:val="superscript"/>
        </w:rPr>
        <w:t>2</w:t>
      </w:r>
      <w:r>
        <w:rPr>
          <w:rFonts w:hint="eastAsia"/>
          <w:color w:val="auto"/>
          <w:highlight w:val="none"/>
        </w:rPr>
        <w:t>，可汇集到回填区内地势低洼处</w:t>
      </w:r>
      <w:r>
        <w:rPr>
          <w:rFonts w:hint="eastAsia"/>
          <w:color w:val="auto"/>
          <w:highlight w:val="none"/>
          <w:lang w:eastAsia="zh-CN"/>
        </w:rPr>
        <w:t>（</w:t>
      </w:r>
      <w:r>
        <w:rPr>
          <w:rFonts w:hint="eastAsia"/>
          <w:color w:val="auto"/>
          <w:highlight w:val="none"/>
          <w:lang w:val="en-US" w:eastAsia="zh-CN"/>
        </w:rPr>
        <w:t>回填区东南侧</w:t>
      </w:r>
      <w:r>
        <w:rPr>
          <w:rFonts w:hint="eastAsia"/>
          <w:color w:val="auto"/>
          <w:highlight w:val="none"/>
          <w:lang w:eastAsia="zh-CN"/>
        </w:rPr>
        <w:t>）</w:t>
      </w:r>
      <w:r>
        <w:rPr>
          <w:rFonts w:hint="eastAsia"/>
          <w:color w:val="auto"/>
          <w:highlight w:val="none"/>
        </w:rPr>
        <w:t>，经自然沉淀作为回填区降尘用水。</w:t>
      </w:r>
    </w:p>
    <w:p w14:paraId="05CA7742">
      <w:pPr>
        <w:adjustRightInd w:val="0"/>
        <w:spacing w:line="360" w:lineRule="auto"/>
        <w:ind w:firstLine="480"/>
        <w:rPr>
          <w:rFonts w:ascii="Times New Roman"/>
          <w:color w:val="auto"/>
          <w:szCs w:val="32"/>
          <w:highlight w:val="none"/>
        </w:rPr>
      </w:pPr>
      <w:r>
        <w:rPr>
          <w:rFonts w:hint="eastAsia" w:cs="宋体"/>
          <w:color w:val="auto"/>
          <w:kern w:val="0"/>
          <w:highlight w:val="none"/>
          <w:lang w:bidi="ar"/>
        </w:rPr>
        <w:t>从</w:t>
      </w:r>
      <w:r>
        <w:rPr>
          <w:rFonts w:hint="eastAsia" w:cs="宋体"/>
          <w:color w:val="auto"/>
          <w:kern w:val="0"/>
          <w:highlight w:val="none"/>
          <w:lang w:val="en-US" w:eastAsia="zh-CN" w:bidi="ar"/>
        </w:rPr>
        <w:t>哈尔滨市尚志市</w:t>
      </w:r>
      <w:r>
        <w:rPr>
          <w:rFonts w:hint="eastAsia" w:cs="宋体"/>
          <w:color w:val="auto"/>
          <w:kern w:val="0"/>
          <w:highlight w:val="none"/>
          <w:lang w:bidi="ar"/>
        </w:rPr>
        <w:t>当地降雨情况看，</w:t>
      </w:r>
      <w:r>
        <w:rPr>
          <w:rFonts w:ascii="Times New Roman"/>
          <w:color w:val="auto"/>
          <w:szCs w:val="28"/>
          <w:highlight w:val="none"/>
        </w:rPr>
        <w:t>由于蒸发量较大，在正常降雨的情况下，雨水渗入</w:t>
      </w:r>
      <w:r>
        <w:rPr>
          <w:rFonts w:hint="eastAsia"/>
          <w:color w:val="auto"/>
          <w:highlight w:val="none"/>
          <w:lang w:val="en-US" w:eastAsia="zh-CN"/>
        </w:rPr>
        <w:t>灰渣</w:t>
      </w:r>
      <w:r>
        <w:rPr>
          <w:rFonts w:ascii="Times New Roman"/>
          <w:color w:val="auto"/>
          <w:szCs w:val="28"/>
          <w:highlight w:val="none"/>
        </w:rPr>
        <w:t>堆体，随之逐渐蒸发消失，</w:t>
      </w:r>
      <w:r>
        <w:rPr>
          <w:rFonts w:hint="eastAsia"/>
          <w:color w:val="auto"/>
          <w:highlight w:val="none"/>
          <w:lang w:val="en-US" w:eastAsia="zh-CN"/>
        </w:rPr>
        <w:t>灰渣</w:t>
      </w:r>
      <w:r>
        <w:rPr>
          <w:rFonts w:ascii="Times New Roman"/>
          <w:color w:val="auto"/>
          <w:szCs w:val="28"/>
          <w:highlight w:val="none"/>
        </w:rPr>
        <w:t>一般达不到充分浸泡的状态，正常情况下不会产生大量</w:t>
      </w:r>
      <w:r>
        <w:rPr>
          <w:rFonts w:hint="eastAsia"/>
          <w:color w:val="auto"/>
          <w:szCs w:val="28"/>
          <w:highlight w:val="none"/>
          <w:lang w:eastAsia="zh-CN"/>
        </w:rPr>
        <w:t>淋滤水。</w:t>
      </w:r>
      <w:r>
        <w:rPr>
          <w:rFonts w:ascii="Times New Roman"/>
          <w:color w:val="auto"/>
          <w:szCs w:val="32"/>
          <w:highlight w:val="none"/>
        </w:rPr>
        <w:t>因此，运行期正常工况下对地下水产生影响的可</w:t>
      </w:r>
      <w:r>
        <w:rPr>
          <w:rFonts w:hint="eastAsia"/>
          <w:color w:val="auto"/>
          <w:szCs w:val="32"/>
          <w:highlight w:val="none"/>
          <w:lang w:eastAsia="zh-CN"/>
        </w:rPr>
        <w:t>能性</w:t>
      </w:r>
      <w:r>
        <w:rPr>
          <w:rFonts w:ascii="Times New Roman"/>
          <w:color w:val="auto"/>
          <w:szCs w:val="32"/>
          <w:highlight w:val="none"/>
        </w:rPr>
        <w:t>较小。</w:t>
      </w:r>
    </w:p>
    <w:p w14:paraId="5BF77E5C">
      <w:pPr>
        <w:spacing w:line="360" w:lineRule="auto"/>
        <w:ind w:firstLine="480"/>
        <w:rPr>
          <w:rFonts w:hint="eastAsia" w:eastAsia="宋体"/>
          <w:color w:val="auto"/>
          <w:highlight w:val="none"/>
          <w:lang w:eastAsia="zh-CN"/>
        </w:rPr>
      </w:pPr>
      <w:r>
        <w:rPr>
          <w:color w:val="auto"/>
          <w:highlight w:val="none"/>
        </w:rPr>
        <w:t>②降雨时</w:t>
      </w:r>
      <w:r>
        <w:rPr>
          <w:rFonts w:hint="eastAsia" w:ascii="Times New Roman"/>
          <w:color w:val="auto"/>
          <w:szCs w:val="28"/>
          <w:highlight w:val="none"/>
          <w:lang w:eastAsia="zh-CN"/>
        </w:rPr>
        <w:t>淋滤水</w:t>
      </w:r>
      <w:r>
        <w:rPr>
          <w:color w:val="auto"/>
          <w:highlight w:val="none"/>
        </w:rPr>
        <w:t>下渗的产生量</w:t>
      </w:r>
    </w:p>
    <w:p w14:paraId="3BEC9991">
      <w:pPr>
        <w:adjustRightInd w:val="0"/>
        <w:spacing w:line="360" w:lineRule="auto"/>
        <w:ind w:firstLine="480"/>
        <w:rPr>
          <w:rFonts w:ascii="Times New Roman"/>
          <w:color w:val="auto"/>
          <w:szCs w:val="28"/>
          <w:highlight w:val="none"/>
        </w:rPr>
      </w:pPr>
      <w:r>
        <w:rPr>
          <w:rFonts w:hint="eastAsia"/>
          <w:color w:val="auto"/>
          <w:szCs w:val="28"/>
          <w:highlight w:val="none"/>
          <w:lang w:val="en-US" w:eastAsia="zh-CN"/>
        </w:rPr>
        <w:t>非</w:t>
      </w:r>
      <w:r>
        <w:rPr>
          <w:rFonts w:ascii="Times New Roman"/>
          <w:color w:val="auto"/>
          <w:szCs w:val="28"/>
          <w:highlight w:val="none"/>
        </w:rPr>
        <w:t>正常状况下，在</w:t>
      </w:r>
      <w:r>
        <w:rPr>
          <w:rFonts w:hint="eastAsia" w:ascii="Times New Roman"/>
          <w:color w:val="auto"/>
          <w:szCs w:val="28"/>
          <w:highlight w:val="none"/>
        </w:rPr>
        <w:t>极端天气强降雨时期</w:t>
      </w:r>
      <w:r>
        <w:rPr>
          <w:rFonts w:ascii="Times New Roman"/>
          <w:color w:val="auto"/>
          <w:szCs w:val="28"/>
          <w:highlight w:val="none"/>
        </w:rPr>
        <w:t>，</w:t>
      </w:r>
      <w:r>
        <w:rPr>
          <w:rFonts w:hint="eastAsia" w:ascii="Times New Roman"/>
          <w:color w:val="auto"/>
          <w:szCs w:val="28"/>
          <w:highlight w:val="none"/>
        </w:rPr>
        <w:t>回填的</w:t>
      </w:r>
      <w:r>
        <w:rPr>
          <w:rFonts w:hint="eastAsia"/>
          <w:color w:val="auto"/>
          <w:highlight w:val="none"/>
          <w:lang w:val="en-US" w:eastAsia="zh-CN"/>
        </w:rPr>
        <w:t>灰渣</w:t>
      </w:r>
      <w:r>
        <w:rPr>
          <w:rFonts w:hint="eastAsia" w:ascii="Times New Roman"/>
          <w:color w:val="auto"/>
          <w:szCs w:val="28"/>
          <w:highlight w:val="none"/>
        </w:rPr>
        <w:t>经</w:t>
      </w:r>
      <w:r>
        <w:rPr>
          <w:rFonts w:hint="eastAsia"/>
          <w:color w:val="auto"/>
          <w:szCs w:val="28"/>
          <w:highlight w:val="none"/>
          <w:lang w:val="en-US" w:eastAsia="zh-CN"/>
        </w:rPr>
        <w:t>雨</w:t>
      </w:r>
      <w:r>
        <w:rPr>
          <w:rFonts w:hint="eastAsia" w:ascii="Times New Roman"/>
          <w:color w:val="auto"/>
          <w:szCs w:val="28"/>
          <w:highlight w:val="none"/>
        </w:rPr>
        <w:t>水浸泡产生</w:t>
      </w:r>
      <w:r>
        <w:rPr>
          <w:rFonts w:hint="eastAsia"/>
          <w:color w:val="auto"/>
          <w:szCs w:val="28"/>
          <w:highlight w:val="none"/>
          <w:lang w:eastAsia="zh-CN"/>
        </w:rPr>
        <w:t>淋滤水</w:t>
      </w:r>
      <w:r>
        <w:rPr>
          <w:rFonts w:hint="eastAsia" w:ascii="Times New Roman"/>
          <w:color w:val="auto"/>
          <w:szCs w:val="28"/>
          <w:highlight w:val="none"/>
        </w:rPr>
        <w:t>，如区域</w:t>
      </w:r>
      <w:r>
        <w:rPr>
          <w:rFonts w:hint="eastAsia"/>
          <w:color w:val="auto"/>
          <w:szCs w:val="28"/>
          <w:highlight w:val="none"/>
          <w:lang w:eastAsia="zh-CN"/>
        </w:rPr>
        <w:t>淋滤水</w:t>
      </w:r>
      <w:r>
        <w:rPr>
          <w:rFonts w:hint="eastAsia" w:ascii="Times New Roman"/>
          <w:color w:val="auto"/>
          <w:szCs w:val="28"/>
          <w:highlight w:val="none"/>
        </w:rPr>
        <w:t>发生了下渗，可能</w:t>
      </w:r>
      <w:r>
        <w:rPr>
          <w:rFonts w:ascii="Times New Roman"/>
          <w:color w:val="auto"/>
          <w:szCs w:val="28"/>
          <w:highlight w:val="none"/>
        </w:rPr>
        <w:t>会对地下水环境造成污染。</w:t>
      </w:r>
    </w:p>
    <w:p w14:paraId="336C8323">
      <w:pPr>
        <w:pStyle w:val="217"/>
        <w:spacing w:line="360" w:lineRule="auto"/>
        <w:ind w:firstLine="480"/>
        <w:rPr>
          <w:rFonts w:cs="Times New Roman"/>
          <w:color w:val="auto"/>
          <w:highlight w:val="none"/>
        </w:rPr>
      </w:pPr>
      <w:r>
        <w:rPr>
          <w:rFonts w:cs="Times New Roman"/>
          <w:color w:val="auto"/>
          <w:highlight w:val="none"/>
        </w:rPr>
        <w:t>在强降雨状况下，下渗量按下式计算：</w:t>
      </w:r>
    </w:p>
    <w:p w14:paraId="1B3E86EE">
      <w:pPr>
        <w:pStyle w:val="217"/>
        <w:spacing w:line="360" w:lineRule="auto"/>
        <w:ind w:firstLine="480"/>
        <w:jc w:val="center"/>
        <w:rPr>
          <w:rFonts w:cs="Times New Roman"/>
          <w:color w:val="auto"/>
          <w:highlight w:val="none"/>
        </w:rPr>
      </w:pPr>
      <w:r>
        <w:rPr>
          <w:rFonts w:cs="Times New Roman"/>
          <w:color w:val="auto"/>
          <w:highlight w:val="none"/>
        </w:rPr>
        <w:t>A=M×V×T</w:t>
      </w:r>
    </w:p>
    <w:p w14:paraId="5E72DFA2">
      <w:pPr>
        <w:pStyle w:val="217"/>
        <w:ind w:firstLine="480"/>
        <w:rPr>
          <w:rFonts w:cs="Times New Roman"/>
          <w:color w:val="auto"/>
          <w:highlight w:val="none"/>
        </w:rPr>
      </w:pPr>
      <w:r>
        <w:rPr>
          <w:rFonts w:cs="Times New Roman"/>
          <w:color w:val="auto"/>
          <w:highlight w:val="none"/>
        </w:rPr>
        <w:t>式中：</w:t>
      </w:r>
    </w:p>
    <w:p w14:paraId="114430C6">
      <w:pPr>
        <w:pStyle w:val="217"/>
        <w:ind w:firstLine="480"/>
        <w:rPr>
          <w:rFonts w:cs="Times New Roman"/>
          <w:color w:val="auto"/>
          <w:highlight w:val="none"/>
        </w:rPr>
      </w:pPr>
      <w:r>
        <w:rPr>
          <w:rFonts w:cs="Times New Roman"/>
          <w:color w:val="auto"/>
          <w:highlight w:val="none"/>
        </w:rPr>
        <w:t>A—下渗渗漏量，m</w:t>
      </w:r>
      <w:r>
        <w:rPr>
          <w:rFonts w:cs="Times New Roman"/>
          <w:color w:val="auto"/>
          <w:highlight w:val="none"/>
          <w:vertAlign w:val="superscript"/>
        </w:rPr>
        <w:t>3</w:t>
      </w:r>
      <w:r>
        <w:rPr>
          <w:rFonts w:cs="Times New Roman"/>
          <w:color w:val="auto"/>
          <w:highlight w:val="none"/>
        </w:rPr>
        <w:t>/d；</w:t>
      </w:r>
    </w:p>
    <w:p w14:paraId="63F8DAE4">
      <w:pPr>
        <w:pStyle w:val="217"/>
        <w:ind w:firstLine="480"/>
        <w:rPr>
          <w:rFonts w:cs="Times New Roman"/>
          <w:color w:val="auto"/>
          <w:highlight w:val="none"/>
        </w:rPr>
      </w:pPr>
      <w:r>
        <w:rPr>
          <w:rFonts w:cs="Times New Roman"/>
          <w:color w:val="auto"/>
          <w:highlight w:val="none"/>
        </w:rPr>
        <w:t>M—渗漏面积，整体渗漏面积为回填区下部分表面积，为</w:t>
      </w:r>
      <w:r>
        <w:rPr>
          <w:rFonts w:hint="eastAsia" w:ascii="Times New Roman" w:hAnsi="宋体" w:eastAsia="宋体" w:cs="Times New Roman"/>
          <w:color w:val="auto"/>
          <w:kern w:val="0"/>
          <w:sz w:val="24"/>
          <w:szCs w:val="24"/>
          <w:highlight w:val="none"/>
          <w:lang w:val="en-US" w:eastAsia="zh-CN"/>
        </w:rPr>
        <w:t>11296.10</w:t>
      </w:r>
      <w:r>
        <w:rPr>
          <w:rFonts w:hint="eastAsia" w:ascii="Times New Roman"/>
          <w:bCs/>
          <w:iCs/>
          <w:color w:val="auto"/>
          <w:kern w:val="2"/>
          <w:szCs w:val="24"/>
          <w:highlight w:val="none"/>
        </w:rPr>
        <w:t>m</w:t>
      </w:r>
      <w:r>
        <w:rPr>
          <w:rFonts w:hint="eastAsia" w:ascii="Times New Roman"/>
          <w:bCs/>
          <w:iCs/>
          <w:color w:val="auto"/>
          <w:kern w:val="2"/>
          <w:szCs w:val="24"/>
          <w:highlight w:val="none"/>
          <w:vertAlign w:val="superscript"/>
        </w:rPr>
        <w:t>2</w:t>
      </w:r>
      <w:r>
        <w:rPr>
          <w:rFonts w:cs="Times New Roman"/>
          <w:color w:val="auto"/>
          <w:highlight w:val="none"/>
        </w:rPr>
        <w:t>；</w:t>
      </w:r>
    </w:p>
    <w:p w14:paraId="44F5E187">
      <w:pPr>
        <w:pStyle w:val="217"/>
        <w:ind w:firstLine="480"/>
        <w:rPr>
          <w:rFonts w:cs="Times New Roman"/>
          <w:color w:val="auto"/>
          <w:highlight w:val="none"/>
        </w:rPr>
      </w:pPr>
      <w:r>
        <w:rPr>
          <w:rFonts w:cs="Times New Roman"/>
          <w:color w:val="auto"/>
          <w:highlight w:val="none"/>
        </w:rPr>
        <w:t>V—渗透速度，m/s，渗透速度取决于土壤层介质，</w:t>
      </w:r>
      <w:r>
        <w:rPr>
          <w:rFonts w:hint="eastAsia" w:cs="Times New Roman"/>
          <w:color w:val="auto"/>
          <w:highlight w:val="none"/>
          <w:lang w:val="en-US" w:eastAsia="zh-CN"/>
        </w:rPr>
        <w:t>根据</w:t>
      </w:r>
      <w:r>
        <w:rPr>
          <w:rFonts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val="en-US" w:eastAsia="zh-CN"/>
        </w:rPr>
        <w:t>黑龙江</w:t>
      </w:r>
      <w:r>
        <w:rPr>
          <w:rFonts w:hint="eastAsia" w:ascii="Times New Roman" w:hAnsi="Times New Roman" w:eastAsia="宋体" w:cs="Times New Roman"/>
          <w:color w:val="auto"/>
          <w:sz w:val="24"/>
          <w:szCs w:val="24"/>
          <w:highlight w:val="none"/>
        </w:rPr>
        <w:t>嘉龙环保科技有限公司灰渣回填复垦</w:t>
      </w:r>
      <w:r>
        <w:rPr>
          <w:rFonts w:hint="eastAsia" w:ascii="Times New Roman" w:hAnsi="Times New Roman" w:eastAsia="宋体" w:cs="Times New Roman"/>
          <w:color w:val="auto"/>
          <w:sz w:val="24"/>
          <w:szCs w:val="24"/>
          <w:highlight w:val="none"/>
          <w:lang w:val="en-US" w:eastAsia="zh-CN"/>
        </w:rPr>
        <w:t>利用</w:t>
      </w:r>
      <w:r>
        <w:rPr>
          <w:rFonts w:ascii="Times New Roman" w:hAnsi="Times New Roman" w:eastAsia="宋体" w:cs="Times New Roman"/>
          <w:color w:val="auto"/>
          <w:sz w:val="24"/>
          <w:szCs w:val="24"/>
          <w:highlight w:val="none"/>
        </w:rPr>
        <w:t>项目岩土工程勘察报告》</w:t>
      </w:r>
      <w:r>
        <w:rPr>
          <w:rFonts w:hint="eastAsia" w:cs="Times New Roman"/>
          <w:color w:val="auto"/>
          <w:highlight w:val="none"/>
          <w:lang w:eastAsia="zh-CN"/>
        </w:rPr>
        <w:t>，</w:t>
      </w:r>
      <w:r>
        <w:rPr>
          <w:rFonts w:cs="Times New Roman"/>
          <w:color w:val="auto"/>
          <w:highlight w:val="none"/>
        </w:rPr>
        <w:t>本项目对场底渗透系数取</w:t>
      </w:r>
      <w:r>
        <w:rPr>
          <w:rFonts w:hint="eastAsia" w:ascii="Times New Roman" w:hAnsi="Times New Roman" w:eastAsia="宋体" w:cs="Times New Roman"/>
          <w:color w:val="auto"/>
          <w:sz w:val="24"/>
          <w:szCs w:val="24"/>
          <w:highlight w:val="none"/>
          <w:lang w:val="en-US" w:eastAsia="zh-CN"/>
        </w:rPr>
        <w:t>9</w:t>
      </w:r>
      <w:r>
        <w:rPr>
          <w:rFonts w:ascii="Times New Roman" w:hAnsi="Times New Roman" w:eastAsia="宋体" w:cs="Times New Roman"/>
          <w:color w:val="auto"/>
          <w:sz w:val="24"/>
          <w:szCs w:val="24"/>
          <w:highlight w:val="none"/>
        </w:rPr>
        <w:t>.0×10</w:t>
      </w:r>
      <w:r>
        <w:rPr>
          <w:rFonts w:ascii="Times New Roman" w:hAnsi="Times New Roman" w:eastAsia="宋体" w:cs="Times New Roman"/>
          <w:color w:val="auto"/>
          <w:sz w:val="24"/>
          <w:szCs w:val="24"/>
          <w:highlight w:val="none"/>
          <w:vertAlign w:val="superscript"/>
        </w:rPr>
        <w:t>-</w:t>
      </w:r>
      <w:r>
        <w:rPr>
          <w:rFonts w:hint="eastAsia" w:ascii="Times New Roman" w:hAnsi="Times New Roman" w:eastAsia="宋体" w:cs="Times New Roman"/>
          <w:color w:val="auto"/>
          <w:sz w:val="24"/>
          <w:szCs w:val="24"/>
          <w:highlight w:val="none"/>
          <w:vertAlign w:val="superscript"/>
          <w:lang w:val="en-US" w:eastAsia="zh-CN"/>
        </w:rPr>
        <w:t>3</w:t>
      </w:r>
      <w:r>
        <w:rPr>
          <w:rFonts w:cs="Times New Roman"/>
          <w:color w:val="auto"/>
          <w:highlight w:val="none"/>
        </w:rPr>
        <w:t>cm/s；</w:t>
      </w:r>
    </w:p>
    <w:p w14:paraId="7A0873F1">
      <w:pPr>
        <w:pStyle w:val="217"/>
        <w:ind w:firstLine="480"/>
        <w:rPr>
          <w:rFonts w:cs="Times New Roman"/>
          <w:color w:val="auto"/>
          <w:highlight w:val="none"/>
        </w:rPr>
      </w:pPr>
      <w:r>
        <w:rPr>
          <w:rFonts w:cs="Times New Roman"/>
          <w:color w:val="auto"/>
          <w:highlight w:val="none"/>
        </w:rPr>
        <w:t>T—渗漏时间，s。</w:t>
      </w:r>
    </w:p>
    <w:p w14:paraId="5969A8F2">
      <w:pPr>
        <w:pStyle w:val="217"/>
        <w:ind w:firstLine="480"/>
        <w:rPr>
          <w:rFonts w:hint="default" w:cs="Times New Roman"/>
          <w:color w:val="auto"/>
          <w:highlight w:val="none"/>
          <w:lang w:val="en-US" w:eastAsia="zh-CN"/>
        </w:rPr>
      </w:pPr>
      <w:r>
        <w:rPr>
          <w:rFonts w:cs="Times New Roman"/>
          <w:color w:val="auto"/>
          <w:highlight w:val="none"/>
        </w:rPr>
        <w:t>A=M×V×T=</w:t>
      </w:r>
      <w:r>
        <w:rPr>
          <w:rFonts w:hint="eastAsia" w:ascii="Times New Roman" w:hAnsi="宋体" w:eastAsia="宋体" w:cs="Times New Roman"/>
          <w:color w:val="auto"/>
          <w:kern w:val="0"/>
          <w:sz w:val="24"/>
          <w:szCs w:val="24"/>
          <w:highlight w:val="none"/>
          <w:lang w:val="en-US" w:eastAsia="zh-CN"/>
        </w:rPr>
        <w:t>11296.10</w:t>
      </w:r>
      <w:r>
        <w:rPr>
          <w:rFonts w:cs="Times New Roman"/>
          <w:color w:val="auto"/>
          <w:highlight w:val="none"/>
        </w:rPr>
        <w:t>m</w:t>
      </w:r>
      <w:r>
        <w:rPr>
          <w:rFonts w:cs="Times New Roman"/>
          <w:color w:val="auto"/>
          <w:highlight w:val="none"/>
          <w:vertAlign w:val="superscript"/>
        </w:rPr>
        <w:t>2</w:t>
      </w:r>
      <w:r>
        <w:rPr>
          <w:rFonts w:cs="Times New Roman"/>
          <w:color w:val="auto"/>
          <w:highlight w:val="none"/>
        </w:rPr>
        <w:t>×</w:t>
      </w:r>
      <w:r>
        <w:rPr>
          <w:rFonts w:hint="eastAsia" w:ascii="Times New Roman" w:hAnsi="Times New Roman" w:eastAsia="宋体" w:cs="Times New Roman"/>
          <w:color w:val="auto"/>
          <w:sz w:val="24"/>
          <w:szCs w:val="24"/>
          <w:highlight w:val="none"/>
          <w:lang w:val="en-US" w:eastAsia="zh-CN"/>
        </w:rPr>
        <w:t>9</w:t>
      </w:r>
      <w:r>
        <w:rPr>
          <w:rFonts w:ascii="Times New Roman" w:hAnsi="Times New Roman" w:eastAsia="宋体" w:cs="Times New Roman"/>
          <w:color w:val="auto"/>
          <w:sz w:val="24"/>
          <w:szCs w:val="24"/>
          <w:highlight w:val="none"/>
        </w:rPr>
        <w:t>.0×10</w:t>
      </w:r>
      <w:r>
        <w:rPr>
          <w:rFonts w:ascii="Times New Roman" w:hAnsi="Times New Roman" w:eastAsia="宋体" w:cs="Times New Roman"/>
          <w:color w:val="auto"/>
          <w:sz w:val="24"/>
          <w:szCs w:val="24"/>
          <w:highlight w:val="none"/>
          <w:vertAlign w:val="superscript"/>
        </w:rPr>
        <w:t>-</w:t>
      </w:r>
      <w:r>
        <w:rPr>
          <w:rFonts w:hint="eastAsia" w:ascii="Times New Roman" w:hAnsi="Times New Roman" w:eastAsia="宋体" w:cs="Times New Roman"/>
          <w:color w:val="auto"/>
          <w:sz w:val="24"/>
          <w:szCs w:val="24"/>
          <w:highlight w:val="none"/>
          <w:vertAlign w:val="superscript"/>
          <w:lang w:val="en-US" w:eastAsia="zh-CN"/>
        </w:rPr>
        <w:t>3</w:t>
      </w:r>
      <w:r>
        <w:rPr>
          <w:rFonts w:hint="eastAsia" w:cs="Times New Roman"/>
          <w:color w:val="auto"/>
          <w:highlight w:val="none"/>
          <w:vertAlign w:val="baseline"/>
          <w:lang w:val="en-US" w:eastAsia="zh-CN"/>
        </w:rPr>
        <w:t>c</w:t>
      </w:r>
      <w:r>
        <w:rPr>
          <w:rFonts w:cs="Times New Roman"/>
          <w:color w:val="auto"/>
          <w:highlight w:val="none"/>
        </w:rPr>
        <w:t>m/s×86400s=</w:t>
      </w:r>
      <w:r>
        <w:rPr>
          <w:rFonts w:hint="eastAsia" w:ascii="Times New Roman" w:hAnsi="Times New Roman" w:eastAsia="宋体" w:cs="Times New Roman"/>
          <w:color w:val="auto"/>
          <w:kern w:val="0"/>
          <w:sz w:val="24"/>
          <w:szCs w:val="24"/>
          <w:highlight w:val="none"/>
          <w:lang w:val="en-US" w:eastAsia="zh-CN"/>
        </w:rPr>
        <w:t>87838.47</w:t>
      </w:r>
      <w:r>
        <w:rPr>
          <w:rFonts w:cs="Times New Roman"/>
          <w:color w:val="auto"/>
          <w:highlight w:val="none"/>
        </w:rPr>
        <w:t>m</w:t>
      </w:r>
      <w:r>
        <w:rPr>
          <w:rFonts w:cs="Times New Roman"/>
          <w:color w:val="auto"/>
          <w:highlight w:val="none"/>
          <w:vertAlign w:val="superscript"/>
        </w:rPr>
        <w:t>3</w:t>
      </w:r>
      <w:r>
        <w:rPr>
          <w:rFonts w:cs="Times New Roman"/>
          <w:color w:val="auto"/>
          <w:highlight w:val="none"/>
        </w:rPr>
        <w:t>/d</w:t>
      </w:r>
      <w:r>
        <w:rPr>
          <w:rFonts w:hint="eastAsia" w:cs="Times New Roman"/>
          <w:color w:val="auto"/>
          <w:highlight w:val="none"/>
          <w:lang w:val="en-US" w:eastAsia="zh-CN"/>
        </w:rPr>
        <w:t>=</w:t>
      </w:r>
      <w:r>
        <w:rPr>
          <w:rFonts w:hint="eastAsia" w:ascii="Times New Roman" w:hAnsi="Times New Roman" w:eastAsia="宋体" w:cs="Times New Roman"/>
          <w:color w:val="auto"/>
          <w:kern w:val="0"/>
          <w:sz w:val="24"/>
          <w:szCs w:val="24"/>
          <w:highlight w:val="none"/>
          <w:lang w:val="en-US" w:eastAsia="zh-CN"/>
        </w:rPr>
        <w:t>87838470</w:t>
      </w:r>
      <w:r>
        <w:rPr>
          <w:rFonts w:hint="eastAsia" w:cs="Times New Roman"/>
          <w:color w:val="auto"/>
          <w:highlight w:val="none"/>
          <w:lang w:val="en-US" w:eastAsia="zh-CN"/>
        </w:rPr>
        <w:t>L/d</w:t>
      </w:r>
    </w:p>
    <w:p w14:paraId="3DBEA396">
      <w:pPr>
        <w:pStyle w:val="217"/>
        <w:ind w:firstLine="480"/>
        <w:rPr>
          <w:rFonts w:cs="Times New Roman"/>
          <w:color w:val="auto"/>
          <w:highlight w:val="none"/>
        </w:rPr>
      </w:pPr>
      <w:r>
        <w:rPr>
          <w:rFonts w:cs="Times New Roman"/>
          <w:color w:val="auto"/>
          <w:highlight w:val="none"/>
        </w:rPr>
        <w:t>根据</w:t>
      </w:r>
      <w:r>
        <w:rPr>
          <w:rFonts w:hint="eastAsia" w:cs="Times New Roman"/>
          <w:color w:val="auto"/>
          <w:highlight w:val="none"/>
          <w:lang w:val="en-US" w:eastAsia="zh-CN"/>
        </w:rPr>
        <w:t>灰渣</w:t>
      </w:r>
      <w:r>
        <w:rPr>
          <w:rFonts w:cs="Times New Roman"/>
          <w:color w:val="auto"/>
          <w:highlight w:val="none"/>
        </w:rPr>
        <w:t>浸出液检测结果，强降雨情况下</w:t>
      </w:r>
      <w:r>
        <w:rPr>
          <w:rFonts w:hint="eastAsia" w:cs="Times New Roman"/>
          <w:color w:val="auto"/>
          <w:highlight w:val="none"/>
          <w:lang w:eastAsia="zh-CN"/>
        </w:rPr>
        <w:t>淋滤水</w:t>
      </w:r>
      <w:r>
        <w:rPr>
          <w:rFonts w:cs="Times New Roman"/>
          <w:color w:val="auto"/>
          <w:highlight w:val="none"/>
        </w:rPr>
        <w:t>下渗的</w:t>
      </w:r>
      <w:r>
        <w:rPr>
          <w:rFonts w:hint="eastAsia" w:cs="Times New Roman"/>
          <w:color w:val="auto"/>
          <w:highlight w:val="none"/>
          <w:lang w:val="en-US" w:eastAsia="zh-CN"/>
        </w:rPr>
        <w:t>主要</w:t>
      </w:r>
      <w:r>
        <w:rPr>
          <w:rFonts w:cs="Times New Roman"/>
          <w:color w:val="auto"/>
          <w:highlight w:val="none"/>
        </w:rPr>
        <w:t>污染源强见下表。</w:t>
      </w:r>
    </w:p>
    <w:p w14:paraId="3BCBFAED">
      <w:pPr>
        <w:pStyle w:val="1175"/>
        <w:rPr>
          <w:rFonts w:eastAsia="宋体" w:cs="Times New Roman"/>
          <w:b/>
          <w:bCs/>
          <w:color w:val="auto"/>
          <w:sz w:val="24"/>
          <w:highlight w:val="none"/>
        </w:rPr>
      </w:pPr>
    </w:p>
    <w:p w14:paraId="77DAFEAF">
      <w:pPr>
        <w:pStyle w:val="1175"/>
        <w:rPr>
          <w:rFonts w:eastAsia="宋体" w:cs="Times New Roman"/>
          <w:b/>
          <w:bCs/>
          <w:color w:val="auto"/>
          <w:sz w:val="24"/>
          <w:highlight w:val="none"/>
        </w:rPr>
      </w:pPr>
    </w:p>
    <w:p w14:paraId="77AC75A3">
      <w:pPr>
        <w:pStyle w:val="1175"/>
        <w:rPr>
          <w:rFonts w:eastAsia="宋体" w:cs="Times New Roman"/>
          <w:b/>
          <w:bCs/>
          <w:color w:val="auto"/>
          <w:sz w:val="24"/>
          <w:highlight w:val="none"/>
        </w:rPr>
      </w:pPr>
      <w:r>
        <w:rPr>
          <w:rFonts w:eastAsia="宋体" w:cs="Times New Roman"/>
          <w:b/>
          <w:bCs/>
          <w:color w:val="auto"/>
          <w:sz w:val="24"/>
          <w:highlight w:val="none"/>
        </w:rPr>
        <w:t>表3</w:t>
      </w:r>
      <w:r>
        <w:rPr>
          <w:rFonts w:hint="eastAsia" w:eastAsia="宋体" w:cs="Times New Roman"/>
          <w:b/>
          <w:bCs/>
          <w:color w:val="auto"/>
          <w:sz w:val="24"/>
          <w:highlight w:val="none"/>
          <w:lang w:val="en-US" w:eastAsia="zh-CN"/>
        </w:rPr>
        <w:t>.</w:t>
      </w:r>
      <w:r>
        <w:rPr>
          <w:rFonts w:eastAsia="宋体" w:cs="Times New Roman"/>
          <w:b/>
          <w:bCs/>
          <w:color w:val="auto"/>
          <w:sz w:val="24"/>
          <w:highlight w:val="none"/>
        </w:rPr>
        <w:t>3-</w:t>
      </w:r>
      <w:r>
        <w:rPr>
          <w:rFonts w:hint="eastAsia" w:eastAsia="宋体" w:cs="Times New Roman"/>
          <w:b/>
          <w:bCs/>
          <w:color w:val="auto"/>
          <w:sz w:val="24"/>
          <w:highlight w:val="none"/>
          <w:lang w:val="en-US" w:eastAsia="zh-CN"/>
        </w:rPr>
        <w:t xml:space="preserve">9  </w:t>
      </w:r>
      <w:r>
        <w:rPr>
          <w:rFonts w:hint="eastAsia" w:eastAsia="宋体" w:cs="Times New Roman"/>
          <w:b/>
          <w:bCs/>
          <w:color w:val="auto"/>
          <w:sz w:val="24"/>
          <w:highlight w:val="none"/>
          <w:lang w:eastAsia="zh-CN"/>
        </w:rPr>
        <w:t>淋滤水</w:t>
      </w:r>
      <w:r>
        <w:rPr>
          <w:rFonts w:eastAsia="宋体" w:cs="Times New Roman"/>
          <w:b/>
          <w:bCs/>
          <w:color w:val="auto"/>
          <w:sz w:val="24"/>
          <w:highlight w:val="none"/>
        </w:rPr>
        <w:t>下渗污染源强计算表</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59"/>
        <w:gridCol w:w="662"/>
        <w:gridCol w:w="1621"/>
        <w:gridCol w:w="1208"/>
        <w:gridCol w:w="1461"/>
        <w:gridCol w:w="1459"/>
        <w:gridCol w:w="1458"/>
      </w:tblGrid>
      <w:tr w14:paraId="01AE6F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46" w:hRule="atLeast"/>
          <w:tblHeader/>
          <w:jc w:val="center"/>
        </w:trPr>
        <w:tc>
          <w:tcPr>
            <w:tcW w:w="386" w:type="pct"/>
            <w:tcBorders>
              <w:tl2br w:val="nil"/>
              <w:tr2bl w:val="nil"/>
            </w:tcBorders>
            <w:noWrap w:val="0"/>
            <w:vAlign w:val="center"/>
          </w:tcPr>
          <w:p w14:paraId="00E75E86">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r>
              <w:rPr>
                <w:color w:val="auto"/>
                <w:sz w:val="21"/>
                <w:szCs w:val="21"/>
                <w:highlight w:val="none"/>
              </w:rPr>
              <w:t>非正常状况</w:t>
            </w:r>
          </w:p>
        </w:tc>
        <w:tc>
          <w:tcPr>
            <w:tcW w:w="388" w:type="pct"/>
            <w:tcBorders>
              <w:tl2br w:val="nil"/>
              <w:tr2bl w:val="nil"/>
            </w:tcBorders>
            <w:noWrap w:val="0"/>
            <w:vAlign w:val="center"/>
          </w:tcPr>
          <w:p w14:paraId="7CF3149B">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r>
              <w:rPr>
                <w:color w:val="auto"/>
                <w:sz w:val="21"/>
                <w:szCs w:val="21"/>
                <w:highlight w:val="none"/>
              </w:rPr>
              <w:t>序号</w:t>
            </w:r>
          </w:p>
        </w:tc>
        <w:tc>
          <w:tcPr>
            <w:tcW w:w="950" w:type="pct"/>
            <w:tcBorders>
              <w:tl2br w:val="nil"/>
              <w:tr2bl w:val="nil"/>
            </w:tcBorders>
            <w:noWrap w:val="0"/>
            <w:vAlign w:val="center"/>
          </w:tcPr>
          <w:p w14:paraId="1F5D4F76">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r>
              <w:rPr>
                <w:color w:val="auto"/>
                <w:sz w:val="21"/>
                <w:szCs w:val="21"/>
                <w:highlight w:val="none"/>
              </w:rPr>
              <w:t>污染物</w:t>
            </w:r>
          </w:p>
        </w:tc>
        <w:tc>
          <w:tcPr>
            <w:tcW w:w="708" w:type="pct"/>
            <w:tcBorders>
              <w:tl2br w:val="nil"/>
              <w:tr2bl w:val="nil"/>
            </w:tcBorders>
            <w:noWrap w:val="0"/>
            <w:vAlign w:val="center"/>
          </w:tcPr>
          <w:p w14:paraId="5E5A0C9B">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eastAsia="宋体"/>
                <w:color w:val="auto"/>
                <w:spacing w:val="9"/>
                <w:sz w:val="21"/>
                <w:szCs w:val="21"/>
                <w:highlight w:val="none"/>
              </w:rPr>
            </w:pPr>
            <w:r>
              <w:rPr>
                <w:rFonts w:eastAsia="宋体"/>
                <w:color w:val="auto"/>
                <w:spacing w:val="9"/>
                <w:sz w:val="21"/>
                <w:szCs w:val="21"/>
                <w:highlight w:val="none"/>
              </w:rPr>
              <w:t>渗漏面积（m</w:t>
            </w:r>
            <w:r>
              <w:rPr>
                <w:rFonts w:eastAsia="宋体"/>
                <w:color w:val="auto"/>
                <w:spacing w:val="9"/>
                <w:sz w:val="21"/>
                <w:szCs w:val="21"/>
                <w:highlight w:val="none"/>
                <w:vertAlign w:val="superscript"/>
              </w:rPr>
              <w:t>2</w:t>
            </w:r>
            <w:r>
              <w:rPr>
                <w:rFonts w:eastAsia="宋体"/>
                <w:color w:val="auto"/>
                <w:spacing w:val="9"/>
                <w:sz w:val="21"/>
                <w:szCs w:val="21"/>
                <w:highlight w:val="none"/>
              </w:rPr>
              <w:t>）</w:t>
            </w:r>
          </w:p>
        </w:tc>
        <w:tc>
          <w:tcPr>
            <w:tcW w:w="856" w:type="pct"/>
            <w:tcBorders>
              <w:tl2br w:val="nil"/>
              <w:tr2bl w:val="nil"/>
            </w:tcBorders>
            <w:noWrap w:val="0"/>
            <w:vAlign w:val="center"/>
          </w:tcPr>
          <w:p w14:paraId="04650FBF">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eastAsia="宋体"/>
                <w:color w:val="auto"/>
                <w:spacing w:val="9"/>
                <w:sz w:val="21"/>
                <w:szCs w:val="21"/>
                <w:highlight w:val="none"/>
              </w:rPr>
            </w:pPr>
            <w:r>
              <w:rPr>
                <w:rFonts w:eastAsia="宋体"/>
                <w:color w:val="auto"/>
                <w:spacing w:val="9"/>
                <w:sz w:val="21"/>
                <w:szCs w:val="21"/>
                <w:highlight w:val="none"/>
              </w:rPr>
              <w:t>渗漏强度（m</w:t>
            </w:r>
            <w:r>
              <w:rPr>
                <w:rFonts w:eastAsia="宋体"/>
                <w:color w:val="auto"/>
                <w:spacing w:val="9"/>
                <w:sz w:val="21"/>
                <w:szCs w:val="21"/>
                <w:highlight w:val="none"/>
                <w:vertAlign w:val="superscript"/>
              </w:rPr>
              <w:t>3</w:t>
            </w:r>
            <w:r>
              <w:rPr>
                <w:rFonts w:eastAsia="宋体"/>
                <w:color w:val="auto"/>
                <w:spacing w:val="9"/>
                <w:sz w:val="21"/>
                <w:szCs w:val="21"/>
                <w:highlight w:val="none"/>
              </w:rPr>
              <w:t>/d）</w:t>
            </w:r>
          </w:p>
        </w:tc>
        <w:tc>
          <w:tcPr>
            <w:tcW w:w="855" w:type="pct"/>
            <w:tcBorders>
              <w:tl2br w:val="nil"/>
              <w:tr2bl w:val="nil"/>
            </w:tcBorders>
            <w:noWrap w:val="0"/>
            <w:vAlign w:val="center"/>
          </w:tcPr>
          <w:p w14:paraId="117E8FC1">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r>
              <w:rPr>
                <w:rFonts w:eastAsia="宋体"/>
                <w:color w:val="auto"/>
                <w:spacing w:val="9"/>
                <w:sz w:val="21"/>
                <w:szCs w:val="21"/>
                <w:highlight w:val="none"/>
              </w:rPr>
              <w:t>污染物浓度（mg/L）</w:t>
            </w:r>
          </w:p>
        </w:tc>
        <w:tc>
          <w:tcPr>
            <w:tcW w:w="854" w:type="pct"/>
            <w:tcBorders>
              <w:tl2br w:val="nil"/>
              <w:tr2bl w:val="nil"/>
            </w:tcBorders>
            <w:noWrap w:val="0"/>
            <w:vAlign w:val="center"/>
          </w:tcPr>
          <w:p w14:paraId="0511BFF5">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eastAsia="宋体"/>
                <w:color w:val="auto"/>
                <w:spacing w:val="9"/>
                <w:sz w:val="21"/>
                <w:szCs w:val="21"/>
                <w:highlight w:val="none"/>
              </w:rPr>
            </w:pPr>
            <w:r>
              <w:rPr>
                <w:rFonts w:eastAsia="宋体"/>
                <w:color w:val="auto"/>
                <w:spacing w:val="9"/>
                <w:sz w:val="21"/>
                <w:szCs w:val="21"/>
                <w:highlight w:val="none"/>
              </w:rPr>
              <w:t>污染物质量（kg/d）</w:t>
            </w:r>
          </w:p>
        </w:tc>
      </w:tr>
      <w:tr w14:paraId="2133E2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386" w:type="pct"/>
            <w:vMerge w:val="restart"/>
            <w:tcBorders>
              <w:tl2br w:val="nil"/>
              <w:tr2bl w:val="nil"/>
            </w:tcBorders>
            <w:noWrap w:val="0"/>
            <w:vAlign w:val="center"/>
          </w:tcPr>
          <w:p w14:paraId="664F8F0A">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auto"/>
              <w:rPr>
                <w:rFonts w:hint="eastAsia"/>
                <w:color w:val="auto"/>
                <w:sz w:val="21"/>
                <w:szCs w:val="21"/>
                <w:highlight w:val="none"/>
              </w:rPr>
            </w:pPr>
            <w:r>
              <w:rPr>
                <w:rFonts w:hint="eastAsia"/>
                <w:color w:val="auto"/>
                <w:sz w:val="21"/>
                <w:szCs w:val="21"/>
                <w:highlight w:val="none"/>
              </w:rPr>
              <w:t>持续强降雨情下，淋滤</w:t>
            </w:r>
          </w:p>
          <w:p w14:paraId="0AF0CF17">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auto"/>
              <w:rPr>
                <w:color w:val="auto"/>
                <w:sz w:val="21"/>
                <w:szCs w:val="21"/>
                <w:highlight w:val="none"/>
              </w:rPr>
            </w:pPr>
            <w:r>
              <w:rPr>
                <w:color w:val="auto"/>
                <w:sz w:val="21"/>
                <w:szCs w:val="21"/>
                <w:highlight w:val="none"/>
              </w:rPr>
              <w:t>水下渗</w:t>
            </w:r>
          </w:p>
        </w:tc>
        <w:tc>
          <w:tcPr>
            <w:tcW w:w="388" w:type="pct"/>
            <w:tcBorders>
              <w:tl2br w:val="nil"/>
              <w:tr2bl w:val="nil"/>
            </w:tcBorders>
            <w:noWrap w:val="0"/>
            <w:vAlign w:val="center"/>
          </w:tcPr>
          <w:p w14:paraId="54509598">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r>
              <w:rPr>
                <w:color w:val="auto"/>
                <w:sz w:val="21"/>
                <w:szCs w:val="21"/>
                <w:highlight w:val="none"/>
              </w:rPr>
              <w:t>1</w:t>
            </w:r>
          </w:p>
        </w:tc>
        <w:tc>
          <w:tcPr>
            <w:tcW w:w="950" w:type="pct"/>
            <w:tcBorders>
              <w:tl2br w:val="nil"/>
              <w:tr2bl w:val="nil"/>
            </w:tcBorders>
            <w:shd w:val="clear" w:color="auto" w:fill="auto"/>
            <w:noWrap w:val="0"/>
            <w:vAlign w:val="center"/>
          </w:tcPr>
          <w:p w14:paraId="5EDAF6CC">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宋体" w:hAnsi="Times New Roman" w:eastAsia="宋体" w:cs="Times New Roman"/>
                <w:b/>
                <w:bCs/>
                <w:color w:val="auto"/>
                <w:kern w:val="0"/>
                <w:sz w:val="21"/>
                <w:szCs w:val="21"/>
                <w:highlight w:val="none"/>
                <w:lang w:val="en-US" w:eastAsia="zh-CN" w:bidi="ar-SA"/>
              </w:rPr>
            </w:pPr>
            <w:r>
              <w:rPr>
                <w:rFonts w:hint="eastAsia" w:ascii="宋体" w:hAnsi="宋体" w:eastAsia="宋体" w:cs="宋体"/>
                <w:b/>
                <w:bCs/>
                <w:i w:val="0"/>
                <w:iCs w:val="0"/>
                <w:color w:val="auto"/>
                <w:kern w:val="0"/>
                <w:sz w:val="21"/>
                <w:szCs w:val="21"/>
                <w:highlight w:val="none"/>
                <w:u w:val="none"/>
                <w:lang w:val="en-US" w:eastAsia="zh-CN" w:bidi="ar"/>
              </w:rPr>
              <w:t>总砷</w:t>
            </w:r>
          </w:p>
        </w:tc>
        <w:tc>
          <w:tcPr>
            <w:tcW w:w="708" w:type="pct"/>
            <w:tcBorders>
              <w:tl2br w:val="nil"/>
              <w:tr2bl w:val="nil"/>
            </w:tcBorders>
            <w:noWrap w:val="0"/>
            <w:vAlign w:val="center"/>
          </w:tcPr>
          <w:p w14:paraId="2603DB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rPr>
            </w:pPr>
            <w:r>
              <w:rPr>
                <w:rFonts w:hint="eastAsia" w:ascii="Times New Roman" w:hAnsi="宋体" w:eastAsia="宋体" w:cs="Times New Roman"/>
                <w:color w:val="auto"/>
                <w:kern w:val="0"/>
                <w:sz w:val="21"/>
                <w:szCs w:val="21"/>
                <w:highlight w:val="none"/>
                <w:lang w:val="en-US" w:eastAsia="zh-CN"/>
              </w:rPr>
              <w:t>11296.10</w:t>
            </w:r>
          </w:p>
        </w:tc>
        <w:tc>
          <w:tcPr>
            <w:tcW w:w="856" w:type="pct"/>
            <w:tcBorders>
              <w:tl2br w:val="nil"/>
              <w:tr2bl w:val="nil"/>
            </w:tcBorders>
            <w:noWrap w:val="0"/>
            <w:vAlign w:val="center"/>
          </w:tcPr>
          <w:p w14:paraId="5CF66F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eastAsia="宋体"/>
                <w:color w:val="auto"/>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87838.47</w:t>
            </w:r>
          </w:p>
        </w:tc>
        <w:tc>
          <w:tcPr>
            <w:tcW w:w="855" w:type="pct"/>
            <w:tcBorders>
              <w:tl2br w:val="nil"/>
              <w:tr2bl w:val="nil"/>
            </w:tcBorders>
            <w:shd w:val="clear" w:color="auto" w:fill="auto"/>
            <w:noWrap w:val="0"/>
            <w:vAlign w:val="center"/>
          </w:tcPr>
          <w:p w14:paraId="49D1FE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auto"/>
                <w:kern w:val="2"/>
                <w:sz w:val="21"/>
                <w:szCs w:val="21"/>
                <w:highlight w:val="none"/>
                <w:u w:val="none"/>
                <w:lang w:val="en-US" w:eastAsia="zh-CN" w:bidi="ar-SA"/>
              </w:rPr>
            </w:pPr>
            <w:r>
              <w:rPr>
                <w:rFonts w:hint="eastAsia" w:ascii="宋体" w:hAnsi="宋体" w:eastAsia="宋体" w:cs="宋体"/>
                <w:b/>
                <w:bCs/>
                <w:i w:val="0"/>
                <w:iCs w:val="0"/>
                <w:color w:val="auto"/>
                <w:sz w:val="21"/>
                <w:szCs w:val="21"/>
                <w:highlight w:val="none"/>
                <w:u w:val="none"/>
                <w:lang w:val="en-US" w:eastAsia="zh-CN"/>
              </w:rPr>
              <w:t>0.0</w:t>
            </w:r>
            <w:r>
              <w:rPr>
                <w:rFonts w:hint="eastAsia" w:hAnsi="宋体" w:cs="宋体"/>
                <w:b/>
                <w:bCs/>
                <w:i w:val="0"/>
                <w:iCs w:val="0"/>
                <w:color w:val="auto"/>
                <w:sz w:val="21"/>
                <w:szCs w:val="21"/>
                <w:highlight w:val="none"/>
                <w:u w:val="none"/>
                <w:lang w:val="en-US" w:eastAsia="zh-CN"/>
              </w:rPr>
              <w:t>358</w:t>
            </w:r>
          </w:p>
        </w:tc>
        <w:tc>
          <w:tcPr>
            <w:tcW w:w="1458" w:type="dxa"/>
            <w:tcBorders>
              <w:tl2br w:val="nil"/>
              <w:tr2bl w:val="nil"/>
            </w:tcBorders>
            <w:noWrap w:val="0"/>
            <w:vAlign w:val="center"/>
          </w:tcPr>
          <w:p w14:paraId="57F4F6C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i w:val="0"/>
                <w:iCs w:val="0"/>
                <w:color w:val="auto"/>
                <w:kern w:val="0"/>
                <w:sz w:val="22"/>
                <w:szCs w:val="22"/>
                <w:highlight w:val="none"/>
                <w:u w:val="none"/>
                <w:lang w:val="en-US" w:eastAsia="zh-CN" w:bidi="ar"/>
              </w:rPr>
              <w:t>3.14</w:t>
            </w:r>
          </w:p>
        </w:tc>
      </w:tr>
      <w:tr w14:paraId="1648FF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386" w:type="pct"/>
            <w:vMerge w:val="continue"/>
            <w:tcBorders>
              <w:tl2br w:val="nil"/>
              <w:tr2bl w:val="nil"/>
            </w:tcBorders>
            <w:noWrap w:val="0"/>
            <w:vAlign w:val="center"/>
          </w:tcPr>
          <w:p w14:paraId="5C5AC950">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auto"/>
              <w:rPr>
                <w:color w:val="auto"/>
                <w:sz w:val="21"/>
                <w:szCs w:val="21"/>
                <w:highlight w:val="none"/>
              </w:rPr>
            </w:pPr>
          </w:p>
        </w:tc>
        <w:tc>
          <w:tcPr>
            <w:tcW w:w="388" w:type="pct"/>
            <w:tcBorders>
              <w:tl2br w:val="nil"/>
              <w:tr2bl w:val="nil"/>
            </w:tcBorders>
            <w:shd w:val="clear" w:color="auto" w:fill="auto"/>
            <w:noWrap w:val="0"/>
            <w:vAlign w:val="center"/>
          </w:tcPr>
          <w:p w14:paraId="27E40BA1">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2</w:t>
            </w:r>
          </w:p>
        </w:tc>
        <w:tc>
          <w:tcPr>
            <w:tcW w:w="950" w:type="pct"/>
            <w:tcBorders>
              <w:tl2br w:val="nil"/>
              <w:tr2bl w:val="nil"/>
            </w:tcBorders>
            <w:shd w:val="clear" w:color="auto" w:fill="auto"/>
            <w:noWrap w:val="0"/>
            <w:vAlign w:val="center"/>
          </w:tcPr>
          <w:p w14:paraId="287ACCCD">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eastAsia" w:ascii="宋体" w:hAnsi="Times New Roman" w:eastAsia="宋体" w:cs="Times New Roman"/>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六价铬</w:t>
            </w:r>
          </w:p>
        </w:tc>
        <w:tc>
          <w:tcPr>
            <w:tcW w:w="708" w:type="pct"/>
            <w:tcBorders>
              <w:tl2br w:val="nil"/>
              <w:tr2bl w:val="nil"/>
            </w:tcBorders>
            <w:noWrap w:val="0"/>
            <w:vAlign w:val="center"/>
          </w:tcPr>
          <w:p w14:paraId="19CADE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宋体" w:eastAsia="宋体" w:cs="Times New Roman"/>
                <w:color w:val="auto"/>
                <w:kern w:val="0"/>
                <w:sz w:val="21"/>
                <w:szCs w:val="21"/>
                <w:highlight w:val="none"/>
                <w:lang w:val="en-US" w:eastAsia="zh-CN"/>
              </w:rPr>
            </w:pPr>
            <w:r>
              <w:rPr>
                <w:rFonts w:hint="eastAsia" w:ascii="Times New Roman" w:hAnsi="宋体" w:eastAsia="宋体" w:cs="Times New Roman"/>
                <w:color w:val="auto"/>
                <w:kern w:val="0"/>
                <w:sz w:val="21"/>
                <w:szCs w:val="21"/>
                <w:highlight w:val="none"/>
                <w:lang w:val="en-US" w:eastAsia="zh-CN"/>
              </w:rPr>
              <w:t>11296.10</w:t>
            </w:r>
          </w:p>
        </w:tc>
        <w:tc>
          <w:tcPr>
            <w:tcW w:w="856" w:type="pct"/>
            <w:tcBorders>
              <w:tl2br w:val="nil"/>
              <w:tr2bl w:val="nil"/>
            </w:tcBorders>
            <w:noWrap w:val="0"/>
            <w:vAlign w:val="center"/>
          </w:tcPr>
          <w:p w14:paraId="500D88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87838.47</w:t>
            </w:r>
          </w:p>
        </w:tc>
        <w:tc>
          <w:tcPr>
            <w:tcW w:w="855" w:type="pct"/>
            <w:tcBorders>
              <w:tl2br w:val="nil"/>
              <w:tr2bl w:val="nil"/>
            </w:tcBorders>
            <w:shd w:val="clear" w:color="auto" w:fill="auto"/>
            <w:noWrap w:val="0"/>
            <w:vAlign w:val="center"/>
          </w:tcPr>
          <w:p w14:paraId="60E1FCD8">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eastAsia" w:ascii="宋体" w:hAnsi="Times New Roman" w:eastAsia="宋体" w:cs="Times New Roman"/>
                <w:color w:val="auto"/>
                <w:spacing w:val="9"/>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0.010</w:t>
            </w:r>
          </w:p>
        </w:tc>
        <w:tc>
          <w:tcPr>
            <w:tcW w:w="1458" w:type="dxa"/>
            <w:tcBorders>
              <w:tl2br w:val="nil"/>
              <w:tr2bl w:val="nil"/>
            </w:tcBorders>
            <w:noWrap w:val="0"/>
            <w:vAlign w:val="center"/>
          </w:tcPr>
          <w:p w14:paraId="0C5593D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0.88</w:t>
            </w:r>
          </w:p>
        </w:tc>
      </w:tr>
      <w:tr w14:paraId="56F842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386" w:type="pct"/>
            <w:vMerge w:val="continue"/>
            <w:tcBorders>
              <w:tl2br w:val="nil"/>
              <w:tr2bl w:val="nil"/>
            </w:tcBorders>
            <w:noWrap w:val="0"/>
            <w:vAlign w:val="center"/>
          </w:tcPr>
          <w:p w14:paraId="5771D0E6">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auto"/>
              <w:rPr>
                <w:color w:val="auto"/>
                <w:sz w:val="21"/>
                <w:szCs w:val="21"/>
                <w:highlight w:val="none"/>
              </w:rPr>
            </w:pPr>
          </w:p>
        </w:tc>
        <w:tc>
          <w:tcPr>
            <w:tcW w:w="388" w:type="pct"/>
            <w:tcBorders>
              <w:tl2br w:val="nil"/>
              <w:tr2bl w:val="nil"/>
            </w:tcBorders>
            <w:shd w:val="clear" w:color="auto" w:fill="auto"/>
            <w:noWrap w:val="0"/>
            <w:vAlign w:val="center"/>
          </w:tcPr>
          <w:p w14:paraId="47497120">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3</w:t>
            </w:r>
          </w:p>
        </w:tc>
        <w:tc>
          <w:tcPr>
            <w:tcW w:w="950" w:type="pct"/>
            <w:tcBorders>
              <w:tl2br w:val="nil"/>
              <w:tr2bl w:val="nil"/>
            </w:tcBorders>
            <w:shd w:val="clear" w:color="auto" w:fill="auto"/>
            <w:noWrap w:val="0"/>
            <w:vAlign w:val="center"/>
          </w:tcPr>
          <w:p w14:paraId="264DB12F">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b/>
                <w:bCs/>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总铍</w:t>
            </w:r>
          </w:p>
        </w:tc>
        <w:tc>
          <w:tcPr>
            <w:tcW w:w="708" w:type="pct"/>
            <w:tcBorders>
              <w:tl2br w:val="nil"/>
              <w:tr2bl w:val="nil"/>
            </w:tcBorders>
            <w:noWrap w:val="0"/>
            <w:vAlign w:val="center"/>
          </w:tcPr>
          <w:p w14:paraId="65252F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宋体" w:eastAsia="宋体" w:cs="Times New Roman"/>
                <w:color w:val="auto"/>
                <w:kern w:val="0"/>
                <w:sz w:val="21"/>
                <w:szCs w:val="21"/>
                <w:highlight w:val="none"/>
                <w:lang w:val="en-US" w:eastAsia="zh-CN"/>
              </w:rPr>
            </w:pPr>
            <w:r>
              <w:rPr>
                <w:rFonts w:hint="eastAsia" w:ascii="Times New Roman" w:hAnsi="宋体" w:eastAsia="宋体" w:cs="Times New Roman"/>
                <w:color w:val="auto"/>
                <w:kern w:val="0"/>
                <w:sz w:val="21"/>
                <w:szCs w:val="21"/>
                <w:highlight w:val="none"/>
                <w:lang w:val="en-US" w:eastAsia="zh-CN"/>
              </w:rPr>
              <w:t>11296.10</w:t>
            </w:r>
          </w:p>
        </w:tc>
        <w:tc>
          <w:tcPr>
            <w:tcW w:w="856" w:type="pct"/>
            <w:tcBorders>
              <w:tl2br w:val="nil"/>
              <w:tr2bl w:val="nil"/>
            </w:tcBorders>
            <w:noWrap w:val="0"/>
            <w:vAlign w:val="center"/>
          </w:tcPr>
          <w:p w14:paraId="0F5728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87838.47</w:t>
            </w:r>
          </w:p>
        </w:tc>
        <w:tc>
          <w:tcPr>
            <w:tcW w:w="855" w:type="pct"/>
            <w:tcBorders>
              <w:tl2br w:val="nil"/>
              <w:tr2bl w:val="nil"/>
            </w:tcBorders>
            <w:shd w:val="clear" w:color="auto" w:fill="auto"/>
            <w:noWrap w:val="0"/>
            <w:vAlign w:val="center"/>
          </w:tcPr>
          <w:p w14:paraId="46185A7D">
            <w:pPr>
              <w:keepNext w:val="0"/>
              <w:keepLines w:val="0"/>
              <w:widowControl/>
              <w:suppressLineNumbers w:val="0"/>
              <w:spacing w:before="0" w:beforeAutospacing="0" w:after="0" w:afterAutospacing="0"/>
              <w:ind w:left="0" w:leftChars="0" w:right="0" w:rightChars="0"/>
              <w:jc w:val="center"/>
              <w:textAlignment w:val="center"/>
              <w:rPr>
                <w:rFonts w:hint="eastAsia" w:ascii="宋体" w:hAnsi="宋体" w:eastAsia="宋体" w:cs="宋体"/>
                <w:b/>
                <w:bCs/>
                <w:i w:val="0"/>
                <w:iCs w:val="0"/>
                <w:color w:val="auto"/>
                <w:kern w:val="2"/>
                <w:sz w:val="21"/>
                <w:szCs w:val="21"/>
                <w:highlight w:val="none"/>
                <w:u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0.0</w:t>
            </w:r>
            <w:r>
              <w:rPr>
                <w:rFonts w:hint="eastAsia" w:hAnsi="宋体" w:cs="宋体"/>
                <w:i w:val="0"/>
                <w:iCs w:val="0"/>
                <w:color w:val="auto"/>
                <w:kern w:val="0"/>
                <w:sz w:val="21"/>
                <w:szCs w:val="21"/>
                <w:highlight w:val="none"/>
                <w:u w:val="none"/>
                <w:lang w:val="en-US" w:eastAsia="zh-CN" w:bidi="ar"/>
              </w:rPr>
              <w:t>000</w:t>
            </w:r>
            <w:r>
              <w:rPr>
                <w:rFonts w:hint="eastAsia" w:ascii="宋体" w:hAnsi="宋体" w:eastAsia="宋体" w:cs="宋体"/>
                <w:i w:val="0"/>
                <w:iCs w:val="0"/>
                <w:color w:val="auto"/>
                <w:kern w:val="0"/>
                <w:sz w:val="21"/>
                <w:szCs w:val="21"/>
                <w:highlight w:val="none"/>
                <w:u w:val="none"/>
                <w:lang w:val="en-US" w:eastAsia="zh-CN" w:bidi="ar"/>
              </w:rPr>
              <w:t>5</w:t>
            </w:r>
          </w:p>
        </w:tc>
        <w:tc>
          <w:tcPr>
            <w:tcW w:w="1458" w:type="dxa"/>
            <w:tcBorders>
              <w:tl2br w:val="nil"/>
              <w:tr2bl w:val="nil"/>
            </w:tcBorders>
            <w:noWrap w:val="0"/>
            <w:vAlign w:val="center"/>
          </w:tcPr>
          <w:p w14:paraId="1BB131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2"/>
                <w:szCs w:val="22"/>
                <w:highlight w:val="none"/>
                <w:u w:val="none"/>
                <w:lang w:val="en-US" w:eastAsia="zh-CN" w:bidi="ar"/>
              </w:rPr>
              <w:t>0.00</w:t>
            </w:r>
            <w:r>
              <w:rPr>
                <w:rFonts w:hint="eastAsia" w:hAnsi="宋体" w:cs="宋体"/>
                <w:i w:val="0"/>
                <w:iCs w:val="0"/>
                <w:color w:val="auto"/>
                <w:kern w:val="0"/>
                <w:sz w:val="22"/>
                <w:szCs w:val="22"/>
                <w:highlight w:val="none"/>
                <w:u w:val="none"/>
                <w:lang w:val="en-US" w:eastAsia="zh-CN" w:bidi="ar"/>
              </w:rPr>
              <w:t>44</w:t>
            </w:r>
          </w:p>
        </w:tc>
      </w:tr>
      <w:tr w14:paraId="363CF6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386" w:type="pct"/>
            <w:vMerge w:val="continue"/>
            <w:tcBorders>
              <w:tl2br w:val="nil"/>
              <w:tr2bl w:val="nil"/>
            </w:tcBorders>
            <w:noWrap w:val="0"/>
            <w:vAlign w:val="center"/>
          </w:tcPr>
          <w:p w14:paraId="292F641A">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p>
        </w:tc>
        <w:tc>
          <w:tcPr>
            <w:tcW w:w="388" w:type="pct"/>
            <w:tcBorders>
              <w:tl2br w:val="nil"/>
              <w:tr2bl w:val="nil"/>
            </w:tcBorders>
            <w:shd w:val="clear" w:color="auto" w:fill="auto"/>
            <w:noWrap w:val="0"/>
            <w:vAlign w:val="center"/>
          </w:tcPr>
          <w:p w14:paraId="2A7F83AB">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4</w:t>
            </w:r>
          </w:p>
        </w:tc>
        <w:tc>
          <w:tcPr>
            <w:tcW w:w="950" w:type="pct"/>
            <w:tcBorders>
              <w:tl2br w:val="nil"/>
              <w:tr2bl w:val="nil"/>
            </w:tcBorders>
            <w:shd w:val="clear" w:color="auto" w:fill="auto"/>
            <w:noWrap w:val="0"/>
            <w:vAlign w:val="center"/>
          </w:tcPr>
          <w:p w14:paraId="54192DC1">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五日生化需氧量</w:t>
            </w:r>
          </w:p>
        </w:tc>
        <w:tc>
          <w:tcPr>
            <w:tcW w:w="708" w:type="pct"/>
            <w:tcBorders>
              <w:tl2br w:val="nil"/>
              <w:tr2bl w:val="nil"/>
            </w:tcBorders>
            <w:noWrap w:val="0"/>
            <w:vAlign w:val="center"/>
          </w:tcPr>
          <w:p w14:paraId="51B096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sz w:val="21"/>
                <w:szCs w:val="21"/>
                <w:highlight w:val="none"/>
              </w:rPr>
            </w:pPr>
            <w:r>
              <w:rPr>
                <w:rFonts w:hint="eastAsia" w:ascii="Times New Roman" w:hAnsi="宋体" w:eastAsia="宋体" w:cs="Times New Roman"/>
                <w:color w:val="auto"/>
                <w:kern w:val="0"/>
                <w:sz w:val="21"/>
                <w:szCs w:val="21"/>
                <w:highlight w:val="none"/>
                <w:lang w:val="en-US" w:eastAsia="zh-CN"/>
              </w:rPr>
              <w:t>11296.10</w:t>
            </w:r>
          </w:p>
        </w:tc>
        <w:tc>
          <w:tcPr>
            <w:tcW w:w="856" w:type="pct"/>
            <w:tcBorders>
              <w:tl2br w:val="nil"/>
              <w:tr2bl w:val="nil"/>
            </w:tcBorders>
            <w:noWrap w:val="0"/>
            <w:vAlign w:val="center"/>
          </w:tcPr>
          <w:p w14:paraId="2A80BE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rPr>
              <w:t>87838.47</w:t>
            </w:r>
          </w:p>
        </w:tc>
        <w:tc>
          <w:tcPr>
            <w:tcW w:w="855" w:type="pct"/>
            <w:tcBorders>
              <w:tl2br w:val="nil"/>
              <w:tr2bl w:val="nil"/>
            </w:tcBorders>
            <w:shd w:val="clear" w:color="auto" w:fill="auto"/>
            <w:noWrap w:val="0"/>
            <w:vAlign w:val="center"/>
          </w:tcPr>
          <w:p w14:paraId="1AEA65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kern w:val="2"/>
                <w:sz w:val="21"/>
                <w:szCs w:val="21"/>
                <w:highlight w:val="none"/>
                <w:u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3.8</w:t>
            </w:r>
          </w:p>
        </w:tc>
        <w:tc>
          <w:tcPr>
            <w:tcW w:w="1458" w:type="dxa"/>
            <w:tcBorders>
              <w:tl2br w:val="nil"/>
              <w:tr2bl w:val="nil"/>
            </w:tcBorders>
            <w:noWrap w:val="0"/>
            <w:vAlign w:val="center"/>
          </w:tcPr>
          <w:p w14:paraId="5966508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i w:val="0"/>
                <w:iCs w:val="0"/>
                <w:color w:val="auto"/>
                <w:kern w:val="0"/>
                <w:sz w:val="22"/>
                <w:szCs w:val="22"/>
                <w:highlight w:val="none"/>
                <w:u w:val="none"/>
                <w:lang w:val="en-US" w:eastAsia="zh-CN" w:bidi="ar"/>
              </w:rPr>
              <w:t>334</w:t>
            </w:r>
          </w:p>
        </w:tc>
      </w:tr>
      <w:tr w14:paraId="098942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386" w:type="pct"/>
            <w:vMerge w:val="continue"/>
            <w:tcBorders>
              <w:tl2br w:val="nil"/>
              <w:tr2bl w:val="nil"/>
            </w:tcBorders>
            <w:noWrap w:val="0"/>
            <w:vAlign w:val="center"/>
          </w:tcPr>
          <w:p w14:paraId="782C2F24">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p>
        </w:tc>
        <w:tc>
          <w:tcPr>
            <w:tcW w:w="388" w:type="pct"/>
            <w:tcBorders>
              <w:tl2br w:val="nil"/>
              <w:tr2bl w:val="nil"/>
            </w:tcBorders>
            <w:shd w:val="clear" w:color="auto" w:fill="auto"/>
            <w:noWrap w:val="0"/>
            <w:vAlign w:val="center"/>
          </w:tcPr>
          <w:p w14:paraId="587D2C06">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5</w:t>
            </w:r>
          </w:p>
        </w:tc>
        <w:tc>
          <w:tcPr>
            <w:tcW w:w="950" w:type="pct"/>
            <w:tcBorders>
              <w:tl2br w:val="nil"/>
              <w:tr2bl w:val="nil"/>
            </w:tcBorders>
            <w:shd w:val="clear" w:color="auto" w:fill="auto"/>
            <w:noWrap w:val="0"/>
            <w:vAlign w:val="center"/>
          </w:tcPr>
          <w:p w14:paraId="019CBD75">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b/>
                <w:bCs/>
                <w:color w:val="auto"/>
                <w:kern w:val="0"/>
                <w:sz w:val="21"/>
                <w:szCs w:val="21"/>
                <w:highlight w:val="none"/>
                <w:lang w:val="en-US" w:eastAsia="zh-CN" w:bidi="ar-SA"/>
              </w:rPr>
            </w:pPr>
            <w:r>
              <w:rPr>
                <w:rFonts w:hint="eastAsia" w:ascii="宋体" w:hAnsi="宋体" w:eastAsia="宋体" w:cs="宋体"/>
                <w:b/>
                <w:bCs/>
                <w:i w:val="0"/>
                <w:iCs w:val="0"/>
                <w:color w:val="auto"/>
                <w:kern w:val="0"/>
                <w:sz w:val="21"/>
                <w:szCs w:val="21"/>
                <w:highlight w:val="none"/>
                <w:u w:val="none"/>
                <w:lang w:val="en-US" w:eastAsia="zh-CN" w:bidi="ar"/>
              </w:rPr>
              <w:t>化学需氧量</w:t>
            </w:r>
          </w:p>
        </w:tc>
        <w:tc>
          <w:tcPr>
            <w:tcW w:w="708" w:type="pct"/>
            <w:tcBorders>
              <w:tl2br w:val="nil"/>
              <w:tr2bl w:val="nil"/>
            </w:tcBorders>
            <w:noWrap w:val="0"/>
            <w:vAlign w:val="center"/>
          </w:tcPr>
          <w:p w14:paraId="0E5036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sz w:val="21"/>
                <w:szCs w:val="21"/>
                <w:highlight w:val="none"/>
              </w:rPr>
            </w:pPr>
            <w:r>
              <w:rPr>
                <w:rFonts w:hint="eastAsia" w:ascii="Times New Roman" w:hAnsi="宋体" w:eastAsia="宋体" w:cs="Times New Roman"/>
                <w:color w:val="auto"/>
                <w:kern w:val="0"/>
                <w:sz w:val="21"/>
                <w:szCs w:val="21"/>
                <w:highlight w:val="none"/>
                <w:lang w:val="en-US" w:eastAsia="zh-CN"/>
              </w:rPr>
              <w:t>11296.10</w:t>
            </w:r>
          </w:p>
        </w:tc>
        <w:tc>
          <w:tcPr>
            <w:tcW w:w="856" w:type="pct"/>
            <w:tcBorders>
              <w:tl2br w:val="nil"/>
              <w:tr2bl w:val="nil"/>
            </w:tcBorders>
            <w:noWrap w:val="0"/>
            <w:vAlign w:val="center"/>
          </w:tcPr>
          <w:p w14:paraId="6C8677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rPr>
              <w:t>87838.47</w:t>
            </w:r>
          </w:p>
        </w:tc>
        <w:tc>
          <w:tcPr>
            <w:tcW w:w="855" w:type="pct"/>
            <w:tcBorders>
              <w:tl2br w:val="nil"/>
              <w:tr2bl w:val="nil"/>
            </w:tcBorders>
            <w:shd w:val="clear" w:color="auto" w:fill="auto"/>
            <w:noWrap w:val="0"/>
            <w:vAlign w:val="center"/>
          </w:tcPr>
          <w:p w14:paraId="02B585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auto"/>
                <w:kern w:val="2"/>
                <w:sz w:val="21"/>
                <w:szCs w:val="21"/>
                <w:highlight w:val="none"/>
                <w:u w:val="none"/>
                <w:lang w:val="en-US" w:eastAsia="zh-CN" w:bidi="ar-SA"/>
              </w:rPr>
            </w:pPr>
            <w:r>
              <w:rPr>
                <w:rFonts w:hint="eastAsia" w:ascii="宋体" w:hAnsi="宋体" w:eastAsia="宋体" w:cs="宋体"/>
                <w:b/>
                <w:bCs/>
                <w:i w:val="0"/>
                <w:iCs w:val="0"/>
                <w:color w:val="auto"/>
                <w:kern w:val="0"/>
                <w:sz w:val="21"/>
                <w:szCs w:val="21"/>
                <w:highlight w:val="none"/>
                <w:u w:val="none"/>
                <w:lang w:val="en-US" w:eastAsia="zh-CN" w:bidi="ar"/>
              </w:rPr>
              <w:t>84</w:t>
            </w:r>
          </w:p>
        </w:tc>
        <w:tc>
          <w:tcPr>
            <w:tcW w:w="1458" w:type="dxa"/>
            <w:tcBorders>
              <w:tl2br w:val="nil"/>
              <w:tr2bl w:val="nil"/>
            </w:tcBorders>
            <w:noWrap w:val="0"/>
            <w:vAlign w:val="center"/>
          </w:tcPr>
          <w:p w14:paraId="1F4AAC3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i w:val="0"/>
                <w:iCs w:val="0"/>
                <w:color w:val="auto"/>
                <w:kern w:val="0"/>
                <w:sz w:val="22"/>
                <w:szCs w:val="22"/>
                <w:highlight w:val="none"/>
                <w:u w:val="none"/>
                <w:lang w:val="en-US" w:eastAsia="zh-CN" w:bidi="ar"/>
              </w:rPr>
              <w:t>7378</w:t>
            </w:r>
          </w:p>
        </w:tc>
      </w:tr>
      <w:tr w14:paraId="0EE964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386" w:type="pct"/>
            <w:vMerge w:val="continue"/>
            <w:tcBorders>
              <w:tl2br w:val="nil"/>
              <w:tr2bl w:val="nil"/>
            </w:tcBorders>
            <w:noWrap w:val="0"/>
            <w:vAlign w:val="center"/>
          </w:tcPr>
          <w:p w14:paraId="2E483448">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p>
        </w:tc>
        <w:tc>
          <w:tcPr>
            <w:tcW w:w="388" w:type="pct"/>
            <w:tcBorders>
              <w:tl2br w:val="nil"/>
              <w:tr2bl w:val="nil"/>
            </w:tcBorders>
            <w:shd w:val="clear" w:color="auto" w:fill="auto"/>
            <w:noWrap w:val="0"/>
            <w:vAlign w:val="center"/>
          </w:tcPr>
          <w:p w14:paraId="4C08E988">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6</w:t>
            </w:r>
          </w:p>
        </w:tc>
        <w:tc>
          <w:tcPr>
            <w:tcW w:w="950" w:type="pct"/>
            <w:tcBorders>
              <w:tl2br w:val="nil"/>
              <w:tr2bl w:val="nil"/>
            </w:tcBorders>
            <w:shd w:val="clear" w:color="auto" w:fill="auto"/>
            <w:noWrap w:val="0"/>
            <w:vAlign w:val="center"/>
          </w:tcPr>
          <w:p w14:paraId="4B4EC124">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石油类</w:t>
            </w:r>
          </w:p>
        </w:tc>
        <w:tc>
          <w:tcPr>
            <w:tcW w:w="708" w:type="pct"/>
            <w:tcBorders>
              <w:tl2br w:val="nil"/>
              <w:tr2bl w:val="nil"/>
            </w:tcBorders>
            <w:noWrap w:val="0"/>
            <w:vAlign w:val="center"/>
          </w:tcPr>
          <w:p w14:paraId="107EB8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sz w:val="21"/>
                <w:szCs w:val="21"/>
                <w:highlight w:val="none"/>
              </w:rPr>
            </w:pPr>
            <w:r>
              <w:rPr>
                <w:rFonts w:hint="eastAsia" w:ascii="Times New Roman" w:hAnsi="宋体" w:eastAsia="宋体" w:cs="Times New Roman"/>
                <w:color w:val="auto"/>
                <w:kern w:val="0"/>
                <w:sz w:val="21"/>
                <w:szCs w:val="21"/>
                <w:highlight w:val="none"/>
                <w:lang w:val="en-US" w:eastAsia="zh-CN"/>
              </w:rPr>
              <w:t>11296.10</w:t>
            </w:r>
          </w:p>
        </w:tc>
        <w:tc>
          <w:tcPr>
            <w:tcW w:w="856" w:type="pct"/>
            <w:tcBorders>
              <w:tl2br w:val="nil"/>
              <w:tr2bl w:val="nil"/>
            </w:tcBorders>
            <w:noWrap w:val="0"/>
            <w:vAlign w:val="center"/>
          </w:tcPr>
          <w:p w14:paraId="6B13EB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rPr>
              <w:t>87838.47</w:t>
            </w:r>
          </w:p>
        </w:tc>
        <w:tc>
          <w:tcPr>
            <w:tcW w:w="855" w:type="pct"/>
            <w:tcBorders>
              <w:tl2br w:val="nil"/>
              <w:tr2bl w:val="nil"/>
            </w:tcBorders>
            <w:shd w:val="clear" w:color="auto" w:fill="auto"/>
            <w:noWrap w:val="0"/>
            <w:vAlign w:val="center"/>
          </w:tcPr>
          <w:p w14:paraId="71E2B9F0">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0.07</w:t>
            </w:r>
          </w:p>
        </w:tc>
        <w:tc>
          <w:tcPr>
            <w:tcW w:w="1458" w:type="dxa"/>
            <w:tcBorders>
              <w:tl2br w:val="nil"/>
              <w:tr2bl w:val="nil"/>
            </w:tcBorders>
            <w:noWrap w:val="0"/>
            <w:vAlign w:val="center"/>
          </w:tcPr>
          <w:p w14:paraId="50DECFB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i w:val="0"/>
                <w:iCs w:val="0"/>
                <w:color w:val="auto"/>
                <w:kern w:val="0"/>
                <w:sz w:val="22"/>
                <w:szCs w:val="22"/>
                <w:highlight w:val="none"/>
                <w:u w:val="none"/>
                <w:lang w:val="en-US" w:eastAsia="zh-CN" w:bidi="ar"/>
              </w:rPr>
              <w:t>6.15</w:t>
            </w:r>
          </w:p>
        </w:tc>
      </w:tr>
      <w:tr w14:paraId="020456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386" w:type="pct"/>
            <w:vMerge w:val="continue"/>
            <w:tcBorders>
              <w:tl2br w:val="nil"/>
              <w:tr2bl w:val="nil"/>
            </w:tcBorders>
            <w:noWrap w:val="0"/>
            <w:vAlign w:val="center"/>
          </w:tcPr>
          <w:p w14:paraId="5F05152E">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p>
        </w:tc>
        <w:tc>
          <w:tcPr>
            <w:tcW w:w="388" w:type="pct"/>
            <w:tcBorders>
              <w:tl2br w:val="nil"/>
              <w:tr2bl w:val="nil"/>
            </w:tcBorders>
            <w:shd w:val="clear" w:color="auto" w:fill="auto"/>
            <w:noWrap w:val="0"/>
            <w:vAlign w:val="center"/>
          </w:tcPr>
          <w:p w14:paraId="4C76EFDB">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7</w:t>
            </w:r>
          </w:p>
        </w:tc>
        <w:tc>
          <w:tcPr>
            <w:tcW w:w="950" w:type="pct"/>
            <w:tcBorders>
              <w:tl2br w:val="nil"/>
              <w:tr2bl w:val="nil"/>
            </w:tcBorders>
            <w:shd w:val="clear" w:color="auto" w:fill="auto"/>
            <w:noWrap w:val="0"/>
            <w:vAlign w:val="center"/>
          </w:tcPr>
          <w:p w14:paraId="01120542">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氟化物</w:t>
            </w:r>
          </w:p>
        </w:tc>
        <w:tc>
          <w:tcPr>
            <w:tcW w:w="708" w:type="pct"/>
            <w:tcBorders>
              <w:tl2br w:val="nil"/>
              <w:tr2bl w:val="nil"/>
            </w:tcBorders>
            <w:noWrap w:val="0"/>
            <w:vAlign w:val="center"/>
          </w:tcPr>
          <w:p w14:paraId="41DD4C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sz w:val="21"/>
                <w:szCs w:val="21"/>
                <w:highlight w:val="none"/>
              </w:rPr>
            </w:pPr>
            <w:r>
              <w:rPr>
                <w:rFonts w:hint="eastAsia" w:ascii="Times New Roman" w:hAnsi="宋体" w:eastAsia="宋体" w:cs="Times New Roman"/>
                <w:color w:val="auto"/>
                <w:kern w:val="0"/>
                <w:sz w:val="21"/>
                <w:szCs w:val="21"/>
                <w:highlight w:val="none"/>
                <w:lang w:val="en-US" w:eastAsia="zh-CN"/>
              </w:rPr>
              <w:t>11296.10</w:t>
            </w:r>
          </w:p>
        </w:tc>
        <w:tc>
          <w:tcPr>
            <w:tcW w:w="856" w:type="pct"/>
            <w:tcBorders>
              <w:tl2br w:val="nil"/>
              <w:tr2bl w:val="nil"/>
            </w:tcBorders>
            <w:noWrap w:val="0"/>
            <w:vAlign w:val="center"/>
          </w:tcPr>
          <w:p w14:paraId="1DB8A7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rPr>
              <w:t>87838.47</w:t>
            </w:r>
          </w:p>
        </w:tc>
        <w:tc>
          <w:tcPr>
            <w:tcW w:w="855" w:type="pct"/>
            <w:tcBorders>
              <w:tl2br w:val="nil"/>
              <w:tr2bl w:val="nil"/>
            </w:tcBorders>
            <w:shd w:val="clear" w:color="auto" w:fill="auto"/>
            <w:noWrap w:val="0"/>
            <w:vAlign w:val="center"/>
          </w:tcPr>
          <w:p w14:paraId="7F8D3C7E">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0.12</w:t>
            </w:r>
          </w:p>
        </w:tc>
        <w:tc>
          <w:tcPr>
            <w:tcW w:w="1458" w:type="dxa"/>
            <w:tcBorders>
              <w:tl2br w:val="nil"/>
              <w:tr2bl w:val="nil"/>
            </w:tcBorders>
            <w:noWrap w:val="0"/>
            <w:vAlign w:val="center"/>
          </w:tcPr>
          <w:p w14:paraId="0EE3F01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i w:val="0"/>
                <w:iCs w:val="0"/>
                <w:color w:val="auto"/>
                <w:kern w:val="0"/>
                <w:sz w:val="22"/>
                <w:szCs w:val="22"/>
                <w:highlight w:val="none"/>
                <w:u w:val="none"/>
                <w:lang w:val="en-US" w:eastAsia="zh-CN" w:bidi="ar"/>
              </w:rPr>
              <w:t>10.5</w:t>
            </w:r>
          </w:p>
        </w:tc>
      </w:tr>
      <w:tr w14:paraId="3D53BD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386" w:type="pct"/>
            <w:vMerge w:val="continue"/>
            <w:tcBorders>
              <w:tl2br w:val="nil"/>
              <w:tr2bl w:val="nil"/>
            </w:tcBorders>
            <w:noWrap w:val="0"/>
            <w:vAlign w:val="center"/>
          </w:tcPr>
          <w:p w14:paraId="4C7DAF69">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p>
        </w:tc>
        <w:tc>
          <w:tcPr>
            <w:tcW w:w="388" w:type="pct"/>
            <w:tcBorders>
              <w:tl2br w:val="nil"/>
              <w:tr2bl w:val="nil"/>
            </w:tcBorders>
            <w:shd w:val="clear" w:color="auto" w:fill="auto"/>
            <w:noWrap w:val="0"/>
            <w:vAlign w:val="center"/>
          </w:tcPr>
          <w:p w14:paraId="73E803E4">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8</w:t>
            </w:r>
          </w:p>
        </w:tc>
        <w:tc>
          <w:tcPr>
            <w:tcW w:w="950" w:type="pct"/>
            <w:tcBorders>
              <w:tl2br w:val="nil"/>
              <w:tr2bl w:val="nil"/>
            </w:tcBorders>
            <w:shd w:val="clear" w:color="auto" w:fill="auto"/>
            <w:noWrap w:val="0"/>
            <w:vAlign w:val="center"/>
          </w:tcPr>
          <w:p w14:paraId="3B9A2421">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磷酸盐</w:t>
            </w:r>
          </w:p>
        </w:tc>
        <w:tc>
          <w:tcPr>
            <w:tcW w:w="708" w:type="pct"/>
            <w:tcBorders>
              <w:tl2br w:val="nil"/>
              <w:tr2bl w:val="nil"/>
            </w:tcBorders>
            <w:noWrap w:val="0"/>
            <w:vAlign w:val="center"/>
          </w:tcPr>
          <w:p w14:paraId="544D6D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sz w:val="21"/>
                <w:szCs w:val="21"/>
                <w:highlight w:val="none"/>
              </w:rPr>
            </w:pPr>
            <w:r>
              <w:rPr>
                <w:rFonts w:hint="eastAsia" w:ascii="Times New Roman" w:hAnsi="宋体" w:eastAsia="宋体" w:cs="Times New Roman"/>
                <w:color w:val="auto"/>
                <w:kern w:val="0"/>
                <w:sz w:val="21"/>
                <w:szCs w:val="21"/>
                <w:highlight w:val="none"/>
                <w:lang w:val="en-US" w:eastAsia="zh-CN"/>
              </w:rPr>
              <w:t>11296.10</w:t>
            </w:r>
          </w:p>
        </w:tc>
        <w:tc>
          <w:tcPr>
            <w:tcW w:w="856" w:type="pct"/>
            <w:tcBorders>
              <w:tl2br w:val="nil"/>
              <w:tr2bl w:val="nil"/>
            </w:tcBorders>
            <w:noWrap w:val="0"/>
            <w:vAlign w:val="center"/>
          </w:tcPr>
          <w:p w14:paraId="2D79DF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rPr>
              <w:t>87838.47</w:t>
            </w:r>
          </w:p>
        </w:tc>
        <w:tc>
          <w:tcPr>
            <w:tcW w:w="855" w:type="pct"/>
            <w:tcBorders>
              <w:tl2br w:val="nil"/>
              <w:tr2bl w:val="nil"/>
            </w:tcBorders>
            <w:shd w:val="clear" w:color="auto" w:fill="auto"/>
            <w:noWrap w:val="0"/>
            <w:vAlign w:val="center"/>
          </w:tcPr>
          <w:p w14:paraId="2D4AE18A">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color w:val="auto"/>
                <w:sz w:val="21"/>
                <w:szCs w:val="21"/>
                <w:highlight w:val="none"/>
                <w:u w:val="none"/>
                <w:lang w:val="en-US" w:eastAsia="zh-CN"/>
              </w:rPr>
              <w:t>0.</w:t>
            </w:r>
            <w:r>
              <w:rPr>
                <w:rFonts w:hint="eastAsia" w:hAnsi="宋体" w:cs="宋体"/>
                <w:i w:val="0"/>
                <w:iCs w:val="0"/>
                <w:color w:val="auto"/>
                <w:sz w:val="21"/>
                <w:szCs w:val="21"/>
                <w:highlight w:val="none"/>
                <w:u w:val="none"/>
                <w:lang w:val="en-US" w:eastAsia="zh-CN"/>
              </w:rPr>
              <w:t>4</w:t>
            </w:r>
          </w:p>
        </w:tc>
        <w:tc>
          <w:tcPr>
            <w:tcW w:w="1458" w:type="dxa"/>
            <w:tcBorders>
              <w:tl2br w:val="nil"/>
              <w:tr2bl w:val="nil"/>
            </w:tcBorders>
            <w:noWrap w:val="0"/>
            <w:vAlign w:val="center"/>
          </w:tcPr>
          <w:p w14:paraId="1878B4C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eastAsia" w:hAnsi="宋体" w:cs="宋体"/>
                <w:i w:val="0"/>
                <w:iCs w:val="0"/>
                <w:color w:val="auto"/>
                <w:kern w:val="0"/>
                <w:sz w:val="22"/>
                <w:szCs w:val="22"/>
                <w:highlight w:val="none"/>
                <w:u w:val="none"/>
                <w:lang w:val="en-US" w:eastAsia="zh-CN" w:bidi="ar"/>
              </w:rPr>
              <w:t>35.1</w:t>
            </w:r>
          </w:p>
        </w:tc>
      </w:tr>
      <w:tr w14:paraId="152359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386" w:type="pct"/>
            <w:vMerge w:val="continue"/>
            <w:tcBorders>
              <w:tl2br w:val="nil"/>
              <w:tr2bl w:val="nil"/>
            </w:tcBorders>
            <w:noWrap w:val="0"/>
            <w:vAlign w:val="center"/>
          </w:tcPr>
          <w:p w14:paraId="3CA9A4D7">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p>
        </w:tc>
        <w:tc>
          <w:tcPr>
            <w:tcW w:w="388" w:type="pct"/>
            <w:tcBorders>
              <w:tl2br w:val="nil"/>
              <w:tr2bl w:val="nil"/>
            </w:tcBorders>
            <w:shd w:val="clear" w:color="auto" w:fill="auto"/>
            <w:noWrap w:val="0"/>
            <w:vAlign w:val="center"/>
          </w:tcPr>
          <w:p w14:paraId="544A07DA">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9</w:t>
            </w:r>
          </w:p>
        </w:tc>
        <w:tc>
          <w:tcPr>
            <w:tcW w:w="950" w:type="pct"/>
            <w:tcBorders>
              <w:tl2br w:val="nil"/>
              <w:tr2bl w:val="nil"/>
            </w:tcBorders>
            <w:shd w:val="clear" w:color="auto" w:fill="auto"/>
            <w:noWrap w:val="0"/>
            <w:vAlign w:val="center"/>
          </w:tcPr>
          <w:p w14:paraId="2D0C32BC">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阴离子表面活性剂</w:t>
            </w:r>
          </w:p>
        </w:tc>
        <w:tc>
          <w:tcPr>
            <w:tcW w:w="708" w:type="pct"/>
            <w:tcBorders>
              <w:tl2br w:val="nil"/>
              <w:tr2bl w:val="nil"/>
            </w:tcBorders>
            <w:noWrap w:val="0"/>
            <w:vAlign w:val="center"/>
          </w:tcPr>
          <w:p w14:paraId="5F8292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sz w:val="21"/>
                <w:szCs w:val="21"/>
                <w:highlight w:val="none"/>
              </w:rPr>
            </w:pPr>
            <w:r>
              <w:rPr>
                <w:rFonts w:hint="eastAsia" w:ascii="Times New Roman" w:hAnsi="宋体" w:eastAsia="宋体" w:cs="Times New Roman"/>
                <w:color w:val="auto"/>
                <w:kern w:val="0"/>
                <w:sz w:val="21"/>
                <w:szCs w:val="21"/>
                <w:highlight w:val="none"/>
                <w:lang w:val="en-US" w:eastAsia="zh-CN"/>
              </w:rPr>
              <w:t>11296.10</w:t>
            </w:r>
          </w:p>
        </w:tc>
        <w:tc>
          <w:tcPr>
            <w:tcW w:w="856" w:type="pct"/>
            <w:tcBorders>
              <w:tl2br w:val="nil"/>
              <w:tr2bl w:val="nil"/>
            </w:tcBorders>
            <w:noWrap w:val="0"/>
            <w:vAlign w:val="center"/>
          </w:tcPr>
          <w:p w14:paraId="3FF3B2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rPr>
              <w:t>87838.47</w:t>
            </w:r>
          </w:p>
        </w:tc>
        <w:tc>
          <w:tcPr>
            <w:tcW w:w="855" w:type="pct"/>
            <w:tcBorders>
              <w:tl2br w:val="nil"/>
              <w:tr2bl w:val="nil"/>
            </w:tcBorders>
            <w:shd w:val="clear" w:color="auto" w:fill="auto"/>
            <w:noWrap w:val="0"/>
            <w:vAlign w:val="center"/>
          </w:tcPr>
          <w:p w14:paraId="0C606EEE">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0.184</w:t>
            </w:r>
          </w:p>
        </w:tc>
        <w:tc>
          <w:tcPr>
            <w:tcW w:w="1458" w:type="dxa"/>
            <w:tcBorders>
              <w:tl2br w:val="nil"/>
              <w:tr2bl w:val="nil"/>
            </w:tcBorders>
            <w:noWrap w:val="0"/>
            <w:vAlign w:val="center"/>
          </w:tcPr>
          <w:p w14:paraId="131CF5A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i w:val="0"/>
                <w:iCs w:val="0"/>
                <w:color w:val="auto"/>
                <w:kern w:val="0"/>
                <w:sz w:val="22"/>
                <w:szCs w:val="22"/>
                <w:highlight w:val="none"/>
                <w:u w:val="none"/>
                <w:lang w:val="en-US" w:eastAsia="zh-CN" w:bidi="ar"/>
              </w:rPr>
              <w:t>16.2</w:t>
            </w:r>
          </w:p>
        </w:tc>
      </w:tr>
      <w:tr w14:paraId="1205FE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386" w:type="pct"/>
            <w:vMerge w:val="continue"/>
            <w:tcBorders>
              <w:tl2br w:val="nil"/>
              <w:tr2bl w:val="nil"/>
            </w:tcBorders>
            <w:noWrap w:val="0"/>
            <w:vAlign w:val="center"/>
          </w:tcPr>
          <w:p w14:paraId="7170AE65">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p>
        </w:tc>
        <w:tc>
          <w:tcPr>
            <w:tcW w:w="388" w:type="pct"/>
            <w:tcBorders>
              <w:tl2br w:val="nil"/>
              <w:tr2bl w:val="nil"/>
            </w:tcBorders>
            <w:shd w:val="clear" w:color="auto" w:fill="auto"/>
            <w:noWrap w:val="0"/>
            <w:vAlign w:val="center"/>
          </w:tcPr>
          <w:p w14:paraId="2A979548">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10</w:t>
            </w:r>
          </w:p>
        </w:tc>
        <w:tc>
          <w:tcPr>
            <w:tcW w:w="950" w:type="pct"/>
            <w:tcBorders>
              <w:tl2br w:val="nil"/>
              <w:tr2bl w:val="nil"/>
            </w:tcBorders>
            <w:shd w:val="clear" w:color="auto" w:fill="auto"/>
            <w:noWrap w:val="0"/>
            <w:vAlign w:val="center"/>
          </w:tcPr>
          <w:p w14:paraId="31093C0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总锌</w:t>
            </w:r>
          </w:p>
        </w:tc>
        <w:tc>
          <w:tcPr>
            <w:tcW w:w="708" w:type="pct"/>
            <w:tcBorders>
              <w:tl2br w:val="nil"/>
              <w:tr2bl w:val="nil"/>
            </w:tcBorders>
            <w:noWrap w:val="0"/>
            <w:vAlign w:val="center"/>
          </w:tcPr>
          <w:p w14:paraId="577F79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sz w:val="21"/>
                <w:szCs w:val="21"/>
                <w:highlight w:val="none"/>
              </w:rPr>
            </w:pPr>
            <w:r>
              <w:rPr>
                <w:rFonts w:hint="eastAsia" w:ascii="Times New Roman" w:hAnsi="宋体" w:eastAsia="宋体" w:cs="Times New Roman"/>
                <w:color w:val="auto"/>
                <w:kern w:val="0"/>
                <w:sz w:val="21"/>
                <w:szCs w:val="21"/>
                <w:highlight w:val="none"/>
                <w:lang w:val="en-US" w:eastAsia="zh-CN"/>
              </w:rPr>
              <w:t>11296.10</w:t>
            </w:r>
          </w:p>
        </w:tc>
        <w:tc>
          <w:tcPr>
            <w:tcW w:w="856" w:type="pct"/>
            <w:tcBorders>
              <w:tl2br w:val="nil"/>
              <w:tr2bl w:val="nil"/>
            </w:tcBorders>
            <w:noWrap w:val="0"/>
            <w:vAlign w:val="center"/>
          </w:tcPr>
          <w:p w14:paraId="7E1C23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rPr>
              <w:t>87838.47</w:t>
            </w:r>
          </w:p>
        </w:tc>
        <w:tc>
          <w:tcPr>
            <w:tcW w:w="855" w:type="pct"/>
            <w:tcBorders>
              <w:tl2br w:val="nil"/>
              <w:tr2bl w:val="nil"/>
            </w:tcBorders>
            <w:shd w:val="clear" w:color="auto" w:fill="auto"/>
            <w:noWrap w:val="0"/>
            <w:vAlign w:val="center"/>
          </w:tcPr>
          <w:p w14:paraId="4F3CB8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kern w:val="2"/>
                <w:sz w:val="21"/>
                <w:szCs w:val="21"/>
                <w:highlight w:val="none"/>
                <w:u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0.055</w:t>
            </w:r>
          </w:p>
        </w:tc>
        <w:tc>
          <w:tcPr>
            <w:tcW w:w="1458" w:type="dxa"/>
            <w:tcBorders>
              <w:tl2br w:val="nil"/>
              <w:tr2bl w:val="nil"/>
            </w:tcBorders>
            <w:noWrap w:val="0"/>
            <w:vAlign w:val="center"/>
          </w:tcPr>
          <w:p w14:paraId="1BA0306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i w:val="0"/>
                <w:iCs w:val="0"/>
                <w:color w:val="auto"/>
                <w:kern w:val="0"/>
                <w:sz w:val="22"/>
                <w:szCs w:val="22"/>
                <w:highlight w:val="none"/>
                <w:u w:val="none"/>
                <w:lang w:val="en-US" w:eastAsia="zh-CN" w:bidi="ar"/>
              </w:rPr>
              <w:t>4.83</w:t>
            </w:r>
          </w:p>
        </w:tc>
      </w:tr>
      <w:tr w14:paraId="419B86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386" w:type="pct"/>
            <w:vMerge w:val="continue"/>
            <w:tcBorders>
              <w:tl2br w:val="nil"/>
              <w:tr2bl w:val="nil"/>
            </w:tcBorders>
            <w:noWrap w:val="0"/>
            <w:vAlign w:val="center"/>
          </w:tcPr>
          <w:p w14:paraId="58DAA690">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p>
        </w:tc>
        <w:tc>
          <w:tcPr>
            <w:tcW w:w="388" w:type="pct"/>
            <w:tcBorders>
              <w:tl2br w:val="nil"/>
              <w:tr2bl w:val="nil"/>
            </w:tcBorders>
            <w:noWrap w:val="0"/>
            <w:vAlign w:val="center"/>
          </w:tcPr>
          <w:p w14:paraId="0E1E1DBA">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eastAsia="宋体"/>
                <w:color w:val="auto"/>
                <w:sz w:val="21"/>
                <w:szCs w:val="21"/>
                <w:highlight w:val="none"/>
                <w:lang w:val="en-US" w:eastAsia="zh-CN"/>
              </w:rPr>
            </w:pPr>
            <w:r>
              <w:rPr>
                <w:rFonts w:hint="eastAsia"/>
                <w:color w:val="auto"/>
                <w:sz w:val="21"/>
                <w:szCs w:val="21"/>
                <w:highlight w:val="none"/>
                <w:lang w:val="en-US" w:eastAsia="zh-CN"/>
              </w:rPr>
              <w:t>11</w:t>
            </w:r>
          </w:p>
        </w:tc>
        <w:tc>
          <w:tcPr>
            <w:tcW w:w="950" w:type="pct"/>
            <w:tcBorders>
              <w:tl2br w:val="nil"/>
              <w:tr2bl w:val="nil"/>
            </w:tcBorders>
            <w:shd w:val="clear" w:color="auto" w:fill="auto"/>
            <w:noWrap w:val="0"/>
            <w:vAlign w:val="center"/>
          </w:tcPr>
          <w:p w14:paraId="03F2C0D1">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总锰</w:t>
            </w:r>
          </w:p>
        </w:tc>
        <w:tc>
          <w:tcPr>
            <w:tcW w:w="708" w:type="pct"/>
            <w:tcBorders>
              <w:tl2br w:val="nil"/>
              <w:tr2bl w:val="nil"/>
            </w:tcBorders>
            <w:noWrap w:val="0"/>
            <w:vAlign w:val="center"/>
          </w:tcPr>
          <w:p w14:paraId="4F2349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sz w:val="21"/>
                <w:szCs w:val="21"/>
                <w:highlight w:val="none"/>
              </w:rPr>
            </w:pPr>
            <w:r>
              <w:rPr>
                <w:rFonts w:hint="eastAsia" w:ascii="Times New Roman" w:hAnsi="宋体" w:eastAsia="宋体" w:cs="Times New Roman"/>
                <w:color w:val="auto"/>
                <w:kern w:val="0"/>
                <w:sz w:val="21"/>
                <w:szCs w:val="21"/>
                <w:highlight w:val="none"/>
                <w:lang w:val="en-US" w:eastAsia="zh-CN"/>
              </w:rPr>
              <w:t>11296.10</w:t>
            </w:r>
          </w:p>
        </w:tc>
        <w:tc>
          <w:tcPr>
            <w:tcW w:w="856" w:type="pct"/>
            <w:tcBorders>
              <w:tl2br w:val="nil"/>
              <w:tr2bl w:val="nil"/>
            </w:tcBorders>
            <w:noWrap w:val="0"/>
            <w:vAlign w:val="center"/>
          </w:tcPr>
          <w:p w14:paraId="5D2EE0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color w:val="auto"/>
                <w:sz w:val="21"/>
                <w:szCs w:val="21"/>
                <w:highlight w:val="none"/>
              </w:rPr>
            </w:pPr>
            <w:r>
              <w:rPr>
                <w:rFonts w:hint="eastAsia" w:ascii="Times New Roman" w:hAnsi="Times New Roman" w:eastAsia="宋体" w:cs="Times New Roman"/>
                <w:color w:val="auto"/>
                <w:kern w:val="0"/>
                <w:sz w:val="21"/>
                <w:szCs w:val="21"/>
                <w:highlight w:val="none"/>
                <w:lang w:val="en-US" w:eastAsia="zh-CN"/>
              </w:rPr>
              <w:t>87838.47</w:t>
            </w:r>
          </w:p>
        </w:tc>
        <w:tc>
          <w:tcPr>
            <w:tcW w:w="855" w:type="pct"/>
            <w:tcBorders>
              <w:tl2br w:val="nil"/>
              <w:tr2bl w:val="nil"/>
            </w:tcBorders>
            <w:shd w:val="clear" w:color="auto" w:fill="auto"/>
            <w:noWrap w:val="0"/>
            <w:vAlign w:val="center"/>
          </w:tcPr>
          <w:p w14:paraId="37A966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kern w:val="2"/>
                <w:sz w:val="21"/>
                <w:szCs w:val="21"/>
                <w:highlight w:val="none"/>
                <w:u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0.10</w:t>
            </w:r>
          </w:p>
        </w:tc>
        <w:tc>
          <w:tcPr>
            <w:tcW w:w="1458" w:type="dxa"/>
            <w:tcBorders>
              <w:tl2br w:val="nil"/>
              <w:tr2bl w:val="nil"/>
            </w:tcBorders>
            <w:noWrap w:val="0"/>
            <w:vAlign w:val="center"/>
          </w:tcPr>
          <w:p w14:paraId="607FA57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i w:val="0"/>
                <w:iCs w:val="0"/>
                <w:color w:val="auto"/>
                <w:kern w:val="0"/>
                <w:sz w:val="22"/>
                <w:szCs w:val="22"/>
                <w:highlight w:val="none"/>
                <w:u w:val="none"/>
                <w:lang w:val="en-US" w:eastAsia="zh-CN" w:bidi="ar"/>
              </w:rPr>
              <w:t>8.78</w:t>
            </w:r>
          </w:p>
        </w:tc>
      </w:tr>
      <w:tr w14:paraId="35E239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386" w:type="pct"/>
            <w:vMerge w:val="continue"/>
            <w:tcBorders>
              <w:tl2br w:val="nil"/>
              <w:tr2bl w:val="nil"/>
            </w:tcBorders>
            <w:noWrap w:val="0"/>
            <w:vAlign w:val="center"/>
          </w:tcPr>
          <w:p w14:paraId="16ADD4D9">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p>
        </w:tc>
        <w:tc>
          <w:tcPr>
            <w:tcW w:w="388" w:type="pct"/>
            <w:tcBorders>
              <w:tl2br w:val="nil"/>
              <w:tr2bl w:val="nil"/>
            </w:tcBorders>
            <w:noWrap w:val="0"/>
            <w:vAlign w:val="center"/>
          </w:tcPr>
          <w:p w14:paraId="64199933">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eastAsia="宋体"/>
                <w:color w:val="auto"/>
                <w:sz w:val="21"/>
                <w:szCs w:val="21"/>
                <w:highlight w:val="none"/>
                <w:lang w:val="en-US" w:eastAsia="zh-CN"/>
              </w:rPr>
            </w:pPr>
            <w:r>
              <w:rPr>
                <w:rFonts w:hint="eastAsia"/>
                <w:color w:val="auto"/>
                <w:sz w:val="21"/>
                <w:szCs w:val="21"/>
                <w:highlight w:val="none"/>
                <w:lang w:val="en-US" w:eastAsia="zh-CN"/>
              </w:rPr>
              <w:t>12</w:t>
            </w:r>
          </w:p>
        </w:tc>
        <w:tc>
          <w:tcPr>
            <w:tcW w:w="950" w:type="pct"/>
            <w:tcBorders>
              <w:tl2br w:val="nil"/>
              <w:tr2bl w:val="nil"/>
            </w:tcBorders>
            <w:shd w:val="clear" w:color="auto" w:fill="auto"/>
            <w:noWrap w:val="0"/>
            <w:vAlign w:val="center"/>
          </w:tcPr>
          <w:p w14:paraId="3C9FB6A7">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可吸附有机卤化物（AOX）（以Cl计）</w:t>
            </w:r>
          </w:p>
        </w:tc>
        <w:tc>
          <w:tcPr>
            <w:tcW w:w="708" w:type="pct"/>
            <w:tcBorders>
              <w:tl2br w:val="nil"/>
              <w:tr2bl w:val="nil"/>
            </w:tcBorders>
            <w:noWrap w:val="0"/>
            <w:vAlign w:val="center"/>
          </w:tcPr>
          <w:p w14:paraId="665E20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kern w:val="0"/>
                <w:sz w:val="21"/>
                <w:szCs w:val="21"/>
                <w:highlight w:val="none"/>
                <w:lang w:val="en-US" w:eastAsia="zh-CN" w:bidi="ar-SA"/>
              </w:rPr>
            </w:pPr>
            <w:r>
              <w:rPr>
                <w:rFonts w:hint="eastAsia" w:ascii="Times New Roman" w:hAnsi="宋体" w:eastAsia="宋体" w:cs="Times New Roman"/>
                <w:color w:val="auto"/>
                <w:kern w:val="0"/>
                <w:sz w:val="21"/>
                <w:szCs w:val="21"/>
                <w:highlight w:val="none"/>
                <w:lang w:val="en-US" w:eastAsia="zh-CN"/>
              </w:rPr>
              <w:t>11296.10</w:t>
            </w:r>
          </w:p>
        </w:tc>
        <w:tc>
          <w:tcPr>
            <w:tcW w:w="856" w:type="pct"/>
            <w:tcBorders>
              <w:tl2br w:val="nil"/>
              <w:tr2bl w:val="nil"/>
            </w:tcBorders>
            <w:noWrap w:val="0"/>
            <w:vAlign w:val="center"/>
          </w:tcPr>
          <w:p w14:paraId="372DF5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olor w:val="auto"/>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rPr>
              <w:t>87838.47</w:t>
            </w:r>
          </w:p>
        </w:tc>
        <w:tc>
          <w:tcPr>
            <w:tcW w:w="855" w:type="pct"/>
            <w:tcBorders>
              <w:tl2br w:val="nil"/>
              <w:tr2bl w:val="nil"/>
            </w:tcBorders>
            <w:shd w:val="clear" w:color="auto" w:fill="auto"/>
            <w:noWrap w:val="0"/>
            <w:vAlign w:val="center"/>
          </w:tcPr>
          <w:p w14:paraId="1F73C762">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snapToGrid w:val="0"/>
                <w:color w:val="auto"/>
                <w:sz w:val="21"/>
                <w:szCs w:val="21"/>
                <w:highlight w:val="none"/>
                <w:lang w:val="en-US" w:eastAsia="zh-CN"/>
              </w:rPr>
              <w:t>0.595</w:t>
            </w:r>
          </w:p>
        </w:tc>
        <w:tc>
          <w:tcPr>
            <w:tcW w:w="1458" w:type="dxa"/>
            <w:tcBorders>
              <w:tl2br w:val="nil"/>
              <w:tr2bl w:val="nil"/>
            </w:tcBorders>
            <w:noWrap w:val="0"/>
            <w:vAlign w:val="center"/>
          </w:tcPr>
          <w:p w14:paraId="184A7B7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i w:val="0"/>
                <w:iCs w:val="0"/>
                <w:color w:val="auto"/>
                <w:kern w:val="0"/>
                <w:sz w:val="22"/>
                <w:szCs w:val="22"/>
                <w:highlight w:val="none"/>
                <w:u w:val="none"/>
                <w:lang w:val="en-US" w:eastAsia="zh-CN" w:bidi="ar"/>
              </w:rPr>
              <w:t>52.3</w:t>
            </w:r>
          </w:p>
        </w:tc>
      </w:tr>
    </w:tbl>
    <w:p w14:paraId="7B3C72F8">
      <w:pPr>
        <w:pStyle w:val="6"/>
        <w:numPr>
          <w:ilvl w:val="0"/>
          <w:numId w:val="0"/>
        </w:numPr>
        <w:rPr>
          <w:color w:val="auto"/>
          <w:highlight w:val="none"/>
        </w:rPr>
      </w:pPr>
      <w:r>
        <w:rPr>
          <w:color w:val="auto"/>
          <w:highlight w:val="none"/>
        </w:rPr>
        <w:t>.</w:t>
      </w:r>
      <w:r>
        <w:rPr>
          <w:rFonts w:hint="eastAsia"/>
          <w:color w:val="auto"/>
          <w:highlight w:val="none"/>
        </w:rPr>
        <w:t>4</w:t>
      </w:r>
      <w:r>
        <w:rPr>
          <w:color w:val="auto"/>
          <w:highlight w:val="none"/>
        </w:rPr>
        <w:t>清洁生产分析</w:t>
      </w:r>
    </w:p>
    <w:p w14:paraId="4F1F4375">
      <w:pPr>
        <w:ind w:firstLine="480"/>
        <w:rPr>
          <w:rFonts w:ascii="Times New Roman"/>
          <w:color w:val="auto"/>
          <w:highlight w:val="none"/>
        </w:rPr>
      </w:pPr>
      <w:r>
        <w:rPr>
          <w:rFonts w:ascii="Times New Roman"/>
          <w:color w:val="auto"/>
          <w:highlight w:val="none"/>
        </w:rPr>
        <w:t>本项目为</w:t>
      </w:r>
      <w:r>
        <w:rPr>
          <w:rFonts w:hint="eastAsia" w:ascii="Times New Roman" w:hAnsi="Times New Roman" w:eastAsia="宋体" w:cs="Times New Roman"/>
          <w:color w:val="auto"/>
          <w:highlight w:val="none"/>
          <w:lang w:val="en-US" w:eastAsia="zh-CN"/>
        </w:rPr>
        <w:t>灰渣回填复垦利用项目</w:t>
      </w:r>
      <w:r>
        <w:rPr>
          <w:rFonts w:ascii="Times New Roman"/>
          <w:color w:val="auto"/>
          <w:highlight w:val="none"/>
        </w:rPr>
        <w:t>，目前尚无清洁生产标准。本次评价从</w:t>
      </w:r>
      <w:r>
        <w:rPr>
          <w:rFonts w:hint="eastAsia"/>
          <w:color w:val="auto"/>
          <w:highlight w:val="none"/>
          <w:lang w:val="en-US" w:eastAsia="zh-CN"/>
        </w:rPr>
        <w:t>以下六点分析：</w:t>
      </w:r>
    </w:p>
    <w:p w14:paraId="3B2B03AA">
      <w:pPr>
        <w:spacing w:line="500" w:lineRule="exact"/>
        <w:ind w:firstLine="480" w:firstLineChars="200"/>
        <w:rPr>
          <w:color w:val="auto"/>
          <w:sz w:val="24"/>
          <w:szCs w:val="22"/>
          <w:highlight w:val="none"/>
        </w:rPr>
      </w:pPr>
      <w:r>
        <w:rPr>
          <w:color w:val="auto"/>
          <w:sz w:val="24"/>
          <w:szCs w:val="22"/>
          <w:highlight w:val="none"/>
        </w:rPr>
        <w:t>（1）</w:t>
      </w:r>
      <w:r>
        <w:rPr>
          <w:rFonts w:hint="eastAsia"/>
          <w:color w:val="auto"/>
          <w:sz w:val="24"/>
          <w:szCs w:val="22"/>
          <w:highlight w:val="none"/>
          <w:lang w:val="en-US" w:eastAsia="zh-CN"/>
        </w:rPr>
        <w:t>处理</w:t>
      </w:r>
      <w:r>
        <w:rPr>
          <w:color w:val="auto"/>
          <w:sz w:val="24"/>
          <w:szCs w:val="22"/>
          <w:highlight w:val="none"/>
        </w:rPr>
        <w:t>工艺与装备要求</w:t>
      </w:r>
    </w:p>
    <w:p w14:paraId="0D62C698">
      <w:pPr>
        <w:spacing w:line="500" w:lineRule="exact"/>
        <w:ind w:firstLine="480" w:firstLineChars="200"/>
        <w:rPr>
          <w:color w:val="auto"/>
          <w:sz w:val="24"/>
          <w:szCs w:val="22"/>
          <w:highlight w:val="none"/>
        </w:rPr>
      </w:pPr>
      <w:r>
        <w:rPr>
          <w:color w:val="auto"/>
          <w:sz w:val="24"/>
          <w:szCs w:val="22"/>
          <w:highlight w:val="none"/>
        </w:rPr>
        <w:t>本项目工艺简单，污染源少，是成熟的固体废物处理工艺。本项目</w:t>
      </w:r>
      <w:r>
        <w:rPr>
          <w:rFonts w:hint="eastAsia"/>
          <w:color w:val="auto"/>
          <w:sz w:val="24"/>
          <w:szCs w:val="22"/>
          <w:highlight w:val="none"/>
          <w:lang w:val="en-US" w:eastAsia="zh-CN"/>
        </w:rPr>
        <w:t>灰渣</w:t>
      </w:r>
      <w:r>
        <w:rPr>
          <w:color w:val="auto"/>
          <w:sz w:val="24"/>
          <w:szCs w:val="22"/>
          <w:highlight w:val="none"/>
        </w:rPr>
        <w:t>为</w:t>
      </w:r>
      <w:r>
        <w:rPr>
          <w:snapToGrid w:val="0"/>
          <w:color w:val="auto"/>
          <w:sz w:val="24"/>
          <w:szCs w:val="22"/>
          <w:highlight w:val="none"/>
        </w:rPr>
        <w:fldChar w:fldCharType="begin"/>
      </w:r>
      <w:r>
        <w:rPr>
          <w:snapToGrid w:val="0"/>
          <w:color w:val="auto"/>
          <w:sz w:val="24"/>
          <w:szCs w:val="22"/>
          <w:highlight w:val="none"/>
        </w:rPr>
        <w:instrText xml:space="preserve"> = 1 \* ROMAN </w:instrText>
      </w:r>
      <w:r>
        <w:rPr>
          <w:snapToGrid w:val="0"/>
          <w:color w:val="auto"/>
          <w:sz w:val="24"/>
          <w:szCs w:val="22"/>
          <w:highlight w:val="none"/>
        </w:rPr>
        <w:fldChar w:fldCharType="separate"/>
      </w:r>
      <w:r>
        <w:rPr>
          <w:snapToGrid w:val="0"/>
          <w:color w:val="auto"/>
          <w:sz w:val="24"/>
          <w:szCs w:val="22"/>
          <w:highlight w:val="none"/>
        </w:rPr>
        <w:t>I</w:t>
      </w:r>
      <w:r>
        <w:rPr>
          <w:snapToGrid w:val="0"/>
          <w:color w:val="auto"/>
          <w:sz w:val="24"/>
          <w:szCs w:val="22"/>
          <w:highlight w:val="none"/>
        </w:rPr>
        <w:fldChar w:fldCharType="end"/>
      </w:r>
      <w:r>
        <w:rPr>
          <w:color w:val="auto"/>
          <w:sz w:val="24"/>
          <w:szCs w:val="22"/>
          <w:highlight w:val="none"/>
        </w:rPr>
        <w:t>类一般工业固体废物，处理成本较低，</w:t>
      </w:r>
      <w:r>
        <w:rPr>
          <w:rFonts w:hint="eastAsia"/>
          <w:color w:val="auto"/>
          <w:sz w:val="24"/>
          <w:szCs w:val="22"/>
          <w:highlight w:val="none"/>
          <w:lang w:val="en-US" w:eastAsia="zh-CN"/>
        </w:rPr>
        <w:t>灰渣</w:t>
      </w:r>
      <w:r>
        <w:rPr>
          <w:color w:val="auto"/>
          <w:sz w:val="24"/>
          <w:szCs w:val="22"/>
          <w:highlight w:val="none"/>
        </w:rPr>
        <w:t>收集、清运、处置过程自动化程度高，堆放作业简便，</w:t>
      </w:r>
      <w:r>
        <w:rPr>
          <w:rFonts w:hint="eastAsia"/>
          <w:color w:val="auto"/>
          <w:sz w:val="24"/>
          <w:szCs w:val="22"/>
          <w:highlight w:val="none"/>
          <w:lang w:val="en-US" w:eastAsia="zh-CN"/>
        </w:rPr>
        <w:t>处理</w:t>
      </w:r>
      <w:r>
        <w:rPr>
          <w:color w:val="auto"/>
          <w:sz w:val="24"/>
          <w:szCs w:val="22"/>
          <w:highlight w:val="none"/>
        </w:rPr>
        <w:t>工艺与装备要求达到国内先进水平。</w:t>
      </w:r>
    </w:p>
    <w:p w14:paraId="096733BD">
      <w:pPr>
        <w:spacing w:line="500" w:lineRule="exact"/>
        <w:ind w:firstLine="480" w:firstLineChars="200"/>
        <w:rPr>
          <w:color w:val="auto"/>
          <w:sz w:val="24"/>
          <w:szCs w:val="22"/>
          <w:highlight w:val="none"/>
        </w:rPr>
      </w:pPr>
      <w:r>
        <w:rPr>
          <w:color w:val="auto"/>
          <w:sz w:val="24"/>
          <w:szCs w:val="22"/>
          <w:highlight w:val="none"/>
        </w:rPr>
        <w:t>（2）原材料及产品指标</w:t>
      </w:r>
    </w:p>
    <w:p w14:paraId="5CDE3B4C">
      <w:pPr>
        <w:pStyle w:val="217"/>
        <w:ind w:firstLine="480"/>
        <w:rPr>
          <w:rFonts w:cs="Times New Roman"/>
          <w:color w:val="auto"/>
          <w:highlight w:val="none"/>
        </w:rPr>
      </w:pPr>
      <w:r>
        <w:rPr>
          <w:rFonts w:cs="Times New Roman"/>
          <w:color w:val="auto"/>
          <w:highlight w:val="none"/>
        </w:rPr>
        <w:t>本回填区</w:t>
      </w:r>
      <w:r>
        <w:rPr>
          <w:rFonts w:hint="eastAsia" w:cs="Times New Roman"/>
          <w:color w:val="auto"/>
          <w:highlight w:val="none"/>
          <w:lang w:val="en-US" w:eastAsia="zh-CN"/>
        </w:rPr>
        <w:t>利用的是</w:t>
      </w:r>
      <w:r>
        <w:rPr>
          <w:rFonts w:hint="eastAsia" w:ascii="Times New Roman"/>
          <w:color w:val="auto"/>
          <w:sz w:val="24"/>
          <w:highlight w:val="none"/>
          <w:lang w:val="en-US" w:eastAsia="zh-CN"/>
        </w:rPr>
        <w:t>黑龙江瑞和热电有限公司、尚志市正德金环境科技有限公司</w:t>
      </w:r>
      <w:r>
        <w:rPr>
          <w:rFonts w:hint="eastAsia" w:ascii="Times New Roman"/>
          <w:color w:val="auto"/>
          <w:highlight w:val="none"/>
          <w:lang w:val="en-US" w:eastAsia="zh-CN"/>
        </w:rPr>
        <w:t>和苇河林业局供热站</w:t>
      </w:r>
      <w:r>
        <w:rPr>
          <w:rFonts w:cs="Times New Roman"/>
          <w:color w:val="auto"/>
          <w:highlight w:val="none"/>
        </w:rPr>
        <w:t>产生的</w:t>
      </w:r>
      <w:r>
        <w:rPr>
          <w:rFonts w:hint="eastAsia" w:cs="Times New Roman"/>
          <w:color w:val="auto"/>
          <w:highlight w:val="none"/>
          <w:lang w:val="en-US" w:eastAsia="zh-CN"/>
        </w:rPr>
        <w:t>灰渣</w:t>
      </w:r>
      <w:r>
        <w:rPr>
          <w:rFonts w:cs="Times New Roman"/>
          <w:color w:val="auto"/>
          <w:highlight w:val="none"/>
        </w:rPr>
        <w:t>，为一般工业固体废物，回填材料唯一，不</w:t>
      </w:r>
      <w:r>
        <w:rPr>
          <w:rFonts w:hint="eastAsia" w:cs="Times New Roman"/>
          <w:color w:val="auto"/>
          <w:highlight w:val="none"/>
          <w:lang w:eastAsia="zh-CN"/>
        </w:rPr>
        <w:t>接收</w:t>
      </w:r>
      <w:r>
        <w:rPr>
          <w:rFonts w:cs="Times New Roman"/>
          <w:color w:val="auto"/>
          <w:highlight w:val="none"/>
        </w:rPr>
        <w:t>危险废物。</w:t>
      </w:r>
    </w:p>
    <w:p w14:paraId="67BBC572">
      <w:pPr>
        <w:spacing w:line="500" w:lineRule="exact"/>
        <w:ind w:firstLine="480" w:firstLineChars="200"/>
        <w:rPr>
          <w:color w:val="auto"/>
          <w:sz w:val="24"/>
          <w:szCs w:val="22"/>
          <w:highlight w:val="none"/>
        </w:rPr>
      </w:pPr>
      <w:r>
        <w:rPr>
          <w:color w:val="auto"/>
          <w:sz w:val="24"/>
          <w:szCs w:val="22"/>
          <w:highlight w:val="none"/>
        </w:rPr>
        <w:t>本项目不是工业生产类项目，不生产产品，采用回填的工艺技术，对</w:t>
      </w:r>
      <w:r>
        <w:rPr>
          <w:rFonts w:hint="eastAsia"/>
          <w:color w:val="auto"/>
          <w:sz w:val="24"/>
          <w:szCs w:val="22"/>
          <w:highlight w:val="none"/>
          <w:lang w:val="en-US" w:eastAsia="zh-CN"/>
        </w:rPr>
        <w:t>灰渣</w:t>
      </w:r>
      <w:r>
        <w:rPr>
          <w:color w:val="auto"/>
          <w:sz w:val="24"/>
          <w:szCs w:val="22"/>
          <w:highlight w:val="none"/>
        </w:rPr>
        <w:t>进行处置，项目的建设从原材料及产品指标分析满足清洁生产的要求。</w:t>
      </w:r>
    </w:p>
    <w:p w14:paraId="00888472">
      <w:pPr>
        <w:spacing w:line="500" w:lineRule="exact"/>
        <w:ind w:firstLine="480" w:firstLineChars="200"/>
        <w:rPr>
          <w:color w:val="auto"/>
          <w:sz w:val="24"/>
          <w:szCs w:val="22"/>
          <w:highlight w:val="none"/>
        </w:rPr>
      </w:pPr>
      <w:r>
        <w:rPr>
          <w:color w:val="auto"/>
          <w:sz w:val="24"/>
          <w:szCs w:val="22"/>
          <w:highlight w:val="none"/>
        </w:rPr>
        <w:t>（3）资源和能源利用指标</w:t>
      </w:r>
    </w:p>
    <w:p w14:paraId="456B4AED">
      <w:pPr>
        <w:spacing w:line="500" w:lineRule="exact"/>
        <w:ind w:firstLine="480" w:firstLineChars="200"/>
        <w:rPr>
          <w:color w:val="auto"/>
          <w:sz w:val="24"/>
          <w:szCs w:val="22"/>
          <w:highlight w:val="none"/>
        </w:rPr>
      </w:pPr>
      <w:r>
        <w:rPr>
          <w:rFonts w:hint="eastAsia"/>
          <w:color w:val="auto"/>
          <w:sz w:val="24"/>
          <w:szCs w:val="22"/>
          <w:highlight w:val="none"/>
          <w:lang w:eastAsia="zh-CN"/>
        </w:rPr>
        <w:t>本项目</w:t>
      </w:r>
      <w:r>
        <w:rPr>
          <w:color w:val="auto"/>
          <w:sz w:val="24"/>
          <w:szCs w:val="22"/>
          <w:highlight w:val="none"/>
        </w:rPr>
        <w:t>主要消耗的是土地资源，本项目现状为</w:t>
      </w:r>
      <w:r>
        <w:rPr>
          <w:rFonts w:hint="eastAsia" w:ascii="Times New Roman"/>
          <w:color w:val="auto"/>
          <w:highlight w:val="none"/>
          <w:lang w:val="en-US" w:eastAsia="zh-CN"/>
        </w:rPr>
        <w:t>废弃</w:t>
      </w:r>
      <w:r>
        <w:rPr>
          <w:rFonts w:hint="eastAsia" w:asciiTheme="minorEastAsia" w:hAnsiTheme="minorEastAsia" w:eastAsiaTheme="minorEastAsia" w:cstheme="minorEastAsia"/>
          <w:color w:val="auto"/>
          <w:szCs w:val="24"/>
          <w:highlight w:val="none"/>
        </w:rPr>
        <w:t>采砂坑</w:t>
      </w:r>
      <w:r>
        <w:rPr>
          <w:color w:val="auto"/>
          <w:sz w:val="24"/>
          <w:szCs w:val="22"/>
          <w:highlight w:val="none"/>
        </w:rPr>
        <w:t>，周围没有需要特殊保护的敏感目标。本项目回填完毕后对</w:t>
      </w:r>
      <w:r>
        <w:rPr>
          <w:rFonts w:hint="eastAsia" w:ascii="Times New Roman"/>
          <w:color w:val="auto"/>
          <w:highlight w:val="none"/>
          <w:lang w:val="en-US" w:eastAsia="zh-CN"/>
        </w:rPr>
        <w:t>废弃</w:t>
      </w:r>
      <w:r>
        <w:rPr>
          <w:rFonts w:hint="eastAsia" w:asciiTheme="minorEastAsia" w:hAnsiTheme="minorEastAsia" w:eastAsiaTheme="minorEastAsia" w:cstheme="minorEastAsia"/>
          <w:color w:val="auto"/>
          <w:szCs w:val="24"/>
          <w:highlight w:val="none"/>
        </w:rPr>
        <w:t>采砂坑</w:t>
      </w:r>
      <w:r>
        <w:rPr>
          <w:color w:val="auto"/>
          <w:sz w:val="24"/>
          <w:szCs w:val="22"/>
          <w:highlight w:val="none"/>
        </w:rPr>
        <w:t>覆土进行</w:t>
      </w:r>
      <w:r>
        <w:rPr>
          <w:rFonts w:hint="eastAsia"/>
          <w:color w:val="auto"/>
          <w:sz w:val="24"/>
          <w:szCs w:val="22"/>
          <w:highlight w:val="none"/>
          <w:lang w:val="en-US" w:eastAsia="zh-CN"/>
        </w:rPr>
        <w:t>绿化恢复原有地形地貌</w:t>
      </w:r>
      <w:r>
        <w:rPr>
          <w:color w:val="auto"/>
          <w:sz w:val="24"/>
          <w:szCs w:val="22"/>
          <w:highlight w:val="none"/>
        </w:rPr>
        <w:t>，可恢复土地的使用功能，不会造成土地资源的浪费。</w:t>
      </w:r>
    </w:p>
    <w:p w14:paraId="15E498C0">
      <w:pPr>
        <w:spacing w:line="500" w:lineRule="exact"/>
        <w:ind w:firstLine="480" w:firstLineChars="200"/>
        <w:rPr>
          <w:color w:val="auto"/>
          <w:sz w:val="24"/>
          <w:szCs w:val="22"/>
          <w:highlight w:val="none"/>
        </w:rPr>
      </w:pPr>
      <w:r>
        <w:rPr>
          <w:color w:val="auto"/>
          <w:sz w:val="24"/>
          <w:szCs w:val="22"/>
          <w:highlight w:val="none"/>
        </w:rPr>
        <w:t>（4）污染物产生指标清洁生产分析</w:t>
      </w:r>
    </w:p>
    <w:p w14:paraId="76D0C4B9">
      <w:pPr>
        <w:spacing w:line="500" w:lineRule="exact"/>
        <w:ind w:firstLine="480" w:firstLineChars="200"/>
        <w:rPr>
          <w:color w:val="auto"/>
          <w:sz w:val="24"/>
          <w:szCs w:val="22"/>
          <w:highlight w:val="none"/>
        </w:rPr>
      </w:pPr>
      <w:r>
        <w:rPr>
          <w:color w:val="auto"/>
          <w:sz w:val="24"/>
          <w:szCs w:val="22"/>
          <w:highlight w:val="none"/>
        </w:rPr>
        <w:t>本项目工艺简单，污染物排放较少，产生的生活污水不外排，生活垃圾交由市政部门处理</w:t>
      </w:r>
      <w:r>
        <w:rPr>
          <w:rFonts w:hint="eastAsia"/>
          <w:color w:val="auto"/>
          <w:sz w:val="24"/>
          <w:szCs w:val="22"/>
          <w:highlight w:val="none"/>
          <w:lang w:eastAsia="zh-CN"/>
        </w:rPr>
        <w:t>；</w:t>
      </w:r>
      <w:r>
        <w:rPr>
          <w:rFonts w:hint="eastAsia"/>
          <w:color w:val="auto"/>
          <w:sz w:val="24"/>
          <w:szCs w:val="22"/>
          <w:highlight w:val="none"/>
          <w:lang w:val="en-US" w:eastAsia="zh-CN"/>
        </w:rPr>
        <w:t>产生的颗粒物设置隔声隔尘挡板；</w:t>
      </w:r>
      <w:r>
        <w:rPr>
          <w:color w:val="auto"/>
          <w:sz w:val="24"/>
          <w:szCs w:val="22"/>
          <w:highlight w:val="none"/>
        </w:rPr>
        <w:t>污染物产生指标满足清洁生产要求。</w:t>
      </w:r>
    </w:p>
    <w:p w14:paraId="529032F7">
      <w:pPr>
        <w:spacing w:line="500" w:lineRule="exact"/>
        <w:ind w:firstLine="480" w:firstLineChars="200"/>
        <w:rPr>
          <w:color w:val="auto"/>
          <w:sz w:val="24"/>
          <w:szCs w:val="22"/>
          <w:highlight w:val="none"/>
        </w:rPr>
      </w:pPr>
      <w:r>
        <w:rPr>
          <w:color w:val="auto"/>
          <w:sz w:val="24"/>
          <w:szCs w:val="22"/>
          <w:highlight w:val="none"/>
        </w:rPr>
        <w:t>（5）废物回收利用指标</w:t>
      </w:r>
    </w:p>
    <w:p w14:paraId="7912205A">
      <w:pPr>
        <w:spacing w:line="500" w:lineRule="exact"/>
        <w:ind w:firstLine="480" w:firstLineChars="200"/>
        <w:rPr>
          <w:color w:val="auto"/>
          <w:sz w:val="24"/>
          <w:szCs w:val="22"/>
          <w:highlight w:val="none"/>
        </w:rPr>
      </w:pPr>
      <w:r>
        <w:rPr>
          <w:color w:val="auto"/>
          <w:sz w:val="24"/>
          <w:szCs w:val="22"/>
          <w:highlight w:val="none"/>
        </w:rPr>
        <w:t>本项目所回填的</w:t>
      </w:r>
      <w:r>
        <w:rPr>
          <w:rFonts w:hint="eastAsia"/>
          <w:color w:val="auto"/>
          <w:sz w:val="24"/>
          <w:szCs w:val="22"/>
          <w:highlight w:val="none"/>
          <w:lang w:val="en-US" w:eastAsia="zh-CN"/>
        </w:rPr>
        <w:t>灰渣</w:t>
      </w:r>
      <w:r>
        <w:rPr>
          <w:color w:val="auto"/>
          <w:sz w:val="24"/>
          <w:szCs w:val="22"/>
          <w:highlight w:val="none"/>
        </w:rPr>
        <w:t>仍然具有一定的利用价值，如果有其他企业有意向接收，可以将其运往相应的企业进行加工再利用，实现资源的综合利用，符合清洁生产的要求。</w:t>
      </w:r>
    </w:p>
    <w:p w14:paraId="01FAC2CD">
      <w:pPr>
        <w:spacing w:line="500" w:lineRule="exact"/>
        <w:ind w:firstLine="480" w:firstLineChars="200"/>
        <w:rPr>
          <w:color w:val="auto"/>
          <w:sz w:val="24"/>
          <w:szCs w:val="22"/>
          <w:highlight w:val="none"/>
        </w:rPr>
      </w:pPr>
      <w:r>
        <w:rPr>
          <w:color w:val="auto"/>
          <w:sz w:val="24"/>
          <w:szCs w:val="22"/>
          <w:highlight w:val="none"/>
        </w:rPr>
        <w:t>（6）环境管理相关指标</w:t>
      </w:r>
    </w:p>
    <w:p w14:paraId="01A2AADE">
      <w:pPr>
        <w:spacing w:line="500" w:lineRule="exact"/>
        <w:ind w:firstLine="480" w:firstLineChars="200"/>
        <w:rPr>
          <w:color w:val="auto"/>
          <w:sz w:val="24"/>
          <w:szCs w:val="22"/>
          <w:highlight w:val="none"/>
        </w:rPr>
      </w:pPr>
      <w:r>
        <w:rPr>
          <w:color w:val="auto"/>
          <w:sz w:val="24"/>
          <w:szCs w:val="22"/>
          <w:highlight w:val="none"/>
        </w:rPr>
        <w:t>环境管理主要包括三个方面，即法律法规标准、废物处理处置、生产过程环境管理。</w:t>
      </w:r>
    </w:p>
    <w:p w14:paraId="54236916">
      <w:pPr>
        <w:spacing w:line="500" w:lineRule="exact"/>
        <w:ind w:firstLine="480" w:firstLineChars="200"/>
        <w:rPr>
          <w:color w:val="auto"/>
          <w:sz w:val="24"/>
          <w:szCs w:val="22"/>
          <w:highlight w:val="none"/>
        </w:rPr>
      </w:pPr>
      <w:r>
        <w:rPr>
          <w:color w:val="auto"/>
          <w:sz w:val="24"/>
          <w:szCs w:val="22"/>
          <w:highlight w:val="none"/>
        </w:rPr>
        <w:t>法律法规标准：本项目在规划实施及建设和运营的全过程中，可以做到符合国家和地方有关环境法律法规，污染物排放达到国家和地方排放标准、总量控制和排污许可证管理要求。</w:t>
      </w:r>
    </w:p>
    <w:p w14:paraId="06BF5A8F">
      <w:pPr>
        <w:spacing w:line="500" w:lineRule="exact"/>
        <w:ind w:firstLine="480" w:firstLineChars="200"/>
        <w:rPr>
          <w:color w:val="auto"/>
          <w:sz w:val="24"/>
          <w:szCs w:val="22"/>
          <w:highlight w:val="none"/>
        </w:rPr>
      </w:pPr>
      <w:r>
        <w:rPr>
          <w:color w:val="auto"/>
          <w:sz w:val="24"/>
          <w:szCs w:val="22"/>
          <w:highlight w:val="none"/>
        </w:rPr>
        <w:t>废物处理处置：本项目废物处置处理遵循分类原则、回收利用原则、减量化原则、无公害化原则及分散与集中相结合的原则。</w:t>
      </w:r>
    </w:p>
    <w:p w14:paraId="7753B4B4">
      <w:pPr>
        <w:spacing w:line="500" w:lineRule="exact"/>
        <w:ind w:firstLine="480" w:firstLineChars="200"/>
        <w:rPr>
          <w:color w:val="auto"/>
          <w:sz w:val="24"/>
          <w:szCs w:val="22"/>
          <w:highlight w:val="none"/>
        </w:rPr>
      </w:pPr>
      <w:r>
        <w:rPr>
          <w:color w:val="auto"/>
          <w:sz w:val="24"/>
          <w:szCs w:val="22"/>
          <w:highlight w:val="none"/>
        </w:rPr>
        <w:t>生产过程环境管理：本项目拟采取的主要管理措施有环境考核指标岗位责任制和管理制度、产品全面质量管理制度、安全生产管理制度、员工环境管理培训制度、环境风险管理制度等。</w:t>
      </w:r>
    </w:p>
    <w:p w14:paraId="455C3A4F">
      <w:pPr>
        <w:spacing w:line="360" w:lineRule="auto"/>
        <w:ind w:firstLine="480"/>
        <w:rPr>
          <w:rFonts w:hint="eastAsia" w:asciiTheme="minorEastAsia" w:hAnsiTheme="minorEastAsia" w:eastAsiaTheme="minorEastAsia" w:cstheme="minorEastAsia"/>
          <w:snapToGrid w:val="0"/>
          <w:color w:val="auto"/>
          <w:szCs w:val="32"/>
          <w:highlight w:val="none"/>
          <w:lang w:eastAsia="zh-CN"/>
        </w:rPr>
      </w:pPr>
      <w:r>
        <w:rPr>
          <w:color w:val="auto"/>
          <w:sz w:val="24"/>
          <w:szCs w:val="22"/>
          <w:highlight w:val="none"/>
        </w:rPr>
        <w:t>由以上分析可知，本项目的工艺设备、防渗水平、能源消耗、环境管理制度等方面满足清洁生产要求。</w:t>
      </w:r>
      <w:r>
        <w:rPr>
          <w:rFonts w:hint="eastAsia" w:asciiTheme="minorEastAsia" w:hAnsiTheme="minorEastAsia" w:eastAsiaTheme="minorEastAsia" w:cstheme="minorEastAsia"/>
          <w:snapToGrid w:val="0"/>
          <w:color w:val="auto"/>
          <w:szCs w:val="32"/>
          <w:highlight w:val="none"/>
        </w:rPr>
        <w:t>由以上分析可知，本项目的工艺设备、防渗水平、能源消耗、环境管理制度等方面满足清洁生产要求</w:t>
      </w:r>
      <w:r>
        <w:rPr>
          <w:rFonts w:hint="eastAsia" w:asciiTheme="minorEastAsia" w:hAnsiTheme="minorEastAsia" w:eastAsiaTheme="minorEastAsia" w:cstheme="minorEastAsia"/>
          <w:snapToGrid w:val="0"/>
          <w:color w:val="auto"/>
          <w:szCs w:val="32"/>
          <w:highlight w:val="none"/>
          <w:lang w:eastAsia="zh-CN"/>
        </w:rPr>
        <w:t>。</w:t>
      </w:r>
    </w:p>
    <w:p w14:paraId="69CF29A6">
      <w:pPr>
        <w:pStyle w:val="70"/>
        <w:rPr>
          <w:rFonts w:hint="eastAsia" w:asciiTheme="minorEastAsia" w:hAnsiTheme="minorEastAsia" w:eastAsiaTheme="minorEastAsia" w:cstheme="minorEastAsia"/>
          <w:color w:val="auto"/>
          <w:highlight w:val="none"/>
        </w:rPr>
      </w:pPr>
    </w:p>
    <w:p w14:paraId="7F091D2F">
      <w:pPr>
        <w:rPr>
          <w:rFonts w:hint="eastAsia" w:asciiTheme="minorEastAsia" w:hAnsiTheme="minorEastAsia" w:eastAsiaTheme="minorEastAsia" w:cstheme="minorEastAsia"/>
          <w:color w:val="auto"/>
          <w:highlight w:val="none"/>
        </w:rPr>
      </w:pPr>
      <w:bookmarkStart w:id="397" w:name="_Toc11313"/>
      <w:bookmarkStart w:id="398" w:name="_Toc6935"/>
      <w:bookmarkStart w:id="399" w:name="_Toc490466457"/>
      <w:bookmarkStart w:id="400" w:name="_Toc17327"/>
    </w:p>
    <w:bookmarkEnd w:id="397"/>
    <w:bookmarkEnd w:id="398"/>
    <w:bookmarkEnd w:id="399"/>
    <w:bookmarkEnd w:id="400"/>
    <w:p w14:paraId="125E157D">
      <w:pPr>
        <w:pStyle w:val="5"/>
        <w:pageBreakBefore w:val="0"/>
        <w:widowControl w:val="0"/>
        <w:kinsoku/>
        <w:wordWrap/>
        <w:overflowPunct/>
        <w:topLinePunct w:val="0"/>
        <w:autoSpaceDE/>
        <w:autoSpaceDN/>
        <w:bidi w:val="0"/>
        <w:adjustRightInd/>
        <w:snapToGrid/>
        <w:spacing w:before="0" w:after="0" w:line="360" w:lineRule="auto"/>
        <w:textAlignment w:val="auto"/>
        <w:rPr>
          <w:rFonts w:hint="eastAsia" w:asciiTheme="minorEastAsia" w:hAnsiTheme="minorEastAsia" w:eastAsiaTheme="minorEastAsia" w:cstheme="minorEastAsia"/>
          <w:color w:val="auto"/>
          <w:sz w:val="32"/>
          <w:szCs w:val="32"/>
          <w:highlight w:val="none"/>
        </w:rPr>
        <w:sectPr>
          <w:pgSz w:w="11906" w:h="16838"/>
          <w:pgMar w:top="1440" w:right="1797" w:bottom="1440" w:left="1797" w:header="992" w:footer="992" w:gutter="0"/>
          <w:pgBorders>
            <w:top w:val="none" w:sz="0" w:space="0"/>
            <w:left w:val="none" w:sz="0" w:space="0"/>
            <w:bottom w:val="none" w:sz="0" w:space="0"/>
            <w:right w:val="none" w:sz="0" w:space="0"/>
          </w:pgBorders>
          <w:pgNumType w:fmt="numberInDash"/>
          <w:cols w:space="720" w:num="1"/>
          <w:docGrid w:type="lines" w:linePitch="312" w:charSpace="0"/>
        </w:sectPr>
      </w:pPr>
      <w:bookmarkStart w:id="401" w:name="_Toc4064"/>
      <w:bookmarkStart w:id="402" w:name="_Toc13281"/>
      <w:bookmarkStart w:id="403" w:name="_Toc15904"/>
      <w:bookmarkStart w:id="404" w:name="_Toc8464"/>
      <w:bookmarkStart w:id="405" w:name="_Toc28244"/>
      <w:bookmarkStart w:id="406" w:name="_Toc15394"/>
      <w:bookmarkStart w:id="407" w:name="_Toc20125"/>
      <w:bookmarkStart w:id="408" w:name="_Toc20167"/>
      <w:bookmarkStart w:id="409" w:name="_Toc19076"/>
      <w:bookmarkStart w:id="410" w:name="_Toc5620"/>
      <w:bookmarkStart w:id="411" w:name="_Toc490466460"/>
    </w:p>
    <w:p w14:paraId="0D5D236E">
      <w:pPr>
        <w:pStyle w:val="5"/>
        <w:bidi w:val="0"/>
        <w:rPr>
          <w:rFonts w:hint="eastAsia" w:asciiTheme="minorEastAsia" w:hAnsiTheme="minorEastAsia" w:eastAsiaTheme="minorEastAsia" w:cstheme="minorEastAsia"/>
          <w:color w:val="auto"/>
          <w:highlight w:val="none"/>
        </w:rPr>
      </w:pPr>
      <w:bookmarkStart w:id="412" w:name="_Toc30809"/>
      <w:bookmarkStart w:id="413" w:name="_Toc14302"/>
      <w:bookmarkStart w:id="414" w:name="_Toc1493"/>
      <w:bookmarkStart w:id="415" w:name="_Toc7785"/>
      <w:bookmarkStart w:id="416" w:name="_Toc16132"/>
      <w:bookmarkStart w:id="417" w:name="_Toc18204"/>
      <w:bookmarkStart w:id="418" w:name="_Toc9858"/>
      <w:bookmarkStart w:id="419" w:name="_Toc1418"/>
      <w:r>
        <w:rPr>
          <w:rFonts w:hint="eastAsia" w:asciiTheme="minorEastAsia" w:hAnsiTheme="minorEastAsia" w:eastAsiaTheme="minorEastAsia" w:cstheme="minorEastAsia"/>
          <w:color w:val="auto"/>
          <w:highlight w:val="none"/>
        </w:rPr>
        <w:t>4环境现状调查与评价</w:t>
      </w:r>
      <w:bookmarkEnd w:id="401"/>
      <w:bookmarkEnd w:id="402"/>
      <w:bookmarkEnd w:id="403"/>
      <w:bookmarkEnd w:id="404"/>
      <w:bookmarkEnd w:id="405"/>
      <w:bookmarkEnd w:id="406"/>
      <w:bookmarkEnd w:id="407"/>
      <w:bookmarkEnd w:id="408"/>
      <w:bookmarkEnd w:id="409"/>
      <w:bookmarkEnd w:id="412"/>
      <w:bookmarkEnd w:id="413"/>
      <w:bookmarkEnd w:id="414"/>
      <w:bookmarkEnd w:id="415"/>
      <w:bookmarkEnd w:id="416"/>
      <w:bookmarkEnd w:id="417"/>
      <w:bookmarkEnd w:id="418"/>
      <w:bookmarkEnd w:id="419"/>
    </w:p>
    <w:p w14:paraId="5F3E3441">
      <w:pPr>
        <w:pStyle w:val="6"/>
        <w:bidi w:val="0"/>
        <w:rPr>
          <w:rFonts w:hint="eastAsia" w:asciiTheme="minorEastAsia" w:hAnsiTheme="minorEastAsia" w:eastAsiaTheme="minorEastAsia" w:cstheme="minorEastAsia"/>
          <w:color w:val="auto"/>
          <w:highlight w:val="none"/>
        </w:rPr>
      </w:pPr>
      <w:bookmarkStart w:id="420" w:name="_Toc2840"/>
      <w:bookmarkStart w:id="421" w:name="_Toc15568"/>
      <w:bookmarkStart w:id="422" w:name="_Toc31415"/>
      <w:bookmarkStart w:id="423" w:name="_Toc21308"/>
      <w:bookmarkStart w:id="424" w:name="_Toc28066"/>
      <w:bookmarkStart w:id="425" w:name="_Toc29874"/>
      <w:bookmarkStart w:id="426" w:name="_Toc21670"/>
      <w:bookmarkStart w:id="427" w:name="_Toc21286"/>
      <w:bookmarkStart w:id="428" w:name="_Toc331"/>
      <w:bookmarkStart w:id="429" w:name="_Toc5793"/>
      <w:bookmarkStart w:id="430" w:name="_Toc5186"/>
      <w:bookmarkStart w:id="431" w:name="_Toc28260"/>
      <w:bookmarkStart w:id="432" w:name="_Toc25713"/>
      <w:bookmarkStart w:id="433" w:name="_Toc26872"/>
      <w:bookmarkStart w:id="434" w:name="_Toc27975"/>
      <w:bookmarkStart w:id="435" w:name="_Toc28931"/>
      <w:r>
        <w:rPr>
          <w:rFonts w:hint="eastAsia" w:asciiTheme="minorEastAsia" w:hAnsiTheme="minorEastAsia" w:eastAsiaTheme="minorEastAsia" w:cstheme="minorEastAsia"/>
          <w:color w:val="auto"/>
          <w:highlight w:val="none"/>
        </w:rPr>
        <w:t>4.1自然环境</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273BE9FA">
      <w:pPr>
        <w:pStyle w:val="7"/>
        <w:numPr>
          <w:ilvl w:val="0"/>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4.1.1地理位置</w:t>
      </w:r>
    </w:p>
    <w:p w14:paraId="1AD58612">
      <w:pPr>
        <w:pStyle w:val="319"/>
        <w:ind w:firstLine="480"/>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哈尔滨市地处我国东北部地区，黑龙江省西南部，松嫩平原东端。是黑龙江省省会，中国东北部的政治、文化、科技和交通中心。地理位置北纬45°09′-46°45′，东经125°42′-130°10′之间，西北与肇东、兰西、绥化接壤，东南与巴彦、宾县、尚志市相连，西南与五常毗邻。辖区总面积5.3×10</w:t>
      </w:r>
      <w:r>
        <w:rPr>
          <w:rFonts w:hint="default" w:ascii="Times New Roman" w:hAnsi="Times New Roman" w:eastAsia="宋体" w:cs="Times New Roman"/>
          <w:color w:val="auto"/>
          <w:highlight w:val="none"/>
          <w:vertAlign w:val="superscript"/>
        </w:rPr>
        <w:t>4</w:t>
      </w:r>
      <w:r>
        <w:rPr>
          <w:rFonts w:hint="default" w:ascii="Times New Roman" w:hAnsi="Times New Roman" w:eastAsia="宋体" w:cs="Times New Roman"/>
          <w:color w:val="auto"/>
          <w:highlight w:val="none"/>
        </w:rPr>
        <w:t>km</w:t>
      </w:r>
      <w:r>
        <w:rPr>
          <w:rFonts w:hint="default" w:ascii="Times New Roman" w:hAnsi="Times New Roman" w:eastAsia="宋体" w:cs="Times New Roman"/>
          <w:color w:val="auto"/>
          <w:highlight w:val="none"/>
          <w:vertAlign w:val="superscript"/>
        </w:rPr>
        <w:t>2</w:t>
      </w:r>
      <w:r>
        <w:rPr>
          <w:rFonts w:hint="default" w:ascii="Times New Roman" w:hAnsi="Times New Roman" w:eastAsia="宋体" w:cs="Times New Roman"/>
          <w:color w:val="auto"/>
          <w:highlight w:val="none"/>
        </w:rPr>
        <w:t>。</w:t>
      </w:r>
    </w:p>
    <w:p w14:paraId="549AACB1">
      <w:pPr>
        <w:spacing w:line="360" w:lineRule="auto"/>
        <w:ind w:firstLine="480" w:firstLineChars="200"/>
        <w:rPr>
          <w:rFonts w:hint="default" w:ascii="Times New Roman" w:hAnsi="Times New Roman" w:cs="Times New Roman"/>
          <w:bCs/>
          <w:color w:val="auto"/>
          <w:sz w:val="24"/>
          <w:highlight w:val="none"/>
        </w:rPr>
      </w:pPr>
      <w:r>
        <w:rPr>
          <w:rFonts w:hint="default" w:ascii="Times New Roman" w:hAnsi="Times New Roman" w:cs="Times New Roman"/>
          <w:bCs/>
          <w:color w:val="auto"/>
          <w:sz w:val="24"/>
          <w:highlight w:val="none"/>
        </w:rPr>
        <w:t>尚志市是黑龙江省哈尔滨市代管县级市，位于黑龙江省中南部，哈尔滨市东南部，东经127°17′-129°12′、北纬44°29′-45°34′。东界海林市，西邻阿城区，南与五常市接壤，北与延寿县、方正县、宾县相连接。东西长约153千米，南北宽约90千米。总面积8900平方千米。2009年总人口62万人。辖10个镇、5个乡、2个民族乡。市政府驻尚志镇西大直街187号。</w:t>
      </w:r>
    </w:p>
    <w:p w14:paraId="61C502A6">
      <w:pPr>
        <w:spacing w:line="360" w:lineRule="auto"/>
        <w:ind w:firstLine="480" w:firstLineChars="200"/>
        <w:rPr>
          <w:rFonts w:hint="default" w:ascii="Times New Roman" w:hAnsi="Times New Roman" w:cs="Times New Roman"/>
          <w:bCs/>
          <w:color w:val="auto"/>
          <w:sz w:val="24"/>
          <w:highlight w:val="none"/>
        </w:rPr>
      </w:pPr>
      <w:r>
        <w:rPr>
          <w:rFonts w:hint="default" w:ascii="Times New Roman" w:hAnsi="Times New Roman" w:cs="Times New Roman"/>
          <w:color w:val="auto"/>
          <w:sz w:val="24"/>
          <w:highlight w:val="none"/>
        </w:rPr>
        <w:t>本项目位于</w:t>
      </w:r>
      <w:r>
        <w:rPr>
          <w:rFonts w:hint="eastAsia" w:ascii="Times New Roman" w:hAnsi="宋体" w:eastAsia="宋体" w:cs="Times New Roman"/>
          <w:color w:val="auto"/>
          <w:kern w:val="0"/>
          <w:sz w:val="24"/>
          <w:szCs w:val="24"/>
          <w:highlight w:val="none"/>
          <w:lang w:val="en-US" w:eastAsia="zh-CN"/>
        </w:rPr>
        <w:t>黑龙江省哈尔滨市</w:t>
      </w:r>
      <w:r>
        <w:rPr>
          <w:rFonts w:hint="default" w:ascii="Times New Roman" w:hAnsi="宋体" w:eastAsia="宋体" w:cs="Times New Roman"/>
          <w:color w:val="auto"/>
          <w:kern w:val="0"/>
          <w:sz w:val="24"/>
          <w:szCs w:val="24"/>
          <w:highlight w:val="none"/>
          <w:lang w:val="en-US" w:eastAsia="zh-CN"/>
        </w:rPr>
        <w:t>尚志市元宝镇元宝村新村北侧</w:t>
      </w:r>
      <w:r>
        <w:rPr>
          <w:rFonts w:hint="default" w:ascii="Times New Roman" w:hAnsi="Times New Roman" w:cs="Times New Roman"/>
          <w:color w:val="auto"/>
          <w:sz w:val="24"/>
          <w:highlight w:val="none"/>
        </w:rPr>
        <w:t>，项目所在位置见图4</w:t>
      </w:r>
      <w:r>
        <w:rPr>
          <w:rFonts w:hint="default" w:ascii="Times New Roman" w:hAnsi="Times New Roman" w:cs="Times New Roman"/>
          <w:color w:val="auto"/>
          <w:sz w:val="24"/>
          <w:highlight w:val="none"/>
          <w:lang w:val="en-US" w:eastAsia="zh-CN"/>
        </w:rPr>
        <w:t>-</w:t>
      </w:r>
      <w:r>
        <w:rPr>
          <w:rFonts w:hint="default" w:ascii="Times New Roman" w:hAnsi="Times New Roman" w:cs="Times New Roman"/>
          <w:color w:val="auto"/>
          <w:sz w:val="24"/>
          <w:highlight w:val="none"/>
        </w:rPr>
        <w:t>1-1。</w:t>
      </w:r>
    </w:p>
    <w:p w14:paraId="12E7C5BA">
      <w:pPr>
        <w:bidi w:val="0"/>
        <w:jc w:val="center"/>
        <w:rPr>
          <w:rFonts w:hint="eastAsia" w:asciiTheme="minorEastAsia" w:hAnsiTheme="minorEastAsia" w:eastAsiaTheme="minorEastAsia" w:cstheme="minorEastAsia"/>
          <w:color w:val="auto"/>
          <w:highlight w:val="none"/>
        </w:rPr>
      </w:pPr>
      <w:r>
        <w:rPr>
          <w:color w:val="auto"/>
          <w:highlight w:val="none"/>
        </w:rPr>
        <w:drawing>
          <wp:anchor distT="0" distB="0" distL="114300" distR="114300" simplePos="0" relativeHeight="251722752" behindDoc="0" locked="0" layoutInCell="1" allowOverlap="1">
            <wp:simplePos x="0" y="0"/>
            <wp:positionH relativeFrom="column">
              <wp:posOffset>4978400</wp:posOffset>
            </wp:positionH>
            <wp:positionV relativeFrom="paragraph">
              <wp:posOffset>52070</wp:posOffset>
            </wp:positionV>
            <wp:extent cx="534035" cy="528320"/>
            <wp:effectExtent l="0" t="0" r="12065" b="5080"/>
            <wp:wrapNone/>
            <wp:docPr id="15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4"/>
                    <pic:cNvPicPr>
                      <a:picLocks noChangeAspect="1"/>
                    </pic:cNvPicPr>
                  </pic:nvPicPr>
                  <pic:blipFill>
                    <a:blip r:embed="rId26"/>
                    <a:stretch>
                      <a:fillRect/>
                    </a:stretch>
                  </pic:blipFill>
                  <pic:spPr>
                    <a:xfrm>
                      <a:off x="0" y="0"/>
                      <a:ext cx="534035" cy="528320"/>
                    </a:xfrm>
                    <a:prstGeom prst="rect">
                      <a:avLst/>
                    </a:prstGeom>
                    <a:noFill/>
                    <a:ln>
                      <a:noFill/>
                    </a:ln>
                  </pic:spPr>
                </pic:pic>
              </a:graphicData>
            </a:graphic>
          </wp:anchor>
        </w:drawing>
      </w:r>
      <w:r>
        <w:rPr>
          <w:color w:val="auto"/>
          <w:sz w:val="24"/>
          <w:highlight w:val="none"/>
        </w:rPr>
        <mc:AlternateContent>
          <mc:Choice Requires="wps">
            <w:drawing>
              <wp:anchor distT="0" distB="0" distL="114300" distR="114300" simplePos="0" relativeHeight="251721728" behindDoc="0" locked="0" layoutInCell="1" allowOverlap="1">
                <wp:simplePos x="0" y="0"/>
                <wp:positionH relativeFrom="column">
                  <wp:posOffset>2553970</wp:posOffset>
                </wp:positionH>
                <wp:positionV relativeFrom="paragraph">
                  <wp:posOffset>623570</wp:posOffset>
                </wp:positionV>
                <wp:extent cx="802005" cy="392430"/>
                <wp:effectExtent l="251460" t="12700" r="13335" b="229870"/>
                <wp:wrapNone/>
                <wp:docPr id="158" name="圆角矩形标注 158"/>
                <wp:cNvGraphicFramePr/>
                <a:graphic xmlns:a="http://schemas.openxmlformats.org/drawingml/2006/main">
                  <a:graphicData uri="http://schemas.microsoft.com/office/word/2010/wordprocessingShape">
                    <wps:wsp>
                      <wps:cNvSpPr/>
                      <wps:spPr>
                        <a:xfrm>
                          <a:off x="3634105" y="5910580"/>
                          <a:ext cx="802005" cy="392430"/>
                        </a:xfrm>
                        <a:prstGeom prst="wedgeRoundRectCallout">
                          <a:avLst>
                            <a:gd name="adj1" fmla="val -79732"/>
                            <a:gd name="adj2" fmla="val 105177"/>
                            <a:gd name="adj3" fmla="val 16667"/>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1E4CE2A">
                            <w:pPr>
                              <w:jc w:val="center"/>
                              <w:rPr>
                                <w:rFonts w:hint="eastAsia" w:eastAsia="宋体"/>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01.1pt;margin-top:49.1pt;height:30.9pt;width:63.15pt;z-index:251721728;v-text-anchor:middle;mso-width-relative:page;mso-height-relative:page;" filled="f" stroked="t" coordsize="21600,21600" o:gfxdata="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" adj="-6422,33518,14400">
                <v:fill on="f" focussize="0,0"/>
                <v:stroke weight="2pt" color="#000000 [3213]" joinstyle="round"/>
                <v:imagedata o:title=""/>
                <o:lock v:ext="edit" aspectratio="f"/>
                <v:textbox>
                  <w:txbxContent>
                    <w:p w14:paraId="71E4CE2A">
                      <w:pPr>
                        <w:jc w:val="center"/>
                        <w:rPr>
                          <w:rFonts w:hint="eastAsia" w:eastAsia="宋体"/>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本项目</w:t>
                      </w:r>
                    </w:p>
                  </w:txbxContent>
                </v:textbox>
              </v:shape>
            </w:pict>
          </mc:Fallback>
        </mc:AlternateContent>
      </w:r>
      <w:r>
        <w:rPr>
          <w:color w:val="auto"/>
          <w:sz w:val="24"/>
          <w:highlight w:val="none"/>
        </w:rPr>
        <mc:AlternateContent>
          <mc:Choice Requires="wps">
            <w:drawing>
              <wp:anchor distT="0" distB="0" distL="114300" distR="114300" simplePos="0" relativeHeight="251720704" behindDoc="0" locked="0" layoutInCell="1" allowOverlap="1">
                <wp:simplePos x="0" y="0"/>
                <wp:positionH relativeFrom="column">
                  <wp:posOffset>2172970</wp:posOffset>
                </wp:positionH>
                <wp:positionV relativeFrom="paragraph">
                  <wp:posOffset>1189355</wp:posOffset>
                </wp:positionV>
                <wp:extent cx="196215" cy="184150"/>
                <wp:effectExtent l="12700" t="12700" r="19685" b="19050"/>
                <wp:wrapNone/>
                <wp:docPr id="157" name="五角星 157"/>
                <wp:cNvGraphicFramePr/>
                <a:graphic xmlns:a="http://schemas.openxmlformats.org/drawingml/2006/main">
                  <a:graphicData uri="http://schemas.microsoft.com/office/word/2010/wordprocessingShape">
                    <wps:wsp>
                      <wps:cNvSpPr/>
                      <wps:spPr>
                        <a:xfrm>
                          <a:off x="3253105" y="6476365"/>
                          <a:ext cx="196215" cy="184150"/>
                        </a:xfrm>
                        <a:prstGeom prst="star5">
                          <a:avLst/>
                        </a:prstGeom>
                        <a:solidFill>
                          <a:srgbClr val="FF0000"/>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71.1pt;margin-top:93.65pt;height:14.5pt;width:15.45pt;z-index:251720704;v-text-anchor:middle;mso-width-relative:page;mso-height-relative:page;" fillcolor="#FF0000" filled="t" stroked="t" coordsize="196215,184150" o:gfxdata="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r2fji2QAAAAsBAAAPAAAAAAAAAAEAIAAA&#10;ACIAAABkcnMvZG93bnJldi54bWxQSwECFAAUAAAACACHTuJAspXc030CAADwBAAADgAAAAAAAAAB&#10;ACAAAAAoAQAAZHJzL2Uyb0RvYy54bWxQSwUGAAAAAAYABgBZAQAAFwYAAAAA&#10;" path="m0,70338l74947,70339,98107,0,121267,70339,196214,70338,135580,113810,158741,184149,98107,140677,37473,184149,60634,113810xe">
                <v:path o:connectlocs="98107,0;0,70338;37473,184149;158741,184149;196214,70338" o:connectangles="247,164,82,82,0"/>
                <v:fill on="t" focussize="0,0"/>
                <v:stroke weight="2pt" color="#000000 [3213]" joinstyle="round"/>
                <v:imagedata o:title=""/>
                <o:lock v:ext="edit" aspectratio="f"/>
              </v:shape>
            </w:pict>
          </mc:Fallback>
        </mc:AlternateContent>
      </w:r>
      <w:r>
        <w:rPr>
          <w:color w:val="auto"/>
          <w:highlight w:val="none"/>
        </w:rPr>
        <w:drawing>
          <wp:inline distT="0" distB="0" distL="114300" distR="114300">
            <wp:extent cx="5558790" cy="2708910"/>
            <wp:effectExtent l="0" t="0" r="3810" b="8890"/>
            <wp:docPr id="15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3"/>
                    <pic:cNvPicPr>
                      <a:picLocks noChangeAspect="1"/>
                    </pic:cNvPicPr>
                  </pic:nvPicPr>
                  <pic:blipFill>
                    <a:blip r:embed="rId40"/>
                    <a:stretch>
                      <a:fillRect/>
                    </a:stretch>
                  </pic:blipFill>
                  <pic:spPr>
                    <a:xfrm>
                      <a:off x="0" y="0"/>
                      <a:ext cx="5558790" cy="2708910"/>
                    </a:xfrm>
                    <a:prstGeom prst="rect">
                      <a:avLst/>
                    </a:prstGeom>
                    <a:noFill/>
                    <a:ln>
                      <a:noFill/>
                    </a:ln>
                  </pic:spPr>
                </pic:pic>
              </a:graphicData>
            </a:graphic>
          </wp:inline>
        </w:drawing>
      </w:r>
    </w:p>
    <w:p w14:paraId="2750949E">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b/>
          <w:bCs/>
          <w:color w:val="auto"/>
          <w:highlight w:val="none"/>
          <w:lang w:val="en-US" w:eastAsia="zh-CN"/>
        </w:rPr>
        <w:t>图4.1-1  区域位置图</w:t>
      </w:r>
    </w:p>
    <w:p w14:paraId="2574ED89">
      <w:pPr>
        <w:pStyle w:val="7"/>
        <w:numPr>
          <w:ilvl w:val="0"/>
          <w:numId w:val="0"/>
        </w:numPr>
        <w:bidi w:val="0"/>
        <w:ind w:leftChars="0"/>
        <w:rPr>
          <w:rFonts w:hint="eastAsia" w:asciiTheme="minorEastAsia" w:hAnsiTheme="minorEastAsia" w:eastAsiaTheme="minorEastAsia" w:cstheme="minorEastAsia"/>
          <w:color w:val="auto"/>
          <w:highlight w:val="none"/>
        </w:rPr>
      </w:pPr>
      <w:bookmarkStart w:id="436" w:name="_Toc28261"/>
      <w:r>
        <w:rPr>
          <w:rFonts w:hint="eastAsia" w:asciiTheme="minorEastAsia" w:hAnsiTheme="minorEastAsia" w:eastAsiaTheme="minorEastAsia" w:cstheme="minorEastAsia"/>
          <w:color w:val="auto"/>
          <w:highlight w:val="none"/>
        </w:rPr>
        <w:t>4.1.2 地形、地貌</w:t>
      </w:r>
      <w:bookmarkEnd w:id="436"/>
    </w:p>
    <w:p w14:paraId="68C7688E">
      <w:pPr>
        <w:pStyle w:val="319"/>
        <w:ind w:firstLine="480"/>
        <w:rPr>
          <w:rFonts w:hint="default" w:ascii="Times New Roman" w:hAnsi="Times New Roman" w:eastAsia="宋体" w:cs="Times New Roman"/>
          <w:color w:val="auto"/>
          <w:highlight w:val="none"/>
        </w:rPr>
      </w:pPr>
      <w:bookmarkStart w:id="437" w:name="_Toc490466461"/>
      <w:bookmarkStart w:id="438" w:name="_Toc8204"/>
      <w:bookmarkStart w:id="439" w:name="_Toc5115"/>
      <w:r>
        <w:rPr>
          <w:rFonts w:hint="default" w:ascii="Times New Roman" w:hAnsi="Times New Roman" w:eastAsia="宋体" w:cs="Times New Roman"/>
          <w:color w:val="auto"/>
          <w:highlight w:val="none"/>
        </w:rPr>
        <w:t>哈尔滨市的地形东南高，西北低，由东南向西北倾斜，地域平坦，平均海拔高度151m。东南临张广才岭支脉丘陵，西北为呼兰河、泥河流域低洼地带，中部有松花江通过，山势不高，河流纵横，平原辽阔，高岗洼地交错分布。哈尔滨市区主要分布在松花江形成的三级阶地上，第一级阶地海拔132-140m之间，主要包括道里区、道外区、松北区，该区域地势平坦，无明显起伏。第二级阶地海拔145-175m之间，由第一阶地逐步过渡无明显界限，主要包括南岗区、香坊区的部分地区，面积较大，由于过去长期流水侵蚀，略有起伏，土层深厚。第三级阶地海拔180-200m之间，主要分布在荒山嘴子和文昌区南部等地，往东南则逐渐过渡到张广才岭余脉，为丘陵地区。</w:t>
      </w:r>
    </w:p>
    <w:p w14:paraId="27ECD806">
      <w:pPr>
        <w:pStyle w:val="319"/>
        <w:ind w:firstLine="480"/>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尚志市总面积8824.9平方公里，其中山地丘陵、平原、水域分别占总面积的80%、15%和5%，大体呈八山、半水、分半田结构。地貌为东南至西北环型高、中间低的阶梯特征。最高点为珍珠山乡境内的三秃顶子，海拔1639.6米；最低点为蚂蜒河下游冲击平原，海拔176米。全部地貌为低山、沟谷与局部中山相间的山地、丘陵地。境内东部多侵蚀中山，西部多剥蚀低山、丘陵，中部多剥蚀丘陵和堆积漫滩。</w:t>
      </w:r>
    </w:p>
    <w:p w14:paraId="50D6F7FD">
      <w:pPr>
        <w:pStyle w:val="7"/>
        <w:numPr>
          <w:ilvl w:val="0"/>
          <w:numId w:val="0"/>
        </w:numPr>
        <w:bidi w:val="0"/>
        <w:ind w:leftChars="0"/>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 xml:space="preserve">4.1.3 </w:t>
      </w:r>
      <w:bookmarkEnd w:id="437"/>
      <w:bookmarkEnd w:id="438"/>
      <w:bookmarkEnd w:id="439"/>
      <w:r>
        <w:rPr>
          <w:rFonts w:hint="eastAsia" w:asciiTheme="minorEastAsia" w:hAnsiTheme="minorEastAsia" w:eastAsiaTheme="minorEastAsia" w:cstheme="minorEastAsia"/>
          <w:color w:val="auto"/>
          <w:highlight w:val="none"/>
          <w:lang w:eastAsia="zh-CN"/>
        </w:rPr>
        <w:t>水文地质</w:t>
      </w:r>
    </w:p>
    <w:p w14:paraId="2029AA47">
      <w:pPr>
        <w:spacing w:line="360" w:lineRule="auto"/>
        <w:outlineLvl w:val="3"/>
        <w:rPr>
          <w:rFonts w:hint="default" w:ascii="Times New Roman" w:hAnsi="Times New Roman" w:cs="Times New Roman"/>
          <w:b/>
          <w:color w:val="auto"/>
          <w:sz w:val="24"/>
          <w:highlight w:val="none"/>
        </w:rPr>
      </w:pPr>
      <w:bookmarkStart w:id="440" w:name="_Toc490466464"/>
      <w:bookmarkStart w:id="441" w:name="_Toc10616"/>
      <w:bookmarkStart w:id="442" w:name="_Toc263"/>
      <w:r>
        <w:rPr>
          <w:rFonts w:hint="default" w:ascii="Times New Roman" w:hAnsi="Times New Roman" w:cs="Times New Roman"/>
          <w:b/>
          <w:color w:val="auto"/>
          <w:sz w:val="24"/>
          <w:highlight w:val="none"/>
        </w:rPr>
        <w:t>4.1.</w:t>
      </w:r>
      <w:r>
        <w:rPr>
          <w:rFonts w:hint="eastAsia" w:ascii="Times New Roman" w:cs="Times New Roman"/>
          <w:b/>
          <w:color w:val="auto"/>
          <w:sz w:val="24"/>
          <w:highlight w:val="none"/>
          <w:lang w:val="en-US" w:eastAsia="zh-CN"/>
        </w:rPr>
        <w:t>3</w:t>
      </w:r>
      <w:r>
        <w:rPr>
          <w:rFonts w:hint="default" w:ascii="Times New Roman" w:hAnsi="Times New Roman" w:cs="Times New Roman"/>
          <w:b/>
          <w:color w:val="auto"/>
          <w:sz w:val="24"/>
          <w:highlight w:val="none"/>
        </w:rPr>
        <w:t>.1水文</w:t>
      </w:r>
    </w:p>
    <w:p w14:paraId="31D2E78F">
      <w:pPr>
        <w:spacing w:line="360" w:lineRule="auto"/>
        <w:ind w:firstLine="480" w:firstLineChars="200"/>
        <w:contextualSpacing/>
        <w:rPr>
          <w:rFonts w:hint="default" w:ascii="Times New Roman" w:hAnsi="Times New Roman" w:cs="Times New Roman"/>
          <w:bCs/>
          <w:snapToGrid w:val="0"/>
          <w:color w:val="auto"/>
          <w:sz w:val="24"/>
          <w:szCs w:val="21"/>
          <w:highlight w:val="none"/>
        </w:rPr>
      </w:pPr>
      <w:r>
        <w:rPr>
          <w:rFonts w:hint="default" w:ascii="Times New Roman" w:hAnsi="Times New Roman" w:cs="Times New Roman"/>
          <w:bCs/>
          <w:snapToGrid w:val="0"/>
          <w:color w:val="auto"/>
          <w:sz w:val="24"/>
          <w:szCs w:val="21"/>
          <w:highlight w:val="none"/>
        </w:rPr>
        <w:t>尚志市境内有蚂蜒河、牤牛河、阿什河三大水系，河流120余条，集水面积9232平方公里。蚂蜒河水系最大，集水面积6832平方公里，占总集水面积74%；牤牛河水系565平方公里，阿什河水系1835平方公里，分别占总积水面积的6%和20%。地表水总量24.63亿立方米，人均占有4056立方米，是全省平均量的2.3倍。</w:t>
      </w:r>
    </w:p>
    <w:p w14:paraId="0ADC1FD2">
      <w:pPr>
        <w:spacing w:line="360" w:lineRule="auto"/>
        <w:outlineLvl w:val="3"/>
        <w:rPr>
          <w:rFonts w:hint="default" w:ascii="Times New Roman" w:hAnsi="Times New Roman" w:cs="Times New Roman"/>
          <w:b/>
          <w:color w:val="auto"/>
          <w:sz w:val="24"/>
          <w:highlight w:val="none"/>
        </w:rPr>
      </w:pPr>
      <w:r>
        <w:rPr>
          <w:rFonts w:hint="default" w:ascii="Times New Roman" w:hAnsi="Times New Roman" w:cs="Times New Roman"/>
          <w:b/>
          <w:color w:val="auto"/>
          <w:sz w:val="24"/>
          <w:highlight w:val="none"/>
        </w:rPr>
        <w:t>4.1.</w:t>
      </w:r>
      <w:r>
        <w:rPr>
          <w:rFonts w:hint="eastAsia" w:ascii="Times New Roman" w:cs="Times New Roman"/>
          <w:b/>
          <w:color w:val="auto"/>
          <w:sz w:val="24"/>
          <w:highlight w:val="none"/>
          <w:lang w:val="en-US" w:eastAsia="zh-CN"/>
        </w:rPr>
        <w:t>3</w:t>
      </w:r>
      <w:r>
        <w:rPr>
          <w:rFonts w:hint="default" w:ascii="Times New Roman" w:hAnsi="Times New Roman" w:cs="Times New Roman"/>
          <w:b/>
          <w:color w:val="auto"/>
          <w:sz w:val="24"/>
          <w:highlight w:val="none"/>
        </w:rPr>
        <w:t>.2水文特征</w:t>
      </w:r>
    </w:p>
    <w:p w14:paraId="095B7456">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cs="Times New Roman"/>
          <w:bCs/>
          <w:snapToGrid w:val="0"/>
          <w:color w:val="auto"/>
          <w:sz w:val="24"/>
          <w:szCs w:val="21"/>
          <w:highlight w:val="none"/>
        </w:rPr>
      </w:pPr>
      <w:r>
        <w:rPr>
          <w:rFonts w:hint="default" w:ascii="Times New Roman" w:hAnsi="Times New Roman" w:cs="Times New Roman"/>
          <w:bCs/>
          <w:snapToGrid w:val="0"/>
          <w:color w:val="auto"/>
          <w:sz w:val="24"/>
          <w:szCs w:val="21"/>
          <w:highlight w:val="none"/>
        </w:rPr>
        <w:t>尚志市位于蚂蚁河中游冲洪积平原上，西部为丘陵，南部为波状台地，东部蚂蚁河自南向北流经全区。发育于山区的大亮子河及小亮珠河在本区西北部汇合成亮珠河，自西向东流入蚂蚁河。区内地形起伏不平</w:t>
      </w:r>
      <w:r>
        <w:rPr>
          <w:rFonts w:hint="default" w:ascii="Times New Roman" w:hAnsi="Times New Roman" w:cs="Times New Roman"/>
          <w:bCs/>
          <w:snapToGrid w:val="0"/>
          <w:color w:val="auto"/>
          <w:sz w:val="24"/>
          <w:szCs w:val="21"/>
          <w:highlight w:val="none"/>
          <w:lang w:eastAsia="zh-CN"/>
        </w:rPr>
        <w:t>，</w:t>
      </w:r>
      <w:r>
        <w:rPr>
          <w:rFonts w:hint="default" w:ascii="Times New Roman" w:hAnsi="Times New Roman" w:cs="Times New Roman"/>
          <w:bCs/>
          <w:snapToGrid w:val="0"/>
          <w:color w:val="auto"/>
          <w:sz w:val="24"/>
          <w:szCs w:val="21"/>
          <w:highlight w:val="none"/>
        </w:rPr>
        <w:t>地形总趋势为南高北低，西高东低。区内堆积有较厚的第四纪松散砂砾石层。</w:t>
      </w:r>
    </w:p>
    <w:p w14:paraId="5082FA92">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cs="Times New Roman"/>
          <w:bCs/>
          <w:snapToGrid w:val="0"/>
          <w:color w:val="auto"/>
          <w:sz w:val="24"/>
          <w:szCs w:val="21"/>
          <w:highlight w:val="none"/>
        </w:rPr>
      </w:pPr>
      <w:r>
        <w:rPr>
          <w:rFonts w:hint="default" w:ascii="Times New Roman" w:hAnsi="Times New Roman" w:cs="Times New Roman"/>
          <w:bCs/>
          <w:snapToGrid w:val="0"/>
          <w:color w:val="auto"/>
          <w:sz w:val="24"/>
          <w:szCs w:val="21"/>
          <w:highlight w:val="none"/>
        </w:rPr>
        <w:t>地下水总的分布规律是从丘陵到河谷区，由埋藏条件复杂、分布不均、水量贫乏的基岩裂隙水，变为埋藏条件简单、分布稳定、富水性较强的砂砾石孔</w:t>
      </w:r>
      <w:r>
        <w:rPr>
          <w:rFonts w:hint="default" w:ascii="Times New Roman" w:hAnsi="Times New Roman" w:cs="Times New Roman"/>
          <w:bCs/>
          <w:snapToGrid w:val="0"/>
          <w:color w:val="auto"/>
          <w:sz w:val="24"/>
          <w:szCs w:val="21"/>
          <w:highlight w:val="none"/>
          <w:lang w:val="en-US" w:eastAsia="zh-CN"/>
        </w:rPr>
        <w:t>隙</w:t>
      </w:r>
      <w:r>
        <w:rPr>
          <w:rFonts w:hint="default" w:ascii="Times New Roman" w:hAnsi="Times New Roman" w:cs="Times New Roman"/>
          <w:bCs/>
          <w:snapToGrid w:val="0"/>
          <w:color w:val="auto"/>
          <w:sz w:val="24"/>
          <w:szCs w:val="21"/>
          <w:highlight w:val="none"/>
        </w:rPr>
        <w:t>水。</w:t>
      </w:r>
    </w:p>
    <w:p w14:paraId="6048F16E">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bCs/>
          <w:snapToGrid w:val="0"/>
          <w:color w:val="auto"/>
          <w:sz w:val="24"/>
          <w:szCs w:val="21"/>
          <w:highlight w:val="none"/>
          <w:lang w:eastAsia="zh-CN"/>
        </w:rPr>
      </w:pPr>
      <w:r>
        <w:rPr>
          <w:rFonts w:hint="default" w:ascii="Times New Roman" w:hAnsi="Times New Roman" w:cs="Times New Roman"/>
          <w:bCs/>
          <w:snapToGrid w:val="0"/>
          <w:color w:val="auto"/>
          <w:sz w:val="24"/>
          <w:szCs w:val="21"/>
          <w:highlight w:val="none"/>
        </w:rPr>
        <w:t>地下水类型依据赋存条件、含水层岩性、水力特征等可分为第四系松散岩类孔隙水、碎屑岩类裂隙孔隙水。第四系松散岩类孔隙水又分为第四系砂砾石孔隙潜水、第四系砂砾</w:t>
      </w:r>
      <w:r>
        <w:rPr>
          <w:rFonts w:hint="default" w:ascii="Times New Roman" w:hAnsi="Times New Roman" w:cs="Times New Roman"/>
          <w:bCs/>
          <w:snapToGrid w:val="0"/>
          <w:color w:val="auto"/>
          <w:sz w:val="24"/>
          <w:szCs w:val="21"/>
          <w:highlight w:val="none"/>
          <w:lang w:eastAsia="zh-CN"/>
        </w:rPr>
        <w:t>。</w:t>
      </w:r>
    </w:p>
    <w:p w14:paraId="5E8ACE86">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cs="Times New Roman"/>
          <w:bCs/>
          <w:snapToGrid w:val="0"/>
          <w:color w:val="auto"/>
          <w:sz w:val="24"/>
          <w:szCs w:val="21"/>
          <w:highlight w:val="none"/>
        </w:rPr>
      </w:pPr>
      <w:r>
        <w:rPr>
          <w:rFonts w:hint="default" w:ascii="Times New Roman" w:hAnsi="Times New Roman" w:cs="Times New Roman"/>
          <w:bCs/>
          <w:snapToGrid w:val="0"/>
          <w:color w:val="auto"/>
          <w:sz w:val="24"/>
          <w:szCs w:val="21"/>
          <w:highlight w:val="none"/>
        </w:rPr>
        <w:t>石孔隙微承压水、第四系粉质粘土微孔隙裂隙水。第四系砂砾石孔隙潜水主要分布于蚂蚁河及其支流高、低漫滩和一级阶地中，含水层由全新统现代河床冲洪积层及温泉河组、上更新统顾乡屯组的砂砾石、含粘土砂砾石以及其下部的中更新统下荒山组的含粘土砂砾石组成。</w:t>
      </w:r>
    </w:p>
    <w:p w14:paraId="75E74AEC">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cs="Times New Roman"/>
          <w:bCs/>
          <w:snapToGrid w:val="0"/>
          <w:color w:val="auto"/>
          <w:sz w:val="24"/>
          <w:szCs w:val="21"/>
          <w:highlight w:val="none"/>
        </w:rPr>
      </w:pPr>
      <w:r>
        <w:rPr>
          <w:rFonts w:hint="default" w:ascii="Times New Roman" w:hAnsi="Times New Roman" w:cs="Times New Roman"/>
          <w:bCs/>
          <w:snapToGrid w:val="0"/>
          <w:color w:val="auto"/>
          <w:sz w:val="24"/>
          <w:szCs w:val="21"/>
          <w:highlight w:val="none"/>
        </w:rPr>
        <w:t>第四系砂砾石孔隙微承压水分布于本区西部及南部的波状台地中，含水层主要由中更新统下荒山组砂砾石、含粘土砂砾石组成，局部夹有粉质粘土透镜体，上覆较厚的粘土和粉质粘土。</w:t>
      </w:r>
    </w:p>
    <w:p w14:paraId="5780FECF">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cs="Times New Roman"/>
          <w:bCs/>
          <w:snapToGrid w:val="0"/>
          <w:color w:val="auto"/>
          <w:sz w:val="24"/>
          <w:szCs w:val="21"/>
          <w:highlight w:val="none"/>
        </w:rPr>
      </w:pPr>
      <w:r>
        <w:rPr>
          <w:rFonts w:hint="default" w:ascii="Times New Roman" w:hAnsi="Times New Roman" w:cs="Times New Roman"/>
          <w:bCs/>
          <w:snapToGrid w:val="0"/>
          <w:color w:val="auto"/>
          <w:sz w:val="24"/>
          <w:szCs w:val="21"/>
          <w:highlight w:val="none"/>
        </w:rPr>
        <w:t>第四系粉质粘土微孔隙裂隙水分布于山前台地中以及波状台地区上部，含水层岩性为粉质粘土和粘土。碎屑岩类裂隙孔隙水分布于第四系之下，地下水类型为弱承压水，含水层由弱胶结的砂岩、砂砾岩及风化裂隙组成，岩石胶结程度较好，局部胶结较弱，孔隙不发育。</w:t>
      </w:r>
    </w:p>
    <w:p w14:paraId="5BEEAEA3">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cs="Times New Roman"/>
          <w:bCs/>
          <w:snapToGrid w:val="0"/>
          <w:color w:val="auto"/>
          <w:sz w:val="24"/>
          <w:szCs w:val="21"/>
          <w:highlight w:val="none"/>
        </w:rPr>
      </w:pPr>
      <w:r>
        <w:rPr>
          <w:rFonts w:hint="default" w:ascii="Times New Roman" w:hAnsi="Times New Roman" w:cs="Times New Roman"/>
          <w:bCs/>
          <w:snapToGrid w:val="0"/>
          <w:color w:val="auto"/>
          <w:sz w:val="24"/>
          <w:szCs w:val="21"/>
          <w:highlight w:val="none"/>
        </w:rPr>
        <w:t>根据尚志市气象、水文、地形、岩性特点，在阶地、漫滩区，由于地势较平坦，上覆粘土层薄，局部含水层出露</w:t>
      </w:r>
      <w:r>
        <w:rPr>
          <w:rFonts w:hint="default" w:ascii="Times New Roman" w:hAnsi="Times New Roman" w:cs="Times New Roman"/>
          <w:bCs/>
          <w:snapToGrid w:val="0"/>
          <w:color w:val="auto"/>
          <w:sz w:val="24"/>
          <w:szCs w:val="21"/>
          <w:highlight w:val="none"/>
          <w:lang w:eastAsia="zh-CN"/>
        </w:rPr>
        <w:t>，</w:t>
      </w:r>
      <w:r>
        <w:rPr>
          <w:rFonts w:hint="default" w:ascii="Times New Roman" w:hAnsi="Times New Roman" w:cs="Times New Roman"/>
          <w:bCs/>
          <w:snapToGrid w:val="0"/>
          <w:color w:val="auto"/>
          <w:sz w:val="24"/>
          <w:szCs w:val="21"/>
          <w:highlight w:val="none"/>
        </w:rPr>
        <w:t>易于接受大气降水的补给，潜水与大气降水关系极为密切</w:t>
      </w:r>
      <w:r>
        <w:rPr>
          <w:rFonts w:hint="default" w:ascii="Times New Roman" w:hAnsi="Times New Roman" w:cs="Times New Roman"/>
          <w:bCs/>
          <w:snapToGrid w:val="0"/>
          <w:color w:val="auto"/>
          <w:sz w:val="24"/>
          <w:szCs w:val="21"/>
          <w:highlight w:val="none"/>
          <w:lang w:eastAsia="zh-CN"/>
        </w:rPr>
        <w:t>，</w:t>
      </w:r>
      <w:r>
        <w:rPr>
          <w:rFonts w:hint="default" w:ascii="Times New Roman" w:hAnsi="Times New Roman" w:cs="Times New Roman"/>
          <w:bCs/>
          <w:snapToGrid w:val="0"/>
          <w:color w:val="auto"/>
          <w:sz w:val="24"/>
          <w:szCs w:val="21"/>
          <w:highlight w:val="none"/>
        </w:rPr>
        <w:t>故大气降水为其主要补给来源。</w:t>
      </w:r>
    </w:p>
    <w:p w14:paraId="5ECB3B29">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cs="Times New Roman"/>
          <w:bCs/>
          <w:snapToGrid w:val="0"/>
          <w:color w:val="auto"/>
          <w:sz w:val="24"/>
          <w:szCs w:val="21"/>
          <w:highlight w:val="none"/>
        </w:rPr>
      </w:pPr>
      <w:r>
        <w:rPr>
          <w:rFonts w:hint="default" w:ascii="Times New Roman" w:hAnsi="Times New Roman" w:cs="Times New Roman"/>
          <w:bCs/>
          <w:snapToGrid w:val="0"/>
          <w:color w:val="auto"/>
          <w:sz w:val="24"/>
          <w:szCs w:val="21"/>
          <w:highlight w:val="none"/>
        </w:rPr>
        <w:t>山前台地区地下水主要补给来源为大气降水。波状台地砂砾石含水层中的孔隙微承压水，主要补给来源为大气降水的入渗及区外的侧向迳流补给。</w:t>
      </w:r>
    </w:p>
    <w:p w14:paraId="73995DE4">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cs="Times New Roman"/>
          <w:bCs/>
          <w:snapToGrid w:val="0"/>
          <w:color w:val="auto"/>
          <w:sz w:val="24"/>
          <w:szCs w:val="21"/>
          <w:highlight w:val="none"/>
        </w:rPr>
      </w:pPr>
      <w:r>
        <w:rPr>
          <w:rFonts w:hint="default" w:ascii="Times New Roman" w:hAnsi="Times New Roman" w:cs="Times New Roman"/>
          <w:bCs/>
          <w:snapToGrid w:val="0"/>
          <w:color w:val="auto"/>
          <w:sz w:val="24"/>
          <w:szCs w:val="21"/>
          <w:highlight w:val="none"/>
        </w:rPr>
        <w:t>丘陵区的基岩裂隙水主要接受大气降水补给，第三系孔隙裂隙水主要补给来源为第四系孔隙水越流及侧向迳流补给。</w:t>
      </w:r>
    </w:p>
    <w:p w14:paraId="3884D497">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eastAsia="宋体" w:cs="Times New Roman"/>
          <w:bCs/>
          <w:snapToGrid w:val="0"/>
          <w:color w:val="auto"/>
          <w:sz w:val="24"/>
          <w:szCs w:val="21"/>
          <w:highlight w:val="none"/>
          <w:lang w:val="en-US" w:eastAsia="zh-CN"/>
        </w:rPr>
      </w:pPr>
      <w:r>
        <w:rPr>
          <w:rFonts w:hint="default" w:ascii="Times New Roman" w:hAnsi="Times New Roman" w:cs="Times New Roman"/>
          <w:bCs/>
          <w:snapToGrid w:val="0"/>
          <w:color w:val="auto"/>
          <w:sz w:val="24"/>
          <w:szCs w:val="21"/>
          <w:highlight w:val="none"/>
        </w:rPr>
        <w:t>地下水水化学成分，由于受地下水的形成、运移以及地形地貌、地层岩性、气候水文等自然环境的影响，有着较为明显的水平分带性变化。阴离子中HC0</w:t>
      </w:r>
      <w:r>
        <w:rPr>
          <w:rFonts w:hint="default" w:ascii="Times New Roman" w:hAnsi="Times New Roman" w:cs="Times New Roman"/>
          <w:bCs/>
          <w:snapToGrid w:val="0"/>
          <w:color w:val="auto"/>
          <w:sz w:val="24"/>
          <w:szCs w:val="21"/>
          <w:highlight w:val="none"/>
          <w:vertAlign w:val="subscript"/>
        </w:rPr>
        <w:t>3</w:t>
      </w:r>
      <w:r>
        <w:rPr>
          <w:rFonts w:hint="default" w:ascii="Times New Roman" w:hAnsi="Times New Roman" w:cs="Times New Roman"/>
          <w:bCs/>
          <w:snapToGrid w:val="0"/>
          <w:color w:val="auto"/>
          <w:sz w:val="24"/>
          <w:szCs w:val="21"/>
          <w:highlight w:val="none"/>
          <w:vertAlign w:val="superscript"/>
        </w:rPr>
        <w:t>-</w:t>
      </w:r>
      <w:r>
        <w:rPr>
          <w:rFonts w:hint="default" w:ascii="Times New Roman" w:hAnsi="Times New Roman" w:cs="Times New Roman"/>
          <w:bCs/>
          <w:snapToGrid w:val="0"/>
          <w:color w:val="auto"/>
          <w:sz w:val="24"/>
          <w:szCs w:val="21"/>
          <w:highlight w:val="none"/>
        </w:rPr>
        <w:t>较为稳定，含量高，阳离子则以Ca</w:t>
      </w:r>
      <w:r>
        <w:rPr>
          <w:rFonts w:hint="default" w:ascii="Times New Roman" w:hAnsi="Times New Roman" w:cs="Times New Roman"/>
          <w:bCs/>
          <w:snapToGrid w:val="0"/>
          <w:color w:val="auto"/>
          <w:sz w:val="24"/>
          <w:szCs w:val="21"/>
          <w:highlight w:val="none"/>
          <w:vertAlign w:val="superscript"/>
        </w:rPr>
        <w:t>2+</w:t>
      </w:r>
      <w:r>
        <w:rPr>
          <w:rFonts w:hint="default" w:ascii="Times New Roman" w:hAnsi="Times New Roman" w:cs="Times New Roman"/>
          <w:bCs/>
          <w:snapToGrid w:val="0"/>
          <w:color w:val="auto"/>
          <w:sz w:val="24"/>
          <w:szCs w:val="21"/>
          <w:highlight w:val="none"/>
        </w:rPr>
        <w:t>为主，地下水水化学类型以HC0</w:t>
      </w:r>
      <w:r>
        <w:rPr>
          <w:rFonts w:hint="default" w:ascii="Times New Roman" w:hAnsi="Times New Roman" w:cs="Times New Roman"/>
          <w:bCs/>
          <w:snapToGrid w:val="0"/>
          <w:color w:val="auto"/>
          <w:sz w:val="24"/>
          <w:szCs w:val="21"/>
          <w:highlight w:val="none"/>
          <w:vertAlign w:val="subscript"/>
        </w:rPr>
        <w:t>3</w:t>
      </w:r>
      <w:r>
        <w:rPr>
          <w:rFonts w:hint="default" w:ascii="Times New Roman" w:hAnsi="Times New Roman" w:cs="Times New Roman"/>
          <w:bCs/>
          <w:snapToGrid w:val="0"/>
          <w:color w:val="auto"/>
          <w:sz w:val="24"/>
          <w:szCs w:val="21"/>
          <w:highlight w:val="none"/>
        </w:rPr>
        <w:t>-Ca型水</w:t>
      </w:r>
      <w:r>
        <w:rPr>
          <w:rFonts w:hint="default" w:ascii="Times New Roman" w:hAnsi="Times New Roman" w:cs="Times New Roman"/>
          <w:bCs/>
          <w:snapToGrid w:val="0"/>
          <w:color w:val="auto"/>
          <w:sz w:val="24"/>
          <w:szCs w:val="21"/>
          <w:highlight w:val="none"/>
          <w:lang w:val="en-US" w:eastAsia="zh-CN"/>
        </w:rPr>
        <w:t>为主。</w:t>
      </w:r>
    </w:p>
    <w:p w14:paraId="47087E77">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cs="Times New Roman"/>
          <w:bCs/>
          <w:snapToGrid w:val="0"/>
          <w:color w:val="auto"/>
          <w:sz w:val="24"/>
          <w:szCs w:val="21"/>
          <w:highlight w:val="none"/>
        </w:rPr>
      </w:pPr>
      <w:r>
        <w:rPr>
          <w:rFonts w:hint="default" w:ascii="Times New Roman" w:hAnsi="Times New Roman" w:cs="Times New Roman"/>
          <w:bCs/>
          <w:snapToGrid w:val="0"/>
          <w:color w:val="auto"/>
          <w:sz w:val="24"/>
          <w:szCs w:val="21"/>
          <w:highlight w:val="none"/>
        </w:rPr>
        <w:t>漫滩区呈条带状沿蚂蚁河及其支流两岸分布，地下水为砂砾石孔隙潜水，埋深1.5-3.0m，上覆粘性土厚1-3m，含水层厚9.0-20.4m，岩性为中砂、砂砾石及含粘土砂砾石。渗透系数10-25m/d，单井涌水量1000-2200m</w:t>
      </w:r>
      <w:r>
        <w:rPr>
          <w:rFonts w:hint="default" w:ascii="Times New Roman" w:hAnsi="Times New Roman" w:cs="Times New Roman"/>
          <w:bCs/>
          <w:snapToGrid w:val="0"/>
          <w:color w:val="auto"/>
          <w:sz w:val="24"/>
          <w:szCs w:val="21"/>
          <w:highlight w:val="none"/>
          <w:vertAlign w:val="superscript"/>
        </w:rPr>
        <w:t>3</w:t>
      </w:r>
      <w:r>
        <w:rPr>
          <w:rFonts w:hint="default" w:ascii="Times New Roman" w:hAnsi="Times New Roman" w:cs="Times New Roman"/>
          <w:bCs/>
          <w:snapToGrid w:val="0"/>
          <w:color w:val="auto"/>
          <w:sz w:val="24"/>
          <w:szCs w:val="21"/>
          <w:highlight w:val="none"/>
        </w:rPr>
        <w:t>/d。</w:t>
      </w:r>
    </w:p>
    <w:p w14:paraId="78F7AFA3">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cs="Times New Roman"/>
          <w:bCs/>
          <w:snapToGrid w:val="0"/>
          <w:color w:val="auto"/>
          <w:sz w:val="24"/>
          <w:szCs w:val="21"/>
          <w:highlight w:val="none"/>
        </w:rPr>
      </w:pPr>
      <w:r>
        <w:rPr>
          <w:rFonts w:hint="default" w:ascii="Times New Roman" w:hAnsi="Times New Roman" w:cs="Times New Roman"/>
          <w:bCs/>
          <w:snapToGrid w:val="0"/>
          <w:color w:val="auto"/>
          <w:sz w:val="24"/>
          <w:szCs w:val="21"/>
          <w:highlight w:val="none"/>
        </w:rPr>
        <w:t>阶地区主要分布于中部，南部呈零星分布，地下水为砂砾石孔隙潜水-微承压水，埋深1-5m，上覆粘性土厚2-5m，含水层厚9-22m，岩性为砂砾石及含粘土砂砾石。渗透系数5-16m/d，单井涌水量500-1000m</w:t>
      </w:r>
      <w:r>
        <w:rPr>
          <w:rFonts w:hint="default" w:ascii="Times New Roman" w:hAnsi="Times New Roman" w:cs="Times New Roman"/>
          <w:bCs/>
          <w:snapToGrid w:val="0"/>
          <w:color w:val="auto"/>
          <w:sz w:val="24"/>
          <w:szCs w:val="21"/>
          <w:highlight w:val="none"/>
          <w:vertAlign w:val="superscript"/>
        </w:rPr>
        <w:t>3</w:t>
      </w:r>
      <w:r>
        <w:rPr>
          <w:rFonts w:hint="default" w:ascii="Times New Roman" w:hAnsi="Times New Roman" w:cs="Times New Roman"/>
          <w:bCs/>
          <w:snapToGrid w:val="0"/>
          <w:color w:val="auto"/>
          <w:sz w:val="24"/>
          <w:szCs w:val="21"/>
          <w:highlight w:val="none"/>
        </w:rPr>
        <w:t>/d</w:t>
      </w:r>
      <w:r>
        <w:rPr>
          <w:rFonts w:hint="default" w:ascii="Times New Roman" w:hAnsi="Times New Roman" w:cs="Times New Roman"/>
          <w:bCs/>
          <w:snapToGrid w:val="0"/>
          <w:color w:val="auto"/>
          <w:sz w:val="24"/>
          <w:szCs w:val="21"/>
          <w:highlight w:val="none"/>
          <w:lang w:eastAsia="zh-CN"/>
        </w:rPr>
        <w:t>。</w:t>
      </w:r>
    </w:p>
    <w:p w14:paraId="474F3F7E">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default" w:ascii="Times New Roman" w:hAnsi="Times New Roman" w:cs="Times New Roman"/>
          <w:bCs/>
          <w:snapToGrid w:val="0"/>
          <w:color w:val="auto"/>
          <w:sz w:val="24"/>
          <w:szCs w:val="21"/>
          <w:highlight w:val="none"/>
        </w:rPr>
      </w:pPr>
      <w:r>
        <w:rPr>
          <w:rFonts w:hint="default" w:ascii="Times New Roman" w:hAnsi="Times New Roman" w:cs="Times New Roman"/>
          <w:bCs/>
          <w:snapToGrid w:val="0"/>
          <w:color w:val="auto"/>
          <w:sz w:val="24"/>
          <w:szCs w:val="21"/>
          <w:highlight w:val="none"/>
        </w:rPr>
        <w:t>波状台地区分布于本区西部、南部，地下水为砂砾石孔隙微承压水，埋深5-16m，上覆粘性土厚5-16m</w:t>
      </w:r>
      <w:r>
        <w:rPr>
          <w:rFonts w:hint="default" w:ascii="Times New Roman" w:hAnsi="Times New Roman" w:cs="Times New Roman"/>
          <w:bCs/>
          <w:snapToGrid w:val="0"/>
          <w:color w:val="auto"/>
          <w:sz w:val="24"/>
          <w:szCs w:val="21"/>
          <w:highlight w:val="none"/>
          <w:lang w:eastAsia="zh-CN"/>
        </w:rPr>
        <w:t>，</w:t>
      </w:r>
      <w:r>
        <w:rPr>
          <w:rFonts w:hint="default" w:ascii="Times New Roman" w:hAnsi="Times New Roman" w:cs="Times New Roman"/>
          <w:bCs/>
          <w:snapToGrid w:val="0"/>
          <w:color w:val="auto"/>
          <w:sz w:val="24"/>
          <w:szCs w:val="21"/>
          <w:highlight w:val="none"/>
        </w:rPr>
        <w:t>含水层厚5-16m</w:t>
      </w:r>
      <w:r>
        <w:rPr>
          <w:rFonts w:hint="default" w:ascii="Times New Roman" w:hAnsi="Times New Roman" w:cs="Times New Roman"/>
          <w:bCs/>
          <w:snapToGrid w:val="0"/>
          <w:color w:val="auto"/>
          <w:sz w:val="24"/>
          <w:szCs w:val="21"/>
          <w:highlight w:val="none"/>
          <w:lang w:eastAsia="zh-CN"/>
        </w:rPr>
        <w:t>，</w:t>
      </w:r>
      <w:r>
        <w:rPr>
          <w:rFonts w:hint="default" w:ascii="Times New Roman" w:hAnsi="Times New Roman" w:cs="Times New Roman"/>
          <w:bCs/>
          <w:snapToGrid w:val="0"/>
          <w:color w:val="auto"/>
          <w:sz w:val="24"/>
          <w:szCs w:val="21"/>
          <w:highlight w:val="none"/>
        </w:rPr>
        <w:t>岩性为砂砾石及含粘土砂砾石。渗透系数6-25m/d</w:t>
      </w:r>
      <w:r>
        <w:rPr>
          <w:rFonts w:hint="default" w:ascii="Times New Roman" w:hAnsi="Times New Roman" w:cs="Times New Roman"/>
          <w:bCs/>
          <w:snapToGrid w:val="0"/>
          <w:color w:val="auto"/>
          <w:sz w:val="24"/>
          <w:szCs w:val="21"/>
          <w:highlight w:val="none"/>
          <w:lang w:eastAsia="zh-CN"/>
        </w:rPr>
        <w:t>，</w:t>
      </w:r>
      <w:r>
        <w:rPr>
          <w:rFonts w:hint="default" w:ascii="Times New Roman" w:hAnsi="Times New Roman" w:cs="Times New Roman"/>
          <w:bCs/>
          <w:snapToGrid w:val="0"/>
          <w:color w:val="auto"/>
          <w:sz w:val="24"/>
          <w:szCs w:val="21"/>
          <w:highlight w:val="none"/>
        </w:rPr>
        <w:t>单井涌水量多小于500m</w:t>
      </w:r>
      <w:r>
        <w:rPr>
          <w:rFonts w:hint="default" w:ascii="Times New Roman" w:hAnsi="Times New Roman" w:cs="Times New Roman"/>
          <w:bCs/>
          <w:snapToGrid w:val="0"/>
          <w:color w:val="auto"/>
          <w:sz w:val="24"/>
          <w:szCs w:val="21"/>
          <w:highlight w:val="none"/>
          <w:vertAlign w:val="superscript"/>
        </w:rPr>
        <w:t>3</w:t>
      </w:r>
      <w:r>
        <w:rPr>
          <w:rFonts w:hint="default" w:ascii="Times New Roman" w:hAnsi="Times New Roman" w:cs="Times New Roman"/>
          <w:bCs/>
          <w:snapToGrid w:val="0"/>
          <w:color w:val="auto"/>
          <w:sz w:val="24"/>
          <w:szCs w:val="21"/>
          <w:highlight w:val="none"/>
        </w:rPr>
        <w:t>/d</w:t>
      </w:r>
      <w:r>
        <w:rPr>
          <w:rFonts w:hint="default" w:ascii="Times New Roman" w:hAnsi="Times New Roman" w:cs="Times New Roman"/>
          <w:bCs/>
          <w:snapToGrid w:val="0"/>
          <w:color w:val="auto"/>
          <w:sz w:val="24"/>
          <w:szCs w:val="21"/>
          <w:highlight w:val="none"/>
          <w:lang w:eastAsia="zh-CN"/>
        </w:rPr>
        <w:t>。</w:t>
      </w:r>
    </w:p>
    <w:p w14:paraId="7B7627BB">
      <w:pPr>
        <w:pStyle w:val="7"/>
        <w:numPr>
          <w:ilvl w:val="0"/>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4.1.4 气候气象</w:t>
      </w:r>
      <w:bookmarkEnd w:id="440"/>
      <w:bookmarkEnd w:id="441"/>
      <w:bookmarkEnd w:id="442"/>
    </w:p>
    <w:p w14:paraId="39224160">
      <w:pPr>
        <w:pStyle w:val="319"/>
        <w:ind w:firstLine="480"/>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哈尔滨市属于半湿润中温带大陆性季风气候，冬季受蒙古西北气流控制，而且也受东部鄂霍次克寒流影响，因此冬季漫长、寒冷而干燥。夏季多受太平洋西伸北跃西南气流的影响，炎热多雨。春秋两季短促，多风且干燥。一年中寒暑温差较大。年平均气温4.2℃，极端最高温度为36.7℃，极端最低温度为-38.1℃；年平均风速为2.6m/s，年最大风速为26.0m/s，出现风向为西南西（WSW）风，年主导风向为南风和南南西风，出现频率均为13%；最大冻土深度为1.99m；结冰期150天左右，采暖期180天；年平均降水量为524.5mm；年平均蒸发量1622.0mm；年平均气压997.2Pa；最大积雪深度41cm；年日照时长2474.4h；年平均相对湿度约65%。</w:t>
      </w:r>
    </w:p>
    <w:p w14:paraId="37270275">
      <w:pPr>
        <w:pStyle w:val="319"/>
        <w:ind w:firstLine="480"/>
        <w:rPr>
          <w:rFonts w:hint="default" w:ascii="Times New Roman" w:hAnsi="Times New Roman" w:eastAsia="宋体" w:cs="Times New Roman"/>
          <w:bCs/>
          <w:color w:val="auto"/>
          <w:highlight w:val="none"/>
        </w:rPr>
      </w:pPr>
      <w:r>
        <w:rPr>
          <w:rFonts w:hint="default" w:ascii="Times New Roman" w:hAnsi="Times New Roman" w:eastAsia="宋体" w:cs="Times New Roman"/>
          <w:bCs/>
          <w:color w:val="auto"/>
          <w:highlight w:val="none"/>
        </w:rPr>
        <w:t>尚志市属温带大陆性季风气候。全年日照2450-2600小时，≥10℃积温2400℃，无霜期120天左右。年平均气温为2.3℃。1月最冷，平均气温-20.5℃;7月最热，平均气温21.6℃。年平均蒸发量1056-1128毫米，年平均降雨量666.1毫米，年平均相对湿度为72%。主要风向春季多为西南风，冬季多为西北风，融雪在3月下旬，结冻期约150-180天。</w:t>
      </w:r>
    </w:p>
    <w:p w14:paraId="2AC9E939">
      <w:pPr>
        <w:pStyle w:val="7"/>
        <w:numPr>
          <w:ilvl w:val="0"/>
          <w:numId w:val="0"/>
        </w:numPr>
        <w:bidi w:val="0"/>
        <w:ind w:leftChars="0"/>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4.1.</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 xml:space="preserve"> </w:t>
      </w:r>
      <w:r>
        <w:rPr>
          <w:rFonts w:hint="eastAsia" w:asciiTheme="minorEastAsia" w:hAnsiTheme="minorEastAsia" w:eastAsiaTheme="minorEastAsia" w:cstheme="minorEastAsia"/>
          <w:color w:val="auto"/>
          <w:highlight w:val="none"/>
          <w:lang w:eastAsia="zh-CN"/>
        </w:rPr>
        <w:t>土壤</w:t>
      </w:r>
    </w:p>
    <w:bookmarkEnd w:id="410"/>
    <w:bookmarkEnd w:id="411"/>
    <w:p w14:paraId="2FE8AAFF">
      <w:pPr>
        <w:pStyle w:val="319"/>
        <w:ind w:firstLine="480"/>
        <w:rPr>
          <w:rFonts w:hint="default" w:ascii="Times New Roman" w:hAnsi="Times New Roman" w:eastAsia="宋体" w:cs="Times New Roman"/>
          <w:color w:val="auto"/>
          <w:highlight w:val="none"/>
        </w:rPr>
      </w:pPr>
      <w:bookmarkStart w:id="443" w:name="_Toc17013"/>
      <w:bookmarkStart w:id="444" w:name="_Toc24014"/>
      <w:bookmarkStart w:id="445" w:name="_Toc17372"/>
      <w:bookmarkStart w:id="446" w:name="_Toc15254"/>
      <w:bookmarkStart w:id="447" w:name="_Toc18106"/>
      <w:bookmarkStart w:id="448" w:name="_Toc2933"/>
      <w:bookmarkStart w:id="449" w:name="_Toc6868"/>
      <w:bookmarkStart w:id="450" w:name="_Toc25823"/>
      <w:bookmarkStart w:id="451" w:name="_Toc3251"/>
      <w:bookmarkStart w:id="452" w:name="_Toc149"/>
      <w:bookmarkStart w:id="453" w:name="_Toc17385"/>
      <w:bookmarkStart w:id="454" w:name="_Toc16886"/>
      <w:bookmarkStart w:id="455" w:name="_Toc32617"/>
      <w:bookmarkStart w:id="456" w:name="_Toc14584"/>
      <w:bookmarkStart w:id="457" w:name="_Toc25876"/>
      <w:bookmarkStart w:id="458" w:name="_Toc8974"/>
      <w:bookmarkStart w:id="459" w:name="_Toc14086"/>
      <w:bookmarkStart w:id="460" w:name="_Toc27627"/>
      <w:bookmarkStart w:id="461" w:name="_Toc16453"/>
      <w:r>
        <w:rPr>
          <w:rFonts w:hint="default" w:ascii="Times New Roman" w:hAnsi="Times New Roman" w:eastAsia="宋体" w:cs="Times New Roman"/>
          <w:color w:val="auto"/>
          <w:highlight w:val="none"/>
        </w:rPr>
        <w:t>由于受地形、气候、植物等自然因素及人为活动的影响，全市土壤类型较多，共有9个土类、21个亚类、25个土种。黑土，是郊区及县（市）的主要土壤，也是分布最广、数量最多的土壤类型。黑土在全市分为2个亚类（黑土和草甸黑土）、3个土属（粘质黑土、砂质黑土、草甸黑土），共7个土种。黑土土壤养分含量比较丰富，适于各种农作物生长。黑钙土，是全市主要耕作土壤，主要分布在中部平川地和岗平地上，在全市分为3个亚类：黑钙土、淋溶黑钙土、草甸黑钙土，共8个土种。黑钙土养分含量仅次于黑土，适于作物栽培。草甸土也是全市主要耕作土壤，多数分布在沿江河低洼淋溶地带和松花江台地漫滩地带。草甸土在全市分为6个亚类：草甸土、碱化草甸土、泛滥地草甸土、盐化草甸土、潜育草甸土、</w:t>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"http://baike.soso.com/v784546.htm?ch=ch.bk.innerlink" \t "_blank" </w:instrText>
      </w:r>
      <w:r>
        <w:rPr>
          <w:rFonts w:hint="default" w:ascii="Times New Roman" w:hAnsi="Times New Roman" w:cs="Times New Roman"/>
          <w:color w:val="auto"/>
          <w:highlight w:val="none"/>
        </w:rPr>
        <w:fldChar w:fldCharType="separate"/>
      </w:r>
      <w:r>
        <w:rPr>
          <w:rFonts w:hint="default" w:ascii="Times New Roman" w:hAnsi="Times New Roman" w:eastAsia="宋体" w:cs="Times New Roman"/>
          <w:color w:val="auto"/>
          <w:highlight w:val="none"/>
        </w:rPr>
        <w:t>硫酸盐</w:t>
      </w:r>
      <w:r>
        <w:rPr>
          <w:rFonts w:hint="default" w:ascii="Times New Roman" w:hAnsi="Times New Roman" w:eastAsia="宋体" w:cs="Times New Roman"/>
          <w:color w:val="auto"/>
          <w:highlight w:val="none"/>
        </w:rPr>
        <w:fldChar w:fldCharType="end"/>
      </w:r>
      <w:r>
        <w:rPr>
          <w:rFonts w:hint="default" w:ascii="Times New Roman" w:hAnsi="Times New Roman" w:eastAsia="宋体" w:cs="Times New Roman"/>
          <w:color w:val="auto"/>
          <w:highlight w:val="none"/>
        </w:rPr>
        <w:t>草甸土，共10个土种。草甸土大部分宜耕性较差，宜发展草场和栽植</w:t>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"http://baike.soso.com/v7685627.htm?ch=ch.bk.innerlink" \t "_blank" </w:instrText>
      </w:r>
      <w:r>
        <w:rPr>
          <w:rFonts w:hint="default" w:ascii="Times New Roman" w:hAnsi="Times New Roman" w:cs="Times New Roman"/>
          <w:color w:val="auto"/>
          <w:highlight w:val="none"/>
        </w:rPr>
        <w:fldChar w:fldCharType="separate"/>
      </w:r>
      <w:r>
        <w:rPr>
          <w:rFonts w:hint="default" w:ascii="Times New Roman" w:hAnsi="Times New Roman" w:eastAsia="宋体" w:cs="Times New Roman"/>
          <w:color w:val="auto"/>
          <w:highlight w:val="none"/>
        </w:rPr>
        <w:t>薪炭林</w:t>
      </w:r>
      <w:r>
        <w:rPr>
          <w:rFonts w:hint="default" w:ascii="Times New Roman" w:hAnsi="Times New Roman" w:eastAsia="宋体" w:cs="Times New Roman"/>
          <w:color w:val="auto"/>
          <w:highlight w:val="none"/>
        </w:rPr>
        <w:fldChar w:fldCharType="end"/>
      </w:r>
      <w:r>
        <w:rPr>
          <w:rFonts w:hint="default" w:ascii="Times New Roman" w:hAnsi="Times New Roman" w:eastAsia="宋体" w:cs="Times New Roman"/>
          <w:color w:val="auto"/>
          <w:highlight w:val="none"/>
        </w:rPr>
        <w:t>。砂土及</w:t>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 HYPERLINK "http://baike.soso.com/v72439.htm?ch=ch.bk.innerlink" \t "_blank" </w:instrText>
      </w:r>
      <w:r>
        <w:rPr>
          <w:rFonts w:hint="default" w:ascii="Times New Roman" w:hAnsi="Times New Roman" w:cs="Times New Roman"/>
          <w:color w:val="auto"/>
          <w:highlight w:val="none"/>
        </w:rPr>
        <w:fldChar w:fldCharType="separate"/>
      </w:r>
      <w:r>
        <w:rPr>
          <w:rFonts w:hint="default" w:ascii="Times New Roman" w:hAnsi="Times New Roman" w:eastAsia="宋体" w:cs="Times New Roman"/>
          <w:color w:val="auto"/>
          <w:highlight w:val="none"/>
        </w:rPr>
        <w:t>沼泽土</w:t>
      </w:r>
      <w:r>
        <w:rPr>
          <w:rFonts w:hint="default" w:ascii="Times New Roman" w:hAnsi="Times New Roman" w:eastAsia="宋体" w:cs="Times New Roman"/>
          <w:color w:val="auto"/>
          <w:highlight w:val="none"/>
        </w:rPr>
        <w:fldChar w:fldCharType="end"/>
      </w:r>
      <w:r>
        <w:rPr>
          <w:rFonts w:hint="default" w:ascii="Times New Roman" w:hAnsi="Times New Roman" w:eastAsia="宋体" w:cs="Times New Roman"/>
          <w:color w:val="auto"/>
          <w:highlight w:val="none"/>
        </w:rPr>
        <w:t>，主要分布于江河两岸河滩和低洼地块，适于发展渔业、牧业。</w:t>
      </w:r>
    </w:p>
    <w:p w14:paraId="197C0D8B">
      <w:pPr>
        <w:pStyle w:val="6"/>
        <w:bidi w:val="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4.2环境保护目标调查</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Start w:id="462" w:name="_Toc32391"/>
      <w:bookmarkStart w:id="463" w:name="_Toc490466467"/>
      <w:bookmarkStart w:id="464" w:name="_Toc18083"/>
    </w:p>
    <w:p w14:paraId="38466FAB">
      <w:pPr>
        <w:pStyle w:val="7"/>
        <w:numPr>
          <w:ilvl w:val="0"/>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w:t>
      </w:r>
      <w:r>
        <w:rPr>
          <w:rFonts w:hint="eastAsia" w:asciiTheme="minorEastAsia" w:hAnsiTheme="minorEastAsia" w:eastAsiaTheme="minorEastAsia" w:cstheme="minorEastAsia"/>
          <w:color w:val="auto"/>
          <w:highlight w:val="none"/>
          <w:lang w:val="en-US" w:eastAsia="zh-CN"/>
        </w:rPr>
        <w:t>2.1</w:t>
      </w:r>
      <w:r>
        <w:rPr>
          <w:rFonts w:hint="eastAsia" w:asciiTheme="minorEastAsia" w:hAnsiTheme="minorEastAsia" w:eastAsiaTheme="minorEastAsia" w:cstheme="minorEastAsia"/>
          <w:color w:val="auto"/>
          <w:highlight w:val="none"/>
        </w:rPr>
        <w:t>环境功能区划</w:t>
      </w:r>
    </w:p>
    <w:p w14:paraId="7444FC13">
      <w:pPr>
        <w:pStyle w:val="319"/>
        <w:widowControl w:val="0"/>
        <w:snapToGrid w:val="0"/>
        <w:ind w:firstLine="520"/>
        <w:jc w:val="both"/>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（1）水环境：根据《全国重要江河湖泊水功能区划（2011-2030年）》，“</w:t>
      </w:r>
      <w:r>
        <w:rPr>
          <w:rFonts w:hint="eastAsia" w:ascii="Times New Roman" w:hAnsi="Times New Roman" w:eastAsia="宋体" w:cs="Times New Roman"/>
          <w:color w:val="auto"/>
          <w:kern w:val="2"/>
          <w:sz w:val="24"/>
          <w:highlight w:val="none"/>
          <w:lang w:val="en-US" w:eastAsia="zh-CN" w:bidi="ar-SA"/>
        </w:rPr>
        <w:t>蚂蚁河</w:t>
      </w:r>
      <w:r>
        <w:rPr>
          <w:rFonts w:hint="eastAsia" w:asciiTheme="minorEastAsia" w:hAnsiTheme="minorEastAsia" w:eastAsiaTheme="minorEastAsia" w:cstheme="minorEastAsia"/>
          <w:color w:val="auto"/>
          <w:kern w:val="0"/>
          <w:highlight w:val="none"/>
        </w:rPr>
        <w:t>”地表水环境功能区划为Ⅲ类，因此本项目水质功能区划执行《地表水环境质量标准》（GB3939-2002）Ⅲ类水质标准。</w:t>
      </w:r>
    </w:p>
    <w:p w14:paraId="006BBB4E">
      <w:pPr>
        <w:pStyle w:val="319"/>
        <w:widowControl w:val="0"/>
        <w:snapToGrid w:val="0"/>
        <w:ind w:firstLine="520"/>
        <w:jc w:val="both"/>
        <w:rPr>
          <w:rFonts w:hint="eastAsia" w:asciiTheme="minorEastAsia" w:hAnsiTheme="minorEastAsia" w:eastAsiaTheme="minorEastAsia" w:cstheme="minorEastAsia"/>
          <w:snapToGrid w:val="0"/>
          <w:color w:val="auto"/>
          <w:kern w:val="0"/>
          <w:highlight w:val="none"/>
        </w:rPr>
      </w:pPr>
      <w:r>
        <w:rPr>
          <w:rFonts w:hint="eastAsia" w:asciiTheme="minorEastAsia" w:hAnsiTheme="minorEastAsia" w:eastAsiaTheme="minorEastAsia" w:cstheme="minorEastAsia"/>
          <w:color w:val="auto"/>
          <w:kern w:val="0"/>
          <w:highlight w:val="none"/>
        </w:rPr>
        <w:t>（2）环境空气：本项目位于</w:t>
      </w:r>
      <w:r>
        <w:rPr>
          <w:rFonts w:hint="eastAsia" w:asciiTheme="minorEastAsia" w:hAnsiTheme="minorEastAsia" w:eastAsiaTheme="minorEastAsia" w:cstheme="minorEastAsia"/>
          <w:color w:val="auto"/>
          <w:kern w:val="0"/>
          <w:highlight w:val="none"/>
          <w:lang w:val="en-US" w:eastAsia="zh-CN"/>
        </w:rPr>
        <w:t>哈尔滨市尚志市</w:t>
      </w:r>
      <w:r>
        <w:rPr>
          <w:rFonts w:hint="eastAsia" w:asciiTheme="minorEastAsia" w:hAnsiTheme="minorEastAsia" w:eastAsiaTheme="minorEastAsia" w:cstheme="minorEastAsia"/>
          <w:color w:val="auto"/>
          <w:kern w:val="0"/>
          <w:szCs w:val="28"/>
          <w:highlight w:val="none"/>
        </w:rPr>
        <w:t>，</w:t>
      </w:r>
      <w:r>
        <w:rPr>
          <w:rFonts w:hint="eastAsia" w:asciiTheme="minorEastAsia" w:hAnsiTheme="minorEastAsia" w:eastAsiaTheme="minorEastAsia" w:cstheme="minorEastAsia"/>
          <w:color w:val="auto"/>
          <w:kern w:val="0"/>
          <w:highlight w:val="none"/>
        </w:rPr>
        <w:t>根据环境空气质量功能区划，本评价范围内环境空气质量功能均为二类区。评价区环境空气质量标准执行国家《环境空气质量标准》（GB3095-20</w:t>
      </w:r>
      <w:r>
        <w:rPr>
          <w:rFonts w:hint="eastAsia" w:asciiTheme="minorEastAsia" w:hAnsiTheme="minorEastAsia" w:eastAsiaTheme="minorEastAsia" w:cstheme="minorEastAsia"/>
          <w:color w:val="auto"/>
          <w:kern w:val="0"/>
          <w:highlight w:val="none"/>
          <w:lang w:val="en-US" w:eastAsia="zh-CN"/>
        </w:rPr>
        <w:t>26</w:t>
      </w:r>
      <w:r>
        <w:rPr>
          <w:rFonts w:hint="eastAsia" w:asciiTheme="minorEastAsia" w:hAnsiTheme="minorEastAsia" w:eastAsiaTheme="minorEastAsia" w:cstheme="minorEastAsia"/>
          <w:color w:val="auto"/>
          <w:kern w:val="0"/>
          <w:highlight w:val="none"/>
        </w:rPr>
        <w:t>）中二级标准</w:t>
      </w:r>
      <w:r>
        <w:rPr>
          <w:rFonts w:hint="eastAsia" w:asciiTheme="minorEastAsia" w:hAnsiTheme="minorEastAsia" w:eastAsiaTheme="minorEastAsia" w:cstheme="minorEastAsia"/>
          <w:color w:val="auto"/>
          <w:kern w:val="0"/>
          <w:highlight w:val="none"/>
          <w:lang w:eastAsia="zh-CN"/>
        </w:rPr>
        <w:t>（</w:t>
      </w:r>
      <w:r>
        <w:rPr>
          <w:rFonts w:hint="eastAsia" w:asciiTheme="minorEastAsia" w:hAnsiTheme="minorEastAsia" w:eastAsiaTheme="minorEastAsia" w:cstheme="minorEastAsia"/>
          <w:color w:val="auto"/>
          <w:kern w:val="0"/>
          <w:highlight w:val="none"/>
          <w:lang w:val="en-US" w:eastAsia="zh-CN"/>
        </w:rPr>
        <w:t>过渡阶段浓度限值</w:t>
      </w:r>
      <w:r>
        <w:rPr>
          <w:rFonts w:hint="eastAsia" w:asciiTheme="minorEastAsia" w:hAnsiTheme="minorEastAsia" w:eastAsiaTheme="minorEastAsia" w:cstheme="minorEastAsia"/>
          <w:color w:val="auto"/>
          <w:kern w:val="0"/>
          <w:highlight w:val="none"/>
          <w:lang w:eastAsia="zh-CN"/>
        </w:rPr>
        <w:t>）</w:t>
      </w:r>
      <w:r>
        <w:rPr>
          <w:rFonts w:hint="eastAsia" w:asciiTheme="minorEastAsia" w:hAnsiTheme="minorEastAsia" w:eastAsiaTheme="minorEastAsia" w:cstheme="minorEastAsia"/>
          <w:color w:val="auto"/>
          <w:kern w:val="0"/>
          <w:highlight w:val="none"/>
        </w:rPr>
        <w:t>。</w:t>
      </w:r>
    </w:p>
    <w:p w14:paraId="09A6D92E">
      <w:pPr>
        <w:pStyle w:val="319"/>
        <w:widowControl w:val="0"/>
        <w:snapToGrid w:val="0"/>
        <w:ind w:firstLine="520"/>
        <w:jc w:val="both"/>
        <w:rPr>
          <w:rFonts w:hint="eastAsia" w:asciiTheme="minorEastAsia" w:hAnsiTheme="minorEastAsia" w:eastAsiaTheme="minorEastAsia" w:cstheme="minorEastAsia"/>
          <w:snapToGrid w:val="0"/>
          <w:color w:val="auto"/>
          <w:kern w:val="0"/>
          <w:highlight w:val="none"/>
        </w:rPr>
      </w:pPr>
      <w:r>
        <w:rPr>
          <w:rFonts w:hint="eastAsia" w:asciiTheme="minorEastAsia" w:hAnsiTheme="minorEastAsia" w:eastAsiaTheme="minorEastAsia" w:cstheme="minorEastAsia"/>
          <w:color w:val="auto"/>
          <w:kern w:val="0"/>
          <w:highlight w:val="none"/>
        </w:rPr>
        <w:t>（3）声环境：</w:t>
      </w:r>
      <w:r>
        <w:rPr>
          <w:rFonts w:hint="eastAsia" w:asciiTheme="minorEastAsia" w:hAnsiTheme="minorEastAsia" w:eastAsiaTheme="minorEastAsia" w:cstheme="minorEastAsia"/>
          <w:color w:val="auto"/>
          <w:kern w:val="0"/>
          <w:szCs w:val="22"/>
          <w:highlight w:val="none"/>
        </w:rPr>
        <w:t>根据《声环境质量标准》（GB3096-2008）相关内容，乡村区域一般不划分声环境功能区，原则上执行1类声环境功能区要求，工业活动较多的村庄可局部或全部执行2类声环境功能区要求</w:t>
      </w:r>
      <w:r>
        <w:rPr>
          <w:rFonts w:hint="eastAsia" w:asciiTheme="minorEastAsia" w:hAnsiTheme="minorEastAsia" w:eastAsiaTheme="minorEastAsia" w:cstheme="minorEastAsia"/>
          <w:color w:val="auto"/>
          <w:kern w:val="0"/>
          <w:szCs w:val="22"/>
          <w:highlight w:val="none"/>
          <w:lang w:val="en-US" w:eastAsia="zh-CN"/>
        </w:rPr>
        <w:t>。</w:t>
      </w:r>
      <w:r>
        <w:rPr>
          <w:rFonts w:hint="eastAsia" w:asciiTheme="minorEastAsia" w:hAnsiTheme="minorEastAsia" w:eastAsiaTheme="minorEastAsia" w:cstheme="minorEastAsia"/>
          <w:snapToGrid w:val="0"/>
          <w:color w:val="auto"/>
          <w:kern w:val="0"/>
          <w:sz w:val="24"/>
          <w:highlight w:val="none"/>
        </w:rPr>
        <w:t>本项目周边为农田和</w:t>
      </w:r>
      <w:r>
        <w:rPr>
          <w:rFonts w:hint="eastAsia" w:asciiTheme="minorEastAsia" w:hAnsiTheme="minorEastAsia" w:eastAsiaTheme="minorEastAsia" w:cstheme="minorEastAsia"/>
          <w:snapToGrid w:val="0"/>
          <w:color w:val="auto"/>
          <w:kern w:val="0"/>
          <w:sz w:val="24"/>
          <w:highlight w:val="none"/>
          <w:lang w:val="en-US" w:eastAsia="zh-CN"/>
        </w:rPr>
        <w:t>林地</w:t>
      </w:r>
      <w:r>
        <w:rPr>
          <w:rFonts w:hint="eastAsia" w:asciiTheme="minorEastAsia" w:hAnsiTheme="minorEastAsia" w:eastAsiaTheme="minorEastAsia" w:cstheme="minorEastAsia"/>
          <w:snapToGrid w:val="0"/>
          <w:color w:val="auto"/>
          <w:kern w:val="0"/>
          <w:sz w:val="24"/>
          <w:highlight w:val="none"/>
        </w:rPr>
        <w:t>，</w:t>
      </w:r>
      <w:r>
        <w:rPr>
          <w:rFonts w:hint="eastAsia" w:asciiTheme="minorEastAsia" w:hAnsiTheme="minorEastAsia" w:eastAsiaTheme="minorEastAsia" w:cstheme="minorEastAsia"/>
          <w:snapToGrid w:val="0"/>
          <w:color w:val="auto"/>
          <w:kern w:val="0"/>
          <w:sz w:val="24"/>
          <w:highlight w:val="none"/>
          <w:lang w:val="en-US" w:eastAsia="zh-CN"/>
        </w:rPr>
        <w:t>因此判定</w:t>
      </w:r>
      <w:r>
        <w:rPr>
          <w:rFonts w:hint="eastAsia" w:asciiTheme="minorEastAsia" w:hAnsiTheme="minorEastAsia" w:eastAsiaTheme="minorEastAsia" w:cstheme="minorEastAsia"/>
          <w:snapToGrid w:val="0"/>
          <w:color w:val="auto"/>
          <w:kern w:val="0"/>
          <w:sz w:val="24"/>
          <w:highlight w:val="none"/>
        </w:rPr>
        <w:t>声环境功能区为1类功能区</w:t>
      </w:r>
      <w:r>
        <w:rPr>
          <w:rFonts w:hint="eastAsia" w:asciiTheme="minorEastAsia" w:hAnsiTheme="minorEastAsia" w:eastAsiaTheme="minorEastAsia" w:cstheme="minorEastAsia"/>
          <w:color w:val="auto"/>
          <w:kern w:val="0"/>
          <w:szCs w:val="22"/>
          <w:highlight w:val="none"/>
        </w:rPr>
        <w:t>。</w:t>
      </w:r>
    </w:p>
    <w:p w14:paraId="396A5140">
      <w:pPr>
        <w:pStyle w:val="217"/>
        <w:widowControl w:val="0"/>
        <w:snapToGrid w:val="0"/>
        <w:spacing w:line="360" w:lineRule="auto"/>
        <w:ind w:firstLine="480"/>
        <w:jc w:val="both"/>
        <w:rPr>
          <w:rFonts w:hint="eastAsia" w:asciiTheme="minorEastAsia" w:hAnsiTheme="minorEastAsia" w:eastAsiaTheme="minorEastAsia" w:cstheme="minorEastAsia"/>
          <w:snapToGrid w:val="0"/>
          <w:color w:val="auto"/>
          <w:sz w:val="24"/>
          <w:highlight w:val="none"/>
        </w:rPr>
      </w:pPr>
      <w:r>
        <w:rPr>
          <w:rFonts w:hint="eastAsia" w:asciiTheme="minorEastAsia" w:hAnsiTheme="minorEastAsia" w:eastAsiaTheme="minorEastAsia" w:cstheme="minorEastAsia"/>
          <w:snapToGrid w:val="0"/>
          <w:color w:val="auto"/>
          <w:sz w:val="24"/>
          <w:highlight w:val="none"/>
        </w:rPr>
        <w:t>（4）地下水环境：本项目区域地下为《地下水质量标准》（GB/T14848-2017）中</w:t>
      </w:r>
      <w:r>
        <w:rPr>
          <w:rFonts w:hint="eastAsia" w:asciiTheme="minorEastAsia" w:hAnsiTheme="minorEastAsia" w:eastAsiaTheme="minorEastAsia" w:cstheme="minorEastAsia"/>
          <w:color w:val="auto"/>
          <w:kern w:val="0"/>
          <w:highlight w:val="none"/>
        </w:rPr>
        <w:t>Ⅲ</w:t>
      </w:r>
      <w:r>
        <w:rPr>
          <w:rFonts w:hint="eastAsia" w:asciiTheme="minorEastAsia" w:hAnsiTheme="minorEastAsia" w:eastAsiaTheme="minorEastAsia" w:cstheme="minorEastAsia"/>
          <w:snapToGrid w:val="0"/>
          <w:color w:val="auto"/>
          <w:sz w:val="24"/>
          <w:highlight w:val="none"/>
        </w:rPr>
        <w:t>类区域。</w:t>
      </w:r>
    </w:p>
    <w:p w14:paraId="683EFB9D">
      <w:pPr>
        <w:pStyle w:val="374"/>
        <w:autoSpaceDE w:val="0"/>
        <w:autoSpaceDN w:val="0"/>
        <w:spacing w:line="360" w:lineRule="auto"/>
        <w:ind w:firstLine="460" w:firstLineChars="200"/>
        <w:jc w:val="both"/>
        <w:textAlignment w:val="bottom"/>
        <w:rPr>
          <w:rFonts w:hint="eastAsia" w:asciiTheme="minorEastAsia" w:hAnsiTheme="minorEastAsia" w:eastAsiaTheme="minorEastAsia" w:cstheme="minorEastAsia"/>
          <w:color w:val="auto"/>
          <w:spacing w:val="-5"/>
          <w:highlight w:val="none"/>
        </w:rPr>
      </w:pPr>
      <w:r>
        <w:rPr>
          <w:rFonts w:hint="eastAsia" w:asciiTheme="minorEastAsia" w:hAnsiTheme="minorEastAsia" w:eastAsiaTheme="minorEastAsia" w:cstheme="minorEastAsia"/>
          <w:color w:val="auto"/>
          <w:spacing w:val="-5"/>
          <w:highlight w:val="none"/>
          <w:lang w:eastAsia="zh-CN"/>
        </w:rPr>
        <w:t>（</w:t>
      </w:r>
      <w:r>
        <w:rPr>
          <w:rFonts w:hint="eastAsia" w:asciiTheme="minorEastAsia" w:hAnsiTheme="minorEastAsia" w:eastAsiaTheme="minorEastAsia" w:cstheme="minorEastAsia"/>
          <w:color w:val="auto"/>
          <w:spacing w:val="-5"/>
          <w:highlight w:val="none"/>
          <w:lang w:val="en-US" w:eastAsia="zh-CN"/>
        </w:rPr>
        <w:t>5</w:t>
      </w:r>
      <w:r>
        <w:rPr>
          <w:rFonts w:hint="eastAsia" w:asciiTheme="minorEastAsia" w:hAnsiTheme="minorEastAsia" w:eastAsiaTheme="minorEastAsia" w:cstheme="minorEastAsia"/>
          <w:color w:val="auto"/>
          <w:spacing w:val="-5"/>
          <w:highlight w:val="none"/>
          <w:lang w:eastAsia="zh-CN"/>
        </w:rPr>
        <w:t>）</w:t>
      </w:r>
      <w:r>
        <w:rPr>
          <w:rFonts w:hint="eastAsia" w:asciiTheme="minorEastAsia" w:hAnsiTheme="minorEastAsia" w:eastAsiaTheme="minorEastAsia" w:cstheme="minorEastAsia"/>
          <w:color w:val="auto"/>
          <w:sz w:val="24"/>
          <w:highlight w:val="none"/>
          <w:lang w:val="en-US" w:eastAsia="zh-CN"/>
        </w:rPr>
        <w:t>占地范围内执行《土壤环境质量  建设用地土壤污染风险管控标准(试行)》(GB36600-2018)表1第二类用地土壤污染风险筛选值，占地范围外执行《土壤环境质量 农用地土壤污染风险管控标准（试行）》（GB15618-2018）表1 农用地土壤污染风险筛选值</w:t>
      </w:r>
      <w:r>
        <w:rPr>
          <w:rFonts w:hint="eastAsia" w:asciiTheme="minorEastAsia" w:hAnsiTheme="minorEastAsia" w:eastAsiaTheme="minorEastAsia" w:cstheme="minorEastAsia"/>
          <w:color w:val="auto"/>
          <w:spacing w:val="-5"/>
          <w:highlight w:val="none"/>
        </w:rPr>
        <w:t>。</w:t>
      </w:r>
    </w:p>
    <w:p w14:paraId="55DFCA1F">
      <w:pPr>
        <w:snapToGrid w:val="0"/>
        <w:spacing w:before="50" w:line="240" w:lineRule="auto"/>
        <w:jc w:val="center"/>
        <w:rPr>
          <w:rFonts w:hint="eastAsia"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rPr>
        <w:t>表4.2-1  环境功能区划一览表</w:t>
      </w:r>
    </w:p>
    <w:tbl>
      <w:tblPr>
        <w:tblStyle w:val="84"/>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89"/>
        <w:gridCol w:w="1087"/>
        <w:gridCol w:w="1462"/>
        <w:gridCol w:w="1757"/>
        <w:gridCol w:w="3982"/>
      </w:tblGrid>
      <w:tr w14:paraId="0BF05C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384" w:type="pct"/>
            <w:tcBorders>
              <w:tl2br w:val="nil"/>
              <w:tr2bl w:val="nil"/>
            </w:tcBorders>
            <w:noWrap w:val="0"/>
            <w:vAlign w:val="center"/>
          </w:tcPr>
          <w:p w14:paraId="6B62A853">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序号</w:t>
            </w:r>
          </w:p>
        </w:tc>
        <w:tc>
          <w:tcPr>
            <w:tcW w:w="605" w:type="pct"/>
            <w:tcBorders>
              <w:tl2br w:val="nil"/>
              <w:tr2bl w:val="nil"/>
            </w:tcBorders>
            <w:noWrap w:val="0"/>
            <w:vAlign w:val="center"/>
          </w:tcPr>
          <w:p w14:paraId="482E9EC5">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环境要素</w:t>
            </w:r>
          </w:p>
        </w:tc>
        <w:tc>
          <w:tcPr>
            <w:tcW w:w="814" w:type="pct"/>
            <w:tcBorders>
              <w:tl2br w:val="nil"/>
              <w:tr2bl w:val="nil"/>
            </w:tcBorders>
            <w:noWrap w:val="0"/>
            <w:vAlign w:val="center"/>
          </w:tcPr>
          <w:p w14:paraId="690AB609">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所属区域</w:t>
            </w:r>
          </w:p>
        </w:tc>
        <w:tc>
          <w:tcPr>
            <w:tcW w:w="978" w:type="pct"/>
            <w:tcBorders>
              <w:tl2br w:val="nil"/>
              <w:tr2bl w:val="nil"/>
            </w:tcBorders>
            <w:noWrap w:val="0"/>
            <w:vAlign w:val="center"/>
          </w:tcPr>
          <w:p w14:paraId="75C11850">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功能区划</w:t>
            </w:r>
          </w:p>
        </w:tc>
        <w:tc>
          <w:tcPr>
            <w:tcW w:w="2217" w:type="pct"/>
            <w:tcBorders>
              <w:tl2br w:val="nil"/>
              <w:tr2bl w:val="nil"/>
            </w:tcBorders>
            <w:noWrap w:val="0"/>
            <w:vAlign w:val="center"/>
          </w:tcPr>
          <w:p w14:paraId="5CD53894">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执行标准</w:t>
            </w:r>
          </w:p>
        </w:tc>
      </w:tr>
      <w:tr w14:paraId="0A2DB7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84" w:type="pct"/>
            <w:tcBorders>
              <w:tl2br w:val="nil"/>
              <w:tr2bl w:val="nil"/>
            </w:tcBorders>
            <w:noWrap w:val="0"/>
            <w:vAlign w:val="center"/>
          </w:tcPr>
          <w:p w14:paraId="4A71DB1A">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1</w:t>
            </w:r>
          </w:p>
        </w:tc>
        <w:tc>
          <w:tcPr>
            <w:tcW w:w="605" w:type="pct"/>
            <w:tcBorders>
              <w:tl2br w:val="nil"/>
              <w:tr2bl w:val="nil"/>
            </w:tcBorders>
            <w:noWrap w:val="0"/>
            <w:vAlign w:val="center"/>
          </w:tcPr>
          <w:p w14:paraId="2A717584">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地表水</w:t>
            </w:r>
          </w:p>
        </w:tc>
        <w:tc>
          <w:tcPr>
            <w:tcW w:w="814" w:type="pct"/>
            <w:tcBorders>
              <w:tl2br w:val="nil"/>
              <w:tr2bl w:val="nil"/>
            </w:tcBorders>
            <w:noWrap w:val="0"/>
            <w:vAlign w:val="center"/>
          </w:tcPr>
          <w:p w14:paraId="19C6261D">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lang w:eastAsia="zh-CN"/>
              </w:rPr>
            </w:pPr>
            <w:r>
              <w:rPr>
                <w:rFonts w:hint="eastAsia" w:asciiTheme="minorEastAsia" w:hAnsiTheme="minorEastAsia" w:eastAsiaTheme="minorEastAsia" w:cstheme="minorEastAsia"/>
                <w:b w:val="0"/>
                <w:bCs/>
                <w:color w:val="auto"/>
                <w:spacing w:val="-1"/>
                <w:sz w:val="21"/>
                <w:szCs w:val="21"/>
                <w:highlight w:val="none"/>
                <w:lang w:val="en-US" w:eastAsia="zh-CN"/>
              </w:rPr>
              <w:t>蚂蚁河</w:t>
            </w:r>
          </w:p>
        </w:tc>
        <w:tc>
          <w:tcPr>
            <w:tcW w:w="978" w:type="pct"/>
            <w:tcBorders>
              <w:tl2br w:val="nil"/>
              <w:tr2bl w:val="nil"/>
            </w:tcBorders>
            <w:noWrap w:val="0"/>
            <w:vAlign w:val="center"/>
          </w:tcPr>
          <w:p w14:paraId="521DB8AF">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Ⅲ类</w:t>
            </w:r>
          </w:p>
        </w:tc>
        <w:tc>
          <w:tcPr>
            <w:tcW w:w="2217" w:type="pct"/>
            <w:tcBorders>
              <w:tl2br w:val="nil"/>
              <w:tr2bl w:val="nil"/>
            </w:tcBorders>
            <w:noWrap w:val="0"/>
            <w:vAlign w:val="center"/>
          </w:tcPr>
          <w:p w14:paraId="5BE0E5DD">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《地表水环境质量标准》（GB3838-2002）</w:t>
            </w:r>
          </w:p>
        </w:tc>
      </w:tr>
      <w:tr w14:paraId="4412DB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84" w:type="pct"/>
            <w:tcBorders>
              <w:tl2br w:val="nil"/>
              <w:tr2bl w:val="nil"/>
            </w:tcBorders>
            <w:noWrap w:val="0"/>
            <w:vAlign w:val="center"/>
          </w:tcPr>
          <w:p w14:paraId="669C7D00">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2</w:t>
            </w:r>
          </w:p>
        </w:tc>
        <w:tc>
          <w:tcPr>
            <w:tcW w:w="605" w:type="pct"/>
            <w:tcBorders>
              <w:tl2br w:val="nil"/>
              <w:tr2bl w:val="nil"/>
            </w:tcBorders>
            <w:noWrap w:val="0"/>
            <w:vAlign w:val="center"/>
          </w:tcPr>
          <w:p w14:paraId="4F194079">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地下水</w:t>
            </w:r>
          </w:p>
        </w:tc>
        <w:tc>
          <w:tcPr>
            <w:tcW w:w="814" w:type="pct"/>
            <w:tcBorders>
              <w:tl2br w:val="nil"/>
              <w:tr2bl w:val="nil"/>
            </w:tcBorders>
            <w:noWrap w:val="0"/>
            <w:vAlign w:val="center"/>
          </w:tcPr>
          <w:p w14:paraId="7E337B48">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Ⅲ类区</w:t>
            </w:r>
          </w:p>
        </w:tc>
        <w:tc>
          <w:tcPr>
            <w:tcW w:w="978" w:type="pct"/>
            <w:tcBorders>
              <w:tl2br w:val="nil"/>
              <w:tr2bl w:val="nil"/>
            </w:tcBorders>
            <w:noWrap w:val="0"/>
            <w:vAlign w:val="center"/>
          </w:tcPr>
          <w:p w14:paraId="09820854">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Ⅲ类</w:t>
            </w:r>
          </w:p>
        </w:tc>
        <w:tc>
          <w:tcPr>
            <w:tcW w:w="2217" w:type="pct"/>
            <w:tcBorders>
              <w:tl2br w:val="nil"/>
              <w:tr2bl w:val="nil"/>
            </w:tcBorders>
            <w:noWrap w:val="0"/>
            <w:vAlign w:val="center"/>
          </w:tcPr>
          <w:p w14:paraId="30E97B4C">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《地下水质量标准》（GB/T14848-2017）</w:t>
            </w:r>
          </w:p>
        </w:tc>
      </w:tr>
      <w:tr w14:paraId="13566B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84" w:type="pct"/>
            <w:tcBorders>
              <w:tl2br w:val="nil"/>
              <w:tr2bl w:val="nil"/>
            </w:tcBorders>
            <w:noWrap w:val="0"/>
            <w:vAlign w:val="center"/>
          </w:tcPr>
          <w:p w14:paraId="148DE918">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3</w:t>
            </w:r>
          </w:p>
        </w:tc>
        <w:tc>
          <w:tcPr>
            <w:tcW w:w="605" w:type="pct"/>
            <w:tcBorders>
              <w:tl2br w:val="nil"/>
              <w:tr2bl w:val="nil"/>
            </w:tcBorders>
            <w:noWrap w:val="0"/>
            <w:vAlign w:val="center"/>
          </w:tcPr>
          <w:p w14:paraId="35B017B8">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环境空气</w:t>
            </w:r>
          </w:p>
        </w:tc>
        <w:tc>
          <w:tcPr>
            <w:tcW w:w="814" w:type="pct"/>
            <w:tcBorders>
              <w:tl2br w:val="nil"/>
              <w:tr2bl w:val="nil"/>
            </w:tcBorders>
            <w:noWrap w:val="0"/>
            <w:vAlign w:val="center"/>
          </w:tcPr>
          <w:p w14:paraId="00675083">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二类区</w:t>
            </w:r>
          </w:p>
        </w:tc>
        <w:tc>
          <w:tcPr>
            <w:tcW w:w="978" w:type="pct"/>
            <w:tcBorders>
              <w:tl2br w:val="nil"/>
              <w:tr2bl w:val="nil"/>
            </w:tcBorders>
            <w:noWrap w:val="0"/>
            <w:vAlign w:val="center"/>
          </w:tcPr>
          <w:p w14:paraId="2DEFFBEC">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二类区</w:t>
            </w:r>
          </w:p>
        </w:tc>
        <w:tc>
          <w:tcPr>
            <w:tcW w:w="2217" w:type="pct"/>
            <w:tcBorders>
              <w:tl2br w:val="nil"/>
              <w:tr2bl w:val="nil"/>
            </w:tcBorders>
            <w:noWrap w:val="0"/>
            <w:vAlign w:val="center"/>
          </w:tcPr>
          <w:p w14:paraId="3BE71CE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《环境空气质量标准》（GB3095-20</w:t>
            </w:r>
            <w:r>
              <w:rPr>
                <w:rFonts w:hint="eastAsia" w:asciiTheme="minorEastAsia" w:hAnsiTheme="minorEastAsia" w:eastAsiaTheme="minorEastAsia" w:cstheme="minorEastAsia"/>
                <w:b w:val="0"/>
                <w:bCs/>
                <w:color w:val="auto"/>
                <w:sz w:val="21"/>
                <w:szCs w:val="21"/>
                <w:highlight w:val="none"/>
                <w:lang w:val="en-US" w:eastAsia="zh-CN"/>
              </w:rPr>
              <w:t>26</w:t>
            </w:r>
            <w:r>
              <w:rPr>
                <w:rFonts w:hint="eastAsia" w:asciiTheme="minorEastAsia" w:hAnsiTheme="minorEastAsia" w:eastAsiaTheme="minorEastAsia" w:cstheme="minorEastAsia"/>
                <w:b w:val="0"/>
                <w:bCs/>
                <w:color w:val="auto"/>
                <w:sz w:val="21"/>
                <w:szCs w:val="21"/>
                <w:highlight w:val="none"/>
              </w:rPr>
              <w:t>）</w:t>
            </w:r>
          </w:p>
        </w:tc>
      </w:tr>
      <w:tr w14:paraId="6559C6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84" w:type="pct"/>
            <w:tcBorders>
              <w:tl2br w:val="nil"/>
              <w:tr2bl w:val="nil"/>
            </w:tcBorders>
            <w:noWrap w:val="0"/>
            <w:vAlign w:val="center"/>
          </w:tcPr>
          <w:p w14:paraId="5353F6A2">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4</w:t>
            </w:r>
          </w:p>
        </w:tc>
        <w:tc>
          <w:tcPr>
            <w:tcW w:w="605" w:type="pct"/>
            <w:tcBorders>
              <w:tl2br w:val="nil"/>
              <w:tr2bl w:val="nil"/>
            </w:tcBorders>
            <w:noWrap w:val="0"/>
            <w:vAlign w:val="center"/>
          </w:tcPr>
          <w:p w14:paraId="4C036E22">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噪声</w:t>
            </w:r>
          </w:p>
        </w:tc>
        <w:tc>
          <w:tcPr>
            <w:tcW w:w="814" w:type="pct"/>
            <w:tcBorders>
              <w:tl2br w:val="nil"/>
              <w:tr2bl w:val="nil"/>
            </w:tcBorders>
            <w:noWrap w:val="0"/>
            <w:vAlign w:val="center"/>
          </w:tcPr>
          <w:p w14:paraId="08494582">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lang w:eastAsia="zh-CN"/>
              </w:rPr>
            </w:pPr>
            <w:r>
              <w:rPr>
                <w:rFonts w:hint="eastAsia" w:asciiTheme="minorEastAsia" w:hAnsiTheme="minorEastAsia" w:eastAsiaTheme="minorEastAsia" w:cstheme="minorEastAsia"/>
                <w:b w:val="0"/>
                <w:bCs/>
                <w:color w:val="auto"/>
                <w:sz w:val="21"/>
                <w:szCs w:val="21"/>
                <w:highlight w:val="none"/>
                <w:lang w:val="en-US" w:eastAsia="zh-CN"/>
              </w:rPr>
              <w:t>区域</w:t>
            </w:r>
          </w:p>
        </w:tc>
        <w:tc>
          <w:tcPr>
            <w:tcW w:w="978" w:type="pct"/>
            <w:tcBorders>
              <w:tl2br w:val="nil"/>
              <w:tr2bl w:val="nil"/>
            </w:tcBorders>
            <w:noWrap w:val="0"/>
            <w:vAlign w:val="center"/>
          </w:tcPr>
          <w:p w14:paraId="78437DA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lang w:val="en-US" w:eastAsia="zh-CN"/>
              </w:rPr>
              <w:t>1</w:t>
            </w:r>
            <w:r>
              <w:rPr>
                <w:rFonts w:hint="eastAsia" w:asciiTheme="minorEastAsia" w:hAnsiTheme="minorEastAsia" w:eastAsiaTheme="minorEastAsia" w:cstheme="minorEastAsia"/>
                <w:b w:val="0"/>
                <w:bCs/>
                <w:color w:val="auto"/>
                <w:sz w:val="21"/>
                <w:szCs w:val="21"/>
                <w:highlight w:val="none"/>
              </w:rPr>
              <w:t>类</w:t>
            </w:r>
          </w:p>
        </w:tc>
        <w:tc>
          <w:tcPr>
            <w:tcW w:w="2217" w:type="pct"/>
            <w:tcBorders>
              <w:tl2br w:val="nil"/>
              <w:tr2bl w:val="nil"/>
            </w:tcBorders>
            <w:noWrap w:val="0"/>
            <w:vAlign w:val="center"/>
          </w:tcPr>
          <w:p w14:paraId="373A07DD">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《声环境质量标准》（GB3096-2008）</w:t>
            </w:r>
          </w:p>
        </w:tc>
      </w:tr>
      <w:tr w14:paraId="1264DC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84" w:type="pct"/>
            <w:vMerge w:val="restart"/>
            <w:tcBorders>
              <w:tl2br w:val="nil"/>
              <w:tr2bl w:val="nil"/>
            </w:tcBorders>
            <w:noWrap w:val="0"/>
            <w:vAlign w:val="center"/>
          </w:tcPr>
          <w:p w14:paraId="0FE021C2">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lang w:val="en-US" w:eastAsia="zh-CN"/>
              </w:rPr>
            </w:pPr>
            <w:bookmarkStart w:id="465" w:name="_Toc490466468"/>
            <w:bookmarkStart w:id="466" w:name="_Toc3559"/>
            <w:bookmarkStart w:id="467" w:name="_Toc10145"/>
            <w:r>
              <w:rPr>
                <w:rFonts w:hint="eastAsia" w:asciiTheme="minorEastAsia" w:hAnsiTheme="minorEastAsia" w:eastAsiaTheme="minorEastAsia" w:cstheme="minorEastAsia"/>
                <w:b w:val="0"/>
                <w:bCs/>
                <w:color w:val="auto"/>
                <w:sz w:val="21"/>
                <w:szCs w:val="21"/>
                <w:highlight w:val="none"/>
                <w:lang w:val="en-US" w:eastAsia="zh-CN"/>
              </w:rPr>
              <w:t>5</w:t>
            </w:r>
          </w:p>
        </w:tc>
        <w:tc>
          <w:tcPr>
            <w:tcW w:w="605" w:type="pct"/>
            <w:vMerge w:val="restart"/>
            <w:tcBorders>
              <w:tl2br w:val="nil"/>
              <w:tr2bl w:val="nil"/>
            </w:tcBorders>
            <w:noWrap w:val="0"/>
            <w:vAlign w:val="center"/>
          </w:tcPr>
          <w:p w14:paraId="25A493B4">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lang w:val="en-US" w:eastAsia="zh-CN"/>
              </w:rPr>
            </w:pPr>
            <w:r>
              <w:rPr>
                <w:rFonts w:hint="eastAsia" w:asciiTheme="minorEastAsia" w:hAnsiTheme="minorEastAsia" w:eastAsiaTheme="minorEastAsia" w:cstheme="minorEastAsia"/>
                <w:b w:val="0"/>
                <w:bCs/>
                <w:color w:val="auto"/>
                <w:sz w:val="21"/>
                <w:szCs w:val="21"/>
                <w:highlight w:val="none"/>
                <w:lang w:val="en-US" w:eastAsia="zh-CN"/>
              </w:rPr>
              <w:t>土壤</w:t>
            </w:r>
          </w:p>
        </w:tc>
        <w:tc>
          <w:tcPr>
            <w:tcW w:w="814" w:type="pct"/>
            <w:tcBorders>
              <w:tl2br w:val="nil"/>
              <w:tr2bl w:val="nil"/>
            </w:tcBorders>
            <w:noWrap w:val="0"/>
            <w:vAlign w:val="center"/>
          </w:tcPr>
          <w:p w14:paraId="1CA10AF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占地范围内</w:t>
            </w:r>
          </w:p>
        </w:tc>
        <w:tc>
          <w:tcPr>
            <w:tcW w:w="978" w:type="pct"/>
            <w:tcBorders>
              <w:tl2br w:val="nil"/>
              <w:tr2bl w:val="nil"/>
            </w:tcBorders>
            <w:noWrap w:val="0"/>
            <w:vAlign w:val="center"/>
          </w:tcPr>
          <w:p w14:paraId="0463644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lang w:val="en-US" w:eastAsia="zh-CN"/>
              </w:rPr>
            </w:pPr>
            <w:r>
              <w:rPr>
                <w:rFonts w:hint="eastAsia" w:asciiTheme="minorEastAsia" w:hAnsiTheme="minorEastAsia" w:eastAsiaTheme="minorEastAsia" w:cstheme="minorEastAsia"/>
                <w:b w:val="0"/>
                <w:bCs/>
                <w:color w:val="auto"/>
                <w:sz w:val="21"/>
                <w:szCs w:val="21"/>
                <w:highlight w:val="none"/>
              </w:rPr>
              <w:t>第二类用地土壤污染风险筛选值</w:t>
            </w:r>
          </w:p>
        </w:tc>
        <w:tc>
          <w:tcPr>
            <w:tcW w:w="2217" w:type="pct"/>
            <w:tcBorders>
              <w:tl2br w:val="nil"/>
              <w:tr2bl w:val="nil"/>
            </w:tcBorders>
            <w:noWrap w:val="0"/>
            <w:vAlign w:val="center"/>
          </w:tcPr>
          <w:p w14:paraId="69DB4E0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《土壤环境质量  建设用地土壤污染风险管控标准(试行)》(GB36600-2018)表1</w:t>
            </w:r>
          </w:p>
        </w:tc>
      </w:tr>
      <w:tr w14:paraId="7E2CA4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84" w:type="pct"/>
            <w:vMerge w:val="continue"/>
            <w:tcBorders>
              <w:tl2br w:val="nil"/>
              <w:tr2bl w:val="nil"/>
            </w:tcBorders>
            <w:noWrap w:val="0"/>
            <w:vAlign w:val="center"/>
          </w:tcPr>
          <w:p w14:paraId="09A4786C">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lang w:val="en-US" w:eastAsia="zh-CN"/>
              </w:rPr>
            </w:pPr>
          </w:p>
        </w:tc>
        <w:tc>
          <w:tcPr>
            <w:tcW w:w="605" w:type="pct"/>
            <w:vMerge w:val="continue"/>
            <w:tcBorders>
              <w:tl2br w:val="nil"/>
              <w:tr2bl w:val="nil"/>
            </w:tcBorders>
            <w:noWrap w:val="0"/>
            <w:vAlign w:val="center"/>
          </w:tcPr>
          <w:p w14:paraId="12896372">
            <w:pPr>
              <w:keepNext w:val="0"/>
              <w:keepLines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p>
        </w:tc>
        <w:tc>
          <w:tcPr>
            <w:tcW w:w="814" w:type="pct"/>
            <w:tcBorders>
              <w:tl2br w:val="nil"/>
              <w:tr2bl w:val="nil"/>
            </w:tcBorders>
            <w:noWrap w:val="0"/>
            <w:vAlign w:val="center"/>
          </w:tcPr>
          <w:p w14:paraId="51790DB8">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占地范围外</w:t>
            </w:r>
          </w:p>
        </w:tc>
        <w:tc>
          <w:tcPr>
            <w:tcW w:w="978" w:type="pct"/>
            <w:tcBorders>
              <w:tl2br w:val="nil"/>
              <w:tr2bl w:val="nil"/>
            </w:tcBorders>
            <w:noWrap w:val="0"/>
            <w:vAlign w:val="center"/>
          </w:tcPr>
          <w:p w14:paraId="6543CAF0">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lang w:val="en-US" w:eastAsia="zh-CN"/>
              </w:rPr>
            </w:pPr>
            <w:r>
              <w:rPr>
                <w:rFonts w:hint="eastAsia" w:asciiTheme="minorEastAsia" w:hAnsiTheme="minorEastAsia" w:eastAsiaTheme="minorEastAsia" w:cstheme="minorEastAsia"/>
                <w:b w:val="0"/>
                <w:bCs/>
                <w:color w:val="auto"/>
                <w:sz w:val="21"/>
                <w:szCs w:val="21"/>
                <w:highlight w:val="none"/>
              </w:rPr>
              <w:t>农用地土壤污染风险筛选值</w:t>
            </w:r>
          </w:p>
        </w:tc>
        <w:tc>
          <w:tcPr>
            <w:tcW w:w="2217" w:type="pct"/>
            <w:tcBorders>
              <w:tl2br w:val="nil"/>
              <w:tr2bl w:val="nil"/>
            </w:tcBorders>
            <w:noWrap w:val="0"/>
            <w:vAlign w:val="center"/>
          </w:tcPr>
          <w:p w14:paraId="1FF5551A">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color w:val="auto"/>
                <w:sz w:val="21"/>
                <w:szCs w:val="21"/>
                <w:highlight w:val="none"/>
              </w:rPr>
            </w:pPr>
            <w:r>
              <w:rPr>
                <w:rFonts w:hint="eastAsia" w:asciiTheme="minorEastAsia" w:hAnsiTheme="minorEastAsia" w:eastAsiaTheme="minorEastAsia" w:cstheme="minorEastAsia"/>
                <w:b w:val="0"/>
                <w:bCs/>
                <w:color w:val="auto"/>
                <w:sz w:val="21"/>
                <w:szCs w:val="21"/>
                <w:highlight w:val="none"/>
              </w:rPr>
              <w:t>《土壤环境质量 农用地土壤污染风险管控标准（试行）》（GB15618-2018）表1</w:t>
            </w:r>
          </w:p>
        </w:tc>
      </w:tr>
    </w:tbl>
    <w:p w14:paraId="63221C10">
      <w:pPr>
        <w:pStyle w:val="7"/>
        <w:numPr>
          <w:ilvl w:val="0"/>
          <w:numId w:val="0"/>
        </w:numPr>
        <w:bidi w:val="0"/>
        <w:ind w:leftChars="0"/>
        <w:rPr>
          <w:rFonts w:hint="eastAsia" w:asciiTheme="minorEastAsia" w:hAnsiTheme="minorEastAsia" w:eastAsiaTheme="minorEastAsia" w:cstheme="minorEastAsia"/>
          <w:color w:val="auto"/>
          <w:highlight w:val="none"/>
        </w:rPr>
        <w:sectPr>
          <w:footerReference r:id="rId11" w:type="default"/>
          <w:pgSz w:w="11907" w:h="16840"/>
          <w:pgMar w:top="1440" w:right="1440" w:bottom="1440" w:left="1701" w:header="851" w:footer="992" w:gutter="0"/>
          <w:pgBorders>
            <w:top w:val="none" w:sz="0" w:space="0"/>
            <w:left w:val="none" w:sz="0" w:space="0"/>
            <w:bottom w:val="none" w:sz="0" w:space="0"/>
            <w:right w:val="none" w:sz="0" w:space="0"/>
          </w:pgBorders>
          <w:pgNumType w:fmt="numberInDash"/>
          <w:cols w:space="720" w:num="1"/>
          <w:docGrid w:linePitch="312" w:charSpace="0"/>
        </w:sectPr>
      </w:pPr>
    </w:p>
    <w:p w14:paraId="19A64689">
      <w:pPr>
        <w:pStyle w:val="7"/>
        <w:numPr>
          <w:ilvl w:val="0"/>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4.2.</w:t>
      </w:r>
      <w:r>
        <w:rPr>
          <w:rFonts w:hint="eastAsia" w:asciiTheme="minorEastAsia" w:hAnsiTheme="minorEastAsia" w:eastAsia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rPr>
        <w:t>环境保护目标</w:t>
      </w:r>
      <w:bookmarkEnd w:id="465"/>
      <w:bookmarkEnd w:id="466"/>
      <w:bookmarkEnd w:id="467"/>
    </w:p>
    <w:p w14:paraId="766EB807">
      <w:pPr>
        <w:pStyle w:val="374"/>
        <w:autoSpaceDE w:val="0"/>
        <w:autoSpaceDN w:val="0"/>
        <w:spacing w:line="360" w:lineRule="auto"/>
        <w:ind w:firstLine="480" w:firstLineChars="200"/>
        <w:jc w:val="both"/>
        <w:textAlignment w:val="bottom"/>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根据《建设项目环境影响评价技术导则 总纲》（HJ2.1-2016），环境保护目标调查应调查评价范围内的环境功能区划和主要的环境敏感区，详细了解环境保护目标的地理位置、服务功能、四至范围、保护对象和保护要求等。调查</w:t>
      </w:r>
      <w:r>
        <w:rPr>
          <w:rFonts w:hint="eastAsia" w:asciiTheme="minorEastAsia" w:hAnsiTheme="minorEastAsia" w:eastAsiaTheme="minorEastAsia" w:cstheme="minorEastAsia"/>
          <w:color w:val="auto"/>
          <w:highlight w:val="none"/>
          <w:lang w:val="en-US" w:eastAsia="zh-CN"/>
        </w:rPr>
        <w:t>情况</w:t>
      </w:r>
      <w:r>
        <w:rPr>
          <w:rFonts w:hint="eastAsia" w:asciiTheme="minorEastAsia" w:hAnsiTheme="minorEastAsia" w:eastAsiaTheme="minorEastAsia" w:cstheme="minorEastAsia"/>
          <w:color w:val="auto"/>
          <w:highlight w:val="none"/>
        </w:rPr>
        <w:t>如下</w:t>
      </w:r>
      <w:r>
        <w:rPr>
          <w:rFonts w:hint="eastAsia" w:asciiTheme="minorEastAsia" w:hAnsiTheme="minorEastAsia" w:eastAsiaTheme="minorEastAsia" w:cstheme="minorEastAsia"/>
          <w:color w:val="auto"/>
          <w:highlight w:val="none"/>
          <w:lang w:eastAsia="zh-CN"/>
        </w:rPr>
        <w:t>：</w:t>
      </w:r>
    </w:p>
    <w:p w14:paraId="56F60B59">
      <w:pPr>
        <w:pStyle w:val="374"/>
        <w:autoSpaceDE w:val="0"/>
        <w:autoSpaceDN w:val="0"/>
        <w:spacing w:line="360" w:lineRule="auto"/>
        <w:ind w:firstLine="480" w:firstLineChars="200"/>
        <w:jc w:val="both"/>
        <w:textAlignment w:val="bottom"/>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1</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环境空气评价范围为以回填复垦区为中心区域，边长为5km的矩形区域，区域内共涉及4个村屯，</w:t>
      </w:r>
      <w:r>
        <w:rPr>
          <w:rFonts w:hint="eastAsia" w:asciiTheme="minorEastAsia" w:hAnsiTheme="minorEastAsia" w:eastAsiaTheme="minorEastAsia" w:cstheme="minorEastAsia"/>
          <w:color w:val="auto"/>
          <w:spacing w:val="-3"/>
          <w:szCs w:val="24"/>
          <w:highlight w:val="none"/>
        </w:rPr>
        <w:t>距离本项目最近</w:t>
      </w:r>
      <w:r>
        <w:rPr>
          <w:rFonts w:hint="eastAsia" w:asciiTheme="minorEastAsia" w:hAnsiTheme="minorEastAsia" w:eastAsiaTheme="minorEastAsia" w:cstheme="minorEastAsia"/>
          <w:color w:val="auto"/>
          <w:spacing w:val="-3"/>
          <w:szCs w:val="24"/>
          <w:highlight w:val="none"/>
          <w:lang w:val="en-US" w:eastAsia="zh-CN"/>
        </w:rPr>
        <w:t>村屯</w:t>
      </w:r>
      <w:r>
        <w:rPr>
          <w:rFonts w:hint="eastAsia" w:asciiTheme="minorEastAsia" w:hAnsiTheme="minorEastAsia" w:eastAsiaTheme="minorEastAsia" w:cstheme="minorEastAsia"/>
          <w:color w:val="auto"/>
          <w:spacing w:val="-3"/>
          <w:szCs w:val="24"/>
          <w:highlight w:val="none"/>
        </w:rPr>
        <w:t>为</w:t>
      </w:r>
      <w:r>
        <w:rPr>
          <w:rFonts w:hint="eastAsia" w:asciiTheme="minorEastAsia" w:hAnsiTheme="minorEastAsia" w:eastAsiaTheme="minorEastAsia" w:cstheme="minorEastAsia"/>
          <w:color w:val="auto"/>
          <w:spacing w:val="-3"/>
          <w:szCs w:val="24"/>
          <w:highlight w:val="none"/>
          <w:lang w:val="en-US" w:eastAsia="zh-CN"/>
        </w:rPr>
        <w:t>南</w:t>
      </w:r>
      <w:r>
        <w:rPr>
          <w:rFonts w:hint="eastAsia" w:asciiTheme="minorEastAsia" w:hAnsiTheme="minorEastAsia" w:eastAsiaTheme="minorEastAsia" w:cstheme="minorEastAsia"/>
          <w:color w:val="auto"/>
          <w:spacing w:val="-3"/>
          <w:szCs w:val="24"/>
          <w:highlight w:val="none"/>
        </w:rPr>
        <w:t>侧</w:t>
      </w:r>
      <w:r>
        <w:rPr>
          <w:rFonts w:hint="eastAsia" w:asciiTheme="minorEastAsia" w:hAnsiTheme="minorEastAsia" w:eastAsiaTheme="minorEastAsia" w:cstheme="minorEastAsia"/>
          <w:color w:val="auto"/>
          <w:spacing w:val="-3"/>
          <w:szCs w:val="24"/>
          <w:highlight w:val="none"/>
          <w:lang w:val="en-US" w:eastAsia="zh-CN"/>
        </w:rPr>
        <w:t>元宝村</w:t>
      </w:r>
      <w:r>
        <w:rPr>
          <w:rFonts w:hint="eastAsia" w:asciiTheme="minorEastAsia" w:hAnsiTheme="minorEastAsia" w:eastAsiaTheme="minorEastAsia" w:cstheme="minorEastAsia"/>
          <w:color w:val="auto"/>
          <w:spacing w:val="-3"/>
          <w:szCs w:val="24"/>
          <w:highlight w:val="none"/>
        </w:rPr>
        <w:t>（</w:t>
      </w:r>
      <w:r>
        <w:rPr>
          <w:rFonts w:hint="eastAsia" w:asciiTheme="minorEastAsia" w:hAnsiTheme="minorEastAsia" w:eastAsiaTheme="minorEastAsia" w:cstheme="minorEastAsia"/>
          <w:color w:val="auto"/>
          <w:spacing w:val="-3"/>
          <w:szCs w:val="24"/>
          <w:highlight w:val="none"/>
          <w:lang w:val="en-US" w:eastAsia="zh-CN"/>
        </w:rPr>
        <w:t>距离约</w:t>
      </w:r>
      <w:r>
        <w:rPr>
          <w:rFonts w:hint="eastAsia" w:asciiTheme="minorEastAsia" w:hAnsiTheme="minorEastAsia" w:eastAsiaTheme="minorEastAsia" w:cstheme="minorEastAsia"/>
          <w:color w:val="auto"/>
          <w:szCs w:val="24"/>
          <w:highlight w:val="none"/>
          <w:lang w:val="en-US" w:eastAsia="zh-CN"/>
        </w:rPr>
        <w:t>350</w:t>
      </w:r>
      <w:r>
        <w:rPr>
          <w:rFonts w:hint="eastAsia" w:asciiTheme="minorEastAsia" w:hAnsiTheme="minorEastAsia" w:eastAsiaTheme="minorEastAsia" w:cstheme="minorEastAsia"/>
          <w:color w:val="auto"/>
          <w:szCs w:val="24"/>
          <w:highlight w:val="none"/>
        </w:rPr>
        <w:t>m）</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位于回填期主导风向上风向</w:t>
      </w:r>
      <w:r>
        <w:rPr>
          <w:rFonts w:hint="eastAsia" w:asciiTheme="minorEastAsia" w:hAnsiTheme="minorEastAsia" w:eastAsiaTheme="minorEastAsia" w:cstheme="minorEastAsia"/>
          <w:color w:val="auto"/>
          <w:highlight w:val="none"/>
        </w:rPr>
        <w:t>。</w:t>
      </w:r>
    </w:p>
    <w:p w14:paraId="5606A851">
      <w:pPr>
        <w:pStyle w:val="374"/>
        <w:autoSpaceDE w:val="0"/>
        <w:autoSpaceDN w:val="0"/>
        <w:spacing w:line="360" w:lineRule="auto"/>
        <w:ind w:firstLine="480" w:firstLineChars="200"/>
        <w:jc w:val="both"/>
        <w:textAlignment w:val="bottom"/>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本项目不排水，不会对地表水产生影响，距离项目最近的地表水为项目东侧440m黄泥河支流。</w:t>
      </w:r>
    </w:p>
    <w:p w14:paraId="243BA76B">
      <w:pPr>
        <w:pStyle w:val="374"/>
        <w:autoSpaceDE w:val="0"/>
        <w:autoSpaceDN w:val="0"/>
        <w:spacing w:line="360" w:lineRule="auto"/>
        <w:ind w:firstLine="480" w:firstLineChars="200"/>
        <w:jc w:val="both"/>
        <w:textAlignment w:val="bottom"/>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地下水环境：保护周边地下水环境，水质类别《地下水质量标准》（GB/T14848-2017）Ⅲ类标准。</w:t>
      </w:r>
    </w:p>
    <w:p w14:paraId="3521AFCD">
      <w:pPr>
        <w:pStyle w:val="374"/>
        <w:autoSpaceDE w:val="0"/>
        <w:autoSpaceDN w:val="0"/>
        <w:spacing w:line="360" w:lineRule="auto"/>
        <w:ind w:firstLine="480" w:firstLineChars="200"/>
        <w:jc w:val="both"/>
        <w:textAlignment w:val="bottom"/>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4</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回填复垦区外200m范围</w:t>
      </w:r>
      <w:r>
        <w:rPr>
          <w:rFonts w:hint="eastAsia" w:asciiTheme="minorEastAsia" w:hAnsiTheme="minorEastAsia" w:eastAsiaTheme="minorEastAsia" w:cstheme="minorEastAsia"/>
          <w:color w:val="auto"/>
          <w:highlight w:val="none"/>
          <w:lang w:eastAsia="zh-CN"/>
        </w:rPr>
        <w:t>内</w:t>
      </w:r>
      <w:r>
        <w:rPr>
          <w:rFonts w:hint="eastAsia" w:asciiTheme="minorEastAsia" w:hAnsiTheme="minorEastAsia" w:eastAsiaTheme="minorEastAsia" w:cstheme="minorEastAsia"/>
          <w:color w:val="auto"/>
          <w:highlight w:val="none"/>
          <w:lang w:val="en-US" w:eastAsia="zh-CN"/>
        </w:rPr>
        <w:t>主要为农田和林地，</w:t>
      </w:r>
      <w:r>
        <w:rPr>
          <w:rFonts w:hint="eastAsia" w:asciiTheme="minorEastAsia" w:hAnsiTheme="minorEastAsia" w:eastAsiaTheme="minorEastAsia" w:cstheme="minorEastAsia"/>
          <w:color w:val="auto"/>
          <w:highlight w:val="none"/>
          <w:lang w:eastAsia="zh-CN"/>
        </w:rPr>
        <w:t>无森林公园、地质公园、天然林、野生动物重要栖息地、重点保护野生植物生长繁殖地，不涉及生态保护红线。</w:t>
      </w:r>
    </w:p>
    <w:p w14:paraId="679BC84D">
      <w:pPr>
        <w:pStyle w:val="374"/>
        <w:autoSpaceDE w:val="0"/>
        <w:autoSpaceDN w:val="0"/>
        <w:spacing w:line="360" w:lineRule="auto"/>
        <w:ind w:firstLine="480" w:firstLineChars="200"/>
        <w:jc w:val="both"/>
        <w:textAlignment w:val="bottom"/>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声环境敏感目标：回填复垦区外200m范围</w:t>
      </w:r>
      <w:r>
        <w:rPr>
          <w:rFonts w:hint="eastAsia" w:asciiTheme="minorEastAsia" w:hAnsiTheme="minorEastAsia" w:eastAsiaTheme="minorEastAsia" w:cstheme="minorEastAsia"/>
          <w:color w:val="auto"/>
          <w:highlight w:val="none"/>
          <w:lang w:eastAsia="zh-CN"/>
        </w:rPr>
        <w:t>内</w:t>
      </w:r>
      <w:r>
        <w:rPr>
          <w:rFonts w:hint="eastAsia" w:asciiTheme="minorEastAsia" w:hAnsiTheme="minorEastAsia" w:eastAsiaTheme="minorEastAsia" w:cstheme="minorEastAsia"/>
          <w:color w:val="auto"/>
          <w:highlight w:val="none"/>
          <w:lang w:val="en-US" w:eastAsia="zh-CN"/>
        </w:rPr>
        <w:t>无声环境保护目标，区域声环境执行</w:t>
      </w:r>
      <w:r>
        <w:rPr>
          <w:rFonts w:hint="eastAsia" w:asciiTheme="minorEastAsia" w:hAnsiTheme="minorEastAsia" w:eastAsiaTheme="minorEastAsia" w:cstheme="minorEastAsia"/>
          <w:color w:val="auto"/>
          <w:kern w:val="0"/>
          <w:szCs w:val="22"/>
          <w:highlight w:val="none"/>
        </w:rPr>
        <w:t>《声环境质量标准》（GB3096-2008）</w:t>
      </w:r>
      <w:r>
        <w:rPr>
          <w:rFonts w:hint="eastAsia" w:asciiTheme="minorEastAsia" w:hAnsiTheme="minorEastAsia" w:eastAsiaTheme="minorEastAsia" w:cstheme="minorEastAsia"/>
          <w:color w:val="auto"/>
          <w:kern w:val="0"/>
          <w:szCs w:val="22"/>
          <w:highlight w:val="none"/>
          <w:lang w:val="en-US" w:eastAsia="zh-CN"/>
        </w:rPr>
        <w:t>1类标准。</w:t>
      </w:r>
    </w:p>
    <w:p w14:paraId="1ABF2DC9">
      <w:pPr>
        <w:pStyle w:val="7"/>
        <w:numPr>
          <w:ilvl w:val="0"/>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4.2.</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rPr>
        <w:t>污染源调查内容</w:t>
      </w:r>
    </w:p>
    <w:p w14:paraId="011F9C8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val="en-US" w:eastAsia="zh-CN"/>
        </w:rPr>
        <w:t>本项目为</w:t>
      </w:r>
      <w:r>
        <w:rPr>
          <w:rFonts w:hint="eastAsia" w:ascii="Times New Roman" w:hAnsi="宋体" w:eastAsia="宋体" w:cs="Times New Roman"/>
          <w:color w:val="auto"/>
          <w:kern w:val="0"/>
          <w:sz w:val="24"/>
          <w:szCs w:val="24"/>
          <w:highlight w:val="none"/>
          <w:lang w:val="en-US" w:eastAsia="zh-CN"/>
        </w:rPr>
        <w:t>灰渣回填复垦利用项目</w:t>
      </w:r>
      <w:r>
        <w:rPr>
          <w:rFonts w:hint="eastAsia" w:ascii="Times New Roman" w:hAnsi="宋体" w:cs="Times New Roman"/>
          <w:color w:val="auto"/>
          <w:kern w:val="0"/>
          <w:sz w:val="24"/>
          <w:szCs w:val="24"/>
          <w:highlight w:val="none"/>
          <w:lang w:val="en-US" w:eastAsia="zh-CN"/>
        </w:rPr>
        <w:t>，对</w:t>
      </w:r>
      <w:r>
        <w:rPr>
          <w:rFonts w:hint="eastAsia" w:asciiTheme="minorEastAsia" w:hAnsiTheme="minorEastAsia" w:eastAsiaTheme="minorEastAsia" w:cstheme="minorEastAsia"/>
          <w:color w:val="auto"/>
          <w:szCs w:val="24"/>
          <w:highlight w:val="none"/>
        </w:rPr>
        <w:t>采砂坑</w:t>
      </w:r>
      <w:r>
        <w:rPr>
          <w:rFonts w:hint="eastAsia" w:ascii="Times New Roman" w:hAnsi="宋体" w:cs="Times New Roman"/>
          <w:color w:val="auto"/>
          <w:kern w:val="0"/>
          <w:sz w:val="24"/>
          <w:szCs w:val="24"/>
          <w:highlight w:val="none"/>
          <w:lang w:val="en-US" w:eastAsia="zh-CN"/>
        </w:rPr>
        <w:t>进行</w:t>
      </w:r>
      <w:r>
        <w:rPr>
          <w:rFonts w:hint="eastAsia" w:asciiTheme="minorEastAsia" w:hAnsiTheme="minorEastAsia" w:eastAsiaTheme="minorEastAsia" w:cstheme="minorEastAsia"/>
          <w:color w:val="auto"/>
          <w:highlight w:val="none"/>
          <w:lang w:val="en-US" w:eastAsia="zh-CN"/>
        </w:rPr>
        <w:t>生态修复，位于</w:t>
      </w:r>
      <w:r>
        <w:rPr>
          <w:rFonts w:hint="default" w:ascii="Times New Roman" w:hAnsi="宋体" w:eastAsia="宋体" w:cs="Times New Roman"/>
          <w:color w:val="auto"/>
          <w:kern w:val="0"/>
          <w:sz w:val="24"/>
          <w:szCs w:val="24"/>
          <w:highlight w:val="none"/>
          <w:lang w:val="en-US" w:eastAsia="zh-CN"/>
        </w:rPr>
        <w:t>尚志市元宝镇元宝村新村北侧</w:t>
      </w:r>
      <w:r>
        <w:rPr>
          <w:rFonts w:hint="eastAsia" w:asciiTheme="minorEastAsia" w:hAnsiTheme="minorEastAsia" w:eastAsiaTheme="minorEastAsia" w:cstheme="minorEastAsia"/>
          <w:color w:val="auto"/>
          <w:highlight w:val="none"/>
          <w:lang w:val="en-US" w:eastAsia="zh-CN"/>
        </w:rPr>
        <w:t>，</w:t>
      </w:r>
      <w:r>
        <w:rPr>
          <w:rFonts w:hint="eastAsia" w:asciiTheme="minorEastAsia" w:hAnsiTheme="minorEastAsia" w:eastAsiaTheme="minorEastAsia" w:cstheme="minorEastAsia"/>
          <w:color w:val="auto"/>
          <w:highlight w:val="none"/>
        </w:rPr>
        <w:t>本项目评价范围内</w:t>
      </w:r>
      <w:r>
        <w:rPr>
          <w:rFonts w:hint="eastAsia" w:asciiTheme="minorEastAsia" w:hAnsiTheme="minorEastAsia" w:eastAsiaTheme="minorEastAsia" w:cstheme="minorEastAsia"/>
          <w:color w:val="auto"/>
          <w:highlight w:val="none"/>
          <w:lang w:val="en-US" w:eastAsia="zh-CN"/>
        </w:rPr>
        <w:t>主要为村屯、农田、树林，</w:t>
      </w:r>
      <w:r>
        <w:rPr>
          <w:rFonts w:hint="eastAsia" w:asciiTheme="minorEastAsia" w:hAnsiTheme="minorEastAsia" w:eastAsiaTheme="minorEastAsia" w:cstheme="minorEastAsia"/>
          <w:color w:val="auto"/>
          <w:highlight w:val="none"/>
        </w:rPr>
        <w:t>没有与本项目排放污染物有关的其他在建项目和已批复环境影响评价文件的拟建项目</w:t>
      </w:r>
      <w:r>
        <w:rPr>
          <w:rFonts w:hint="eastAsia" w:asciiTheme="minorEastAsia" w:hAnsiTheme="minorEastAsia" w:eastAsiaTheme="minorEastAsia" w:cstheme="minorEastAsia"/>
          <w:color w:val="auto"/>
          <w:highlight w:val="none"/>
          <w:lang w:eastAsia="zh-CN"/>
        </w:rPr>
        <w:t>。</w:t>
      </w:r>
    </w:p>
    <w:p w14:paraId="03E13056">
      <w:pPr>
        <w:pStyle w:val="8"/>
        <w:numPr>
          <w:ilvl w:val="3"/>
          <w:numId w:val="0"/>
        </w:numPr>
        <w:bidi w:val="0"/>
        <w:ind w:leftChars="0"/>
        <w:rPr>
          <w:rFonts w:hint="eastAsia" w:asciiTheme="minorEastAsia" w:hAnsiTheme="minorEastAsia" w:eastAsiaTheme="minorEastAsia" w:cstheme="minorEastAsia"/>
          <w:color w:val="auto"/>
          <w:highlight w:val="none"/>
        </w:rPr>
      </w:pPr>
      <w:bookmarkStart w:id="468" w:name="_Toc12088"/>
      <w:bookmarkStart w:id="469" w:name="_Toc19203"/>
      <w:bookmarkStart w:id="470" w:name="_Toc10548"/>
      <w:bookmarkStart w:id="471" w:name="_Toc21792"/>
      <w:bookmarkStart w:id="472" w:name="_Toc2900"/>
      <w:bookmarkStart w:id="473" w:name="_Toc26509"/>
      <w:bookmarkStart w:id="474" w:name="_Toc11001"/>
      <w:bookmarkStart w:id="475" w:name="_Toc24994"/>
      <w:bookmarkStart w:id="476" w:name="_Toc31772"/>
      <w:bookmarkStart w:id="477" w:name="_Toc490466469"/>
      <w:bookmarkStart w:id="478" w:name="_Toc2747"/>
      <w:bookmarkStart w:id="479" w:name="_Toc3041"/>
      <w:bookmarkStart w:id="480" w:name="_Toc6867"/>
      <w:bookmarkStart w:id="481" w:name="_Toc14572"/>
      <w:bookmarkStart w:id="482" w:name="_Toc17339"/>
      <w:bookmarkStart w:id="483" w:name="_Toc23780"/>
      <w:bookmarkStart w:id="484" w:name="_Toc3949"/>
      <w:bookmarkStart w:id="485" w:name="_Toc8930"/>
      <w:bookmarkStart w:id="486" w:name="_Toc493058932"/>
      <w:bookmarkStart w:id="487" w:name="_Toc19202"/>
      <w:bookmarkStart w:id="488" w:name="_Toc11155"/>
      <w:bookmarkStart w:id="489" w:name="_Toc25759"/>
      <w:bookmarkStart w:id="490" w:name="_Toc30621"/>
      <w:bookmarkStart w:id="491" w:name="_Toc21612"/>
      <w:bookmarkStart w:id="492" w:name="_Toc20505"/>
      <w:r>
        <w:rPr>
          <w:rFonts w:hint="eastAsia" w:asciiTheme="minorEastAsia" w:hAnsiTheme="minorEastAsia" w:eastAsiaTheme="minorEastAsia" w:cstheme="minorEastAsia"/>
          <w:color w:val="auto"/>
          <w:highlight w:val="none"/>
          <w:lang w:val="en-US" w:eastAsia="zh-CN"/>
        </w:rPr>
        <w:t>4.2.3.1大气污染源</w:t>
      </w:r>
    </w:p>
    <w:p w14:paraId="7E38045D">
      <w:pPr>
        <w:spacing w:line="360" w:lineRule="auto"/>
        <w:ind w:firstLine="480" w:firstLineChars="200"/>
        <w:rPr>
          <w:rFonts w:hint="eastAsia"/>
          <w:color w:val="auto"/>
          <w:highlight w:val="none"/>
        </w:rPr>
      </w:pPr>
      <w:r>
        <w:rPr>
          <w:rFonts w:hint="eastAsia"/>
          <w:color w:val="auto"/>
          <w:highlight w:val="none"/>
        </w:rPr>
        <w:t>大气污染源主要为农业机械作业时尾气，排放污染物主要为CO、HC、NOx、颗粒物。</w:t>
      </w:r>
    </w:p>
    <w:p w14:paraId="300C30D2">
      <w:pPr>
        <w:pStyle w:val="8"/>
        <w:numPr>
          <w:ilvl w:val="3"/>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4.2.3.2地表水污染源</w:t>
      </w:r>
    </w:p>
    <w:p w14:paraId="48684B26">
      <w:pPr>
        <w:spacing w:line="360" w:lineRule="auto"/>
        <w:ind w:firstLine="480" w:firstLineChars="200"/>
        <w:rPr>
          <w:rFonts w:hint="eastAsia"/>
          <w:color w:val="auto"/>
          <w:highlight w:val="none"/>
        </w:rPr>
      </w:pPr>
      <w:r>
        <w:rPr>
          <w:rFonts w:hint="eastAsia"/>
          <w:color w:val="auto"/>
          <w:highlight w:val="none"/>
        </w:rPr>
        <w:t>地表水污染主要为生活污水和化肥农药地表径流形成的面源污染。</w:t>
      </w:r>
    </w:p>
    <w:p w14:paraId="5A065377">
      <w:pPr>
        <w:pStyle w:val="8"/>
        <w:numPr>
          <w:ilvl w:val="3"/>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4.2.3.3地下水污染源</w:t>
      </w:r>
    </w:p>
    <w:p w14:paraId="1A7D45A8">
      <w:pPr>
        <w:spacing w:line="360" w:lineRule="auto"/>
        <w:ind w:firstLine="480" w:firstLineChars="200"/>
        <w:rPr>
          <w:rFonts w:hint="eastAsia"/>
          <w:color w:val="auto"/>
          <w:highlight w:val="none"/>
        </w:rPr>
      </w:pPr>
      <w:r>
        <w:rPr>
          <w:rFonts w:hint="eastAsia"/>
          <w:color w:val="auto"/>
          <w:highlight w:val="none"/>
        </w:rPr>
        <w:t>地下水污染源主要为农药化肥污染，经降雨随水淋溶进入地下水，对地下水造成污染。</w:t>
      </w:r>
    </w:p>
    <w:p w14:paraId="4E732590">
      <w:pPr>
        <w:pStyle w:val="8"/>
        <w:numPr>
          <w:ilvl w:val="3"/>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4.2.3.4噪声污染源</w:t>
      </w:r>
    </w:p>
    <w:p w14:paraId="68E204B5">
      <w:pPr>
        <w:spacing w:line="360" w:lineRule="auto"/>
        <w:ind w:firstLine="480" w:firstLineChars="200"/>
        <w:rPr>
          <w:rFonts w:hint="eastAsia" w:eastAsia="宋体"/>
          <w:color w:val="auto"/>
          <w:highlight w:val="none"/>
          <w:lang w:eastAsia="zh-CN"/>
        </w:rPr>
        <w:sectPr>
          <w:pgSz w:w="11907" w:h="16840"/>
          <w:pgMar w:top="1440" w:right="1440" w:bottom="1440" w:left="1701" w:header="851" w:footer="992" w:gutter="0"/>
          <w:pgBorders>
            <w:top w:val="none" w:sz="0" w:space="0"/>
            <w:left w:val="none" w:sz="0" w:space="0"/>
            <w:bottom w:val="none" w:sz="0" w:space="0"/>
            <w:right w:val="none" w:sz="0" w:space="0"/>
          </w:pgBorders>
          <w:pgNumType w:fmt="numberInDash"/>
          <w:cols w:space="720" w:num="1"/>
          <w:docGrid w:linePitch="312" w:charSpace="0"/>
        </w:sectPr>
      </w:pPr>
      <w:r>
        <w:rPr>
          <w:rFonts w:hint="eastAsia"/>
          <w:color w:val="auto"/>
          <w:highlight w:val="none"/>
        </w:rPr>
        <w:t>要污染源为农业机械作业噪声</w:t>
      </w:r>
      <w:r>
        <w:rPr>
          <w:rFonts w:hint="eastAsia"/>
          <w:color w:val="auto"/>
          <w:highlight w:val="none"/>
          <w:lang w:eastAsia="zh-CN"/>
        </w:rPr>
        <w:t>。</w:t>
      </w:r>
    </w:p>
    <w:p w14:paraId="13199912">
      <w:pPr>
        <w:pStyle w:val="6"/>
        <w:bidi w:val="0"/>
        <w:rPr>
          <w:rFonts w:hint="eastAsia" w:asciiTheme="minorEastAsia" w:hAnsiTheme="minorEastAsia" w:eastAsiaTheme="minorEastAsia" w:cstheme="minorEastAsia"/>
          <w:color w:val="auto"/>
          <w:highlight w:val="none"/>
        </w:rPr>
      </w:pPr>
      <w:bookmarkStart w:id="493" w:name="_Toc6523"/>
      <w:r>
        <w:rPr>
          <w:rFonts w:hint="eastAsia" w:asciiTheme="minorEastAsia" w:hAnsiTheme="minorEastAsia" w:eastAsiaTheme="minorEastAsia" w:cstheme="minorEastAsia"/>
          <w:color w:val="auto"/>
          <w:highlight w:val="none"/>
        </w:rPr>
        <w:t>4.3</w:t>
      </w:r>
      <w:r>
        <w:rPr>
          <w:rFonts w:hint="eastAsia" w:asciiTheme="minorEastAsia" w:hAnsiTheme="minorEastAsia" w:eastAsiaTheme="minorEastAsia" w:cstheme="minorEastAsia"/>
          <w:color w:val="auto"/>
          <w:highlight w:val="none"/>
          <w:lang w:val="en-US" w:eastAsia="zh-CN"/>
        </w:rPr>
        <w:t>环境</w:t>
      </w:r>
      <w:r>
        <w:rPr>
          <w:rFonts w:hint="eastAsia" w:asciiTheme="minorEastAsia" w:hAnsiTheme="minorEastAsia" w:eastAsiaTheme="minorEastAsia" w:cstheme="minorEastAsia"/>
          <w:color w:val="auto"/>
          <w:highlight w:val="none"/>
        </w:rPr>
        <w:t>质量现状调查与评价</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6A9A8906">
      <w:pPr>
        <w:pStyle w:val="7"/>
        <w:numPr>
          <w:ilvl w:val="0"/>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4.3.1环境空气质量现状评价</w:t>
      </w:r>
    </w:p>
    <w:p w14:paraId="2AFB34C8">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Theme="minorEastAsia" w:hAnsiTheme="minorEastAsia" w:eastAsiaTheme="minorEastAsia" w:cstheme="minorEastAsia"/>
          <w:bCs/>
          <w:color w:val="auto"/>
          <w:highlight w:val="none"/>
        </w:rPr>
      </w:pPr>
      <w:r>
        <w:rPr>
          <w:rFonts w:hint="eastAsia" w:asciiTheme="minorEastAsia" w:hAnsiTheme="minorEastAsia" w:eastAsiaTheme="minorEastAsia" w:cstheme="minorEastAsia"/>
          <w:bCs/>
          <w:color w:val="auto"/>
          <w:highlight w:val="none"/>
        </w:rPr>
        <w:t>根据《环境影响评价技术导则  大气环境》（HJ2.2-2018）中6.2.1.1项目所在区域达标判定，优先采用国家或地方生态环境主管部门公开发布的评价基准年环境质量公告或环境质量报告中的数据或结论。</w:t>
      </w:r>
    </w:p>
    <w:p w14:paraId="4C07048B">
      <w:pPr>
        <w:pStyle w:val="8"/>
        <w:numPr>
          <w:ilvl w:val="0"/>
          <w:numId w:val="0"/>
        </w:numPr>
        <w:bidi w:val="0"/>
        <w:ind w:leftChars="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highlight w:val="none"/>
          <w:lang w:val="en-US" w:eastAsia="zh-CN"/>
        </w:rPr>
        <w:t>4.3.1.1</w:t>
      </w:r>
      <w:r>
        <w:rPr>
          <w:rFonts w:hint="eastAsia" w:asciiTheme="minorEastAsia" w:hAnsiTheme="minorEastAsia" w:eastAsiaTheme="minorEastAsia" w:cstheme="minorEastAsia"/>
          <w:color w:val="auto"/>
          <w:highlight w:val="none"/>
        </w:rPr>
        <w:t>空气质量达标区判定</w:t>
      </w:r>
    </w:p>
    <w:p w14:paraId="34575DE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default" w:ascii="Times New Roman" w:hAnsi="Times New Roman" w:eastAsia="宋体" w:cs="Times New Roman"/>
          <w:color w:val="auto"/>
          <w:kern w:val="2"/>
          <w:sz w:val="24"/>
          <w:highlight w:val="none"/>
          <w:lang w:val="en-US" w:eastAsia="zh-CN" w:bidi="ar-SA"/>
        </w:rPr>
        <w:t>根据</w:t>
      </w:r>
      <w:r>
        <w:rPr>
          <w:rFonts w:hint="eastAsia" w:eastAsia="宋体" w:cs="Times New Roman"/>
          <w:color w:val="auto"/>
          <w:kern w:val="2"/>
          <w:sz w:val="24"/>
          <w:highlight w:val="none"/>
          <w:lang w:val="en-US" w:eastAsia="zh-CN" w:bidi="ar-SA"/>
        </w:rPr>
        <w:t>《2024年哈尔滨生态环境质量状况年报》</w:t>
      </w:r>
      <w:r>
        <w:rPr>
          <w:rFonts w:hint="default" w:ascii="Times New Roman" w:hAnsi="Times New Roman" w:eastAsia="宋体" w:cs="Times New Roman"/>
          <w:color w:val="auto"/>
          <w:kern w:val="2"/>
          <w:sz w:val="24"/>
          <w:highlight w:val="none"/>
          <w:lang w:val="en-US" w:eastAsia="zh-CN" w:bidi="ar-SA"/>
        </w:rPr>
        <w:t>可知</w:t>
      </w:r>
      <w:r>
        <w:rPr>
          <w:rFonts w:hint="eastAsia" w:eastAsia="宋体" w:cs="Times New Roman"/>
          <w:color w:val="auto"/>
          <w:kern w:val="2"/>
          <w:sz w:val="24"/>
          <w:highlight w:val="none"/>
          <w:lang w:val="en-US" w:eastAsia="zh-CN" w:bidi="ar-SA"/>
        </w:rPr>
        <w:t>：</w:t>
      </w:r>
      <w:r>
        <w:rPr>
          <w:rFonts w:hint="eastAsia" w:eastAsia="宋体"/>
          <w:color w:val="auto"/>
          <w:sz w:val="24"/>
          <w:highlight w:val="none"/>
        </w:rPr>
        <w:t>尚志市</w:t>
      </w:r>
      <w:r>
        <w:rPr>
          <w:rFonts w:eastAsia="宋体"/>
          <w:color w:val="auto"/>
          <w:sz w:val="24"/>
          <w:highlight w:val="none"/>
        </w:rPr>
        <w:t>基本污染物</w:t>
      </w:r>
      <w:r>
        <w:rPr>
          <w:rFonts w:hint="eastAsia" w:eastAsia="宋体"/>
          <w:color w:val="auto"/>
          <w:sz w:val="24"/>
          <w:highlight w:val="none"/>
          <w:lang w:val="en-US" w:eastAsia="zh-CN"/>
        </w:rPr>
        <w:t>除</w:t>
      </w:r>
      <w:r>
        <w:rPr>
          <w:rFonts w:eastAsia="宋体"/>
          <w:color w:val="auto"/>
          <w:sz w:val="24"/>
          <w:highlight w:val="none"/>
        </w:rPr>
        <w:t>PM</w:t>
      </w:r>
      <w:r>
        <w:rPr>
          <w:rFonts w:eastAsia="宋体"/>
          <w:color w:val="auto"/>
          <w:sz w:val="24"/>
          <w:highlight w:val="none"/>
          <w:vertAlign w:val="subscript"/>
        </w:rPr>
        <w:t>2.5</w:t>
      </w:r>
      <w:r>
        <w:rPr>
          <w:rFonts w:hint="eastAsia" w:eastAsia="宋体"/>
          <w:color w:val="auto"/>
          <w:sz w:val="24"/>
          <w:highlight w:val="none"/>
          <w:lang w:val="en-US" w:eastAsia="zh-CN"/>
        </w:rPr>
        <w:t>外，</w:t>
      </w:r>
      <w:r>
        <w:rPr>
          <w:rFonts w:eastAsia="宋体"/>
          <w:color w:val="auto"/>
          <w:sz w:val="24"/>
          <w:highlight w:val="none"/>
        </w:rPr>
        <w:t>PM</w:t>
      </w:r>
      <w:r>
        <w:rPr>
          <w:rFonts w:eastAsia="宋体"/>
          <w:color w:val="auto"/>
          <w:sz w:val="24"/>
          <w:highlight w:val="none"/>
          <w:vertAlign w:val="subscript"/>
        </w:rPr>
        <w:t>10</w:t>
      </w:r>
      <w:r>
        <w:rPr>
          <w:rFonts w:eastAsia="宋体"/>
          <w:color w:val="auto"/>
          <w:sz w:val="24"/>
          <w:highlight w:val="none"/>
        </w:rPr>
        <w:t>、SO</w:t>
      </w:r>
      <w:r>
        <w:rPr>
          <w:rFonts w:eastAsia="宋体"/>
          <w:color w:val="auto"/>
          <w:sz w:val="24"/>
          <w:highlight w:val="none"/>
          <w:vertAlign w:val="subscript"/>
        </w:rPr>
        <w:t>2</w:t>
      </w:r>
      <w:r>
        <w:rPr>
          <w:rFonts w:eastAsia="宋体"/>
          <w:color w:val="auto"/>
          <w:sz w:val="24"/>
          <w:highlight w:val="none"/>
        </w:rPr>
        <w:t>、NO</w:t>
      </w:r>
      <w:r>
        <w:rPr>
          <w:rFonts w:eastAsia="宋体"/>
          <w:color w:val="auto"/>
          <w:sz w:val="24"/>
          <w:highlight w:val="none"/>
          <w:vertAlign w:val="subscript"/>
        </w:rPr>
        <w:t>2</w:t>
      </w:r>
      <w:r>
        <w:rPr>
          <w:rFonts w:eastAsia="宋体"/>
          <w:color w:val="auto"/>
          <w:sz w:val="24"/>
          <w:highlight w:val="none"/>
        </w:rPr>
        <w:t>年平均浓度值、CO-95per24小时平均浓度、O</w:t>
      </w:r>
      <w:r>
        <w:rPr>
          <w:rFonts w:eastAsia="宋体"/>
          <w:color w:val="auto"/>
          <w:sz w:val="24"/>
          <w:highlight w:val="none"/>
          <w:vertAlign w:val="subscript"/>
        </w:rPr>
        <w:t>3</w:t>
      </w:r>
      <w:r>
        <w:rPr>
          <w:rFonts w:eastAsia="宋体"/>
          <w:color w:val="auto"/>
          <w:sz w:val="24"/>
          <w:highlight w:val="none"/>
        </w:rPr>
        <w:t>-90per8小时平均浓度</w:t>
      </w:r>
      <w:r>
        <w:rPr>
          <w:rFonts w:hint="eastAsia" w:eastAsia="宋体"/>
          <w:color w:val="auto"/>
          <w:sz w:val="24"/>
          <w:highlight w:val="none"/>
        </w:rPr>
        <w:t>均</w:t>
      </w:r>
      <w:r>
        <w:rPr>
          <w:rFonts w:eastAsia="宋体"/>
          <w:color w:val="auto"/>
          <w:sz w:val="24"/>
          <w:highlight w:val="none"/>
        </w:rPr>
        <w:t>满足《环境空气质量标准》（GB3095-</w:t>
      </w:r>
      <w:r>
        <w:rPr>
          <w:rFonts w:hint="eastAsia" w:eastAsia="宋体"/>
          <w:color w:val="auto"/>
          <w:sz w:val="24"/>
          <w:highlight w:val="none"/>
          <w:lang w:val="en-US" w:eastAsia="zh-CN"/>
        </w:rPr>
        <w:t>2026</w:t>
      </w:r>
      <w:r>
        <w:rPr>
          <w:rFonts w:eastAsia="宋体"/>
          <w:color w:val="auto"/>
          <w:sz w:val="24"/>
          <w:highlight w:val="none"/>
        </w:rPr>
        <w:t>）中</w:t>
      </w:r>
      <w:r>
        <w:rPr>
          <w:rFonts w:hint="eastAsia"/>
          <w:color w:val="auto"/>
          <w:sz w:val="24"/>
          <w:highlight w:val="none"/>
          <w:lang w:val="en-US" w:eastAsia="zh-CN"/>
        </w:rPr>
        <w:t>表1</w:t>
      </w:r>
      <w:r>
        <w:rPr>
          <w:rFonts w:hint="eastAsia" w:eastAsia="宋体"/>
          <w:color w:val="auto"/>
          <w:sz w:val="24"/>
          <w:highlight w:val="none"/>
          <w:lang w:val="en-US" w:eastAsia="zh-CN"/>
        </w:rPr>
        <w:t>过渡阶段浓度限值</w:t>
      </w:r>
      <w:r>
        <w:rPr>
          <w:rFonts w:eastAsia="宋体"/>
          <w:color w:val="auto"/>
          <w:sz w:val="24"/>
          <w:highlight w:val="none"/>
        </w:rPr>
        <w:t>二级标准</w:t>
      </w:r>
      <w:r>
        <w:rPr>
          <w:rFonts w:hint="eastAsia" w:eastAsia="宋体"/>
          <w:color w:val="auto"/>
          <w:sz w:val="24"/>
          <w:highlight w:val="none"/>
          <w:lang w:eastAsia="zh-CN"/>
        </w:rPr>
        <w:t>，</w:t>
      </w:r>
      <w:r>
        <w:rPr>
          <w:rFonts w:hint="eastAsia" w:eastAsia="宋体"/>
          <w:color w:val="auto"/>
          <w:sz w:val="24"/>
          <w:highlight w:val="none"/>
          <w:lang w:val="en-US" w:eastAsia="zh-CN"/>
        </w:rPr>
        <w:t>尚志市为不达标区</w:t>
      </w:r>
      <w:r>
        <w:rPr>
          <w:rFonts w:eastAsia="宋体"/>
          <w:color w:val="auto"/>
          <w:sz w:val="24"/>
          <w:highlight w:val="none"/>
        </w:rPr>
        <w:t>。</w:t>
      </w:r>
    </w:p>
    <w:p w14:paraId="5BA5BA53">
      <w:pPr>
        <w:pStyle w:val="8"/>
        <w:numPr>
          <w:ilvl w:val="0"/>
          <w:numId w:val="0"/>
        </w:numPr>
        <w:bidi w:val="0"/>
        <w:ind w:leftChars="0"/>
        <w:rPr>
          <w:rFonts w:hint="eastAsia" w:asciiTheme="minorEastAsia" w:hAnsiTheme="minorEastAsia" w:eastAsiaTheme="minorEastAsia" w:cstheme="minorEastAsia"/>
          <w:color w:val="auto"/>
          <w:spacing w:val="1"/>
          <w:szCs w:val="24"/>
          <w:highlight w:val="none"/>
        </w:rPr>
      </w:pPr>
      <w:r>
        <w:rPr>
          <w:rFonts w:hint="eastAsia" w:asciiTheme="minorEastAsia" w:hAnsiTheme="minorEastAsia" w:eastAsiaTheme="minorEastAsia" w:cstheme="minorEastAsia"/>
          <w:color w:val="auto"/>
          <w:highlight w:val="none"/>
          <w:lang w:val="en-US" w:eastAsia="zh-CN"/>
        </w:rPr>
        <w:t>4.3.1.2</w:t>
      </w:r>
      <w:r>
        <w:rPr>
          <w:rFonts w:hint="eastAsia" w:asciiTheme="minorEastAsia" w:hAnsiTheme="minorEastAsia" w:eastAsiaTheme="minorEastAsia" w:cstheme="minorEastAsia"/>
          <w:color w:val="auto"/>
          <w:highlight w:val="none"/>
        </w:rPr>
        <w:t>基本污染物环境质量现状评价</w:t>
      </w:r>
    </w:p>
    <w:p w14:paraId="33649EEE">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pacing w:val="1"/>
          <w:sz w:val="24"/>
          <w:szCs w:val="24"/>
          <w:highlight w:val="none"/>
        </w:rPr>
        <w:t>本次评价基本污染物现状数据来源于</w:t>
      </w:r>
      <w:r>
        <w:rPr>
          <w:rFonts w:hint="eastAsia" w:eastAsia="宋体" w:cs="Times New Roman"/>
          <w:color w:val="auto"/>
          <w:kern w:val="2"/>
          <w:sz w:val="24"/>
          <w:highlight w:val="none"/>
          <w:lang w:val="en-US" w:eastAsia="zh-CN" w:bidi="ar-SA"/>
        </w:rPr>
        <w:t>《2024年哈尔滨生态环境质量状况年报》</w:t>
      </w:r>
      <w:r>
        <w:rPr>
          <w:rFonts w:hint="eastAsia" w:asciiTheme="minorEastAsia" w:hAnsiTheme="minorEastAsia" w:eastAsiaTheme="minorEastAsia" w:cstheme="minorEastAsia"/>
          <w:color w:val="auto"/>
          <w:spacing w:val="1"/>
          <w:sz w:val="24"/>
          <w:szCs w:val="24"/>
          <w:highlight w:val="none"/>
        </w:rPr>
        <w:t>。经统计，基本污染物环境质量现状统计结果见表4</w:t>
      </w:r>
      <w:r>
        <w:rPr>
          <w:rFonts w:hint="eastAsia" w:asciiTheme="minorEastAsia" w:hAnsiTheme="minorEastAsia" w:eastAsiaTheme="minorEastAsia" w:cstheme="minorEastAsia"/>
          <w:color w:val="auto"/>
          <w:spacing w:val="1"/>
          <w:sz w:val="24"/>
          <w:szCs w:val="24"/>
          <w:highlight w:val="none"/>
          <w:lang w:val="en-US" w:eastAsia="zh-CN"/>
        </w:rPr>
        <w:t>.</w:t>
      </w:r>
      <w:r>
        <w:rPr>
          <w:rFonts w:hint="eastAsia" w:asciiTheme="minorEastAsia" w:hAnsiTheme="minorEastAsia" w:eastAsiaTheme="minorEastAsia" w:cstheme="minorEastAsia"/>
          <w:color w:val="auto"/>
          <w:spacing w:val="1"/>
          <w:sz w:val="24"/>
          <w:szCs w:val="24"/>
          <w:highlight w:val="none"/>
        </w:rPr>
        <w:t>3-1。</w:t>
      </w:r>
    </w:p>
    <w:p w14:paraId="566F3BCE">
      <w:pPr>
        <w:keepNext w:val="0"/>
        <w:keepLines w:val="0"/>
        <w:pageBreakBefore w:val="0"/>
        <w:widowControl w:val="0"/>
        <w:kinsoku/>
        <w:wordWrap/>
        <w:overflowPunct/>
        <w:topLinePunct w:val="0"/>
        <w:autoSpaceDE w:val="0"/>
        <w:autoSpaceDN w:val="0"/>
        <w:bidi w:val="0"/>
        <w:adjustRightInd w:val="0"/>
        <w:snapToGrid/>
        <w:spacing w:line="240" w:lineRule="auto"/>
        <w:ind w:firstLine="0" w:firstLineChars="0"/>
        <w:jc w:val="center"/>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sz w:val="24"/>
          <w:szCs w:val="24"/>
          <w:highlight w:val="none"/>
        </w:rPr>
        <w:t>表</w:t>
      </w:r>
      <w:r>
        <w:rPr>
          <w:rFonts w:hint="eastAsia" w:asciiTheme="minorEastAsia" w:hAnsiTheme="minorEastAsia" w:eastAsiaTheme="minorEastAsia" w:cstheme="minorEastAsia"/>
          <w:b/>
          <w:bCs/>
          <w:color w:val="auto"/>
          <w:sz w:val="24"/>
          <w:szCs w:val="24"/>
          <w:highlight w:val="none"/>
          <w:lang w:val="en-US" w:eastAsia="zh-CN"/>
        </w:rPr>
        <w:t>4.3-1  尚志</w:t>
      </w:r>
      <w:r>
        <w:rPr>
          <w:rFonts w:hint="eastAsia" w:asciiTheme="minorEastAsia" w:hAnsiTheme="minorEastAsia" w:eastAsiaTheme="minorEastAsia" w:cstheme="minorEastAsia"/>
          <w:b/>
          <w:bCs/>
          <w:color w:val="auto"/>
          <w:sz w:val="24"/>
          <w:szCs w:val="24"/>
          <w:highlight w:val="none"/>
        </w:rPr>
        <w:t>市202</w:t>
      </w:r>
      <w:r>
        <w:rPr>
          <w:rFonts w:hint="eastAsia" w:asciiTheme="minorEastAsia" w:hAnsiTheme="minorEastAsia" w:eastAsiaTheme="minorEastAsia" w:cstheme="minorEastAsia"/>
          <w:b/>
          <w:bCs/>
          <w:color w:val="auto"/>
          <w:sz w:val="24"/>
          <w:szCs w:val="24"/>
          <w:highlight w:val="none"/>
          <w:lang w:val="en-US" w:eastAsia="zh-CN"/>
        </w:rPr>
        <w:t>4</w:t>
      </w:r>
      <w:r>
        <w:rPr>
          <w:rFonts w:hint="eastAsia" w:asciiTheme="minorEastAsia" w:hAnsiTheme="minorEastAsia" w:eastAsiaTheme="minorEastAsia" w:cstheme="minorEastAsia"/>
          <w:b/>
          <w:bCs/>
          <w:color w:val="auto"/>
          <w:sz w:val="24"/>
          <w:szCs w:val="24"/>
          <w:highlight w:val="none"/>
        </w:rPr>
        <w:t>年区域空气质量现状评价表</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953"/>
        <w:gridCol w:w="2890"/>
        <w:gridCol w:w="1393"/>
        <w:gridCol w:w="1356"/>
        <w:gridCol w:w="1200"/>
        <w:gridCol w:w="1190"/>
      </w:tblGrid>
      <w:tr w14:paraId="2FBD7B5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530" w:type="pct"/>
            <w:tcBorders>
              <w:tl2br w:val="nil"/>
              <w:tr2bl w:val="nil"/>
            </w:tcBorders>
            <w:noWrap/>
            <w:vAlign w:val="center"/>
          </w:tcPr>
          <w:p w14:paraId="63968D31">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污染物</w:t>
            </w:r>
          </w:p>
        </w:tc>
        <w:tc>
          <w:tcPr>
            <w:tcW w:w="1607" w:type="pct"/>
            <w:tcBorders>
              <w:tl2br w:val="nil"/>
              <w:tr2bl w:val="nil"/>
            </w:tcBorders>
            <w:noWrap/>
            <w:vAlign w:val="center"/>
          </w:tcPr>
          <w:p w14:paraId="21B375CE">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年评价指标</w:t>
            </w:r>
          </w:p>
        </w:tc>
        <w:tc>
          <w:tcPr>
            <w:tcW w:w="776" w:type="pct"/>
            <w:tcBorders>
              <w:tl2br w:val="nil"/>
              <w:tr2bl w:val="nil"/>
            </w:tcBorders>
            <w:noWrap/>
            <w:vAlign w:val="center"/>
          </w:tcPr>
          <w:p w14:paraId="7CBB33FA">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现状浓度</w:t>
            </w:r>
          </w:p>
          <w:p w14:paraId="34C5FD59">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hint="eastAsia" w:eastAsia="宋体"/>
                <w:color w:val="auto"/>
                <w:sz w:val="21"/>
                <w:szCs w:val="21"/>
                <w:highlight w:val="none"/>
              </w:rPr>
              <w:t>(</w:t>
            </w:r>
            <w:r>
              <w:rPr>
                <w:rFonts w:eastAsia="宋体"/>
                <w:color w:val="auto"/>
                <w:sz w:val="21"/>
                <w:szCs w:val="21"/>
                <w:highlight w:val="none"/>
              </w:rPr>
              <w:t>μg/m</w:t>
            </w:r>
            <w:r>
              <w:rPr>
                <w:rFonts w:eastAsia="宋体"/>
                <w:color w:val="auto"/>
                <w:sz w:val="21"/>
                <w:szCs w:val="21"/>
                <w:highlight w:val="none"/>
                <w:vertAlign w:val="superscript"/>
              </w:rPr>
              <w:t>3</w:t>
            </w:r>
            <w:r>
              <w:rPr>
                <w:rFonts w:hint="eastAsia" w:eastAsia="宋体"/>
                <w:color w:val="auto"/>
                <w:sz w:val="21"/>
                <w:szCs w:val="21"/>
                <w:highlight w:val="none"/>
                <w:vertAlign w:val="superscript"/>
              </w:rPr>
              <w:t>)</w:t>
            </w:r>
          </w:p>
        </w:tc>
        <w:tc>
          <w:tcPr>
            <w:tcW w:w="755" w:type="pct"/>
            <w:tcBorders>
              <w:tl2br w:val="nil"/>
              <w:tr2bl w:val="nil"/>
            </w:tcBorders>
            <w:noWrap/>
            <w:vAlign w:val="center"/>
          </w:tcPr>
          <w:p w14:paraId="2A951F2B">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标准值</w:t>
            </w:r>
          </w:p>
          <w:p w14:paraId="35D97450">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hint="eastAsia" w:eastAsia="宋体"/>
                <w:color w:val="auto"/>
                <w:sz w:val="21"/>
                <w:szCs w:val="21"/>
                <w:highlight w:val="none"/>
              </w:rPr>
              <w:t>(</w:t>
            </w:r>
            <w:r>
              <w:rPr>
                <w:rFonts w:eastAsia="宋体"/>
                <w:color w:val="auto"/>
                <w:sz w:val="21"/>
                <w:szCs w:val="21"/>
                <w:highlight w:val="none"/>
              </w:rPr>
              <w:t>μg/m</w:t>
            </w:r>
            <w:r>
              <w:rPr>
                <w:rFonts w:eastAsia="宋体"/>
                <w:color w:val="auto"/>
                <w:sz w:val="21"/>
                <w:szCs w:val="21"/>
                <w:highlight w:val="none"/>
                <w:vertAlign w:val="superscript"/>
              </w:rPr>
              <w:t>3</w:t>
            </w:r>
            <w:r>
              <w:rPr>
                <w:rFonts w:hint="eastAsia" w:eastAsia="宋体"/>
                <w:color w:val="auto"/>
                <w:sz w:val="21"/>
                <w:szCs w:val="21"/>
                <w:highlight w:val="none"/>
                <w:vertAlign w:val="superscript"/>
              </w:rPr>
              <w:t>)</w:t>
            </w:r>
          </w:p>
        </w:tc>
        <w:tc>
          <w:tcPr>
            <w:tcW w:w="668" w:type="pct"/>
            <w:tcBorders>
              <w:tl2br w:val="nil"/>
              <w:tr2bl w:val="nil"/>
            </w:tcBorders>
            <w:noWrap/>
            <w:vAlign w:val="center"/>
          </w:tcPr>
          <w:p w14:paraId="724FE3AC">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占标率</w:t>
            </w:r>
          </w:p>
          <w:p w14:paraId="7DDE29AD">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w:t>
            </w:r>
          </w:p>
        </w:tc>
        <w:tc>
          <w:tcPr>
            <w:tcW w:w="662" w:type="pct"/>
            <w:tcBorders>
              <w:tl2br w:val="nil"/>
              <w:tr2bl w:val="nil"/>
            </w:tcBorders>
            <w:noWrap/>
            <w:vAlign w:val="center"/>
          </w:tcPr>
          <w:p w14:paraId="4EF1DD24">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达标情况</w:t>
            </w:r>
          </w:p>
        </w:tc>
      </w:tr>
      <w:tr w14:paraId="17AA1D5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530" w:type="pct"/>
            <w:tcBorders>
              <w:tl2br w:val="nil"/>
              <w:tr2bl w:val="nil"/>
            </w:tcBorders>
            <w:noWrap/>
            <w:vAlign w:val="center"/>
          </w:tcPr>
          <w:p w14:paraId="133129C6">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PM</w:t>
            </w:r>
            <w:r>
              <w:rPr>
                <w:rFonts w:eastAsia="宋体"/>
                <w:color w:val="auto"/>
                <w:sz w:val="21"/>
                <w:szCs w:val="21"/>
                <w:highlight w:val="none"/>
                <w:vertAlign w:val="subscript"/>
              </w:rPr>
              <w:t>2.5</w:t>
            </w:r>
          </w:p>
        </w:tc>
        <w:tc>
          <w:tcPr>
            <w:tcW w:w="1607" w:type="pct"/>
            <w:tcBorders>
              <w:tl2br w:val="nil"/>
              <w:tr2bl w:val="nil"/>
            </w:tcBorders>
            <w:noWrap/>
            <w:vAlign w:val="center"/>
          </w:tcPr>
          <w:p w14:paraId="601C45C1">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年平均质量浓度</w:t>
            </w:r>
          </w:p>
        </w:tc>
        <w:tc>
          <w:tcPr>
            <w:tcW w:w="776" w:type="pct"/>
            <w:tcBorders>
              <w:tl2br w:val="nil"/>
              <w:tr2bl w:val="nil"/>
            </w:tcBorders>
            <w:noWrap/>
            <w:vAlign w:val="center"/>
          </w:tcPr>
          <w:p w14:paraId="37ACD920">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hint="eastAsia" w:eastAsia="宋体"/>
                <w:color w:val="auto"/>
                <w:sz w:val="21"/>
                <w:szCs w:val="21"/>
                <w:highlight w:val="none"/>
              </w:rPr>
              <w:t>32</w:t>
            </w:r>
          </w:p>
        </w:tc>
        <w:tc>
          <w:tcPr>
            <w:tcW w:w="755" w:type="pct"/>
            <w:tcBorders>
              <w:tl2br w:val="nil"/>
              <w:tr2bl w:val="nil"/>
            </w:tcBorders>
            <w:noWrap/>
            <w:vAlign w:val="center"/>
          </w:tcPr>
          <w:p w14:paraId="7D127C8F">
            <w:pPr>
              <w:pStyle w:val="1358"/>
              <w:keepNext w:val="0"/>
              <w:keepLines w:val="0"/>
              <w:suppressLineNumbers w:val="0"/>
              <w:spacing w:before="0" w:beforeAutospacing="0" w:after="0" w:afterAutospacing="0"/>
              <w:ind w:left="0" w:right="0"/>
              <w:rPr>
                <w:rFonts w:hint="default" w:eastAsia="宋体"/>
                <w:color w:val="auto"/>
                <w:sz w:val="21"/>
                <w:szCs w:val="21"/>
                <w:highlight w:val="none"/>
                <w:lang w:val="en-US" w:eastAsia="zh-CN"/>
              </w:rPr>
            </w:pPr>
            <w:r>
              <w:rPr>
                <w:rFonts w:hint="eastAsia" w:eastAsia="宋体"/>
                <w:color w:val="auto"/>
                <w:sz w:val="21"/>
                <w:szCs w:val="21"/>
                <w:highlight w:val="none"/>
                <w:lang w:val="en-US" w:eastAsia="zh-CN"/>
              </w:rPr>
              <w:t>30</w:t>
            </w:r>
          </w:p>
        </w:tc>
        <w:tc>
          <w:tcPr>
            <w:tcW w:w="668" w:type="pct"/>
            <w:tcBorders>
              <w:tl2br w:val="nil"/>
              <w:tr2bl w:val="nil"/>
            </w:tcBorders>
            <w:noWrap/>
            <w:vAlign w:val="center"/>
          </w:tcPr>
          <w:p w14:paraId="49417548">
            <w:pPr>
              <w:pStyle w:val="1358"/>
              <w:keepNext w:val="0"/>
              <w:keepLines w:val="0"/>
              <w:suppressLineNumbers w:val="0"/>
              <w:spacing w:before="0" w:beforeAutospacing="0" w:after="0" w:afterAutospacing="0"/>
              <w:ind w:left="0" w:right="0"/>
              <w:rPr>
                <w:rFonts w:hint="default" w:eastAsia="宋体"/>
                <w:color w:val="auto"/>
                <w:sz w:val="21"/>
                <w:szCs w:val="21"/>
                <w:highlight w:val="none"/>
                <w:lang w:val="en-US" w:eastAsia="zh-CN"/>
              </w:rPr>
            </w:pPr>
            <w:r>
              <w:rPr>
                <w:rFonts w:hint="eastAsia" w:eastAsia="宋体"/>
                <w:color w:val="auto"/>
                <w:sz w:val="21"/>
                <w:szCs w:val="21"/>
                <w:highlight w:val="none"/>
                <w:lang w:val="en-US" w:eastAsia="zh-CN"/>
              </w:rPr>
              <w:t>106.67</w:t>
            </w:r>
          </w:p>
        </w:tc>
        <w:tc>
          <w:tcPr>
            <w:tcW w:w="662" w:type="pct"/>
            <w:tcBorders>
              <w:tl2br w:val="nil"/>
              <w:tr2bl w:val="nil"/>
            </w:tcBorders>
            <w:noWrap/>
            <w:vAlign w:val="center"/>
          </w:tcPr>
          <w:p w14:paraId="6F3D2465">
            <w:pPr>
              <w:pStyle w:val="1358"/>
              <w:keepNext w:val="0"/>
              <w:keepLines w:val="0"/>
              <w:suppressLineNumbers w:val="0"/>
              <w:spacing w:before="0" w:beforeAutospacing="0" w:after="0" w:afterAutospacing="0"/>
              <w:ind w:left="0" w:right="0"/>
              <w:rPr>
                <w:rFonts w:hint="eastAsia" w:eastAsia="宋体"/>
                <w:color w:val="auto"/>
                <w:sz w:val="21"/>
                <w:szCs w:val="21"/>
                <w:highlight w:val="none"/>
                <w:lang w:eastAsia="zh-CN"/>
              </w:rPr>
            </w:pPr>
            <w:r>
              <w:rPr>
                <w:rFonts w:hint="eastAsia" w:eastAsia="宋体"/>
                <w:color w:val="auto"/>
                <w:sz w:val="21"/>
                <w:szCs w:val="21"/>
                <w:highlight w:val="none"/>
                <w:lang w:val="en-US" w:eastAsia="zh-CN"/>
              </w:rPr>
              <w:t>超标</w:t>
            </w:r>
          </w:p>
        </w:tc>
      </w:tr>
      <w:tr w14:paraId="78E1317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530" w:type="pct"/>
            <w:tcBorders>
              <w:tl2br w:val="nil"/>
              <w:tr2bl w:val="nil"/>
            </w:tcBorders>
            <w:noWrap/>
            <w:vAlign w:val="center"/>
          </w:tcPr>
          <w:p w14:paraId="74348D1C">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PM</w:t>
            </w:r>
            <w:r>
              <w:rPr>
                <w:rFonts w:eastAsia="宋体"/>
                <w:color w:val="auto"/>
                <w:sz w:val="21"/>
                <w:szCs w:val="21"/>
                <w:highlight w:val="none"/>
                <w:vertAlign w:val="subscript"/>
              </w:rPr>
              <w:t>10</w:t>
            </w:r>
          </w:p>
        </w:tc>
        <w:tc>
          <w:tcPr>
            <w:tcW w:w="1607" w:type="pct"/>
            <w:tcBorders>
              <w:tl2br w:val="nil"/>
              <w:tr2bl w:val="nil"/>
            </w:tcBorders>
            <w:noWrap/>
            <w:vAlign w:val="center"/>
          </w:tcPr>
          <w:p w14:paraId="1F166AB4">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年平均质量浓度</w:t>
            </w:r>
          </w:p>
        </w:tc>
        <w:tc>
          <w:tcPr>
            <w:tcW w:w="776" w:type="pct"/>
            <w:tcBorders>
              <w:tl2br w:val="nil"/>
              <w:tr2bl w:val="nil"/>
            </w:tcBorders>
            <w:noWrap/>
            <w:vAlign w:val="center"/>
          </w:tcPr>
          <w:p w14:paraId="3A0834DC">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hint="eastAsia" w:eastAsia="宋体"/>
                <w:color w:val="auto"/>
                <w:sz w:val="21"/>
                <w:szCs w:val="21"/>
                <w:highlight w:val="none"/>
              </w:rPr>
              <w:t>51</w:t>
            </w:r>
          </w:p>
        </w:tc>
        <w:tc>
          <w:tcPr>
            <w:tcW w:w="755" w:type="pct"/>
            <w:tcBorders>
              <w:tl2br w:val="nil"/>
              <w:tr2bl w:val="nil"/>
            </w:tcBorders>
            <w:noWrap/>
            <w:vAlign w:val="center"/>
          </w:tcPr>
          <w:p w14:paraId="67E0C1F9">
            <w:pPr>
              <w:pStyle w:val="1358"/>
              <w:keepNext w:val="0"/>
              <w:keepLines w:val="0"/>
              <w:suppressLineNumbers w:val="0"/>
              <w:spacing w:before="0" w:beforeAutospacing="0" w:after="0" w:afterAutospacing="0"/>
              <w:ind w:left="0" w:right="0"/>
              <w:rPr>
                <w:rFonts w:hint="default" w:eastAsia="宋体"/>
                <w:color w:val="auto"/>
                <w:sz w:val="21"/>
                <w:szCs w:val="21"/>
                <w:highlight w:val="none"/>
                <w:lang w:val="en-US" w:eastAsia="zh-CN"/>
              </w:rPr>
            </w:pPr>
            <w:r>
              <w:rPr>
                <w:rFonts w:hint="eastAsia" w:eastAsia="宋体"/>
                <w:color w:val="auto"/>
                <w:sz w:val="21"/>
                <w:szCs w:val="21"/>
                <w:highlight w:val="none"/>
                <w:lang w:val="en-US" w:eastAsia="zh-CN"/>
              </w:rPr>
              <w:t>60</w:t>
            </w:r>
          </w:p>
        </w:tc>
        <w:tc>
          <w:tcPr>
            <w:tcW w:w="668" w:type="pct"/>
            <w:tcBorders>
              <w:tl2br w:val="nil"/>
              <w:tr2bl w:val="nil"/>
            </w:tcBorders>
            <w:noWrap/>
            <w:vAlign w:val="center"/>
          </w:tcPr>
          <w:p w14:paraId="347E566F">
            <w:pPr>
              <w:pStyle w:val="1358"/>
              <w:keepNext w:val="0"/>
              <w:keepLines w:val="0"/>
              <w:suppressLineNumbers w:val="0"/>
              <w:spacing w:before="0" w:beforeAutospacing="0" w:after="0" w:afterAutospacing="0"/>
              <w:ind w:left="0" w:right="0"/>
              <w:rPr>
                <w:rFonts w:hint="default" w:eastAsia="宋体"/>
                <w:color w:val="auto"/>
                <w:sz w:val="21"/>
                <w:szCs w:val="21"/>
                <w:highlight w:val="none"/>
                <w:lang w:val="en-US" w:eastAsia="zh-CN"/>
              </w:rPr>
            </w:pPr>
            <w:r>
              <w:rPr>
                <w:rFonts w:hint="eastAsia" w:eastAsia="宋体"/>
                <w:color w:val="auto"/>
                <w:sz w:val="21"/>
                <w:szCs w:val="21"/>
                <w:highlight w:val="none"/>
                <w:lang w:val="en-US" w:eastAsia="zh-CN"/>
              </w:rPr>
              <w:t>85.00</w:t>
            </w:r>
          </w:p>
        </w:tc>
        <w:tc>
          <w:tcPr>
            <w:tcW w:w="662" w:type="pct"/>
            <w:tcBorders>
              <w:tl2br w:val="nil"/>
              <w:tr2bl w:val="nil"/>
            </w:tcBorders>
            <w:noWrap/>
            <w:vAlign w:val="center"/>
          </w:tcPr>
          <w:p w14:paraId="6DC6A628">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达标</w:t>
            </w:r>
          </w:p>
        </w:tc>
      </w:tr>
      <w:tr w14:paraId="585DEF8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530" w:type="pct"/>
            <w:tcBorders>
              <w:tl2br w:val="nil"/>
              <w:tr2bl w:val="nil"/>
            </w:tcBorders>
            <w:noWrap/>
            <w:vAlign w:val="center"/>
          </w:tcPr>
          <w:p w14:paraId="7233491E">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NO</w:t>
            </w:r>
            <w:r>
              <w:rPr>
                <w:rFonts w:eastAsia="宋体"/>
                <w:color w:val="auto"/>
                <w:sz w:val="21"/>
                <w:szCs w:val="21"/>
                <w:highlight w:val="none"/>
                <w:vertAlign w:val="subscript"/>
              </w:rPr>
              <w:t>2</w:t>
            </w:r>
          </w:p>
        </w:tc>
        <w:tc>
          <w:tcPr>
            <w:tcW w:w="1607" w:type="pct"/>
            <w:tcBorders>
              <w:tl2br w:val="nil"/>
              <w:tr2bl w:val="nil"/>
            </w:tcBorders>
            <w:noWrap/>
            <w:vAlign w:val="center"/>
          </w:tcPr>
          <w:p w14:paraId="3488E83A">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年平均质量浓度</w:t>
            </w:r>
          </w:p>
        </w:tc>
        <w:tc>
          <w:tcPr>
            <w:tcW w:w="776" w:type="pct"/>
            <w:tcBorders>
              <w:tl2br w:val="nil"/>
              <w:tr2bl w:val="nil"/>
            </w:tcBorders>
            <w:noWrap/>
            <w:vAlign w:val="center"/>
          </w:tcPr>
          <w:p w14:paraId="0341DB4E">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hint="eastAsia" w:eastAsia="宋体"/>
                <w:color w:val="auto"/>
                <w:sz w:val="21"/>
                <w:szCs w:val="21"/>
                <w:highlight w:val="none"/>
              </w:rPr>
              <w:t>19</w:t>
            </w:r>
          </w:p>
        </w:tc>
        <w:tc>
          <w:tcPr>
            <w:tcW w:w="755" w:type="pct"/>
            <w:tcBorders>
              <w:tl2br w:val="nil"/>
              <w:tr2bl w:val="nil"/>
            </w:tcBorders>
            <w:noWrap/>
            <w:vAlign w:val="center"/>
          </w:tcPr>
          <w:p w14:paraId="1086F7D6">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40</w:t>
            </w:r>
          </w:p>
        </w:tc>
        <w:tc>
          <w:tcPr>
            <w:tcW w:w="668" w:type="pct"/>
            <w:tcBorders>
              <w:tl2br w:val="nil"/>
              <w:tr2bl w:val="nil"/>
            </w:tcBorders>
            <w:noWrap/>
            <w:vAlign w:val="center"/>
          </w:tcPr>
          <w:p w14:paraId="24DE7E93">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hint="eastAsia" w:eastAsia="宋体"/>
                <w:color w:val="auto"/>
                <w:sz w:val="21"/>
                <w:szCs w:val="21"/>
                <w:highlight w:val="none"/>
              </w:rPr>
              <w:t>47.50</w:t>
            </w:r>
          </w:p>
        </w:tc>
        <w:tc>
          <w:tcPr>
            <w:tcW w:w="662" w:type="pct"/>
            <w:tcBorders>
              <w:tl2br w:val="nil"/>
              <w:tr2bl w:val="nil"/>
            </w:tcBorders>
            <w:noWrap/>
            <w:vAlign w:val="center"/>
          </w:tcPr>
          <w:p w14:paraId="06AA8FDE">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达标</w:t>
            </w:r>
          </w:p>
        </w:tc>
      </w:tr>
      <w:tr w14:paraId="6E5D054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530" w:type="pct"/>
            <w:tcBorders>
              <w:tl2br w:val="nil"/>
              <w:tr2bl w:val="nil"/>
            </w:tcBorders>
            <w:noWrap/>
            <w:vAlign w:val="center"/>
          </w:tcPr>
          <w:p w14:paraId="26BB94AB">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SO</w:t>
            </w:r>
            <w:r>
              <w:rPr>
                <w:rFonts w:eastAsia="宋体"/>
                <w:color w:val="auto"/>
                <w:sz w:val="21"/>
                <w:szCs w:val="21"/>
                <w:highlight w:val="none"/>
                <w:vertAlign w:val="subscript"/>
              </w:rPr>
              <w:t>2</w:t>
            </w:r>
          </w:p>
        </w:tc>
        <w:tc>
          <w:tcPr>
            <w:tcW w:w="1607" w:type="pct"/>
            <w:tcBorders>
              <w:tl2br w:val="nil"/>
              <w:tr2bl w:val="nil"/>
            </w:tcBorders>
            <w:noWrap/>
            <w:vAlign w:val="center"/>
          </w:tcPr>
          <w:p w14:paraId="0543308D">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年平均质量浓度</w:t>
            </w:r>
          </w:p>
        </w:tc>
        <w:tc>
          <w:tcPr>
            <w:tcW w:w="776" w:type="pct"/>
            <w:tcBorders>
              <w:tl2br w:val="nil"/>
              <w:tr2bl w:val="nil"/>
            </w:tcBorders>
            <w:noWrap/>
            <w:vAlign w:val="center"/>
          </w:tcPr>
          <w:p w14:paraId="7DAA4F2F">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hint="eastAsia" w:eastAsia="宋体"/>
                <w:color w:val="auto"/>
                <w:sz w:val="21"/>
                <w:szCs w:val="21"/>
                <w:highlight w:val="none"/>
              </w:rPr>
              <w:t>6</w:t>
            </w:r>
          </w:p>
        </w:tc>
        <w:tc>
          <w:tcPr>
            <w:tcW w:w="755" w:type="pct"/>
            <w:tcBorders>
              <w:tl2br w:val="nil"/>
              <w:tr2bl w:val="nil"/>
            </w:tcBorders>
            <w:noWrap/>
            <w:vAlign w:val="center"/>
          </w:tcPr>
          <w:p w14:paraId="09ACC699">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60</w:t>
            </w:r>
          </w:p>
        </w:tc>
        <w:tc>
          <w:tcPr>
            <w:tcW w:w="668" w:type="pct"/>
            <w:tcBorders>
              <w:tl2br w:val="nil"/>
              <w:tr2bl w:val="nil"/>
            </w:tcBorders>
            <w:noWrap/>
            <w:vAlign w:val="center"/>
          </w:tcPr>
          <w:p w14:paraId="444B8D42">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hint="eastAsia" w:eastAsia="宋体"/>
                <w:color w:val="auto"/>
                <w:sz w:val="21"/>
                <w:szCs w:val="21"/>
                <w:highlight w:val="none"/>
              </w:rPr>
              <w:t>10.00</w:t>
            </w:r>
          </w:p>
        </w:tc>
        <w:tc>
          <w:tcPr>
            <w:tcW w:w="662" w:type="pct"/>
            <w:tcBorders>
              <w:tl2br w:val="nil"/>
              <w:tr2bl w:val="nil"/>
            </w:tcBorders>
            <w:noWrap/>
            <w:vAlign w:val="center"/>
          </w:tcPr>
          <w:p w14:paraId="2177073A">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达标</w:t>
            </w:r>
          </w:p>
        </w:tc>
      </w:tr>
      <w:tr w14:paraId="4B2BEA8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530" w:type="pct"/>
            <w:tcBorders>
              <w:tl2br w:val="nil"/>
              <w:tr2bl w:val="nil"/>
            </w:tcBorders>
            <w:noWrap/>
            <w:vAlign w:val="center"/>
          </w:tcPr>
          <w:p w14:paraId="01A03A08">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CO</w:t>
            </w:r>
          </w:p>
        </w:tc>
        <w:tc>
          <w:tcPr>
            <w:tcW w:w="1607" w:type="pct"/>
            <w:tcBorders>
              <w:tl2br w:val="nil"/>
              <w:tr2bl w:val="nil"/>
            </w:tcBorders>
            <w:noWrap/>
            <w:vAlign w:val="center"/>
          </w:tcPr>
          <w:p w14:paraId="7ADEF216">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日均值第95百分位浓度</w:t>
            </w:r>
          </w:p>
        </w:tc>
        <w:tc>
          <w:tcPr>
            <w:tcW w:w="776" w:type="pct"/>
            <w:tcBorders>
              <w:tl2br w:val="nil"/>
              <w:tr2bl w:val="nil"/>
            </w:tcBorders>
            <w:noWrap/>
            <w:vAlign w:val="center"/>
          </w:tcPr>
          <w:p w14:paraId="55FA2423">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1</w:t>
            </w:r>
            <w:r>
              <w:rPr>
                <w:rFonts w:hint="eastAsia" w:eastAsia="宋体"/>
                <w:color w:val="auto"/>
                <w:sz w:val="21"/>
                <w:szCs w:val="21"/>
                <w:highlight w:val="none"/>
              </w:rPr>
              <w:t>200</w:t>
            </w:r>
          </w:p>
        </w:tc>
        <w:tc>
          <w:tcPr>
            <w:tcW w:w="755" w:type="pct"/>
            <w:tcBorders>
              <w:tl2br w:val="nil"/>
              <w:tr2bl w:val="nil"/>
            </w:tcBorders>
            <w:noWrap/>
            <w:vAlign w:val="center"/>
          </w:tcPr>
          <w:p w14:paraId="7849388A">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4000</w:t>
            </w:r>
          </w:p>
        </w:tc>
        <w:tc>
          <w:tcPr>
            <w:tcW w:w="668" w:type="pct"/>
            <w:tcBorders>
              <w:tl2br w:val="nil"/>
              <w:tr2bl w:val="nil"/>
            </w:tcBorders>
            <w:noWrap/>
            <w:vAlign w:val="center"/>
          </w:tcPr>
          <w:p w14:paraId="2C0B0091">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hint="eastAsia" w:eastAsia="宋体"/>
                <w:color w:val="auto"/>
                <w:sz w:val="21"/>
                <w:szCs w:val="21"/>
                <w:highlight w:val="none"/>
              </w:rPr>
              <w:t>30.00</w:t>
            </w:r>
          </w:p>
        </w:tc>
        <w:tc>
          <w:tcPr>
            <w:tcW w:w="662" w:type="pct"/>
            <w:tcBorders>
              <w:tl2br w:val="nil"/>
              <w:tr2bl w:val="nil"/>
            </w:tcBorders>
            <w:noWrap/>
            <w:vAlign w:val="center"/>
          </w:tcPr>
          <w:p w14:paraId="3D218D06">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达标</w:t>
            </w:r>
          </w:p>
        </w:tc>
      </w:tr>
      <w:tr w14:paraId="1E82599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530" w:type="pct"/>
            <w:tcBorders>
              <w:tl2br w:val="nil"/>
              <w:tr2bl w:val="nil"/>
            </w:tcBorders>
            <w:noWrap/>
            <w:vAlign w:val="center"/>
          </w:tcPr>
          <w:p w14:paraId="6ED23F72">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O</w:t>
            </w:r>
            <w:r>
              <w:rPr>
                <w:rFonts w:eastAsia="宋体"/>
                <w:color w:val="auto"/>
                <w:sz w:val="21"/>
                <w:szCs w:val="21"/>
                <w:highlight w:val="none"/>
                <w:vertAlign w:val="subscript"/>
              </w:rPr>
              <w:t>3</w:t>
            </w:r>
          </w:p>
        </w:tc>
        <w:tc>
          <w:tcPr>
            <w:tcW w:w="1607" w:type="pct"/>
            <w:tcBorders>
              <w:tl2br w:val="nil"/>
              <w:tr2bl w:val="nil"/>
            </w:tcBorders>
            <w:noWrap/>
            <w:vAlign w:val="center"/>
          </w:tcPr>
          <w:p w14:paraId="272B8991">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日最大8小时平均值第90百分位浓度</w:t>
            </w:r>
          </w:p>
        </w:tc>
        <w:tc>
          <w:tcPr>
            <w:tcW w:w="776" w:type="pct"/>
            <w:tcBorders>
              <w:tl2br w:val="nil"/>
              <w:tr2bl w:val="nil"/>
            </w:tcBorders>
            <w:noWrap/>
            <w:vAlign w:val="center"/>
          </w:tcPr>
          <w:p w14:paraId="4C494090">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hint="eastAsia" w:eastAsia="宋体"/>
                <w:color w:val="auto"/>
                <w:sz w:val="21"/>
                <w:szCs w:val="21"/>
                <w:highlight w:val="none"/>
              </w:rPr>
              <w:t>132</w:t>
            </w:r>
          </w:p>
        </w:tc>
        <w:tc>
          <w:tcPr>
            <w:tcW w:w="755" w:type="pct"/>
            <w:tcBorders>
              <w:tl2br w:val="nil"/>
              <w:tr2bl w:val="nil"/>
            </w:tcBorders>
            <w:noWrap/>
            <w:vAlign w:val="center"/>
          </w:tcPr>
          <w:p w14:paraId="313EB9B1">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160</w:t>
            </w:r>
          </w:p>
        </w:tc>
        <w:tc>
          <w:tcPr>
            <w:tcW w:w="668" w:type="pct"/>
            <w:tcBorders>
              <w:tl2br w:val="nil"/>
              <w:tr2bl w:val="nil"/>
            </w:tcBorders>
            <w:noWrap/>
            <w:vAlign w:val="center"/>
          </w:tcPr>
          <w:p w14:paraId="4E668BEC">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hint="eastAsia" w:eastAsia="宋体"/>
                <w:color w:val="auto"/>
                <w:sz w:val="21"/>
                <w:szCs w:val="21"/>
                <w:highlight w:val="none"/>
              </w:rPr>
              <w:t>82.50</w:t>
            </w:r>
          </w:p>
        </w:tc>
        <w:tc>
          <w:tcPr>
            <w:tcW w:w="662" w:type="pct"/>
            <w:tcBorders>
              <w:tl2br w:val="nil"/>
              <w:tr2bl w:val="nil"/>
            </w:tcBorders>
            <w:noWrap/>
            <w:vAlign w:val="center"/>
          </w:tcPr>
          <w:p w14:paraId="4F12C7A8">
            <w:pPr>
              <w:pStyle w:val="1358"/>
              <w:keepNext w:val="0"/>
              <w:keepLines w:val="0"/>
              <w:suppressLineNumbers w:val="0"/>
              <w:spacing w:before="0" w:beforeAutospacing="0" w:after="0" w:afterAutospacing="0"/>
              <w:ind w:left="0" w:right="0"/>
              <w:rPr>
                <w:rFonts w:eastAsia="宋体"/>
                <w:color w:val="auto"/>
                <w:sz w:val="21"/>
                <w:szCs w:val="21"/>
                <w:highlight w:val="none"/>
              </w:rPr>
            </w:pPr>
            <w:r>
              <w:rPr>
                <w:rFonts w:eastAsia="宋体"/>
                <w:color w:val="auto"/>
                <w:sz w:val="21"/>
                <w:szCs w:val="21"/>
                <w:highlight w:val="none"/>
              </w:rPr>
              <w:t>达标</w:t>
            </w:r>
          </w:p>
        </w:tc>
      </w:tr>
    </w:tbl>
    <w:p w14:paraId="7BB15009">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kern w:val="0"/>
          <w:highlight w:val="none"/>
        </w:rPr>
        <w:t>由上表统计结果可知，基本污染物</w:t>
      </w:r>
      <w:r>
        <w:rPr>
          <w:rFonts w:hint="eastAsia" w:asciiTheme="minorEastAsia" w:hAnsiTheme="minorEastAsia" w:eastAsiaTheme="minorEastAsia" w:cstheme="minorEastAsia"/>
          <w:color w:val="auto"/>
          <w:kern w:val="0"/>
          <w:highlight w:val="none"/>
          <w:lang w:val="en-US" w:eastAsia="zh-CN"/>
        </w:rPr>
        <w:t>除</w:t>
      </w:r>
      <w:r>
        <w:rPr>
          <w:rFonts w:hint="eastAsia" w:asciiTheme="minorEastAsia" w:hAnsiTheme="minorEastAsia" w:eastAsiaTheme="minorEastAsia" w:cstheme="minorEastAsia"/>
          <w:color w:val="auto"/>
          <w:highlight w:val="none"/>
        </w:rPr>
        <w:t>PM</w:t>
      </w:r>
      <w:r>
        <w:rPr>
          <w:rFonts w:hint="eastAsia" w:asciiTheme="minorEastAsia" w:hAnsiTheme="minorEastAsia" w:eastAsiaTheme="minorEastAsia" w:cstheme="minorEastAsia"/>
          <w:color w:val="auto"/>
          <w:highlight w:val="none"/>
          <w:vertAlign w:val="subscript"/>
        </w:rPr>
        <w:t>2.5</w:t>
      </w:r>
      <w:r>
        <w:rPr>
          <w:rFonts w:hint="eastAsia" w:asciiTheme="minorEastAsia" w:hAnsiTheme="minorEastAsia" w:eastAsiaTheme="minorEastAsia" w:cstheme="minorEastAsia"/>
          <w:color w:val="auto"/>
          <w:highlight w:val="none"/>
          <w:lang w:val="en-US" w:eastAsia="zh-CN"/>
        </w:rPr>
        <w:t>外，</w:t>
      </w:r>
      <w:r>
        <w:rPr>
          <w:rFonts w:hint="eastAsia" w:asciiTheme="minorEastAsia" w:hAnsiTheme="minorEastAsia" w:eastAsiaTheme="minorEastAsia" w:cstheme="minorEastAsia"/>
          <w:color w:val="auto"/>
          <w:highlight w:val="none"/>
          <w:lang w:val="zh-CN"/>
        </w:rPr>
        <w:t>SO</w:t>
      </w:r>
      <w:r>
        <w:rPr>
          <w:rFonts w:hint="eastAsia" w:asciiTheme="minorEastAsia" w:hAnsiTheme="minorEastAsia" w:eastAsiaTheme="minorEastAsia" w:cstheme="minorEastAsia"/>
          <w:color w:val="auto"/>
          <w:highlight w:val="none"/>
          <w:vertAlign w:val="subscript"/>
          <w:lang w:val="zh-CN"/>
        </w:rPr>
        <w:t>2</w:t>
      </w:r>
      <w:r>
        <w:rPr>
          <w:rFonts w:hint="eastAsia" w:asciiTheme="minorEastAsia" w:hAnsiTheme="minorEastAsia" w:eastAsiaTheme="minorEastAsia" w:cstheme="minorEastAsia"/>
          <w:color w:val="auto"/>
          <w:highlight w:val="none"/>
          <w:lang w:val="zh-CN"/>
        </w:rPr>
        <w:t>、NO</w:t>
      </w:r>
      <w:r>
        <w:rPr>
          <w:rFonts w:hint="eastAsia" w:asciiTheme="minorEastAsia" w:hAnsiTheme="minorEastAsia" w:eastAsiaTheme="minorEastAsia" w:cstheme="minorEastAsia"/>
          <w:color w:val="auto"/>
          <w:highlight w:val="none"/>
          <w:vertAlign w:val="subscript"/>
          <w:lang w:val="zh-CN"/>
        </w:rPr>
        <w:t>2</w:t>
      </w:r>
      <w:r>
        <w:rPr>
          <w:rFonts w:hint="eastAsia" w:asciiTheme="minorEastAsia" w:hAnsiTheme="minorEastAsia" w:eastAsiaTheme="minorEastAsia" w:cstheme="minorEastAsia"/>
          <w:color w:val="auto"/>
          <w:highlight w:val="none"/>
          <w:lang w:val="zh-CN"/>
        </w:rPr>
        <w:t>、</w:t>
      </w:r>
      <w:r>
        <w:rPr>
          <w:rFonts w:hint="eastAsia" w:asciiTheme="minorEastAsia" w:hAnsiTheme="minorEastAsia" w:eastAsiaTheme="minorEastAsia" w:cstheme="minorEastAsia"/>
          <w:color w:val="auto"/>
          <w:highlight w:val="none"/>
        </w:rPr>
        <w:t>PM</w:t>
      </w:r>
      <w:r>
        <w:rPr>
          <w:rFonts w:hint="eastAsia" w:asciiTheme="minorEastAsia" w:hAnsiTheme="minorEastAsia" w:eastAsiaTheme="minorEastAsia" w:cstheme="minorEastAsia"/>
          <w:color w:val="auto"/>
          <w:highlight w:val="none"/>
          <w:vertAlign w:val="subscript"/>
        </w:rPr>
        <w:t>10</w:t>
      </w:r>
      <w:r>
        <w:rPr>
          <w:rFonts w:hint="eastAsia" w:asciiTheme="minorEastAsia" w:hAnsiTheme="minorEastAsia" w:eastAsiaTheme="minorEastAsia" w:cstheme="minorEastAsia"/>
          <w:color w:val="auto"/>
          <w:kern w:val="0"/>
          <w:highlight w:val="none"/>
        </w:rPr>
        <w:t>年均浓度均满足《环境空气质量标准》（GB3095-20</w:t>
      </w:r>
      <w:r>
        <w:rPr>
          <w:rFonts w:hint="eastAsia" w:asciiTheme="minorEastAsia" w:hAnsiTheme="minorEastAsia" w:eastAsiaTheme="minorEastAsia" w:cstheme="minorEastAsia"/>
          <w:color w:val="auto"/>
          <w:kern w:val="0"/>
          <w:highlight w:val="none"/>
          <w:lang w:val="en-US" w:eastAsia="zh-CN"/>
        </w:rPr>
        <w:t>26</w:t>
      </w:r>
      <w:r>
        <w:rPr>
          <w:rFonts w:hint="eastAsia" w:asciiTheme="minorEastAsia" w:hAnsiTheme="minorEastAsia" w:eastAsiaTheme="minorEastAsia" w:cstheme="minorEastAsia"/>
          <w:color w:val="auto"/>
          <w:kern w:val="0"/>
          <w:highlight w:val="none"/>
        </w:rPr>
        <w:t>）</w:t>
      </w:r>
      <w:r>
        <w:rPr>
          <w:rFonts w:hint="eastAsia" w:eastAsia="宋体"/>
          <w:color w:val="auto"/>
          <w:sz w:val="24"/>
          <w:highlight w:val="none"/>
          <w:lang w:val="en-US" w:eastAsia="zh-CN"/>
        </w:rPr>
        <w:t>过渡阶段浓度限值</w:t>
      </w:r>
      <w:r>
        <w:rPr>
          <w:rFonts w:eastAsia="宋体"/>
          <w:color w:val="auto"/>
          <w:sz w:val="24"/>
          <w:highlight w:val="none"/>
        </w:rPr>
        <w:t>二级标准</w:t>
      </w:r>
      <w:r>
        <w:rPr>
          <w:rFonts w:hint="eastAsia" w:asciiTheme="minorEastAsia" w:hAnsiTheme="minorEastAsia" w:eastAsiaTheme="minorEastAsia" w:cstheme="minorEastAsia"/>
          <w:color w:val="auto"/>
          <w:kern w:val="0"/>
          <w:highlight w:val="none"/>
        </w:rPr>
        <w:t>，</w:t>
      </w:r>
      <w:r>
        <w:rPr>
          <w:rFonts w:eastAsia="宋体"/>
          <w:color w:val="auto"/>
          <w:sz w:val="24"/>
          <w:szCs w:val="24"/>
          <w:highlight w:val="none"/>
        </w:rPr>
        <w:t>CO日均值第95百分位浓度</w:t>
      </w:r>
      <w:r>
        <w:rPr>
          <w:rFonts w:hint="eastAsia"/>
          <w:color w:val="auto"/>
          <w:sz w:val="24"/>
          <w:szCs w:val="24"/>
          <w:highlight w:val="none"/>
          <w:lang w:eastAsia="zh-CN"/>
        </w:rPr>
        <w:t>、</w:t>
      </w:r>
      <w:r>
        <w:rPr>
          <w:rFonts w:eastAsia="宋体"/>
          <w:color w:val="auto"/>
          <w:sz w:val="24"/>
          <w:szCs w:val="24"/>
          <w:highlight w:val="none"/>
        </w:rPr>
        <w:t>O</w:t>
      </w:r>
      <w:r>
        <w:rPr>
          <w:rFonts w:eastAsia="宋体"/>
          <w:color w:val="auto"/>
          <w:sz w:val="24"/>
          <w:szCs w:val="24"/>
          <w:highlight w:val="none"/>
          <w:vertAlign w:val="subscript"/>
        </w:rPr>
        <w:t>3</w:t>
      </w:r>
      <w:r>
        <w:rPr>
          <w:rFonts w:eastAsia="宋体"/>
          <w:color w:val="auto"/>
          <w:sz w:val="24"/>
          <w:szCs w:val="24"/>
          <w:highlight w:val="none"/>
        </w:rPr>
        <w:t>日最大8小时平均值第90百分位浓度</w:t>
      </w:r>
      <w:r>
        <w:rPr>
          <w:rFonts w:hint="eastAsia" w:asciiTheme="minorEastAsia" w:hAnsiTheme="minorEastAsia" w:eastAsiaTheme="minorEastAsia" w:cstheme="minorEastAsia"/>
          <w:color w:val="auto"/>
          <w:kern w:val="0"/>
          <w:highlight w:val="none"/>
        </w:rPr>
        <w:t>可以满足《环境空气质量标准》（GB3095-20</w:t>
      </w:r>
      <w:r>
        <w:rPr>
          <w:rFonts w:hint="eastAsia" w:asciiTheme="minorEastAsia" w:hAnsiTheme="minorEastAsia" w:eastAsiaTheme="minorEastAsia" w:cstheme="minorEastAsia"/>
          <w:color w:val="auto"/>
          <w:kern w:val="0"/>
          <w:highlight w:val="none"/>
          <w:lang w:val="en-US" w:eastAsia="zh-CN"/>
        </w:rPr>
        <w:t>26</w:t>
      </w:r>
      <w:r>
        <w:rPr>
          <w:rFonts w:hint="eastAsia" w:asciiTheme="minorEastAsia" w:hAnsiTheme="minorEastAsia" w:eastAsiaTheme="minorEastAsia" w:cstheme="minorEastAsia"/>
          <w:color w:val="auto"/>
          <w:kern w:val="0"/>
          <w:highlight w:val="none"/>
        </w:rPr>
        <w:t>）</w:t>
      </w:r>
      <w:r>
        <w:rPr>
          <w:rFonts w:hint="eastAsia" w:eastAsia="宋体"/>
          <w:color w:val="auto"/>
          <w:sz w:val="24"/>
          <w:highlight w:val="none"/>
          <w:lang w:val="en-US" w:eastAsia="zh-CN"/>
        </w:rPr>
        <w:t>过渡阶段浓度限值</w:t>
      </w:r>
      <w:r>
        <w:rPr>
          <w:rFonts w:eastAsia="宋体"/>
          <w:color w:val="auto"/>
          <w:sz w:val="24"/>
          <w:highlight w:val="none"/>
        </w:rPr>
        <w:t>二级标准</w:t>
      </w:r>
      <w:r>
        <w:rPr>
          <w:rFonts w:hint="eastAsia" w:asciiTheme="minorEastAsia" w:hAnsiTheme="minorEastAsia" w:eastAsiaTheme="minorEastAsia" w:cstheme="minorEastAsia"/>
          <w:color w:val="auto"/>
          <w:kern w:val="0"/>
          <w:highlight w:val="none"/>
        </w:rPr>
        <w:t>。</w:t>
      </w:r>
    </w:p>
    <w:p w14:paraId="1924A6D6">
      <w:pPr>
        <w:pStyle w:val="8"/>
        <w:numPr>
          <w:ilvl w:val="0"/>
          <w:numId w:val="0"/>
        </w:numPr>
        <w:bidi w:val="0"/>
        <w:ind w:leftChars="0"/>
        <w:rPr>
          <w:rFonts w:hint="eastAsia" w:asciiTheme="minorEastAsia" w:hAnsiTheme="minorEastAsia" w:eastAsiaTheme="minorEastAsia" w:cstheme="minorEastAsia"/>
          <w:color w:val="auto"/>
          <w:spacing w:val="1"/>
          <w:szCs w:val="24"/>
          <w:highlight w:val="none"/>
        </w:rPr>
      </w:pPr>
      <w:bookmarkStart w:id="494" w:name="_Toc490466493"/>
      <w:bookmarkStart w:id="495" w:name="_Toc16452"/>
      <w:bookmarkStart w:id="496" w:name="_Toc22712"/>
      <w:bookmarkStart w:id="497" w:name="_Toc24605"/>
      <w:bookmarkStart w:id="498" w:name="_Toc2079"/>
      <w:bookmarkStart w:id="499" w:name="_Toc22021"/>
      <w:bookmarkStart w:id="500" w:name="_Toc28009"/>
      <w:bookmarkStart w:id="501" w:name="_Toc15004"/>
      <w:r>
        <w:rPr>
          <w:rFonts w:hint="eastAsia" w:asciiTheme="minorEastAsia" w:hAnsiTheme="minorEastAsia" w:eastAsiaTheme="minorEastAsia" w:cstheme="minorEastAsia"/>
          <w:color w:val="auto"/>
          <w:highlight w:val="none"/>
          <w:lang w:val="en-US" w:eastAsia="zh-CN"/>
        </w:rPr>
        <w:t>4.3.1.3其他特征</w:t>
      </w:r>
      <w:r>
        <w:rPr>
          <w:rFonts w:hint="eastAsia" w:asciiTheme="minorEastAsia" w:hAnsiTheme="minorEastAsia" w:eastAsiaTheme="minorEastAsia" w:cstheme="minorEastAsia"/>
          <w:color w:val="auto"/>
          <w:highlight w:val="none"/>
        </w:rPr>
        <w:t>污染物环境质量现状评价</w:t>
      </w:r>
    </w:p>
    <w:p w14:paraId="3434B2D9">
      <w:pPr>
        <w:spacing w:line="360" w:lineRule="auto"/>
        <w:ind w:firstLine="480" w:firstLineChars="200"/>
        <w:rPr>
          <w:rFonts w:hint="eastAsia" w:asciiTheme="minorEastAsia" w:hAnsiTheme="minorEastAsia" w:eastAsiaTheme="minorEastAsia" w:cstheme="minorEastAsia"/>
          <w:color w:val="auto"/>
          <w:sz w:val="24"/>
          <w:szCs w:val="32"/>
          <w:highlight w:val="none"/>
        </w:rPr>
      </w:pPr>
      <w:r>
        <w:rPr>
          <w:rFonts w:hint="eastAsia" w:asciiTheme="minorEastAsia" w:hAnsiTheme="minorEastAsia" w:eastAsiaTheme="minorEastAsia" w:cstheme="minorEastAsia"/>
          <w:bCs/>
          <w:color w:val="auto"/>
          <w:sz w:val="24"/>
          <w:highlight w:val="none"/>
        </w:rPr>
        <w:t>监测布点以近20年统计的当地主风向为轴向，在厂址、</w:t>
      </w:r>
      <w:r>
        <w:rPr>
          <w:rFonts w:hint="eastAsia" w:asciiTheme="minorEastAsia" w:hAnsiTheme="minorEastAsia" w:eastAsiaTheme="minorEastAsia" w:cstheme="minorEastAsia"/>
          <w:bCs/>
          <w:color w:val="auto"/>
          <w:sz w:val="24"/>
          <w:highlight w:val="none"/>
          <w:lang w:val="en-US" w:eastAsia="zh-CN"/>
        </w:rPr>
        <w:t>下风向</w:t>
      </w:r>
      <w:r>
        <w:rPr>
          <w:rFonts w:hint="eastAsia" w:asciiTheme="minorEastAsia" w:hAnsiTheme="minorEastAsia" w:eastAsiaTheme="minorEastAsia" w:cstheme="minorEastAsia"/>
          <w:bCs/>
          <w:color w:val="auto"/>
          <w:sz w:val="24"/>
          <w:highlight w:val="none"/>
        </w:rPr>
        <w:t>共设2个监测点，</w:t>
      </w:r>
      <w:r>
        <w:rPr>
          <w:rFonts w:hint="eastAsia" w:asciiTheme="minorEastAsia" w:hAnsiTheme="minorEastAsia" w:eastAsiaTheme="minorEastAsia" w:cstheme="minorEastAsia"/>
          <w:color w:val="auto"/>
          <w:szCs w:val="32"/>
          <w:highlight w:val="none"/>
        </w:rPr>
        <w:t>委托</w:t>
      </w:r>
      <w:r>
        <w:rPr>
          <w:rFonts w:hint="eastAsia" w:asciiTheme="minorEastAsia" w:hAnsiTheme="minorEastAsia" w:eastAsiaTheme="minorEastAsia" w:cstheme="minorEastAsia"/>
          <w:bCs/>
          <w:color w:val="auto"/>
          <w:sz w:val="24"/>
          <w:highlight w:val="none"/>
          <w:lang w:eastAsia="zh-CN"/>
        </w:rPr>
        <w:t>黑龙江博仕检验检测有限公司</w:t>
      </w:r>
      <w:r>
        <w:rPr>
          <w:rFonts w:hint="eastAsia" w:asciiTheme="minorEastAsia" w:hAnsiTheme="minorEastAsia" w:eastAsiaTheme="minorEastAsia" w:cstheme="minorEastAsia"/>
          <w:color w:val="auto"/>
          <w:szCs w:val="32"/>
          <w:highlight w:val="none"/>
        </w:rPr>
        <w:t>进行现状监测，监测因子为</w:t>
      </w:r>
      <w:r>
        <w:rPr>
          <w:rFonts w:hint="eastAsia" w:asciiTheme="minorEastAsia" w:hAnsiTheme="minorEastAsia" w:eastAsiaTheme="minorEastAsia" w:cstheme="minorEastAsia"/>
          <w:color w:val="auto"/>
          <w:szCs w:val="32"/>
          <w:highlight w:val="none"/>
          <w:lang w:val="en-US" w:eastAsia="zh-CN"/>
        </w:rPr>
        <w:t>TSP</w:t>
      </w:r>
      <w:r>
        <w:rPr>
          <w:rFonts w:hint="eastAsia" w:asciiTheme="minorEastAsia" w:hAnsiTheme="minorEastAsia" w:eastAsiaTheme="minorEastAsia" w:cstheme="minorEastAsia"/>
          <w:color w:val="auto"/>
          <w:szCs w:val="32"/>
          <w:highlight w:val="none"/>
        </w:rPr>
        <w:t>。</w:t>
      </w:r>
      <w:bookmarkEnd w:id="462"/>
      <w:bookmarkEnd w:id="463"/>
      <w:bookmarkEnd w:id="464"/>
      <w:bookmarkEnd w:id="494"/>
      <w:bookmarkEnd w:id="495"/>
      <w:bookmarkEnd w:id="496"/>
      <w:bookmarkEnd w:id="497"/>
      <w:bookmarkEnd w:id="498"/>
      <w:bookmarkEnd w:id="499"/>
      <w:bookmarkEnd w:id="500"/>
      <w:bookmarkEnd w:id="501"/>
      <w:bookmarkStart w:id="502" w:name="_Toc27685"/>
      <w:bookmarkStart w:id="503" w:name="_Toc490466508"/>
      <w:r>
        <w:rPr>
          <w:rFonts w:hint="eastAsia" w:asciiTheme="minorEastAsia" w:hAnsiTheme="minorEastAsia" w:eastAsiaTheme="minorEastAsia" w:cstheme="minorEastAsia"/>
          <w:color w:val="auto"/>
          <w:sz w:val="24"/>
          <w:szCs w:val="32"/>
          <w:highlight w:val="none"/>
        </w:rPr>
        <w:t>监测时间为20</w:t>
      </w:r>
      <w:r>
        <w:rPr>
          <w:rFonts w:hint="eastAsia" w:asciiTheme="minorEastAsia" w:hAnsiTheme="minorEastAsia" w:eastAsiaTheme="minorEastAsia" w:cstheme="minorEastAsia"/>
          <w:color w:val="auto"/>
          <w:sz w:val="24"/>
          <w:szCs w:val="32"/>
          <w:highlight w:val="none"/>
          <w:lang w:val="en-US" w:eastAsia="zh-CN"/>
        </w:rPr>
        <w:t>26</w:t>
      </w:r>
      <w:r>
        <w:rPr>
          <w:rFonts w:hint="eastAsia" w:asciiTheme="minorEastAsia" w:hAnsiTheme="minorEastAsia" w:eastAsiaTheme="minorEastAsia" w:cstheme="minorEastAsia"/>
          <w:color w:val="auto"/>
          <w:sz w:val="24"/>
          <w:szCs w:val="32"/>
          <w:highlight w:val="none"/>
        </w:rPr>
        <w:t>年</w:t>
      </w:r>
      <w:r>
        <w:rPr>
          <w:rFonts w:hint="eastAsia" w:asciiTheme="minorEastAsia" w:hAnsiTheme="minorEastAsia" w:eastAsiaTheme="minorEastAsia" w:cstheme="minorEastAsia"/>
          <w:color w:val="auto"/>
          <w:sz w:val="24"/>
          <w:szCs w:val="32"/>
          <w:highlight w:val="none"/>
          <w:lang w:val="en-US" w:eastAsia="zh-CN"/>
        </w:rPr>
        <w:t>05</w:t>
      </w:r>
      <w:r>
        <w:rPr>
          <w:rFonts w:hint="eastAsia" w:asciiTheme="minorEastAsia" w:hAnsiTheme="minorEastAsia" w:eastAsiaTheme="minorEastAsia" w:cstheme="minorEastAsia"/>
          <w:color w:val="auto"/>
          <w:sz w:val="24"/>
          <w:szCs w:val="32"/>
          <w:highlight w:val="none"/>
        </w:rPr>
        <w:t>月</w:t>
      </w:r>
      <w:r>
        <w:rPr>
          <w:rFonts w:hint="eastAsia" w:asciiTheme="minorEastAsia" w:hAnsiTheme="minorEastAsia" w:eastAsiaTheme="minorEastAsia" w:cstheme="minorEastAsia"/>
          <w:color w:val="auto"/>
          <w:sz w:val="24"/>
          <w:szCs w:val="32"/>
          <w:highlight w:val="none"/>
          <w:lang w:val="en-US" w:eastAsia="zh-CN"/>
        </w:rPr>
        <w:t>25</w:t>
      </w:r>
      <w:r>
        <w:rPr>
          <w:rFonts w:hint="eastAsia" w:asciiTheme="minorEastAsia" w:hAnsiTheme="minorEastAsia" w:eastAsiaTheme="minorEastAsia" w:cstheme="minorEastAsia"/>
          <w:color w:val="auto"/>
          <w:sz w:val="24"/>
          <w:szCs w:val="32"/>
          <w:highlight w:val="none"/>
        </w:rPr>
        <w:t>日至20</w:t>
      </w:r>
      <w:r>
        <w:rPr>
          <w:rFonts w:hint="eastAsia" w:asciiTheme="minorEastAsia" w:hAnsiTheme="minorEastAsia" w:eastAsiaTheme="minorEastAsia" w:cstheme="minorEastAsia"/>
          <w:color w:val="auto"/>
          <w:sz w:val="24"/>
          <w:szCs w:val="32"/>
          <w:highlight w:val="none"/>
          <w:lang w:val="en-US" w:eastAsia="zh-CN"/>
        </w:rPr>
        <w:t>26</w:t>
      </w:r>
      <w:r>
        <w:rPr>
          <w:rFonts w:hint="eastAsia" w:asciiTheme="minorEastAsia" w:hAnsiTheme="minorEastAsia" w:eastAsiaTheme="minorEastAsia" w:cstheme="minorEastAsia"/>
          <w:color w:val="auto"/>
          <w:sz w:val="24"/>
          <w:szCs w:val="32"/>
          <w:highlight w:val="none"/>
        </w:rPr>
        <w:t>年</w:t>
      </w:r>
      <w:r>
        <w:rPr>
          <w:rFonts w:hint="eastAsia" w:asciiTheme="minorEastAsia" w:hAnsiTheme="minorEastAsia" w:eastAsiaTheme="minorEastAsia" w:cstheme="minorEastAsia"/>
          <w:color w:val="auto"/>
          <w:sz w:val="24"/>
          <w:szCs w:val="32"/>
          <w:highlight w:val="none"/>
          <w:lang w:val="en-US" w:eastAsia="zh-CN"/>
        </w:rPr>
        <w:t>05</w:t>
      </w:r>
      <w:r>
        <w:rPr>
          <w:rFonts w:hint="eastAsia" w:asciiTheme="minorEastAsia" w:hAnsiTheme="minorEastAsia" w:eastAsiaTheme="minorEastAsia" w:cstheme="minorEastAsia"/>
          <w:color w:val="auto"/>
          <w:sz w:val="24"/>
          <w:szCs w:val="32"/>
          <w:highlight w:val="none"/>
        </w:rPr>
        <w:t>月</w:t>
      </w:r>
      <w:r>
        <w:rPr>
          <w:rFonts w:hint="eastAsia" w:asciiTheme="minorEastAsia" w:hAnsiTheme="minorEastAsia" w:eastAsiaTheme="minorEastAsia" w:cstheme="minorEastAsia"/>
          <w:color w:val="auto"/>
          <w:sz w:val="24"/>
          <w:szCs w:val="32"/>
          <w:highlight w:val="none"/>
          <w:lang w:val="en-US" w:eastAsia="zh-CN"/>
        </w:rPr>
        <w:t>31</w:t>
      </w:r>
      <w:r>
        <w:rPr>
          <w:rFonts w:hint="eastAsia" w:asciiTheme="minorEastAsia" w:hAnsiTheme="minorEastAsia" w:eastAsiaTheme="minorEastAsia" w:cstheme="minorEastAsia"/>
          <w:color w:val="auto"/>
          <w:sz w:val="24"/>
          <w:szCs w:val="32"/>
          <w:highlight w:val="none"/>
        </w:rPr>
        <w:t>日连续七天。</w:t>
      </w:r>
    </w:p>
    <w:p w14:paraId="0886E2E1">
      <w:pPr>
        <w:spacing w:line="360" w:lineRule="auto"/>
        <w:ind w:firstLine="480" w:firstLineChars="200"/>
        <w:rPr>
          <w:rFonts w:hint="eastAsia" w:asciiTheme="minorEastAsia" w:hAnsiTheme="minorEastAsia" w:eastAsiaTheme="minorEastAsia" w:cstheme="minorEastAsia"/>
          <w:color w:val="auto"/>
          <w:szCs w:val="32"/>
          <w:highlight w:val="none"/>
        </w:rPr>
      </w:pPr>
      <w:r>
        <w:rPr>
          <w:rFonts w:hint="eastAsia" w:asciiTheme="minorEastAsia" w:hAnsiTheme="minorEastAsia" w:eastAsiaTheme="minorEastAsia" w:cstheme="minorEastAsia"/>
          <w:color w:val="auto"/>
          <w:szCs w:val="32"/>
          <w:highlight w:val="none"/>
        </w:rPr>
        <w:t>（1）监测点位</w:t>
      </w:r>
    </w:p>
    <w:p w14:paraId="2E004E80">
      <w:pPr>
        <w:keepNext w:val="0"/>
        <w:keepLines w:val="0"/>
        <w:pageBreakBefore w:val="0"/>
        <w:widowControl w:val="0"/>
        <w:kinsoku/>
        <w:wordWrap/>
        <w:overflowPunct/>
        <w:topLinePunct w:val="0"/>
        <w:bidi w:val="0"/>
        <w:snapToGrid/>
        <w:spacing w:line="360" w:lineRule="auto"/>
        <w:ind w:firstLine="480" w:firstLineChars="200"/>
        <w:textAlignment w:val="auto"/>
        <w:rPr>
          <w:rFonts w:hint="eastAsia" w:asciiTheme="minorEastAsia" w:hAnsiTheme="minorEastAsia" w:eastAsiaTheme="minorEastAsia" w:cstheme="minorEastAsia"/>
          <w:color w:val="auto"/>
          <w:szCs w:val="32"/>
          <w:highlight w:val="none"/>
        </w:rPr>
      </w:pPr>
      <w:r>
        <w:rPr>
          <w:rFonts w:hint="eastAsia" w:asciiTheme="minorEastAsia" w:hAnsiTheme="minorEastAsia" w:eastAsiaTheme="minorEastAsia" w:cstheme="minorEastAsia"/>
          <w:color w:val="auto"/>
          <w:szCs w:val="32"/>
          <w:highlight w:val="none"/>
        </w:rPr>
        <w:t>本项目环境空气质量现状补充监测点位基本信息见表4.3-2和图4.3-1。</w:t>
      </w:r>
    </w:p>
    <w:p w14:paraId="1FD259E3">
      <w:pPr>
        <w:keepNext w:val="0"/>
        <w:keepLines w:val="0"/>
        <w:pageBreakBefore w:val="0"/>
        <w:widowControl w:val="0"/>
        <w:kinsoku/>
        <w:wordWrap/>
        <w:overflowPunct/>
        <w:topLinePunct w:val="0"/>
        <w:autoSpaceDE w:val="0"/>
        <w:autoSpaceDN w:val="0"/>
        <w:bidi w:val="0"/>
        <w:adjustRightInd w:val="0"/>
        <w:snapToGrid/>
        <w:spacing w:line="240" w:lineRule="auto"/>
        <w:ind w:firstLine="482" w:firstLineChars="200"/>
        <w:jc w:val="center"/>
        <w:textAlignment w:val="auto"/>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表4.3-2  其他</w:t>
      </w:r>
      <w:r>
        <w:rPr>
          <w:rFonts w:hint="eastAsia" w:asciiTheme="minorEastAsia" w:hAnsiTheme="minorEastAsia" w:eastAsiaTheme="minorEastAsia" w:cstheme="minorEastAsia"/>
          <w:b/>
          <w:bCs/>
          <w:color w:val="auto"/>
          <w:sz w:val="24"/>
          <w:szCs w:val="24"/>
          <w:highlight w:val="none"/>
          <w:lang w:val="en-US" w:eastAsia="zh-CN"/>
        </w:rPr>
        <w:t>特征</w:t>
      </w:r>
      <w:r>
        <w:rPr>
          <w:rFonts w:hint="eastAsia" w:asciiTheme="minorEastAsia" w:hAnsiTheme="minorEastAsia" w:eastAsiaTheme="minorEastAsia" w:cstheme="minorEastAsia"/>
          <w:b/>
          <w:bCs/>
          <w:color w:val="auto"/>
          <w:sz w:val="24"/>
          <w:szCs w:val="24"/>
          <w:highlight w:val="none"/>
        </w:rPr>
        <w:t>污染物补充监测点位基本信息</w:t>
      </w:r>
    </w:p>
    <w:tbl>
      <w:tblPr>
        <w:tblStyle w:val="84"/>
        <w:tblW w:w="9174"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22"/>
        <w:gridCol w:w="1672"/>
        <w:gridCol w:w="1680"/>
        <w:gridCol w:w="1020"/>
        <w:gridCol w:w="1549"/>
        <w:gridCol w:w="890"/>
        <w:gridCol w:w="1141"/>
      </w:tblGrid>
      <w:tr w14:paraId="053279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2" w:type="dxa"/>
            <w:vMerge w:val="restart"/>
            <w:vAlign w:val="center"/>
          </w:tcPr>
          <w:p w14:paraId="7095558B">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监测点位</w:t>
            </w:r>
          </w:p>
        </w:tc>
        <w:tc>
          <w:tcPr>
            <w:tcW w:w="3352" w:type="dxa"/>
            <w:gridSpan w:val="2"/>
            <w:vAlign w:val="center"/>
          </w:tcPr>
          <w:p w14:paraId="254E3723">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监测点坐标</w:t>
            </w:r>
          </w:p>
        </w:tc>
        <w:tc>
          <w:tcPr>
            <w:tcW w:w="1020" w:type="dxa"/>
            <w:vMerge w:val="restart"/>
            <w:vAlign w:val="center"/>
          </w:tcPr>
          <w:p w14:paraId="12C3BFA9">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监测因子</w:t>
            </w:r>
          </w:p>
        </w:tc>
        <w:tc>
          <w:tcPr>
            <w:tcW w:w="1549" w:type="dxa"/>
            <w:vMerge w:val="restart"/>
            <w:vAlign w:val="center"/>
          </w:tcPr>
          <w:p w14:paraId="014D006B">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监测时段</w:t>
            </w:r>
          </w:p>
        </w:tc>
        <w:tc>
          <w:tcPr>
            <w:tcW w:w="890" w:type="dxa"/>
            <w:vMerge w:val="restart"/>
            <w:vAlign w:val="center"/>
          </w:tcPr>
          <w:p w14:paraId="3C770E6F">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相对厂址方位</w:t>
            </w:r>
          </w:p>
        </w:tc>
        <w:tc>
          <w:tcPr>
            <w:tcW w:w="1141" w:type="dxa"/>
            <w:vMerge w:val="restart"/>
            <w:vAlign w:val="center"/>
          </w:tcPr>
          <w:p w14:paraId="7AE228F7">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相对厂界距离/m</w:t>
            </w:r>
          </w:p>
        </w:tc>
      </w:tr>
      <w:tr w14:paraId="57CE3D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2" w:type="dxa"/>
            <w:vMerge w:val="continue"/>
            <w:vAlign w:val="center"/>
          </w:tcPr>
          <w:p w14:paraId="4BE77322">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p>
        </w:tc>
        <w:tc>
          <w:tcPr>
            <w:tcW w:w="1672" w:type="dxa"/>
            <w:vAlign w:val="center"/>
          </w:tcPr>
          <w:p w14:paraId="6C2DCC18">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X</w:t>
            </w:r>
          </w:p>
        </w:tc>
        <w:tc>
          <w:tcPr>
            <w:tcW w:w="1680" w:type="dxa"/>
            <w:vAlign w:val="center"/>
          </w:tcPr>
          <w:p w14:paraId="7B8C8EF3">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Y</w:t>
            </w:r>
          </w:p>
        </w:tc>
        <w:tc>
          <w:tcPr>
            <w:tcW w:w="1020" w:type="dxa"/>
            <w:vMerge w:val="continue"/>
            <w:vAlign w:val="center"/>
          </w:tcPr>
          <w:p w14:paraId="703015C4">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p>
        </w:tc>
        <w:tc>
          <w:tcPr>
            <w:tcW w:w="1549" w:type="dxa"/>
            <w:vMerge w:val="continue"/>
            <w:vAlign w:val="center"/>
          </w:tcPr>
          <w:p w14:paraId="7134041F">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p>
        </w:tc>
        <w:tc>
          <w:tcPr>
            <w:tcW w:w="890" w:type="dxa"/>
            <w:vMerge w:val="continue"/>
            <w:vAlign w:val="center"/>
          </w:tcPr>
          <w:p w14:paraId="1920789E">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p>
        </w:tc>
        <w:tc>
          <w:tcPr>
            <w:tcW w:w="1141" w:type="dxa"/>
            <w:vMerge w:val="continue"/>
            <w:vAlign w:val="center"/>
          </w:tcPr>
          <w:p w14:paraId="345ACCDC">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p>
        </w:tc>
      </w:tr>
      <w:tr w14:paraId="2C0184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2" w:type="dxa"/>
            <w:shd w:val="clear" w:color="auto" w:fill="auto"/>
            <w:vAlign w:val="center"/>
          </w:tcPr>
          <w:p w14:paraId="75117657">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rPr>
              <w:t>1#</w:t>
            </w:r>
            <w:r>
              <w:rPr>
                <w:rFonts w:hint="default" w:ascii="Times New Roman" w:hAnsi="Times New Roman" w:eastAsia="宋体" w:cs="Times New Roman"/>
                <w:color w:val="auto"/>
                <w:kern w:val="0"/>
                <w:sz w:val="21"/>
                <w:szCs w:val="21"/>
                <w:highlight w:val="none"/>
                <w:lang w:val="en-US" w:eastAsia="zh-CN"/>
              </w:rPr>
              <w:t>厂址</w:t>
            </w:r>
          </w:p>
        </w:tc>
        <w:tc>
          <w:tcPr>
            <w:tcW w:w="1672" w:type="dxa"/>
            <w:vAlign w:val="center"/>
          </w:tcPr>
          <w:p w14:paraId="1A17E4A6">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128°16'38.6491"</w:t>
            </w:r>
          </w:p>
        </w:tc>
        <w:tc>
          <w:tcPr>
            <w:tcW w:w="1680" w:type="dxa"/>
            <w:vAlign w:val="center"/>
          </w:tcPr>
          <w:p w14:paraId="53A28432">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45°16'20.8289"</w:t>
            </w:r>
          </w:p>
        </w:tc>
        <w:tc>
          <w:tcPr>
            <w:tcW w:w="1020" w:type="dxa"/>
            <w:vMerge w:val="restart"/>
            <w:vAlign w:val="center"/>
          </w:tcPr>
          <w:p w14:paraId="7B5F7D88">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TSP</w:t>
            </w:r>
          </w:p>
        </w:tc>
        <w:tc>
          <w:tcPr>
            <w:tcW w:w="1549" w:type="dxa"/>
            <w:vMerge w:val="restart"/>
            <w:vAlign w:val="center"/>
          </w:tcPr>
          <w:p w14:paraId="5FA50001">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20</w:t>
            </w:r>
            <w:r>
              <w:rPr>
                <w:rFonts w:hint="eastAsia" w:asciiTheme="minorEastAsia" w:hAnsiTheme="minorEastAsia" w:eastAsiaTheme="minorEastAsia" w:cstheme="minorEastAsia"/>
                <w:color w:val="auto"/>
                <w:sz w:val="21"/>
                <w:szCs w:val="21"/>
                <w:highlight w:val="none"/>
                <w:lang w:val="en-US" w:eastAsia="zh-CN"/>
              </w:rPr>
              <w:t>26</w:t>
            </w:r>
            <w:r>
              <w:rPr>
                <w:rFonts w:hint="eastAsia" w:asciiTheme="minorEastAsia" w:hAnsiTheme="minorEastAsia" w:eastAsiaTheme="minorEastAsia" w:cstheme="minorEastAsia"/>
                <w:color w:val="auto"/>
                <w:sz w:val="21"/>
                <w:szCs w:val="21"/>
                <w:highlight w:val="none"/>
              </w:rPr>
              <w:t>年</w:t>
            </w:r>
            <w:r>
              <w:rPr>
                <w:rFonts w:hint="eastAsia" w:asciiTheme="minorEastAsia" w:hAnsiTheme="minorEastAsia" w:eastAsiaTheme="minorEastAsia" w:cstheme="minorEastAsia"/>
                <w:color w:val="auto"/>
                <w:sz w:val="21"/>
                <w:szCs w:val="21"/>
                <w:highlight w:val="none"/>
                <w:lang w:val="en-US" w:eastAsia="zh-CN"/>
              </w:rPr>
              <w:t>05</w:t>
            </w:r>
            <w:r>
              <w:rPr>
                <w:rFonts w:hint="eastAsia" w:asciiTheme="minorEastAsia" w:hAnsiTheme="minorEastAsia" w:eastAsiaTheme="minorEastAsia" w:cstheme="minorEastAsia"/>
                <w:color w:val="auto"/>
                <w:sz w:val="21"/>
                <w:szCs w:val="21"/>
                <w:highlight w:val="none"/>
              </w:rPr>
              <w:t>月</w:t>
            </w:r>
            <w:r>
              <w:rPr>
                <w:rFonts w:hint="eastAsia" w:asciiTheme="minorEastAsia" w:hAnsiTheme="minorEastAsia" w:eastAsiaTheme="minorEastAsia" w:cstheme="minorEastAsia"/>
                <w:color w:val="auto"/>
                <w:sz w:val="21"/>
                <w:szCs w:val="21"/>
                <w:highlight w:val="none"/>
                <w:lang w:val="en-US" w:eastAsia="zh-CN"/>
              </w:rPr>
              <w:t>25</w:t>
            </w:r>
            <w:r>
              <w:rPr>
                <w:rFonts w:hint="eastAsia" w:asciiTheme="minorEastAsia" w:hAnsiTheme="minorEastAsia" w:eastAsiaTheme="minorEastAsia" w:cstheme="minorEastAsia"/>
                <w:color w:val="auto"/>
                <w:sz w:val="21"/>
                <w:szCs w:val="21"/>
                <w:highlight w:val="none"/>
              </w:rPr>
              <w:t>日至20</w:t>
            </w:r>
            <w:r>
              <w:rPr>
                <w:rFonts w:hint="eastAsia" w:asciiTheme="minorEastAsia" w:hAnsiTheme="minorEastAsia" w:eastAsiaTheme="minorEastAsia" w:cstheme="minorEastAsia"/>
                <w:color w:val="auto"/>
                <w:sz w:val="21"/>
                <w:szCs w:val="21"/>
                <w:highlight w:val="none"/>
                <w:lang w:val="en-US" w:eastAsia="zh-CN"/>
              </w:rPr>
              <w:t>26</w:t>
            </w:r>
            <w:r>
              <w:rPr>
                <w:rFonts w:hint="eastAsia" w:asciiTheme="minorEastAsia" w:hAnsiTheme="minorEastAsia" w:eastAsiaTheme="minorEastAsia" w:cstheme="minorEastAsia"/>
                <w:color w:val="auto"/>
                <w:sz w:val="21"/>
                <w:szCs w:val="21"/>
                <w:highlight w:val="none"/>
              </w:rPr>
              <w:t>年</w:t>
            </w:r>
            <w:r>
              <w:rPr>
                <w:rFonts w:hint="eastAsia" w:asciiTheme="minorEastAsia" w:hAnsiTheme="minorEastAsia" w:eastAsiaTheme="minorEastAsia" w:cstheme="minorEastAsia"/>
                <w:color w:val="auto"/>
                <w:sz w:val="21"/>
                <w:szCs w:val="21"/>
                <w:highlight w:val="none"/>
                <w:lang w:val="en-US" w:eastAsia="zh-CN"/>
              </w:rPr>
              <w:t>05</w:t>
            </w:r>
            <w:r>
              <w:rPr>
                <w:rFonts w:hint="eastAsia" w:asciiTheme="minorEastAsia" w:hAnsiTheme="minorEastAsia" w:eastAsiaTheme="minorEastAsia" w:cstheme="minorEastAsia"/>
                <w:color w:val="auto"/>
                <w:sz w:val="21"/>
                <w:szCs w:val="21"/>
                <w:highlight w:val="none"/>
              </w:rPr>
              <w:t>月</w:t>
            </w:r>
            <w:r>
              <w:rPr>
                <w:rFonts w:hint="eastAsia" w:asciiTheme="minorEastAsia" w:hAnsiTheme="minorEastAsia" w:eastAsiaTheme="minorEastAsia" w:cstheme="minorEastAsia"/>
                <w:color w:val="auto"/>
                <w:sz w:val="21"/>
                <w:szCs w:val="21"/>
                <w:highlight w:val="none"/>
                <w:lang w:val="en-US" w:eastAsia="zh-CN"/>
              </w:rPr>
              <w:t>31</w:t>
            </w:r>
            <w:r>
              <w:rPr>
                <w:rFonts w:hint="eastAsia" w:asciiTheme="minorEastAsia" w:hAnsiTheme="minorEastAsia" w:eastAsiaTheme="minorEastAsia" w:cstheme="minorEastAsia"/>
                <w:color w:val="auto"/>
                <w:sz w:val="21"/>
                <w:szCs w:val="21"/>
                <w:highlight w:val="none"/>
              </w:rPr>
              <w:t>日</w:t>
            </w:r>
          </w:p>
        </w:tc>
        <w:tc>
          <w:tcPr>
            <w:tcW w:w="890" w:type="dxa"/>
            <w:vAlign w:val="center"/>
          </w:tcPr>
          <w:p w14:paraId="3CF54415">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w:t>
            </w:r>
          </w:p>
        </w:tc>
        <w:tc>
          <w:tcPr>
            <w:tcW w:w="1141" w:type="dxa"/>
            <w:vAlign w:val="center"/>
          </w:tcPr>
          <w:p w14:paraId="233F4CAA">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w:t>
            </w:r>
          </w:p>
        </w:tc>
      </w:tr>
      <w:tr w14:paraId="4D8CB1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2" w:type="dxa"/>
            <w:shd w:val="clear" w:color="auto" w:fill="auto"/>
            <w:vAlign w:val="center"/>
          </w:tcPr>
          <w:p w14:paraId="6D6E1778">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rPr>
              <w:t>2#</w:t>
            </w:r>
            <w:r>
              <w:rPr>
                <w:rFonts w:hint="default" w:ascii="Times New Roman" w:hAnsi="Times New Roman" w:eastAsia="宋体" w:cs="Times New Roman"/>
                <w:color w:val="auto"/>
                <w:kern w:val="0"/>
                <w:sz w:val="21"/>
                <w:szCs w:val="21"/>
                <w:highlight w:val="none"/>
                <w:lang w:val="en-US" w:eastAsia="zh-CN"/>
              </w:rPr>
              <w:t>厂址下风向</w:t>
            </w:r>
          </w:p>
        </w:tc>
        <w:tc>
          <w:tcPr>
            <w:tcW w:w="1672" w:type="dxa"/>
            <w:vAlign w:val="center"/>
          </w:tcPr>
          <w:p w14:paraId="40A4C96C">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128°17'01.4951"</w:t>
            </w:r>
          </w:p>
        </w:tc>
        <w:tc>
          <w:tcPr>
            <w:tcW w:w="1680" w:type="dxa"/>
            <w:vAlign w:val="center"/>
          </w:tcPr>
          <w:p w14:paraId="22F3C761">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45°16'50.5186"</w:t>
            </w:r>
          </w:p>
        </w:tc>
        <w:tc>
          <w:tcPr>
            <w:tcW w:w="1020" w:type="dxa"/>
            <w:vMerge w:val="continue"/>
            <w:vAlign w:val="center"/>
          </w:tcPr>
          <w:p w14:paraId="30F39AE1">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p>
        </w:tc>
        <w:tc>
          <w:tcPr>
            <w:tcW w:w="1549" w:type="dxa"/>
            <w:vMerge w:val="continue"/>
            <w:vAlign w:val="center"/>
          </w:tcPr>
          <w:p w14:paraId="463E86F4">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rPr>
            </w:pPr>
          </w:p>
        </w:tc>
        <w:tc>
          <w:tcPr>
            <w:tcW w:w="890" w:type="dxa"/>
            <w:vAlign w:val="center"/>
          </w:tcPr>
          <w:p w14:paraId="5E98DABE">
            <w:pPr>
              <w:keepNext w:val="0"/>
              <w:keepLines w:val="0"/>
              <w:widowControl/>
              <w:suppressLineNumbers w:val="0"/>
              <w:spacing w:before="0" w:beforeAutospacing="0" w:after="0" w:afterAutospacing="0"/>
              <w:ind w:left="0" w:right="0"/>
              <w:jc w:val="center"/>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N</w:t>
            </w:r>
            <w:r>
              <w:rPr>
                <w:rFonts w:hint="eastAsia" w:asciiTheme="minorEastAsia" w:hAnsiTheme="minorEastAsia" w:eastAsiaTheme="minorEastAsia" w:cstheme="minorEastAsia"/>
                <w:color w:val="auto"/>
                <w:sz w:val="21"/>
                <w:szCs w:val="21"/>
                <w:highlight w:val="none"/>
              </w:rPr>
              <w:t>E</w:t>
            </w:r>
          </w:p>
        </w:tc>
        <w:tc>
          <w:tcPr>
            <w:tcW w:w="1141" w:type="dxa"/>
            <w:vAlign w:val="center"/>
          </w:tcPr>
          <w:p w14:paraId="1037217B">
            <w:pPr>
              <w:keepNext w:val="0"/>
              <w:keepLines w:val="0"/>
              <w:widowControl/>
              <w:suppressLineNumbers w:val="0"/>
              <w:spacing w:before="0" w:beforeAutospacing="0" w:after="0" w:afterAutospacing="0"/>
              <w:ind w:left="0" w:right="0"/>
              <w:jc w:val="center"/>
              <w:rPr>
                <w:rFonts w:hint="default"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1020</w:t>
            </w:r>
          </w:p>
        </w:tc>
      </w:tr>
    </w:tbl>
    <w:p w14:paraId="3EF891E6">
      <w:pPr>
        <w:spacing w:line="240" w:lineRule="auto"/>
        <w:ind w:firstLine="360" w:firstLineChars="150"/>
        <w:jc w:val="center"/>
        <w:rPr>
          <w:color w:val="auto"/>
          <w:highlight w:val="none"/>
        </w:rPr>
      </w:pPr>
    </w:p>
    <w:p w14:paraId="74C9E823">
      <w:pPr>
        <w:spacing w:line="240" w:lineRule="auto"/>
        <w:ind w:firstLine="360" w:firstLineChars="150"/>
        <w:jc w:val="center"/>
        <w:rPr>
          <w:rFonts w:hint="eastAsia" w:asciiTheme="minorEastAsia" w:hAnsiTheme="minorEastAsia" w:eastAsiaTheme="minorEastAsia" w:cstheme="minorEastAsia"/>
          <w:b/>
          <w:bCs/>
          <w:color w:val="auto"/>
          <w:sz w:val="24"/>
          <w:highlight w:val="none"/>
        </w:rPr>
      </w:pPr>
      <w:r>
        <w:rPr>
          <w:color w:val="auto"/>
          <w:highlight w:val="none"/>
        </w:rPr>
        <w:drawing>
          <wp:inline distT="0" distB="0" distL="114300" distR="114300">
            <wp:extent cx="5560695" cy="3794125"/>
            <wp:effectExtent l="0" t="0" r="1905" b="3175"/>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41"/>
                    <a:stretch>
                      <a:fillRect/>
                    </a:stretch>
                  </pic:blipFill>
                  <pic:spPr>
                    <a:xfrm>
                      <a:off x="0" y="0"/>
                      <a:ext cx="5560695" cy="3794125"/>
                    </a:xfrm>
                    <a:prstGeom prst="rect">
                      <a:avLst/>
                    </a:prstGeom>
                    <a:noFill/>
                    <a:ln>
                      <a:noFill/>
                    </a:ln>
                  </pic:spPr>
                </pic:pic>
              </a:graphicData>
            </a:graphic>
          </wp:inline>
        </w:drawing>
      </w:r>
    </w:p>
    <w:p w14:paraId="3815CA24">
      <w:pPr>
        <w:spacing w:line="240" w:lineRule="auto"/>
        <w:ind w:firstLine="361" w:firstLineChars="150"/>
        <w:jc w:val="center"/>
        <w:rPr>
          <w:rFonts w:hint="eastAsia" w:asciiTheme="minorEastAsia" w:hAnsiTheme="minorEastAsia" w:eastAsiaTheme="minorEastAsia" w:cstheme="minorEastAsia"/>
          <w:b/>
          <w:bCs/>
          <w:color w:val="auto"/>
          <w:sz w:val="24"/>
          <w:highlight w:val="none"/>
        </w:rPr>
      </w:pPr>
      <w:r>
        <w:rPr>
          <w:rFonts w:hint="eastAsia" w:asciiTheme="minorEastAsia" w:hAnsiTheme="minorEastAsia" w:eastAsiaTheme="minorEastAsia" w:cstheme="minorEastAsia"/>
          <w:b/>
          <w:bCs/>
          <w:color w:val="auto"/>
          <w:sz w:val="24"/>
          <w:highlight w:val="none"/>
        </w:rPr>
        <w:t>图4.</w:t>
      </w:r>
      <w:r>
        <w:rPr>
          <w:rFonts w:hint="eastAsia" w:asciiTheme="minorEastAsia" w:hAnsiTheme="minorEastAsia" w:eastAsiaTheme="minorEastAsia" w:cstheme="minorEastAsia"/>
          <w:b/>
          <w:bCs/>
          <w:color w:val="auto"/>
          <w:sz w:val="24"/>
          <w:highlight w:val="none"/>
          <w:lang w:val="en-US" w:eastAsia="zh-CN"/>
        </w:rPr>
        <w:t>3</w:t>
      </w:r>
      <w:r>
        <w:rPr>
          <w:rFonts w:hint="eastAsia" w:asciiTheme="minorEastAsia" w:hAnsiTheme="minorEastAsia" w:eastAsiaTheme="minorEastAsia" w:cstheme="minorEastAsia"/>
          <w:b/>
          <w:bCs/>
          <w:color w:val="auto"/>
          <w:sz w:val="24"/>
          <w:highlight w:val="none"/>
        </w:rPr>
        <w:t>-1  环境空气监测布点图</w:t>
      </w:r>
    </w:p>
    <w:p w14:paraId="51DBCF14">
      <w:pPr>
        <w:keepNext w:val="0"/>
        <w:keepLines w:val="0"/>
        <w:pageBreakBefore w:val="0"/>
        <w:widowControl w:val="0"/>
        <w:kinsoku/>
        <w:wordWrap/>
        <w:overflowPunct/>
        <w:topLinePunct w:val="0"/>
        <w:bidi w:val="0"/>
        <w:snapToGrid/>
        <w:spacing w:line="360" w:lineRule="auto"/>
        <w:ind w:firstLine="480" w:firstLineChars="200"/>
        <w:textAlignment w:val="auto"/>
        <w:rPr>
          <w:rFonts w:hint="eastAsia" w:asciiTheme="minorEastAsia" w:hAnsiTheme="minorEastAsia" w:eastAsiaTheme="minorEastAsia" w:cstheme="minorEastAsia"/>
          <w:color w:val="auto"/>
          <w:szCs w:val="32"/>
          <w:highlight w:val="none"/>
        </w:rPr>
      </w:pPr>
      <w:r>
        <w:rPr>
          <w:rFonts w:hint="eastAsia" w:asciiTheme="minorEastAsia" w:hAnsiTheme="minorEastAsia" w:eastAsiaTheme="minorEastAsia" w:cstheme="minorEastAsia"/>
          <w:color w:val="auto"/>
          <w:szCs w:val="32"/>
          <w:highlight w:val="none"/>
        </w:rPr>
        <w:t>（2）监测方法</w:t>
      </w:r>
    </w:p>
    <w:p w14:paraId="287D5C3C">
      <w:pPr>
        <w:keepNext w:val="0"/>
        <w:keepLines w:val="0"/>
        <w:pageBreakBefore w:val="0"/>
        <w:widowControl w:val="0"/>
        <w:kinsoku/>
        <w:wordWrap/>
        <w:overflowPunct/>
        <w:topLinePunct w:val="0"/>
        <w:bidi w:val="0"/>
        <w:snapToGrid/>
        <w:spacing w:line="360" w:lineRule="auto"/>
        <w:ind w:firstLine="480" w:firstLineChars="200"/>
        <w:textAlignment w:val="auto"/>
        <w:rPr>
          <w:rFonts w:hint="eastAsia" w:asciiTheme="minorEastAsia" w:hAnsiTheme="minorEastAsia" w:eastAsiaTheme="minorEastAsia" w:cstheme="minorEastAsia"/>
          <w:color w:val="auto"/>
          <w:szCs w:val="32"/>
          <w:highlight w:val="none"/>
        </w:rPr>
      </w:pPr>
      <w:r>
        <w:rPr>
          <w:rFonts w:hint="eastAsia" w:asciiTheme="minorEastAsia" w:hAnsiTheme="minorEastAsia" w:eastAsiaTheme="minorEastAsia" w:cstheme="minorEastAsia"/>
          <w:color w:val="auto"/>
          <w:szCs w:val="32"/>
          <w:highlight w:val="none"/>
        </w:rPr>
        <w:t>本项目环境空气质量现状监测方法见表4.3-3。</w:t>
      </w:r>
    </w:p>
    <w:p w14:paraId="445FAFF0">
      <w:pPr>
        <w:keepNext w:val="0"/>
        <w:keepLines w:val="0"/>
        <w:pageBreakBefore w:val="0"/>
        <w:widowControl w:val="0"/>
        <w:kinsoku/>
        <w:wordWrap/>
        <w:overflowPunct/>
        <w:topLinePunct w:val="0"/>
        <w:autoSpaceDE w:val="0"/>
        <w:autoSpaceDN w:val="0"/>
        <w:bidi w:val="0"/>
        <w:adjustRightInd w:val="0"/>
        <w:snapToGrid/>
        <w:spacing w:line="240" w:lineRule="auto"/>
        <w:ind w:firstLine="482" w:firstLineChars="200"/>
        <w:jc w:val="center"/>
        <w:textAlignment w:val="auto"/>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表4.3-3  环境空气质量现状监测方法</w:t>
      </w:r>
    </w:p>
    <w:tbl>
      <w:tblPr>
        <w:tblStyle w:val="1307"/>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487"/>
        <w:gridCol w:w="6490"/>
      </w:tblGrid>
      <w:tr w14:paraId="324A9F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1385" w:type="pct"/>
            <w:tcBorders>
              <w:tl2br w:val="nil"/>
              <w:tr2bl w:val="nil"/>
            </w:tcBorders>
            <w:shd w:val="clear" w:color="auto" w:fill="auto"/>
            <w:noWrap w:val="0"/>
            <w:vAlign w:val="center"/>
          </w:tcPr>
          <w:p w14:paraId="09F0DF30">
            <w:pPr>
              <w:pStyle w:val="312"/>
              <w:keepNext w:val="0"/>
              <w:keepLines w:val="0"/>
              <w:suppressLineNumbers w:val="0"/>
              <w:spacing w:before="0" w:beforeAutospacing="0" w:after="0" w:afterAutospacing="0" w:line="240" w:lineRule="auto"/>
              <w:ind w:firstLine="420" w:firstLineChars="200"/>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监测项目</w:t>
            </w:r>
          </w:p>
        </w:tc>
        <w:tc>
          <w:tcPr>
            <w:tcW w:w="3614" w:type="pct"/>
            <w:tcBorders>
              <w:tl2br w:val="nil"/>
              <w:tr2bl w:val="nil"/>
            </w:tcBorders>
            <w:shd w:val="clear" w:color="auto" w:fill="auto"/>
            <w:noWrap w:val="0"/>
            <w:vAlign w:val="center"/>
          </w:tcPr>
          <w:p w14:paraId="24E75231">
            <w:pPr>
              <w:pStyle w:val="312"/>
              <w:keepNext w:val="0"/>
              <w:keepLines w:val="0"/>
              <w:suppressLineNumbers w:val="0"/>
              <w:spacing w:before="0" w:beforeAutospacing="0" w:after="0" w:afterAutospacing="0" w:line="240" w:lineRule="auto"/>
              <w:ind w:firstLine="420" w:firstLineChars="200"/>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监测方法</w:t>
            </w:r>
          </w:p>
        </w:tc>
      </w:tr>
      <w:tr w14:paraId="2147CA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1385" w:type="pct"/>
            <w:tcBorders>
              <w:tl2br w:val="nil"/>
              <w:tr2bl w:val="nil"/>
            </w:tcBorders>
            <w:shd w:val="clear" w:color="auto" w:fill="auto"/>
            <w:noWrap w:val="0"/>
            <w:vAlign w:val="center"/>
          </w:tcPr>
          <w:p w14:paraId="4E6652A5">
            <w:pPr>
              <w:pStyle w:val="312"/>
              <w:keepNext w:val="0"/>
              <w:keepLines w:val="0"/>
              <w:suppressLineNumbers w:val="0"/>
              <w:spacing w:before="0" w:beforeAutospacing="0" w:after="0" w:afterAutospacing="0" w:line="240" w:lineRule="auto"/>
              <w:ind w:firstLine="420" w:firstLineChars="200"/>
              <w:jc w:val="center"/>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lang w:val="en-US" w:eastAsia="zh-CN"/>
              </w:rPr>
              <w:t>TSP</w:t>
            </w:r>
          </w:p>
        </w:tc>
        <w:tc>
          <w:tcPr>
            <w:tcW w:w="3614" w:type="pct"/>
            <w:tcBorders>
              <w:tl2br w:val="nil"/>
              <w:tr2bl w:val="nil"/>
            </w:tcBorders>
            <w:shd w:val="clear" w:color="auto" w:fill="auto"/>
            <w:noWrap w:val="0"/>
            <w:vAlign w:val="center"/>
          </w:tcPr>
          <w:p w14:paraId="529DA3E0">
            <w:pPr>
              <w:pStyle w:val="312"/>
              <w:keepNext w:val="0"/>
              <w:keepLines w:val="0"/>
              <w:suppressLineNumbers w:val="0"/>
              <w:spacing w:before="0" w:beforeAutospacing="0" w:after="0" w:afterAutospacing="0" w:line="240" w:lineRule="auto"/>
              <w:ind w:firstLine="420" w:firstLineChars="200"/>
              <w:jc w:val="center"/>
              <w:rPr>
                <w:rFonts w:hint="eastAsia" w:asciiTheme="minorEastAsia" w:hAnsiTheme="minorEastAsia" w:eastAsiaTheme="minorEastAsia" w:cstheme="minorEastAsia"/>
                <w:b w:val="0"/>
                <w:bCs w:val="0"/>
                <w:color w:val="auto"/>
                <w:highlight w:val="none"/>
              </w:rPr>
            </w:pPr>
            <w:r>
              <w:rPr>
                <w:rFonts w:hint="default" w:ascii="Times New Roman" w:hAnsi="Times New Roman" w:cs="Times New Roman"/>
                <w:color w:val="auto"/>
                <w:kern w:val="0"/>
                <w:szCs w:val="21"/>
                <w:highlight w:val="none"/>
                <w:lang w:bidi="ar"/>
              </w:rPr>
              <w:t>环境空气总悬浮颗粒物的测定重量法</w:t>
            </w:r>
            <w:r>
              <w:rPr>
                <w:rFonts w:hint="eastAsia" w:cs="Times New Roman"/>
                <w:color w:val="auto"/>
                <w:kern w:val="0"/>
                <w:szCs w:val="21"/>
                <w:highlight w:val="none"/>
                <w:lang w:val="en-US" w:eastAsia="zh-CN" w:bidi="ar"/>
              </w:rPr>
              <w:t xml:space="preserve"> </w:t>
            </w:r>
            <w:r>
              <w:rPr>
                <w:rFonts w:hint="default" w:ascii="Times New Roman" w:hAnsi="Times New Roman" w:cs="Times New Roman"/>
                <w:color w:val="auto"/>
                <w:kern w:val="0"/>
                <w:szCs w:val="21"/>
                <w:highlight w:val="none"/>
                <w:lang w:bidi="ar"/>
              </w:rPr>
              <w:t>HJ</w:t>
            </w:r>
            <w:r>
              <w:rPr>
                <w:rFonts w:hint="eastAsia" w:cs="Times New Roman"/>
                <w:color w:val="auto"/>
                <w:kern w:val="0"/>
                <w:szCs w:val="21"/>
                <w:highlight w:val="none"/>
                <w:lang w:val="en-US" w:eastAsia="zh-CN" w:bidi="ar"/>
              </w:rPr>
              <w:t xml:space="preserve"> </w:t>
            </w:r>
            <w:r>
              <w:rPr>
                <w:rFonts w:hint="default" w:ascii="Times New Roman" w:hAnsi="Times New Roman" w:cs="Times New Roman"/>
                <w:color w:val="auto"/>
                <w:kern w:val="0"/>
                <w:szCs w:val="21"/>
                <w:highlight w:val="none"/>
                <w:lang w:bidi="ar"/>
              </w:rPr>
              <w:t>1263-2022</w:t>
            </w:r>
          </w:p>
        </w:tc>
      </w:tr>
    </w:tbl>
    <w:p w14:paraId="46D54CDB">
      <w:pPr>
        <w:keepNext w:val="0"/>
        <w:keepLines w:val="0"/>
        <w:pageBreakBefore w:val="0"/>
        <w:widowControl w:val="0"/>
        <w:kinsoku/>
        <w:wordWrap/>
        <w:overflowPunct/>
        <w:topLinePunct w:val="0"/>
        <w:bidi w:val="0"/>
        <w:snapToGrid/>
        <w:spacing w:line="360" w:lineRule="auto"/>
        <w:ind w:firstLine="480" w:firstLineChars="200"/>
        <w:textAlignment w:val="auto"/>
        <w:rPr>
          <w:rFonts w:hint="eastAsia" w:asciiTheme="minorEastAsia" w:hAnsiTheme="minorEastAsia" w:eastAsiaTheme="minorEastAsia" w:cstheme="minorEastAsia"/>
          <w:color w:val="auto"/>
          <w:szCs w:val="32"/>
          <w:highlight w:val="none"/>
        </w:rPr>
      </w:pPr>
      <w:r>
        <w:rPr>
          <w:rFonts w:hint="eastAsia" w:asciiTheme="minorEastAsia" w:hAnsiTheme="minorEastAsia" w:eastAsiaTheme="minorEastAsia" w:cstheme="minorEastAsia"/>
          <w:color w:val="auto"/>
          <w:szCs w:val="32"/>
          <w:highlight w:val="none"/>
        </w:rPr>
        <w:t>（3）</w:t>
      </w:r>
      <w:r>
        <w:rPr>
          <w:rFonts w:hint="eastAsia" w:asciiTheme="minorEastAsia" w:hAnsiTheme="minorEastAsia" w:eastAsiaTheme="minorEastAsia" w:cstheme="minorEastAsia"/>
          <w:color w:val="auto"/>
          <w:szCs w:val="32"/>
          <w:highlight w:val="none"/>
          <w:lang w:val="zh-CN"/>
        </w:rPr>
        <w:t>监测结果</w:t>
      </w:r>
    </w:p>
    <w:p w14:paraId="14EDE9AE">
      <w:pPr>
        <w:keepNext w:val="0"/>
        <w:keepLines w:val="0"/>
        <w:pageBreakBefore w:val="0"/>
        <w:widowControl w:val="0"/>
        <w:kinsoku/>
        <w:wordWrap/>
        <w:overflowPunct/>
        <w:topLinePunct w:val="0"/>
        <w:bidi w:val="0"/>
        <w:snapToGrid/>
        <w:spacing w:line="360" w:lineRule="auto"/>
        <w:ind w:firstLine="480" w:firstLineChars="200"/>
        <w:textAlignment w:val="auto"/>
        <w:rPr>
          <w:rFonts w:hint="eastAsia" w:asciiTheme="minorEastAsia" w:hAnsiTheme="minorEastAsia" w:eastAsiaTheme="minorEastAsia" w:cstheme="minorEastAsia"/>
          <w:color w:val="auto"/>
          <w:szCs w:val="32"/>
          <w:highlight w:val="none"/>
        </w:rPr>
      </w:pPr>
      <w:r>
        <w:rPr>
          <w:rFonts w:hint="eastAsia" w:asciiTheme="minorEastAsia" w:hAnsiTheme="minorEastAsia" w:eastAsiaTheme="minorEastAsia" w:cstheme="minorEastAsia"/>
          <w:color w:val="auto"/>
          <w:szCs w:val="32"/>
          <w:highlight w:val="none"/>
          <w:lang w:val="en-US" w:eastAsia="zh-CN"/>
        </w:rPr>
        <w:t>厂址、厂址下风向</w:t>
      </w:r>
      <w:r>
        <w:rPr>
          <w:rFonts w:hint="eastAsia" w:asciiTheme="minorEastAsia" w:hAnsiTheme="minorEastAsia" w:eastAsiaTheme="minorEastAsia" w:cstheme="minorEastAsia"/>
          <w:color w:val="auto"/>
          <w:szCs w:val="32"/>
          <w:highlight w:val="none"/>
        </w:rPr>
        <w:t>补充监测其他污染物</w:t>
      </w:r>
      <w:r>
        <w:rPr>
          <w:rFonts w:hint="eastAsia" w:asciiTheme="minorEastAsia" w:hAnsiTheme="minorEastAsia" w:eastAsiaTheme="minorEastAsia" w:cstheme="minorEastAsia"/>
          <w:color w:val="auto"/>
          <w:szCs w:val="32"/>
          <w:highlight w:val="none"/>
          <w:lang w:eastAsia="zh-CN"/>
        </w:rPr>
        <w:t>（</w:t>
      </w:r>
      <w:r>
        <w:rPr>
          <w:rFonts w:hint="eastAsia" w:asciiTheme="minorEastAsia" w:hAnsiTheme="minorEastAsia" w:eastAsiaTheme="minorEastAsia" w:cstheme="minorEastAsia"/>
          <w:color w:val="auto"/>
          <w:szCs w:val="32"/>
          <w:highlight w:val="none"/>
          <w:lang w:val="en-US" w:eastAsia="zh-CN"/>
        </w:rPr>
        <w:t>TSP</w:t>
      </w:r>
      <w:r>
        <w:rPr>
          <w:rFonts w:hint="eastAsia" w:asciiTheme="minorEastAsia" w:hAnsiTheme="minorEastAsia" w:eastAsiaTheme="minorEastAsia" w:cstheme="minorEastAsia"/>
          <w:color w:val="auto"/>
          <w:szCs w:val="32"/>
          <w:highlight w:val="none"/>
          <w:lang w:eastAsia="zh-CN"/>
        </w:rPr>
        <w:t>）</w:t>
      </w:r>
      <w:r>
        <w:rPr>
          <w:rFonts w:hint="eastAsia" w:asciiTheme="minorEastAsia" w:hAnsiTheme="minorEastAsia" w:eastAsiaTheme="minorEastAsia" w:cstheme="minorEastAsia"/>
          <w:color w:val="auto"/>
          <w:szCs w:val="32"/>
          <w:highlight w:val="none"/>
        </w:rPr>
        <w:t>结果见表4.3-4。</w:t>
      </w:r>
    </w:p>
    <w:p w14:paraId="46C338E6">
      <w:pPr>
        <w:keepNext w:val="0"/>
        <w:keepLines w:val="0"/>
        <w:pageBreakBefore w:val="0"/>
        <w:widowControl w:val="0"/>
        <w:kinsoku/>
        <w:wordWrap/>
        <w:overflowPunct/>
        <w:topLinePunct w:val="0"/>
        <w:autoSpaceDE w:val="0"/>
        <w:autoSpaceDN w:val="0"/>
        <w:bidi w:val="0"/>
        <w:adjustRightInd w:val="0"/>
        <w:snapToGrid/>
        <w:spacing w:line="240" w:lineRule="auto"/>
        <w:ind w:firstLine="482" w:firstLineChars="200"/>
        <w:jc w:val="center"/>
        <w:textAlignment w:val="auto"/>
        <w:rPr>
          <w:rFonts w:hint="eastAsia" w:asciiTheme="minorEastAsia" w:hAnsiTheme="minorEastAsia" w:eastAsiaTheme="minorEastAsia" w:cstheme="minorEastAsia"/>
          <w:b/>
          <w:bCs/>
          <w:color w:val="auto"/>
          <w:sz w:val="24"/>
          <w:szCs w:val="24"/>
          <w:highlight w:val="none"/>
        </w:rPr>
      </w:pPr>
    </w:p>
    <w:p w14:paraId="484D9AD4">
      <w:pPr>
        <w:keepNext w:val="0"/>
        <w:keepLines w:val="0"/>
        <w:pageBreakBefore w:val="0"/>
        <w:widowControl w:val="0"/>
        <w:kinsoku/>
        <w:wordWrap/>
        <w:overflowPunct/>
        <w:topLinePunct w:val="0"/>
        <w:autoSpaceDE w:val="0"/>
        <w:autoSpaceDN w:val="0"/>
        <w:bidi w:val="0"/>
        <w:adjustRightInd w:val="0"/>
        <w:snapToGrid/>
        <w:spacing w:line="240" w:lineRule="auto"/>
        <w:ind w:firstLine="482" w:firstLineChars="200"/>
        <w:jc w:val="center"/>
        <w:textAlignment w:val="auto"/>
        <w:rPr>
          <w:rFonts w:hint="eastAsia" w:asciiTheme="minorEastAsia" w:hAnsiTheme="minorEastAsia" w:eastAsiaTheme="minorEastAsia" w:cstheme="minorEastAsia"/>
          <w:b/>
          <w:bCs/>
          <w:color w:val="auto"/>
          <w:sz w:val="24"/>
          <w:szCs w:val="24"/>
          <w:highlight w:val="none"/>
        </w:rPr>
      </w:pPr>
    </w:p>
    <w:p w14:paraId="611B2218">
      <w:pPr>
        <w:keepNext w:val="0"/>
        <w:keepLines w:val="0"/>
        <w:pageBreakBefore w:val="0"/>
        <w:widowControl w:val="0"/>
        <w:kinsoku/>
        <w:wordWrap/>
        <w:overflowPunct/>
        <w:topLinePunct w:val="0"/>
        <w:autoSpaceDE w:val="0"/>
        <w:autoSpaceDN w:val="0"/>
        <w:bidi w:val="0"/>
        <w:adjustRightInd w:val="0"/>
        <w:snapToGrid/>
        <w:spacing w:line="240" w:lineRule="auto"/>
        <w:ind w:firstLine="482" w:firstLineChars="200"/>
        <w:jc w:val="center"/>
        <w:textAlignment w:val="auto"/>
        <w:rPr>
          <w:rFonts w:hint="eastAsia" w:asciiTheme="minorEastAsia" w:hAnsiTheme="minorEastAsia" w:eastAsiaTheme="minorEastAsia" w:cstheme="minorEastAsia"/>
          <w:b/>
          <w:bCs/>
          <w:color w:val="auto"/>
          <w:sz w:val="24"/>
          <w:szCs w:val="24"/>
          <w:highlight w:val="none"/>
        </w:rPr>
      </w:pPr>
    </w:p>
    <w:p w14:paraId="1E11A58B">
      <w:pPr>
        <w:keepNext w:val="0"/>
        <w:keepLines w:val="0"/>
        <w:pageBreakBefore w:val="0"/>
        <w:widowControl w:val="0"/>
        <w:kinsoku/>
        <w:wordWrap/>
        <w:overflowPunct/>
        <w:topLinePunct w:val="0"/>
        <w:autoSpaceDE w:val="0"/>
        <w:autoSpaceDN w:val="0"/>
        <w:bidi w:val="0"/>
        <w:adjustRightInd w:val="0"/>
        <w:snapToGrid/>
        <w:spacing w:line="240" w:lineRule="auto"/>
        <w:ind w:firstLine="482" w:firstLineChars="200"/>
        <w:jc w:val="center"/>
        <w:textAlignment w:val="auto"/>
        <w:rPr>
          <w:rFonts w:hint="eastAsia" w:asciiTheme="minorEastAsia" w:hAnsiTheme="minorEastAsia" w:eastAsiaTheme="minorEastAsia" w:cstheme="minorEastAsia"/>
          <w:b/>
          <w:bCs/>
          <w:color w:val="auto"/>
          <w:sz w:val="24"/>
          <w:szCs w:val="24"/>
          <w:highlight w:val="none"/>
        </w:rPr>
      </w:pPr>
    </w:p>
    <w:p w14:paraId="3036B1AA">
      <w:pPr>
        <w:keepNext w:val="0"/>
        <w:keepLines w:val="0"/>
        <w:pageBreakBefore w:val="0"/>
        <w:widowControl w:val="0"/>
        <w:kinsoku/>
        <w:wordWrap/>
        <w:overflowPunct/>
        <w:topLinePunct w:val="0"/>
        <w:autoSpaceDE w:val="0"/>
        <w:autoSpaceDN w:val="0"/>
        <w:bidi w:val="0"/>
        <w:adjustRightInd w:val="0"/>
        <w:snapToGrid/>
        <w:spacing w:line="240" w:lineRule="auto"/>
        <w:ind w:firstLine="482" w:firstLineChars="200"/>
        <w:jc w:val="center"/>
        <w:textAlignment w:val="auto"/>
        <w:rPr>
          <w:rFonts w:hint="eastAsia" w:asciiTheme="minorEastAsia" w:hAnsiTheme="minorEastAsia" w:eastAsiaTheme="minorEastAsia" w:cstheme="minorEastAsia"/>
          <w:b/>
          <w:bCs/>
          <w:color w:val="auto"/>
          <w:sz w:val="24"/>
          <w:szCs w:val="24"/>
          <w:highlight w:val="none"/>
          <w:lang w:val="en-US" w:eastAsia="zh-CN"/>
        </w:rPr>
      </w:pPr>
      <w:r>
        <w:rPr>
          <w:rFonts w:hint="eastAsia" w:asciiTheme="minorEastAsia" w:hAnsiTheme="minorEastAsia" w:eastAsiaTheme="minorEastAsia" w:cstheme="minorEastAsia"/>
          <w:b/>
          <w:bCs/>
          <w:color w:val="auto"/>
          <w:sz w:val="24"/>
          <w:szCs w:val="24"/>
          <w:highlight w:val="none"/>
        </w:rPr>
        <w:t>表4.3-4</w:t>
      </w:r>
      <w:r>
        <w:rPr>
          <w:rFonts w:hint="eastAsia" w:asciiTheme="minorEastAsia" w:hAnsiTheme="minorEastAsia" w:eastAsiaTheme="minorEastAsia" w:cstheme="minorEastAsia"/>
          <w:b/>
          <w:bCs/>
          <w:color w:val="auto"/>
          <w:sz w:val="24"/>
          <w:szCs w:val="24"/>
          <w:highlight w:val="none"/>
          <w:lang w:val="en-US" w:eastAsia="zh-CN"/>
        </w:rPr>
        <w:t xml:space="preserve">  TSP</w:t>
      </w:r>
      <w:r>
        <w:rPr>
          <w:rFonts w:hint="eastAsia" w:asciiTheme="minorEastAsia" w:hAnsiTheme="minorEastAsia" w:eastAsiaTheme="minorEastAsia" w:cstheme="minorEastAsia"/>
          <w:b/>
          <w:bCs/>
          <w:color w:val="auto"/>
          <w:sz w:val="24"/>
          <w:szCs w:val="24"/>
          <w:highlight w:val="none"/>
        </w:rPr>
        <w:t>环境空气检测结果</w:t>
      </w:r>
      <w:r>
        <w:rPr>
          <w:rFonts w:hint="eastAsia" w:asciiTheme="minorEastAsia" w:hAnsiTheme="minorEastAsia" w:eastAsiaTheme="minorEastAsia" w:cstheme="minorEastAsia"/>
          <w:b/>
          <w:bCs/>
          <w:color w:val="auto"/>
          <w:sz w:val="24"/>
          <w:szCs w:val="24"/>
          <w:highlight w:val="none"/>
          <w:lang w:val="en-US" w:eastAsia="zh-CN"/>
        </w:rPr>
        <w:t xml:space="preserve"> 单位：mg/m</w:t>
      </w:r>
      <w:r>
        <w:rPr>
          <w:rFonts w:hint="eastAsia" w:asciiTheme="minorEastAsia" w:hAnsiTheme="minorEastAsia" w:eastAsiaTheme="minorEastAsia" w:cstheme="minorEastAsia"/>
          <w:b/>
          <w:bCs/>
          <w:color w:val="auto"/>
          <w:sz w:val="24"/>
          <w:szCs w:val="24"/>
          <w:highlight w:val="none"/>
          <w:vertAlign w:val="superscript"/>
          <w:lang w:val="en-US" w:eastAsia="zh-CN"/>
        </w:rPr>
        <w:t>3</w:t>
      </w:r>
    </w:p>
    <w:tbl>
      <w:tblPr>
        <w:tblStyle w:val="85"/>
        <w:tblW w:w="490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59"/>
        <w:gridCol w:w="1972"/>
        <w:gridCol w:w="1840"/>
        <w:gridCol w:w="1820"/>
        <w:gridCol w:w="1083"/>
        <w:gridCol w:w="1036"/>
      </w:tblGrid>
      <w:tr w14:paraId="294B3F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72" w:hRule="atLeast"/>
          <w:tblHeader/>
          <w:jc w:val="center"/>
        </w:trPr>
        <w:tc>
          <w:tcPr>
            <w:tcW w:w="601" w:type="pct"/>
            <w:tcBorders>
              <w:tl2br w:val="nil"/>
              <w:tr2bl w:val="nil"/>
            </w:tcBorders>
            <w:noWrap w:val="0"/>
            <w:vAlign w:val="center"/>
          </w:tcPr>
          <w:p w14:paraId="6CAD94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ascii="Times New Roman" w:hAnsi="Times New Roman" w:eastAsia="宋体" w:cs="Times New Roman"/>
                <w:b w:val="0"/>
                <w:bCs w:val="0"/>
                <w:color w:val="auto"/>
                <w:sz w:val="21"/>
                <w:szCs w:val="21"/>
                <w:highlight w:val="none"/>
                <w:lang w:val="en-US" w:eastAsia="zh-CN"/>
              </w:rPr>
              <w:t>采样</w:t>
            </w:r>
            <w:r>
              <w:rPr>
                <w:rFonts w:hint="default" w:ascii="Times New Roman" w:hAnsi="Times New Roman" w:eastAsia="宋体" w:cs="Times New Roman"/>
                <w:b w:val="0"/>
                <w:bCs w:val="0"/>
                <w:color w:val="auto"/>
                <w:sz w:val="21"/>
                <w:szCs w:val="21"/>
                <w:highlight w:val="none"/>
                <w:lang w:val="en-US" w:eastAsia="zh-CN"/>
              </w:rPr>
              <w:t>时间</w:t>
            </w:r>
          </w:p>
        </w:tc>
        <w:tc>
          <w:tcPr>
            <w:tcW w:w="1119" w:type="pct"/>
            <w:tcBorders>
              <w:tl2br w:val="nil"/>
              <w:tr2bl w:val="nil"/>
            </w:tcBorders>
            <w:noWrap w:val="0"/>
            <w:vAlign w:val="center"/>
          </w:tcPr>
          <w:p w14:paraId="3E8D22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采样点位</w:t>
            </w:r>
          </w:p>
        </w:tc>
        <w:tc>
          <w:tcPr>
            <w:tcW w:w="1044" w:type="pct"/>
            <w:tcBorders>
              <w:tl2br w:val="nil"/>
              <w:tr2bl w:val="nil"/>
            </w:tcBorders>
            <w:noWrap w:val="0"/>
            <w:vAlign w:val="center"/>
          </w:tcPr>
          <w:p w14:paraId="7D3B4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b w:val="0"/>
                <w:bCs w:val="0"/>
                <w:color w:val="auto"/>
                <w:sz w:val="21"/>
                <w:szCs w:val="21"/>
                <w:highlight w:val="none"/>
                <w:vertAlign w:val="baseline"/>
                <w:lang w:val="en-US" w:eastAsia="zh-CN"/>
              </w:rPr>
              <w:t>检测项目</w:t>
            </w:r>
          </w:p>
        </w:tc>
        <w:tc>
          <w:tcPr>
            <w:tcW w:w="1032" w:type="pct"/>
            <w:tcBorders>
              <w:tl2br w:val="nil"/>
              <w:tr2bl w:val="nil"/>
            </w:tcBorders>
            <w:noWrap w:val="0"/>
            <w:vAlign w:val="center"/>
          </w:tcPr>
          <w:p w14:paraId="0A067D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sz w:val="21"/>
                <w:szCs w:val="21"/>
                <w:highlight w:val="none"/>
                <w:lang w:val="en-US" w:eastAsia="zh-CN"/>
              </w:rPr>
              <w:t>检测结果</w:t>
            </w:r>
          </w:p>
        </w:tc>
        <w:tc>
          <w:tcPr>
            <w:tcW w:w="614" w:type="pct"/>
            <w:tcBorders>
              <w:tl2br w:val="nil"/>
              <w:tr2bl w:val="nil"/>
            </w:tcBorders>
            <w:noWrap w:val="0"/>
            <w:vAlign w:val="center"/>
          </w:tcPr>
          <w:p w14:paraId="249828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限值</w:t>
            </w:r>
          </w:p>
        </w:tc>
        <w:tc>
          <w:tcPr>
            <w:tcW w:w="587" w:type="pct"/>
            <w:tcBorders>
              <w:tl2br w:val="nil"/>
              <w:tr2bl w:val="nil"/>
            </w:tcBorders>
            <w:noWrap w:val="0"/>
            <w:vAlign w:val="center"/>
          </w:tcPr>
          <w:p w14:paraId="4C8D03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lang w:val="en-US" w:eastAsia="zh-CN"/>
              </w:rPr>
              <w:t>单位</w:t>
            </w:r>
          </w:p>
        </w:tc>
      </w:tr>
      <w:tr w14:paraId="04B890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restart"/>
            <w:tcBorders>
              <w:tl2br w:val="nil"/>
              <w:tr2bl w:val="nil"/>
            </w:tcBorders>
            <w:noWrap w:val="0"/>
            <w:vAlign w:val="center"/>
          </w:tcPr>
          <w:p w14:paraId="2CB0AF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cs="Times New Roman"/>
                <w:color w:val="auto"/>
                <w:sz w:val="21"/>
                <w:szCs w:val="21"/>
                <w:highlight w:val="none"/>
                <w:lang w:val="en-US" w:eastAsia="zh-CN"/>
              </w:rPr>
              <w:t>2026.5.25</w:t>
            </w:r>
          </w:p>
        </w:tc>
        <w:tc>
          <w:tcPr>
            <w:tcW w:w="1119" w:type="pct"/>
            <w:tcBorders>
              <w:tl2br w:val="nil"/>
              <w:tr2bl w:val="nil"/>
            </w:tcBorders>
            <w:noWrap w:val="0"/>
            <w:vAlign w:val="center"/>
          </w:tcPr>
          <w:p w14:paraId="1AA332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lang w:val="en-US" w:eastAsia="zh-CN"/>
              </w:rPr>
              <w:t>厂址</w:t>
            </w:r>
            <w:r>
              <w:rPr>
                <w:rFonts w:hint="eastAsia" w:eastAsia="宋体" w:cs="Times New Roman"/>
                <w:color w:val="auto"/>
                <w:kern w:val="0"/>
                <w:sz w:val="21"/>
                <w:szCs w:val="21"/>
                <w:highlight w:val="none"/>
                <w:lang w:val="en-US" w:eastAsia="zh-CN"/>
              </w:rPr>
              <w:t>1</w:t>
            </w:r>
            <w:r>
              <w:rPr>
                <w:rFonts w:hint="default" w:ascii="Times New Roman" w:hAnsi="Times New Roman" w:eastAsia="宋体" w:cs="Times New Roman"/>
                <w:color w:val="auto"/>
                <w:kern w:val="0"/>
                <w:sz w:val="21"/>
                <w:szCs w:val="21"/>
                <w:highlight w:val="none"/>
                <w:lang w:val="en-US" w:eastAsia="zh-CN"/>
              </w:rPr>
              <w:t>#</w:t>
            </w:r>
          </w:p>
        </w:tc>
        <w:tc>
          <w:tcPr>
            <w:tcW w:w="1044" w:type="pct"/>
            <w:tcBorders>
              <w:tl2br w:val="nil"/>
              <w:tr2bl w:val="nil"/>
            </w:tcBorders>
            <w:noWrap w:val="0"/>
            <w:vAlign w:val="center"/>
          </w:tcPr>
          <w:p w14:paraId="639C07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23C03D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104</w:t>
            </w:r>
          </w:p>
        </w:tc>
        <w:tc>
          <w:tcPr>
            <w:tcW w:w="614" w:type="pct"/>
            <w:tcBorders>
              <w:tl2br w:val="nil"/>
              <w:tr2bl w:val="nil"/>
            </w:tcBorders>
            <w:noWrap w:val="0"/>
            <w:vAlign w:val="center"/>
          </w:tcPr>
          <w:p w14:paraId="46E5CA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646ADB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5C8879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continue"/>
            <w:tcBorders>
              <w:tl2br w:val="nil"/>
              <w:tr2bl w:val="nil"/>
            </w:tcBorders>
            <w:noWrap w:val="0"/>
            <w:vAlign w:val="center"/>
          </w:tcPr>
          <w:p w14:paraId="68EA74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p>
        </w:tc>
        <w:tc>
          <w:tcPr>
            <w:tcW w:w="1119" w:type="pct"/>
            <w:tcBorders>
              <w:tl2br w:val="nil"/>
              <w:tr2bl w:val="nil"/>
            </w:tcBorders>
            <w:noWrap w:val="0"/>
            <w:vAlign w:val="center"/>
          </w:tcPr>
          <w:p w14:paraId="6DC03D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rPr>
              <w:t>厂址下风向</w:t>
            </w:r>
            <w:r>
              <w:rPr>
                <w:rFonts w:hint="eastAsia"/>
                <w:color w:val="auto"/>
                <w:sz w:val="21"/>
                <w:szCs w:val="21"/>
                <w:highlight w:val="none"/>
                <w:lang w:val="en-US" w:eastAsia="zh-CN"/>
              </w:rPr>
              <w:t>2#</w:t>
            </w:r>
          </w:p>
        </w:tc>
        <w:tc>
          <w:tcPr>
            <w:tcW w:w="1044" w:type="pct"/>
            <w:tcBorders>
              <w:tl2br w:val="nil"/>
              <w:tr2bl w:val="nil"/>
            </w:tcBorders>
            <w:noWrap w:val="0"/>
            <w:vAlign w:val="center"/>
          </w:tcPr>
          <w:p w14:paraId="2CA940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580886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109</w:t>
            </w:r>
          </w:p>
        </w:tc>
        <w:tc>
          <w:tcPr>
            <w:tcW w:w="614" w:type="pct"/>
            <w:tcBorders>
              <w:tl2br w:val="nil"/>
              <w:tr2bl w:val="nil"/>
            </w:tcBorders>
            <w:noWrap w:val="0"/>
            <w:vAlign w:val="center"/>
          </w:tcPr>
          <w:p w14:paraId="46FB1E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73E18F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76D567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restart"/>
            <w:tcBorders>
              <w:tl2br w:val="nil"/>
              <w:tr2bl w:val="nil"/>
            </w:tcBorders>
            <w:noWrap w:val="0"/>
            <w:vAlign w:val="center"/>
          </w:tcPr>
          <w:p w14:paraId="788013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2026.5.26</w:t>
            </w:r>
          </w:p>
        </w:tc>
        <w:tc>
          <w:tcPr>
            <w:tcW w:w="1119" w:type="pct"/>
            <w:tcBorders>
              <w:tl2br w:val="nil"/>
              <w:tr2bl w:val="nil"/>
            </w:tcBorders>
            <w:noWrap w:val="0"/>
            <w:vAlign w:val="center"/>
          </w:tcPr>
          <w:p w14:paraId="17AEB1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厂址</w:t>
            </w:r>
          </w:p>
          <w:p w14:paraId="5F4B9F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eastAsia="宋体" w:cs="Times New Roman"/>
                <w:color w:val="auto"/>
                <w:kern w:val="0"/>
                <w:sz w:val="21"/>
                <w:szCs w:val="21"/>
                <w:highlight w:val="none"/>
                <w:lang w:val="en-US" w:eastAsia="zh-CN"/>
              </w:rPr>
              <w:t>1</w:t>
            </w:r>
            <w:r>
              <w:rPr>
                <w:rFonts w:hint="default" w:ascii="Times New Roman" w:hAnsi="Times New Roman" w:eastAsia="宋体" w:cs="Times New Roman"/>
                <w:color w:val="auto"/>
                <w:kern w:val="0"/>
                <w:sz w:val="21"/>
                <w:szCs w:val="21"/>
                <w:highlight w:val="none"/>
                <w:lang w:val="en-US" w:eastAsia="zh-CN"/>
              </w:rPr>
              <w:t>#</w:t>
            </w:r>
          </w:p>
        </w:tc>
        <w:tc>
          <w:tcPr>
            <w:tcW w:w="1044" w:type="pct"/>
            <w:tcBorders>
              <w:tl2br w:val="nil"/>
              <w:tr2bl w:val="nil"/>
            </w:tcBorders>
            <w:noWrap w:val="0"/>
            <w:vAlign w:val="center"/>
          </w:tcPr>
          <w:p w14:paraId="5E7999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776180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98</w:t>
            </w:r>
          </w:p>
        </w:tc>
        <w:tc>
          <w:tcPr>
            <w:tcW w:w="614" w:type="pct"/>
            <w:tcBorders>
              <w:tl2br w:val="nil"/>
              <w:tr2bl w:val="nil"/>
            </w:tcBorders>
            <w:noWrap w:val="0"/>
            <w:vAlign w:val="center"/>
          </w:tcPr>
          <w:p w14:paraId="6E7D20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413ADC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696BB6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continue"/>
            <w:tcBorders>
              <w:tl2br w:val="nil"/>
              <w:tr2bl w:val="nil"/>
            </w:tcBorders>
            <w:noWrap w:val="0"/>
            <w:vAlign w:val="center"/>
          </w:tcPr>
          <w:p w14:paraId="6FF1F9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p>
        </w:tc>
        <w:tc>
          <w:tcPr>
            <w:tcW w:w="1119" w:type="pct"/>
            <w:tcBorders>
              <w:tl2br w:val="nil"/>
              <w:tr2bl w:val="nil"/>
            </w:tcBorders>
            <w:noWrap w:val="0"/>
            <w:vAlign w:val="center"/>
          </w:tcPr>
          <w:p w14:paraId="1767B4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rPr>
              <w:t>厂址下风向</w:t>
            </w:r>
            <w:r>
              <w:rPr>
                <w:rFonts w:hint="eastAsia"/>
                <w:color w:val="auto"/>
                <w:sz w:val="21"/>
                <w:szCs w:val="21"/>
                <w:highlight w:val="none"/>
                <w:lang w:val="en-US" w:eastAsia="zh-CN"/>
              </w:rPr>
              <w:t>2#</w:t>
            </w:r>
          </w:p>
        </w:tc>
        <w:tc>
          <w:tcPr>
            <w:tcW w:w="1044" w:type="pct"/>
            <w:tcBorders>
              <w:tl2br w:val="nil"/>
              <w:tr2bl w:val="nil"/>
            </w:tcBorders>
            <w:noWrap w:val="0"/>
            <w:vAlign w:val="center"/>
          </w:tcPr>
          <w:p w14:paraId="40C4A0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3C2CCD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115</w:t>
            </w:r>
          </w:p>
        </w:tc>
        <w:tc>
          <w:tcPr>
            <w:tcW w:w="614" w:type="pct"/>
            <w:tcBorders>
              <w:tl2br w:val="nil"/>
              <w:tr2bl w:val="nil"/>
            </w:tcBorders>
            <w:noWrap w:val="0"/>
            <w:vAlign w:val="center"/>
          </w:tcPr>
          <w:p w14:paraId="54BD8C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224CF6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691F06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restart"/>
            <w:tcBorders>
              <w:tl2br w:val="nil"/>
              <w:tr2bl w:val="nil"/>
            </w:tcBorders>
            <w:noWrap w:val="0"/>
            <w:vAlign w:val="center"/>
          </w:tcPr>
          <w:p w14:paraId="44D7E6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cs="Times New Roman"/>
                <w:color w:val="auto"/>
                <w:sz w:val="21"/>
                <w:szCs w:val="21"/>
                <w:highlight w:val="none"/>
                <w:lang w:val="en-US" w:eastAsia="zh-CN"/>
              </w:rPr>
              <w:t>2026.5.27</w:t>
            </w:r>
          </w:p>
        </w:tc>
        <w:tc>
          <w:tcPr>
            <w:tcW w:w="1119" w:type="pct"/>
            <w:tcBorders>
              <w:tl2br w:val="nil"/>
              <w:tr2bl w:val="nil"/>
            </w:tcBorders>
            <w:noWrap w:val="0"/>
            <w:vAlign w:val="center"/>
          </w:tcPr>
          <w:p w14:paraId="6049A8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rPr>
              <w:t>厂址</w:t>
            </w:r>
            <w:r>
              <w:rPr>
                <w:rFonts w:hint="eastAsia" w:eastAsia="宋体" w:cs="Times New Roman"/>
                <w:color w:val="auto"/>
                <w:kern w:val="0"/>
                <w:sz w:val="21"/>
                <w:szCs w:val="21"/>
                <w:highlight w:val="none"/>
                <w:lang w:val="en-US" w:eastAsia="zh-CN"/>
              </w:rPr>
              <w:t>1</w:t>
            </w:r>
            <w:r>
              <w:rPr>
                <w:rFonts w:hint="default" w:ascii="Times New Roman" w:hAnsi="Times New Roman" w:eastAsia="宋体" w:cs="Times New Roman"/>
                <w:color w:val="auto"/>
                <w:kern w:val="0"/>
                <w:sz w:val="21"/>
                <w:szCs w:val="21"/>
                <w:highlight w:val="none"/>
                <w:lang w:val="en-US" w:eastAsia="zh-CN"/>
              </w:rPr>
              <w:t>#</w:t>
            </w:r>
          </w:p>
        </w:tc>
        <w:tc>
          <w:tcPr>
            <w:tcW w:w="1044" w:type="pct"/>
            <w:tcBorders>
              <w:tl2br w:val="nil"/>
              <w:tr2bl w:val="nil"/>
            </w:tcBorders>
            <w:noWrap w:val="0"/>
            <w:vAlign w:val="center"/>
          </w:tcPr>
          <w:p w14:paraId="282699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5FD514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109</w:t>
            </w:r>
          </w:p>
        </w:tc>
        <w:tc>
          <w:tcPr>
            <w:tcW w:w="614" w:type="pct"/>
            <w:tcBorders>
              <w:tl2br w:val="nil"/>
              <w:tr2bl w:val="nil"/>
            </w:tcBorders>
            <w:noWrap w:val="0"/>
            <w:vAlign w:val="center"/>
          </w:tcPr>
          <w:p w14:paraId="643F5A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1509A3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796EFD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continue"/>
            <w:tcBorders>
              <w:tl2br w:val="nil"/>
              <w:tr2bl w:val="nil"/>
            </w:tcBorders>
            <w:noWrap w:val="0"/>
            <w:vAlign w:val="center"/>
          </w:tcPr>
          <w:p w14:paraId="01E405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p>
        </w:tc>
        <w:tc>
          <w:tcPr>
            <w:tcW w:w="1119" w:type="pct"/>
            <w:tcBorders>
              <w:tl2br w:val="nil"/>
              <w:tr2bl w:val="nil"/>
            </w:tcBorders>
            <w:noWrap w:val="0"/>
            <w:vAlign w:val="center"/>
          </w:tcPr>
          <w:p w14:paraId="158237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rPr>
              <w:t>厂址下风向</w:t>
            </w:r>
            <w:r>
              <w:rPr>
                <w:rFonts w:hint="eastAsia"/>
                <w:color w:val="auto"/>
                <w:sz w:val="21"/>
                <w:szCs w:val="21"/>
                <w:highlight w:val="none"/>
                <w:lang w:val="en-US" w:eastAsia="zh-CN"/>
              </w:rPr>
              <w:t>2#</w:t>
            </w:r>
          </w:p>
        </w:tc>
        <w:tc>
          <w:tcPr>
            <w:tcW w:w="1044" w:type="pct"/>
            <w:tcBorders>
              <w:tl2br w:val="nil"/>
              <w:tr2bl w:val="nil"/>
            </w:tcBorders>
            <w:noWrap w:val="0"/>
            <w:vAlign w:val="center"/>
          </w:tcPr>
          <w:p w14:paraId="3EA5B4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1340F4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92</w:t>
            </w:r>
          </w:p>
        </w:tc>
        <w:tc>
          <w:tcPr>
            <w:tcW w:w="614" w:type="pct"/>
            <w:tcBorders>
              <w:tl2br w:val="nil"/>
              <w:tr2bl w:val="nil"/>
            </w:tcBorders>
            <w:noWrap w:val="0"/>
            <w:vAlign w:val="center"/>
          </w:tcPr>
          <w:p w14:paraId="037593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584240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384DFA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restart"/>
            <w:tcBorders>
              <w:tl2br w:val="nil"/>
              <w:tr2bl w:val="nil"/>
            </w:tcBorders>
            <w:noWrap w:val="0"/>
            <w:vAlign w:val="center"/>
          </w:tcPr>
          <w:p w14:paraId="1D87BF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cs="Times New Roman"/>
                <w:color w:val="auto"/>
                <w:sz w:val="21"/>
                <w:szCs w:val="21"/>
                <w:highlight w:val="none"/>
                <w:lang w:val="en-US" w:eastAsia="zh-CN"/>
              </w:rPr>
              <w:t>2026.5.28</w:t>
            </w:r>
          </w:p>
        </w:tc>
        <w:tc>
          <w:tcPr>
            <w:tcW w:w="1119" w:type="pct"/>
            <w:tcBorders>
              <w:tl2br w:val="nil"/>
              <w:tr2bl w:val="nil"/>
            </w:tcBorders>
            <w:noWrap w:val="0"/>
            <w:vAlign w:val="center"/>
          </w:tcPr>
          <w:p w14:paraId="491320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rPr>
              <w:t>厂址</w:t>
            </w:r>
            <w:r>
              <w:rPr>
                <w:rFonts w:hint="eastAsia" w:eastAsia="宋体" w:cs="Times New Roman"/>
                <w:color w:val="auto"/>
                <w:kern w:val="0"/>
                <w:sz w:val="21"/>
                <w:szCs w:val="21"/>
                <w:highlight w:val="none"/>
                <w:lang w:val="en-US" w:eastAsia="zh-CN"/>
              </w:rPr>
              <w:t>1</w:t>
            </w:r>
            <w:r>
              <w:rPr>
                <w:rFonts w:hint="default" w:ascii="Times New Roman" w:hAnsi="Times New Roman" w:eastAsia="宋体" w:cs="Times New Roman"/>
                <w:color w:val="auto"/>
                <w:kern w:val="0"/>
                <w:sz w:val="21"/>
                <w:szCs w:val="21"/>
                <w:highlight w:val="none"/>
                <w:lang w:val="en-US" w:eastAsia="zh-CN"/>
              </w:rPr>
              <w:t>#</w:t>
            </w:r>
          </w:p>
        </w:tc>
        <w:tc>
          <w:tcPr>
            <w:tcW w:w="1044" w:type="pct"/>
            <w:tcBorders>
              <w:tl2br w:val="nil"/>
              <w:tr2bl w:val="nil"/>
            </w:tcBorders>
            <w:noWrap w:val="0"/>
            <w:vAlign w:val="center"/>
          </w:tcPr>
          <w:p w14:paraId="706169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5CA4F9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108</w:t>
            </w:r>
          </w:p>
        </w:tc>
        <w:tc>
          <w:tcPr>
            <w:tcW w:w="614" w:type="pct"/>
            <w:tcBorders>
              <w:tl2br w:val="nil"/>
              <w:tr2bl w:val="nil"/>
            </w:tcBorders>
            <w:noWrap w:val="0"/>
            <w:vAlign w:val="center"/>
          </w:tcPr>
          <w:p w14:paraId="71285A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471F8A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3F3125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continue"/>
            <w:tcBorders>
              <w:tl2br w:val="nil"/>
              <w:tr2bl w:val="nil"/>
            </w:tcBorders>
            <w:noWrap w:val="0"/>
            <w:vAlign w:val="center"/>
          </w:tcPr>
          <w:p w14:paraId="178F40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p>
        </w:tc>
        <w:tc>
          <w:tcPr>
            <w:tcW w:w="1119" w:type="pct"/>
            <w:tcBorders>
              <w:tl2br w:val="nil"/>
              <w:tr2bl w:val="nil"/>
            </w:tcBorders>
            <w:noWrap w:val="0"/>
            <w:vAlign w:val="center"/>
          </w:tcPr>
          <w:p w14:paraId="47B6A1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rPr>
              <w:t>厂址下风向</w:t>
            </w:r>
            <w:r>
              <w:rPr>
                <w:rFonts w:hint="eastAsia"/>
                <w:color w:val="auto"/>
                <w:sz w:val="21"/>
                <w:szCs w:val="21"/>
                <w:highlight w:val="none"/>
                <w:lang w:val="en-US" w:eastAsia="zh-CN"/>
              </w:rPr>
              <w:t>2#</w:t>
            </w:r>
          </w:p>
        </w:tc>
        <w:tc>
          <w:tcPr>
            <w:tcW w:w="1044" w:type="pct"/>
            <w:tcBorders>
              <w:tl2br w:val="nil"/>
              <w:tr2bl w:val="nil"/>
            </w:tcBorders>
            <w:noWrap w:val="0"/>
            <w:vAlign w:val="center"/>
          </w:tcPr>
          <w:p w14:paraId="50A4E6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67589B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104</w:t>
            </w:r>
          </w:p>
        </w:tc>
        <w:tc>
          <w:tcPr>
            <w:tcW w:w="614" w:type="pct"/>
            <w:tcBorders>
              <w:tl2br w:val="nil"/>
              <w:tr2bl w:val="nil"/>
            </w:tcBorders>
            <w:noWrap w:val="0"/>
            <w:vAlign w:val="center"/>
          </w:tcPr>
          <w:p w14:paraId="490F52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63CA29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4BF846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restart"/>
            <w:tcBorders>
              <w:tl2br w:val="nil"/>
              <w:tr2bl w:val="nil"/>
            </w:tcBorders>
            <w:noWrap w:val="0"/>
            <w:vAlign w:val="center"/>
          </w:tcPr>
          <w:p w14:paraId="29D1BC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cs="Times New Roman"/>
                <w:color w:val="auto"/>
                <w:sz w:val="21"/>
                <w:szCs w:val="21"/>
                <w:highlight w:val="none"/>
                <w:lang w:val="en-US" w:eastAsia="zh-CN"/>
              </w:rPr>
              <w:t>2026.5.29</w:t>
            </w:r>
          </w:p>
        </w:tc>
        <w:tc>
          <w:tcPr>
            <w:tcW w:w="1119" w:type="pct"/>
            <w:tcBorders>
              <w:tl2br w:val="nil"/>
              <w:tr2bl w:val="nil"/>
            </w:tcBorders>
            <w:noWrap w:val="0"/>
            <w:vAlign w:val="center"/>
          </w:tcPr>
          <w:p w14:paraId="1A8414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rPr>
              <w:t>厂址</w:t>
            </w:r>
            <w:r>
              <w:rPr>
                <w:rFonts w:hint="eastAsia" w:eastAsia="宋体" w:cs="Times New Roman"/>
                <w:color w:val="auto"/>
                <w:kern w:val="0"/>
                <w:sz w:val="21"/>
                <w:szCs w:val="21"/>
                <w:highlight w:val="none"/>
                <w:lang w:val="en-US" w:eastAsia="zh-CN"/>
              </w:rPr>
              <w:t>1</w:t>
            </w:r>
            <w:r>
              <w:rPr>
                <w:rFonts w:hint="default" w:ascii="Times New Roman" w:hAnsi="Times New Roman" w:eastAsia="宋体" w:cs="Times New Roman"/>
                <w:color w:val="auto"/>
                <w:kern w:val="0"/>
                <w:sz w:val="21"/>
                <w:szCs w:val="21"/>
                <w:highlight w:val="none"/>
                <w:lang w:val="en-US" w:eastAsia="zh-CN"/>
              </w:rPr>
              <w:t>#</w:t>
            </w:r>
          </w:p>
        </w:tc>
        <w:tc>
          <w:tcPr>
            <w:tcW w:w="1044" w:type="pct"/>
            <w:tcBorders>
              <w:tl2br w:val="nil"/>
              <w:tr2bl w:val="nil"/>
            </w:tcBorders>
            <w:noWrap w:val="0"/>
            <w:vAlign w:val="center"/>
          </w:tcPr>
          <w:p w14:paraId="4B52A4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33FB55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103</w:t>
            </w:r>
          </w:p>
        </w:tc>
        <w:tc>
          <w:tcPr>
            <w:tcW w:w="614" w:type="pct"/>
            <w:tcBorders>
              <w:tl2br w:val="nil"/>
              <w:tr2bl w:val="nil"/>
            </w:tcBorders>
            <w:noWrap w:val="0"/>
            <w:vAlign w:val="center"/>
          </w:tcPr>
          <w:p w14:paraId="009621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19FDCD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1264B9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continue"/>
            <w:tcBorders>
              <w:tl2br w:val="nil"/>
              <w:tr2bl w:val="nil"/>
            </w:tcBorders>
            <w:noWrap w:val="0"/>
            <w:vAlign w:val="center"/>
          </w:tcPr>
          <w:p w14:paraId="1A8456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p>
        </w:tc>
        <w:tc>
          <w:tcPr>
            <w:tcW w:w="1119" w:type="pct"/>
            <w:tcBorders>
              <w:tl2br w:val="nil"/>
              <w:tr2bl w:val="nil"/>
            </w:tcBorders>
            <w:noWrap w:val="0"/>
            <w:vAlign w:val="center"/>
          </w:tcPr>
          <w:p w14:paraId="5DE1EE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rPr>
              <w:t>厂址下风向</w:t>
            </w:r>
            <w:r>
              <w:rPr>
                <w:rFonts w:hint="eastAsia"/>
                <w:color w:val="auto"/>
                <w:sz w:val="21"/>
                <w:szCs w:val="21"/>
                <w:highlight w:val="none"/>
                <w:lang w:val="en-US" w:eastAsia="zh-CN"/>
              </w:rPr>
              <w:t>2#</w:t>
            </w:r>
          </w:p>
        </w:tc>
        <w:tc>
          <w:tcPr>
            <w:tcW w:w="1044" w:type="pct"/>
            <w:tcBorders>
              <w:tl2br w:val="nil"/>
              <w:tr2bl w:val="nil"/>
            </w:tcBorders>
            <w:noWrap w:val="0"/>
            <w:vAlign w:val="center"/>
          </w:tcPr>
          <w:p w14:paraId="586583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280BC3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107</w:t>
            </w:r>
          </w:p>
        </w:tc>
        <w:tc>
          <w:tcPr>
            <w:tcW w:w="614" w:type="pct"/>
            <w:tcBorders>
              <w:tl2br w:val="nil"/>
              <w:tr2bl w:val="nil"/>
            </w:tcBorders>
            <w:noWrap w:val="0"/>
            <w:vAlign w:val="center"/>
          </w:tcPr>
          <w:p w14:paraId="789C98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6CB2D6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2C5C7C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restart"/>
            <w:tcBorders>
              <w:tl2br w:val="nil"/>
              <w:tr2bl w:val="nil"/>
            </w:tcBorders>
            <w:noWrap w:val="0"/>
            <w:vAlign w:val="center"/>
          </w:tcPr>
          <w:p w14:paraId="3DD1C4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cs="Times New Roman"/>
                <w:color w:val="auto"/>
                <w:sz w:val="21"/>
                <w:szCs w:val="21"/>
                <w:highlight w:val="none"/>
                <w:lang w:val="en-US" w:eastAsia="zh-CN"/>
              </w:rPr>
              <w:t>2026.5.30</w:t>
            </w:r>
          </w:p>
        </w:tc>
        <w:tc>
          <w:tcPr>
            <w:tcW w:w="1119" w:type="pct"/>
            <w:tcBorders>
              <w:tl2br w:val="nil"/>
              <w:tr2bl w:val="nil"/>
            </w:tcBorders>
            <w:noWrap w:val="0"/>
            <w:vAlign w:val="center"/>
          </w:tcPr>
          <w:p w14:paraId="4D79C4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rPr>
              <w:t>厂址</w:t>
            </w:r>
            <w:r>
              <w:rPr>
                <w:rFonts w:hint="eastAsia" w:eastAsia="宋体" w:cs="Times New Roman"/>
                <w:color w:val="auto"/>
                <w:kern w:val="0"/>
                <w:sz w:val="21"/>
                <w:szCs w:val="21"/>
                <w:highlight w:val="none"/>
                <w:lang w:val="en-US" w:eastAsia="zh-CN"/>
              </w:rPr>
              <w:t>1</w:t>
            </w:r>
            <w:r>
              <w:rPr>
                <w:rFonts w:hint="default" w:ascii="Times New Roman" w:hAnsi="Times New Roman" w:eastAsia="宋体" w:cs="Times New Roman"/>
                <w:color w:val="auto"/>
                <w:kern w:val="0"/>
                <w:sz w:val="21"/>
                <w:szCs w:val="21"/>
                <w:highlight w:val="none"/>
                <w:lang w:val="en-US" w:eastAsia="zh-CN"/>
              </w:rPr>
              <w:t>#</w:t>
            </w:r>
          </w:p>
        </w:tc>
        <w:tc>
          <w:tcPr>
            <w:tcW w:w="1044" w:type="pct"/>
            <w:tcBorders>
              <w:tl2br w:val="nil"/>
              <w:tr2bl w:val="nil"/>
            </w:tcBorders>
            <w:noWrap w:val="0"/>
            <w:vAlign w:val="center"/>
          </w:tcPr>
          <w:p w14:paraId="74FA0F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6C1D5E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99</w:t>
            </w:r>
          </w:p>
        </w:tc>
        <w:tc>
          <w:tcPr>
            <w:tcW w:w="614" w:type="pct"/>
            <w:tcBorders>
              <w:tl2br w:val="nil"/>
              <w:tr2bl w:val="nil"/>
            </w:tcBorders>
            <w:noWrap w:val="0"/>
            <w:vAlign w:val="center"/>
          </w:tcPr>
          <w:p w14:paraId="3F4F48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645187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03A9C3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continue"/>
            <w:tcBorders>
              <w:tl2br w:val="nil"/>
              <w:tr2bl w:val="nil"/>
            </w:tcBorders>
            <w:noWrap w:val="0"/>
            <w:vAlign w:val="center"/>
          </w:tcPr>
          <w:p w14:paraId="33161F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p>
        </w:tc>
        <w:tc>
          <w:tcPr>
            <w:tcW w:w="1119" w:type="pct"/>
            <w:tcBorders>
              <w:tl2br w:val="nil"/>
              <w:tr2bl w:val="nil"/>
            </w:tcBorders>
            <w:noWrap w:val="0"/>
            <w:vAlign w:val="center"/>
          </w:tcPr>
          <w:p w14:paraId="39BAFC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rPr>
              <w:t>厂址下风向</w:t>
            </w:r>
            <w:r>
              <w:rPr>
                <w:rFonts w:hint="eastAsia"/>
                <w:color w:val="auto"/>
                <w:sz w:val="21"/>
                <w:szCs w:val="21"/>
                <w:highlight w:val="none"/>
                <w:lang w:val="en-US" w:eastAsia="zh-CN"/>
              </w:rPr>
              <w:t>2#</w:t>
            </w:r>
          </w:p>
        </w:tc>
        <w:tc>
          <w:tcPr>
            <w:tcW w:w="1044" w:type="pct"/>
            <w:tcBorders>
              <w:tl2br w:val="nil"/>
              <w:tr2bl w:val="nil"/>
            </w:tcBorders>
            <w:noWrap w:val="0"/>
            <w:vAlign w:val="center"/>
          </w:tcPr>
          <w:p w14:paraId="779D3A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166CD8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94</w:t>
            </w:r>
          </w:p>
        </w:tc>
        <w:tc>
          <w:tcPr>
            <w:tcW w:w="614" w:type="pct"/>
            <w:tcBorders>
              <w:tl2br w:val="nil"/>
              <w:tr2bl w:val="nil"/>
            </w:tcBorders>
            <w:noWrap w:val="0"/>
            <w:vAlign w:val="center"/>
          </w:tcPr>
          <w:p w14:paraId="3D86DF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790D6A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086152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restart"/>
            <w:tcBorders>
              <w:tl2br w:val="nil"/>
              <w:tr2bl w:val="nil"/>
            </w:tcBorders>
            <w:noWrap w:val="0"/>
            <w:vAlign w:val="center"/>
          </w:tcPr>
          <w:p w14:paraId="755A09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cs="Times New Roman"/>
                <w:color w:val="auto"/>
                <w:sz w:val="21"/>
                <w:szCs w:val="21"/>
                <w:highlight w:val="none"/>
                <w:lang w:val="en-US" w:eastAsia="zh-CN"/>
              </w:rPr>
              <w:t>2026.5.31</w:t>
            </w:r>
          </w:p>
        </w:tc>
        <w:tc>
          <w:tcPr>
            <w:tcW w:w="1119" w:type="pct"/>
            <w:tcBorders>
              <w:tl2br w:val="nil"/>
              <w:tr2bl w:val="nil"/>
            </w:tcBorders>
            <w:noWrap w:val="0"/>
            <w:vAlign w:val="center"/>
          </w:tcPr>
          <w:p w14:paraId="7C7584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rPr>
              <w:t>厂址</w:t>
            </w:r>
            <w:r>
              <w:rPr>
                <w:rFonts w:hint="eastAsia" w:eastAsia="宋体" w:cs="Times New Roman"/>
                <w:color w:val="auto"/>
                <w:kern w:val="0"/>
                <w:sz w:val="21"/>
                <w:szCs w:val="21"/>
                <w:highlight w:val="none"/>
                <w:lang w:val="en-US" w:eastAsia="zh-CN"/>
              </w:rPr>
              <w:t>1</w:t>
            </w:r>
            <w:r>
              <w:rPr>
                <w:rFonts w:hint="default" w:ascii="Times New Roman" w:hAnsi="Times New Roman" w:eastAsia="宋体" w:cs="Times New Roman"/>
                <w:color w:val="auto"/>
                <w:kern w:val="0"/>
                <w:sz w:val="21"/>
                <w:szCs w:val="21"/>
                <w:highlight w:val="none"/>
                <w:lang w:val="en-US" w:eastAsia="zh-CN"/>
              </w:rPr>
              <w:t>#</w:t>
            </w:r>
          </w:p>
        </w:tc>
        <w:tc>
          <w:tcPr>
            <w:tcW w:w="1044" w:type="pct"/>
            <w:tcBorders>
              <w:tl2br w:val="nil"/>
              <w:tr2bl w:val="nil"/>
            </w:tcBorders>
            <w:noWrap w:val="0"/>
            <w:vAlign w:val="center"/>
          </w:tcPr>
          <w:p w14:paraId="06C1C5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0F9AC3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108</w:t>
            </w:r>
          </w:p>
        </w:tc>
        <w:tc>
          <w:tcPr>
            <w:tcW w:w="614" w:type="pct"/>
            <w:tcBorders>
              <w:tl2br w:val="nil"/>
              <w:tr2bl w:val="nil"/>
            </w:tcBorders>
            <w:noWrap w:val="0"/>
            <w:vAlign w:val="center"/>
          </w:tcPr>
          <w:p w14:paraId="59F5A4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3A587E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514455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01" w:type="pct"/>
            <w:vMerge w:val="continue"/>
            <w:tcBorders>
              <w:tl2br w:val="nil"/>
              <w:tr2bl w:val="nil"/>
            </w:tcBorders>
            <w:noWrap w:val="0"/>
            <w:vAlign w:val="center"/>
          </w:tcPr>
          <w:p w14:paraId="2E03B9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p>
        </w:tc>
        <w:tc>
          <w:tcPr>
            <w:tcW w:w="1119" w:type="pct"/>
            <w:tcBorders>
              <w:tl2br w:val="nil"/>
              <w:tr2bl w:val="nil"/>
            </w:tcBorders>
            <w:noWrap w:val="0"/>
            <w:vAlign w:val="center"/>
          </w:tcPr>
          <w:p w14:paraId="1EC076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kern w:val="0"/>
                <w:sz w:val="21"/>
                <w:szCs w:val="21"/>
                <w:highlight w:val="none"/>
                <w:lang w:val="en-US" w:eastAsia="zh-CN"/>
              </w:rPr>
              <w:t>厂址下风向</w:t>
            </w:r>
            <w:r>
              <w:rPr>
                <w:rFonts w:hint="eastAsia"/>
                <w:color w:val="auto"/>
                <w:sz w:val="21"/>
                <w:szCs w:val="21"/>
                <w:highlight w:val="none"/>
                <w:lang w:val="en-US" w:eastAsia="zh-CN"/>
              </w:rPr>
              <w:t>2#</w:t>
            </w:r>
          </w:p>
        </w:tc>
        <w:tc>
          <w:tcPr>
            <w:tcW w:w="1044" w:type="pct"/>
            <w:tcBorders>
              <w:tl2br w:val="nil"/>
              <w:tr2bl w:val="nil"/>
            </w:tcBorders>
            <w:noWrap w:val="0"/>
            <w:vAlign w:val="center"/>
          </w:tcPr>
          <w:p w14:paraId="7C2DB8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总悬浮</w:t>
            </w:r>
            <w:r>
              <w:rPr>
                <w:rFonts w:hint="default" w:ascii="Times New Roman" w:hAnsi="Times New Roman" w:eastAsia="宋体" w:cs="Times New Roman"/>
                <w:b w:val="0"/>
                <w:bCs w:val="0"/>
                <w:color w:val="auto"/>
                <w:sz w:val="21"/>
                <w:szCs w:val="21"/>
                <w:highlight w:val="none"/>
                <w:vertAlign w:val="baseline"/>
                <w:lang w:val="en-US" w:eastAsia="zh-CN"/>
              </w:rPr>
              <w:t>颗粒物</w:t>
            </w:r>
          </w:p>
        </w:tc>
        <w:tc>
          <w:tcPr>
            <w:tcW w:w="1032" w:type="pct"/>
            <w:tcBorders>
              <w:tl2br w:val="nil"/>
              <w:tr2bl w:val="nil"/>
            </w:tcBorders>
            <w:noWrap w:val="0"/>
            <w:vAlign w:val="center"/>
          </w:tcPr>
          <w:p w14:paraId="38A9C0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97</w:t>
            </w:r>
          </w:p>
        </w:tc>
        <w:tc>
          <w:tcPr>
            <w:tcW w:w="614" w:type="pct"/>
            <w:tcBorders>
              <w:tl2br w:val="nil"/>
              <w:tr2bl w:val="nil"/>
            </w:tcBorders>
            <w:noWrap w:val="0"/>
            <w:vAlign w:val="center"/>
          </w:tcPr>
          <w:p w14:paraId="5F4B77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300</w:t>
            </w:r>
          </w:p>
        </w:tc>
        <w:tc>
          <w:tcPr>
            <w:tcW w:w="587" w:type="pct"/>
            <w:tcBorders>
              <w:tl2br w:val="nil"/>
              <w:tr2bl w:val="nil"/>
            </w:tcBorders>
            <w:noWrap w:val="0"/>
            <w:vAlign w:val="center"/>
          </w:tcPr>
          <w:p w14:paraId="568FAB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μg/</w:t>
            </w:r>
            <w:r>
              <w:rPr>
                <w:rFonts w:hint="default" w:ascii="Times New Roman" w:hAnsi="Times New Roman" w:eastAsia="宋体" w:cs="Times New Roman"/>
                <w:b w:val="0"/>
                <w:bCs w:val="0"/>
                <w:color w:val="auto"/>
                <w:sz w:val="21"/>
                <w:szCs w:val="21"/>
                <w:highlight w:val="none"/>
                <w:lang w:val="en-US" w:eastAsia="zh-CN"/>
              </w:rPr>
              <w:t>m³</w:t>
            </w:r>
          </w:p>
        </w:tc>
      </w:tr>
      <w:tr w14:paraId="44888A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5000" w:type="pct"/>
            <w:gridSpan w:val="6"/>
            <w:tcBorders>
              <w:tl2br w:val="nil"/>
              <w:tr2bl w:val="nil"/>
            </w:tcBorders>
            <w:noWrap w:val="0"/>
            <w:vAlign w:val="center"/>
          </w:tcPr>
          <w:p w14:paraId="4886DC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注：</w:t>
            </w:r>
            <w:r>
              <w:rPr>
                <w:rFonts w:hint="eastAsia" w:ascii="宋体" w:hAnsi="宋体" w:eastAsia="宋体" w:cs="宋体"/>
                <w:color w:val="auto"/>
                <w:kern w:val="0"/>
                <w:sz w:val="21"/>
                <w:szCs w:val="21"/>
                <w:highlight w:val="none"/>
                <w:lang w:val="en-US" w:eastAsia="zh-CN" w:bidi="ar"/>
              </w:rPr>
              <w:t>执行：《环境空气质量标准》</w:t>
            </w:r>
            <w:r>
              <w:rPr>
                <w:rFonts w:hint="eastAsia" w:ascii="宋体" w:hAnsi="宋体" w:cs="宋体"/>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GB3095-2026</w:t>
            </w:r>
            <w:r>
              <w:rPr>
                <w:rFonts w:hint="default" w:ascii="Times New Roman" w:hAnsi="Times New Roman"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二级标准限值</w:t>
            </w:r>
            <w:r>
              <w:rPr>
                <w:rFonts w:hint="eastAsia" w:ascii="宋体" w:hAnsi="宋体" w:cs="宋体"/>
                <w:color w:val="auto"/>
                <w:kern w:val="0"/>
                <w:sz w:val="21"/>
                <w:szCs w:val="21"/>
                <w:highlight w:val="none"/>
                <w:lang w:val="en-US" w:eastAsia="zh-CN" w:bidi="ar"/>
              </w:rPr>
              <w:t>。</w:t>
            </w:r>
          </w:p>
        </w:tc>
      </w:tr>
    </w:tbl>
    <w:p w14:paraId="0CC9DF55">
      <w:pPr>
        <w:keepNext w:val="0"/>
        <w:keepLines w:val="0"/>
        <w:pageBreakBefore w:val="0"/>
        <w:widowControl w:val="0"/>
        <w:kinsoku/>
        <w:wordWrap/>
        <w:overflowPunct/>
        <w:topLinePunct w:val="0"/>
        <w:autoSpaceDE w:val="0"/>
        <w:autoSpaceDN w:val="0"/>
        <w:bidi w:val="0"/>
        <w:adjustRightInd w:val="0"/>
        <w:snapToGrid/>
        <w:spacing w:line="240" w:lineRule="auto"/>
        <w:ind w:firstLine="482" w:firstLineChars="200"/>
        <w:jc w:val="center"/>
        <w:textAlignment w:val="auto"/>
        <w:rPr>
          <w:rFonts w:hint="eastAsia" w:asciiTheme="minorEastAsia" w:hAnsiTheme="minorEastAsia" w:eastAsiaTheme="minorEastAsia" w:cstheme="minorEastAsia"/>
          <w:b/>
          <w:bCs/>
          <w:color w:val="auto"/>
          <w:sz w:val="24"/>
          <w:szCs w:val="24"/>
          <w:highlight w:val="none"/>
        </w:rPr>
      </w:pPr>
    </w:p>
    <w:p w14:paraId="35B43247">
      <w:pPr>
        <w:keepNext w:val="0"/>
        <w:keepLines w:val="0"/>
        <w:pageBreakBefore w:val="0"/>
        <w:widowControl w:val="0"/>
        <w:kinsoku/>
        <w:wordWrap/>
        <w:overflowPunct/>
        <w:topLinePunct w:val="0"/>
        <w:bidi w:val="0"/>
        <w:snapToGrid/>
        <w:spacing w:line="360" w:lineRule="auto"/>
        <w:ind w:firstLine="480" w:firstLineChars="200"/>
        <w:textAlignment w:val="auto"/>
        <w:rPr>
          <w:rFonts w:hint="eastAsia" w:asciiTheme="minorEastAsia" w:hAnsiTheme="minorEastAsia" w:eastAsiaTheme="minorEastAsia" w:cstheme="minorEastAsia"/>
          <w:color w:val="auto"/>
          <w:szCs w:val="32"/>
          <w:highlight w:val="none"/>
          <w:lang w:val="zh-CN"/>
        </w:rPr>
      </w:pPr>
      <w:r>
        <w:rPr>
          <w:rFonts w:hint="eastAsia" w:asciiTheme="minorEastAsia" w:hAnsiTheme="minorEastAsia" w:eastAsiaTheme="minorEastAsia" w:cstheme="minorEastAsia"/>
          <w:color w:val="auto"/>
          <w:szCs w:val="32"/>
          <w:highlight w:val="none"/>
          <w:lang w:val="zh-CN"/>
        </w:rPr>
        <w:t>（</w:t>
      </w:r>
      <w:r>
        <w:rPr>
          <w:rFonts w:hint="eastAsia" w:asciiTheme="minorEastAsia" w:hAnsiTheme="minorEastAsia" w:eastAsiaTheme="minorEastAsia" w:cstheme="minorEastAsia"/>
          <w:color w:val="auto"/>
          <w:szCs w:val="32"/>
          <w:highlight w:val="none"/>
          <w:lang w:val="en-US" w:eastAsia="zh-CN"/>
        </w:rPr>
        <w:t>4</w:t>
      </w:r>
      <w:r>
        <w:rPr>
          <w:rFonts w:hint="eastAsia" w:asciiTheme="minorEastAsia" w:hAnsiTheme="minorEastAsia" w:eastAsiaTheme="minorEastAsia" w:cstheme="minorEastAsia"/>
          <w:color w:val="auto"/>
          <w:szCs w:val="32"/>
          <w:highlight w:val="none"/>
          <w:lang w:val="zh-CN"/>
        </w:rPr>
        <w:t>）监测结果分析</w:t>
      </w:r>
    </w:p>
    <w:p w14:paraId="34114BC1">
      <w:pPr>
        <w:keepNext w:val="0"/>
        <w:keepLines w:val="0"/>
        <w:pageBreakBefore w:val="0"/>
        <w:widowControl w:val="0"/>
        <w:kinsoku/>
        <w:wordWrap/>
        <w:overflowPunct/>
        <w:topLinePunct w:val="0"/>
        <w:bidi w:val="0"/>
        <w:snapToGrid/>
        <w:spacing w:line="360" w:lineRule="auto"/>
        <w:ind w:firstLine="480" w:firstLineChars="200"/>
        <w:textAlignment w:val="auto"/>
        <w:rPr>
          <w:rFonts w:hint="eastAsia" w:asciiTheme="minorEastAsia" w:hAnsiTheme="minorEastAsia" w:eastAsiaTheme="minorEastAsia" w:cstheme="minorEastAsia"/>
          <w:color w:val="auto"/>
          <w:szCs w:val="32"/>
          <w:highlight w:val="none"/>
          <w:lang w:val="zh-CN"/>
        </w:rPr>
      </w:pPr>
      <w:r>
        <w:rPr>
          <w:rFonts w:hint="eastAsia" w:asciiTheme="minorEastAsia" w:hAnsiTheme="minorEastAsia" w:eastAsiaTheme="minorEastAsia" w:cstheme="minorEastAsia"/>
          <w:color w:val="auto"/>
          <w:szCs w:val="32"/>
          <w:highlight w:val="none"/>
          <w:lang w:val="zh-CN"/>
        </w:rPr>
        <w:t>补充现状监测统计结果分析情况见表4.3-</w:t>
      </w:r>
      <w:r>
        <w:rPr>
          <w:rFonts w:hint="eastAsia" w:asciiTheme="minorEastAsia" w:hAnsiTheme="minorEastAsia" w:eastAsiaTheme="minorEastAsia" w:cstheme="minorEastAsia"/>
          <w:color w:val="auto"/>
          <w:szCs w:val="32"/>
          <w:highlight w:val="none"/>
          <w:lang w:val="en-US" w:eastAsia="zh-CN"/>
        </w:rPr>
        <w:t>5</w:t>
      </w:r>
      <w:r>
        <w:rPr>
          <w:rFonts w:hint="eastAsia" w:asciiTheme="minorEastAsia" w:hAnsiTheme="minorEastAsia" w:eastAsiaTheme="minorEastAsia" w:cstheme="minorEastAsia"/>
          <w:color w:val="auto"/>
          <w:szCs w:val="32"/>
          <w:highlight w:val="none"/>
          <w:lang w:val="zh-CN"/>
        </w:rPr>
        <w:t>。</w:t>
      </w:r>
    </w:p>
    <w:p w14:paraId="54F573E2">
      <w:pPr>
        <w:keepNext w:val="0"/>
        <w:keepLines w:val="0"/>
        <w:pageBreakBefore w:val="0"/>
        <w:widowControl w:val="0"/>
        <w:kinsoku/>
        <w:wordWrap/>
        <w:overflowPunct/>
        <w:topLinePunct w:val="0"/>
        <w:autoSpaceDE w:val="0"/>
        <w:autoSpaceDN w:val="0"/>
        <w:bidi w:val="0"/>
        <w:adjustRightInd w:val="0"/>
        <w:snapToGrid/>
        <w:spacing w:line="240" w:lineRule="auto"/>
        <w:ind w:firstLine="482" w:firstLineChars="200"/>
        <w:jc w:val="center"/>
        <w:textAlignment w:val="auto"/>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表4.3-</w:t>
      </w:r>
      <w:r>
        <w:rPr>
          <w:rFonts w:hint="eastAsia" w:asciiTheme="minorEastAsia" w:hAnsiTheme="minorEastAsia" w:eastAsiaTheme="minorEastAsia" w:cstheme="minorEastAsia"/>
          <w:b/>
          <w:bCs/>
          <w:color w:val="auto"/>
          <w:sz w:val="24"/>
          <w:szCs w:val="24"/>
          <w:highlight w:val="none"/>
          <w:lang w:val="en-US" w:eastAsia="zh-CN"/>
        </w:rPr>
        <w:t xml:space="preserve">5  </w:t>
      </w:r>
      <w:r>
        <w:rPr>
          <w:rFonts w:hint="eastAsia" w:asciiTheme="minorEastAsia" w:hAnsiTheme="minorEastAsia" w:eastAsiaTheme="minorEastAsia" w:cstheme="minorEastAsia"/>
          <w:b/>
          <w:bCs/>
          <w:color w:val="auto"/>
          <w:sz w:val="24"/>
          <w:szCs w:val="24"/>
          <w:highlight w:val="none"/>
        </w:rPr>
        <w:t>补充监测现状评价表</w:t>
      </w:r>
    </w:p>
    <w:tbl>
      <w:tblPr>
        <w:tblStyle w:val="1314"/>
        <w:tblW w:w="4873"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96"/>
        <w:gridCol w:w="1614"/>
        <w:gridCol w:w="1346"/>
        <w:gridCol w:w="1389"/>
        <w:gridCol w:w="1344"/>
        <w:gridCol w:w="873"/>
        <w:gridCol w:w="892"/>
      </w:tblGrid>
      <w:tr w14:paraId="5F1444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740" w:type="pct"/>
            <w:tcBorders>
              <w:tl2br w:val="nil"/>
              <w:tr2bl w:val="nil"/>
            </w:tcBorders>
            <w:noWrap w:val="0"/>
            <w:vAlign w:val="center"/>
          </w:tcPr>
          <w:p w14:paraId="694C3E43">
            <w:pPr>
              <w:keepNext w:val="0"/>
              <w:keepLines w:val="0"/>
              <w:suppressLineNumbers w:val="0"/>
              <w:bidi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污染物</w:t>
            </w:r>
          </w:p>
        </w:tc>
        <w:tc>
          <w:tcPr>
            <w:tcW w:w="921" w:type="pct"/>
            <w:tcBorders>
              <w:tl2br w:val="nil"/>
              <w:tr2bl w:val="nil"/>
            </w:tcBorders>
            <w:noWrap w:val="0"/>
            <w:vAlign w:val="center"/>
          </w:tcPr>
          <w:p w14:paraId="34C77870">
            <w:pPr>
              <w:pStyle w:val="312"/>
              <w:keepNext w:val="0"/>
              <w:keepLines w:val="0"/>
              <w:suppressLineNumbers w:val="0"/>
              <w:spacing w:before="0" w:beforeAutospacing="0" w:after="0" w:afterAutospacing="0" w:line="240" w:lineRule="auto"/>
              <w:jc w:val="center"/>
              <w:rPr>
                <w:rFonts w:hint="eastAsia" w:asciiTheme="minorEastAsia" w:hAnsiTheme="minorEastAsia" w:eastAsiaTheme="minorEastAsia" w:cstheme="minorEastAsia"/>
                <w:b w:val="0"/>
                <w:bCs w:val="0"/>
                <w:color w:val="auto"/>
                <w:sz w:val="21"/>
                <w:szCs w:val="21"/>
                <w:highlight w:val="none"/>
                <w:lang w:val="en-US"/>
              </w:rPr>
            </w:pPr>
            <w:r>
              <w:rPr>
                <w:rFonts w:hint="eastAsia" w:asciiTheme="minorEastAsia" w:hAnsiTheme="minorEastAsia" w:eastAsiaTheme="minorEastAsia" w:cstheme="minorEastAsia"/>
                <w:b w:val="0"/>
                <w:bCs w:val="0"/>
                <w:color w:val="auto"/>
                <w:sz w:val="21"/>
                <w:szCs w:val="21"/>
                <w:highlight w:val="none"/>
                <w:lang w:val="en-US"/>
              </w:rPr>
              <w:t>评价时间</w:t>
            </w:r>
          </w:p>
        </w:tc>
        <w:tc>
          <w:tcPr>
            <w:tcW w:w="768" w:type="pct"/>
            <w:tcBorders>
              <w:tl2br w:val="nil"/>
              <w:tr2bl w:val="nil"/>
            </w:tcBorders>
            <w:noWrap w:val="0"/>
            <w:vAlign w:val="center"/>
          </w:tcPr>
          <w:p w14:paraId="0A24E42E">
            <w:pPr>
              <w:pStyle w:val="312"/>
              <w:keepNext w:val="0"/>
              <w:keepLines w:val="0"/>
              <w:suppressLineNumbers w:val="0"/>
              <w:spacing w:before="0" w:beforeAutospacing="0" w:after="0" w:afterAutospacing="0" w:line="240" w:lineRule="auto"/>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rPr>
              <w:t>监测</w:t>
            </w:r>
            <w:r>
              <w:rPr>
                <w:rFonts w:hint="eastAsia" w:asciiTheme="minorEastAsia" w:hAnsiTheme="minorEastAsia" w:eastAsiaTheme="minorEastAsia" w:cstheme="minorEastAsia"/>
                <w:b w:val="0"/>
                <w:bCs w:val="0"/>
                <w:color w:val="auto"/>
                <w:sz w:val="21"/>
                <w:szCs w:val="21"/>
                <w:highlight w:val="none"/>
              </w:rPr>
              <w:t>浓度（μg/</w:t>
            </w:r>
            <w:r>
              <w:rPr>
                <w:rFonts w:hint="eastAsia" w:asciiTheme="minorEastAsia" w:hAnsiTheme="minorEastAsia" w:eastAsiaTheme="minorEastAsia" w:cstheme="minorEastAsia"/>
                <w:b w:val="0"/>
                <w:bCs w:val="0"/>
                <w:color w:val="auto"/>
                <w:sz w:val="21"/>
                <w:szCs w:val="21"/>
                <w:highlight w:val="none"/>
                <w:lang w:eastAsia="zh-CN"/>
              </w:rPr>
              <w:t>m</w:t>
            </w:r>
            <w:r>
              <w:rPr>
                <w:rFonts w:hint="eastAsia" w:asciiTheme="minorEastAsia" w:hAnsiTheme="minorEastAsia" w:eastAsiaTheme="minorEastAsia" w:cstheme="minorEastAsia"/>
                <w:b w:val="0"/>
                <w:bCs w:val="0"/>
                <w:color w:val="auto"/>
                <w:sz w:val="21"/>
                <w:szCs w:val="21"/>
                <w:highlight w:val="none"/>
                <w:vertAlign w:val="superscript"/>
                <w:lang w:eastAsia="zh-CN"/>
              </w:rPr>
              <w:t>3</w:t>
            </w:r>
            <w:r>
              <w:rPr>
                <w:rFonts w:hint="eastAsia" w:asciiTheme="minorEastAsia" w:hAnsiTheme="minorEastAsia" w:eastAsiaTheme="minorEastAsia" w:cstheme="minorEastAsia"/>
                <w:b w:val="0"/>
                <w:bCs w:val="0"/>
                <w:color w:val="auto"/>
                <w:sz w:val="21"/>
                <w:szCs w:val="21"/>
                <w:highlight w:val="none"/>
              </w:rPr>
              <w:t>）</w:t>
            </w:r>
          </w:p>
        </w:tc>
        <w:tc>
          <w:tcPr>
            <w:tcW w:w="793" w:type="pct"/>
            <w:tcBorders>
              <w:tl2br w:val="nil"/>
              <w:tr2bl w:val="nil"/>
            </w:tcBorders>
            <w:noWrap w:val="0"/>
            <w:vAlign w:val="center"/>
          </w:tcPr>
          <w:p w14:paraId="5E75A244">
            <w:pPr>
              <w:pStyle w:val="312"/>
              <w:keepNext w:val="0"/>
              <w:keepLines w:val="0"/>
              <w:suppressLineNumbers w:val="0"/>
              <w:spacing w:before="0" w:beforeAutospacing="0" w:after="0" w:afterAutospacing="0" w:line="240" w:lineRule="auto"/>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标准值</w:t>
            </w:r>
          </w:p>
          <w:p w14:paraId="0ED9135C">
            <w:pPr>
              <w:pStyle w:val="312"/>
              <w:keepNext w:val="0"/>
              <w:keepLines w:val="0"/>
              <w:suppressLineNumbers w:val="0"/>
              <w:spacing w:before="0" w:beforeAutospacing="0" w:after="0" w:afterAutospacing="0" w:line="240" w:lineRule="auto"/>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（μg/</w:t>
            </w:r>
            <w:r>
              <w:rPr>
                <w:rFonts w:hint="eastAsia" w:asciiTheme="minorEastAsia" w:hAnsiTheme="minorEastAsia" w:eastAsiaTheme="minorEastAsia" w:cstheme="minorEastAsia"/>
                <w:b w:val="0"/>
                <w:bCs w:val="0"/>
                <w:color w:val="auto"/>
                <w:sz w:val="21"/>
                <w:szCs w:val="21"/>
                <w:highlight w:val="none"/>
                <w:lang w:eastAsia="zh-CN"/>
              </w:rPr>
              <w:t>m</w:t>
            </w:r>
            <w:r>
              <w:rPr>
                <w:rFonts w:hint="eastAsia" w:asciiTheme="minorEastAsia" w:hAnsiTheme="minorEastAsia" w:eastAsiaTheme="minorEastAsia" w:cstheme="minorEastAsia"/>
                <w:b w:val="0"/>
                <w:bCs w:val="0"/>
                <w:color w:val="auto"/>
                <w:sz w:val="21"/>
                <w:szCs w:val="21"/>
                <w:highlight w:val="none"/>
                <w:vertAlign w:val="superscript"/>
                <w:lang w:eastAsia="zh-CN"/>
              </w:rPr>
              <w:t>3</w:t>
            </w:r>
            <w:r>
              <w:rPr>
                <w:rFonts w:hint="eastAsia" w:asciiTheme="minorEastAsia" w:hAnsiTheme="minorEastAsia" w:eastAsiaTheme="minorEastAsia" w:cstheme="minorEastAsia"/>
                <w:b w:val="0"/>
                <w:bCs w:val="0"/>
                <w:color w:val="auto"/>
                <w:sz w:val="21"/>
                <w:szCs w:val="21"/>
                <w:highlight w:val="none"/>
              </w:rPr>
              <w:t>）</w:t>
            </w:r>
          </w:p>
        </w:tc>
        <w:tc>
          <w:tcPr>
            <w:tcW w:w="767" w:type="pct"/>
            <w:tcBorders>
              <w:tl2br w:val="nil"/>
              <w:tr2bl w:val="nil"/>
            </w:tcBorders>
            <w:noWrap w:val="0"/>
            <w:vAlign w:val="center"/>
          </w:tcPr>
          <w:p w14:paraId="585346E3">
            <w:pPr>
              <w:pStyle w:val="312"/>
              <w:keepNext w:val="0"/>
              <w:keepLines w:val="0"/>
              <w:suppressLineNumbers w:val="0"/>
              <w:spacing w:before="0" w:beforeAutospacing="0" w:after="0" w:afterAutospacing="0" w:line="240" w:lineRule="auto"/>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rPr>
              <w:t>最大</w:t>
            </w:r>
            <w:r>
              <w:rPr>
                <w:rFonts w:hint="eastAsia" w:asciiTheme="minorEastAsia" w:hAnsiTheme="minorEastAsia" w:eastAsiaTheme="minorEastAsia" w:cstheme="minorEastAsia"/>
                <w:b w:val="0"/>
                <w:bCs w:val="0"/>
                <w:color w:val="auto"/>
                <w:sz w:val="21"/>
                <w:szCs w:val="21"/>
                <w:highlight w:val="none"/>
                <w:lang w:val="en-US" w:eastAsia="zh-CN"/>
              </w:rPr>
              <w:t>浓度</w:t>
            </w:r>
            <w:r>
              <w:rPr>
                <w:rFonts w:hint="eastAsia" w:asciiTheme="minorEastAsia" w:hAnsiTheme="minorEastAsia" w:eastAsiaTheme="minorEastAsia" w:cstheme="minorEastAsia"/>
                <w:b w:val="0"/>
                <w:bCs w:val="0"/>
                <w:color w:val="auto"/>
                <w:sz w:val="21"/>
                <w:szCs w:val="21"/>
                <w:highlight w:val="none"/>
              </w:rPr>
              <w:t>占标率（%）</w:t>
            </w:r>
          </w:p>
        </w:tc>
        <w:tc>
          <w:tcPr>
            <w:tcW w:w="498" w:type="pct"/>
            <w:tcBorders>
              <w:tl2br w:val="nil"/>
              <w:tr2bl w:val="nil"/>
            </w:tcBorders>
            <w:noWrap w:val="0"/>
            <w:vAlign w:val="center"/>
          </w:tcPr>
          <w:p w14:paraId="1E9CFEA9">
            <w:pPr>
              <w:keepNext w:val="0"/>
              <w:keepLines w:val="0"/>
              <w:suppressLineNumbers w:val="0"/>
              <w:bidi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lang w:val="en-US"/>
              </w:rPr>
            </w:pPr>
            <w:r>
              <w:rPr>
                <w:rFonts w:hint="eastAsia" w:asciiTheme="minorEastAsia" w:hAnsiTheme="minorEastAsia" w:eastAsiaTheme="minorEastAsia" w:cstheme="minorEastAsia"/>
                <w:b w:val="0"/>
                <w:bCs w:val="0"/>
                <w:color w:val="auto"/>
                <w:sz w:val="21"/>
                <w:szCs w:val="21"/>
                <w:highlight w:val="none"/>
                <w:lang w:val="en-US"/>
              </w:rPr>
              <w:t>达标</w:t>
            </w:r>
          </w:p>
          <w:p w14:paraId="443D2208">
            <w:pPr>
              <w:keepNext w:val="0"/>
              <w:keepLines w:val="0"/>
              <w:suppressLineNumbers w:val="0"/>
              <w:bidi w:val="0"/>
              <w:spacing w:before="0" w:beforeAutospacing="0" w:after="0" w:afterAutospacing="0" w:line="240" w:lineRule="auto"/>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rPr>
              <w:t>情况</w:t>
            </w:r>
          </w:p>
        </w:tc>
        <w:tc>
          <w:tcPr>
            <w:tcW w:w="509" w:type="pct"/>
            <w:tcBorders>
              <w:tl2br w:val="nil"/>
              <w:tr2bl w:val="nil"/>
            </w:tcBorders>
            <w:noWrap w:val="0"/>
            <w:vAlign w:val="center"/>
          </w:tcPr>
          <w:p w14:paraId="3BB575DB">
            <w:pPr>
              <w:pStyle w:val="312"/>
              <w:keepNext w:val="0"/>
              <w:keepLines w:val="0"/>
              <w:suppressLineNumbers w:val="0"/>
              <w:spacing w:before="0" w:beforeAutospacing="0" w:after="0" w:afterAutospacing="0" w:line="240" w:lineRule="auto"/>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超标</w:t>
            </w:r>
          </w:p>
          <w:p w14:paraId="3AB9B6CA">
            <w:pPr>
              <w:pStyle w:val="312"/>
              <w:keepNext w:val="0"/>
              <w:keepLines w:val="0"/>
              <w:suppressLineNumbers w:val="0"/>
              <w:spacing w:before="0" w:beforeAutospacing="0" w:after="0" w:afterAutospacing="0" w:line="240" w:lineRule="auto"/>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倍数</w:t>
            </w:r>
          </w:p>
        </w:tc>
      </w:tr>
      <w:tr w14:paraId="48A723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740" w:type="pct"/>
            <w:tcBorders>
              <w:tl2br w:val="nil"/>
              <w:tr2bl w:val="nil"/>
            </w:tcBorders>
            <w:noWrap w:val="0"/>
            <w:vAlign w:val="center"/>
          </w:tcPr>
          <w:p w14:paraId="5C95685A">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TSP（厂址、下风向）</w:t>
            </w:r>
          </w:p>
        </w:tc>
        <w:tc>
          <w:tcPr>
            <w:tcW w:w="921" w:type="pct"/>
            <w:tcBorders>
              <w:tl2br w:val="nil"/>
              <w:tr2bl w:val="nil"/>
            </w:tcBorders>
            <w:noWrap w:val="0"/>
            <w:vAlign w:val="center"/>
          </w:tcPr>
          <w:p w14:paraId="4DB29E12">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val="0"/>
                <w:snapToGrid w:val="0"/>
                <w:color w:val="auto"/>
                <w:sz w:val="21"/>
                <w:szCs w:val="21"/>
                <w:highlight w:val="none"/>
                <w:lang w:val="zh-CN"/>
              </w:rPr>
            </w:pPr>
            <w:r>
              <w:rPr>
                <w:rFonts w:hint="eastAsia" w:asciiTheme="minorEastAsia" w:hAnsiTheme="minorEastAsia" w:eastAsiaTheme="minorEastAsia" w:cstheme="minorEastAsia"/>
                <w:b w:val="0"/>
                <w:bCs w:val="0"/>
                <w:color w:val="auto"/>
                <w:sz w:val="21"/>
                <w:szCs w:val="21"/>
                <w:highlight w:val="none"/>
              </w:rPr>
              <w:t>24小时平均值</w:t>
            </w:r>
          </w:p>
        </w:tc>
        <w:tc>
          <w:tcPr>
            <w:tcW w:w="768" w:type="pct"/>
            <w:tcBorders>
              <w:tl2br w:val="nil"/>
              <w:tr2bl w:val="nil"/>
            </w:tcBorders>
            <w:noWrap w:val="0"/>
            <w:vAlign w:val="center"/>
          </w:tcPr>
          <w:p w14:paraId="522E59D8">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92-115</w:t>
            </w:r>
          </w:p>
        </w:tc>
        <w:tc>
          <w:tcPr>
            <w:tcW w:w="793" w:type="pct"/>
            <w:tcBorders>
              <w:tl2br w:val="nil"/>
              <w:tr2bl w:val="nil"/>
            </w:tcBorders>
            <w:noWrap w:val="0"/>
            <w:vAlign w:val="center"/>
          </w:tcPr>
          <w:p w14:paraId="464515A7">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300</w:t>
            </w:r>
          </w:p>
        </w:tc>
        <w:tc>
          <w:tcPr>
            <w:tcW w:w="767" w:type="pct"/>
            <w:tcBorders>
              <w:tl2br w:val="nil"/>
              <w:tr2bl w:val="nil"/>
            </w:tcBorders>
            <w:noWrap w:val="0"/>
            <w:vAlign w:val="center"/>
          </w:tcPr>
          <w:p w14:paraId="02FE9389">
            <w:pPr>
              <w:keepNext w:val="0"/>
              <w:keepLines w:val="0"/>
              <w:suppressLineNumbers w:val="0"/>
              <w:spacing w:before="0" w:beforeAutospacing="0" w:after="0" w:afterAutospacing="0"/>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38.3</w:t>
            </w:r>
          </w:p>
        </w:tc>
        <w:tc>
          <w:tcPr>
            <w:tcW w:w="498" w:type="pct"/>
            <w:tcBorders>
              <w:tl2br w:val="nil"/>
              <w:tr2bl w:val="nil"/>
            </w:tcBorders>
            <w:noWrap w:val="0"/>
            <w:vAlign w:val="center"/>
          </w:tcPr>
          <w:p w14:paraId="469EE07A">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达标</w:t>
            </w:r>
          </w:p>
        </w:tc>
        <w:tc>
          <w:tcPr>
            <w:tcW w:w="509" w:type="pct"/>
            <w:tcBorders>
              <w:tl2br w:val="nil"/>
              <w:tr2bl w:val="nil"/>
            </w:tcBorders>
            <w:noWrap w:val="0"/>
            <w:vAlign w:val="center"/>
          </w:tcPr>
          <w:p w14:paraId="112E0A02">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rPr>
              <w:t>/</w:t>
            </w:r>
          </w:p>
        </w:tc>
      </w:tr>
    </w:tbl>
    <w:p w14:paraId="729AAAC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zh-CN" w:eastAsia="zh-CN"/>
        </w:rPr>
      </w:pPr>
      <w:r>
        <w:rPr>
          <w:rFonts w:hint="eastAsia" w:asciiTheme="minorEastAsia" w:hAnsiTheme="minorEastAsia" w:eastAsiaTheme="minorEastAsia" w:cstheme="minorEastAsia"/>
          <w:color w:val="auto"/>
          <w:highlight w:val="none"/>
          <w:lang w:val="zh-CN" w:eastAsia="zh-CN"/>
        </w:rPr>
        <w:t>（</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lang w:val="zh-CN" w:eastAsia="zh-CN"/>
        </w:rPr>
        <w:t>）评价结论</w:t>
      </w:r>
    </w:p>
    <w:p w14:paraId="55273E8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highlight w:val="none"/>
          <w:lang w:val="zh-CN" w:eastAsia="zh-CN"/>
        </w:rPr>
        <w:t>本项目位于环境空气质量</w:t>
      </w:r>
      <w:r>
        <w:rPr>
          <w:rFonts w:hint="eastAsia" w:asciiTheme="minorEastAsia" w:hAnsiTheme="minorEastAsia" w:eastAsiaTheme="minorEastAsia" w:cstheme="minorEastAsia"/>
          <w:color w:val="auto"/>
          <w:highlight w:val="none"/>
          <w:lang w:val="en-US" w:eastAsia="zh-CN"/>
        </w:rPr>
        <w:t>不</w:t>
      </w:r>
      <w:r>
        <w:rPr>
          <w:rFonts w:hint="eastAsia" w:asciiTheme="minorEastAsia" w:hAnsiTheme="minorEastAsia" w:eastAsiaTheme="minorEastAsia" w:cstheme="minorEastAsia"/>
          <w:color w:val="auto"/>
          <w:highlight w:val="none"/>
          <w:lang w:val="zh-CN" w:eastAsia="zh-CN"/>
        </w:rPr>
        <w:t>达标区；</w:t>
      </w:r>
      <w:r>
        <w:rPr>
          <w:rFonts w:hint="eastAsia" w:asciiTheme="minorEastAsia" w:hAnsiTheme="minorEastAsia" w:eastAsiaTheme="minorEastAsia" w:cstheme="minorEastAsia"/>
          <w:color w:val="auto"/>
          <w:highlight w:val="none"/>
          <w:lang w:val="en-US" w:eastAsia="zh-CN"/>
        </w:rPr>
        <w:t>监测点位TSP满足《环境空气质量标准》（GB3095-2026）表2二级标准，区域污染物TSP环境质量现状达标。</w:t>
      </w:r>
    </w:p>
    <w:p w14:paraId="53078C5F">
      <w:pPr>
        <w:pStyle w:val="7"/>
        <w:numPr>
          <w:ilvl w:val="0"/>
          <w:numId w:val="0"/>
        </w:numPr>
        <w:bidi w:val="0"/>
        <w:ind w:leftChars="0"/>
        <w:rPr>
          <w:rFonts w:hint="eastAsia" w:asciiTheme="minorEastAsia" w:hAnsiTheme="minorEastAsia" w:eastAsiaTheme="minorEastAsia" w:cstheme="minorEastAsia"/>
          <w:color w:val="auto"/>
          <w:highlight w:val="none"/>
        </w:rPr>
      </w:pPr>
      <w:bookmarkStart w:id="504" w:name="_Toc4864"/>
      <w:bookmarkStart w:id="505" w:name="_Toc18716"/>
      <w:bookmarkStart w:id="506" w:name="_Toc15589"/>
      <w:bookmarkStart w:id="507" w:name="_Toc22292"/>
      <w:bookmarkStart w:id="508" w:name="_Toc24147"/>
      <w:bookmarkStart w:id="509" w:name="_Toc11402"/>
      <w:bookmarkStart w:id="510" w:name="_Toc19685"/>
      <w:bookmarkStart w:id="511" w:name="_Toc23210"/>
      <w:bookmarkStart w:id="512" w:name="_Toc9272"/>
      <w:bookmarkStart w:id="513" w:name="_Toc11983"/>
      <w:bookmarkStart w:id="514" w:name="_Toc4846"/>
      <w:bookmarkStart w:id="515" w:name="_Toc2716"/>
      <w:bookmarkStart w:id="516" w:name="_Toc3822"/>
      <w:r>
        <w:rPr>
          <w:rFonts w:hint="eastAsia" w:asciiTheme="minorEastAsia" w:hAnsiTheme="minorEastAsia" w:eastAsiaTheme="minorEastAsia" w:cstheme="minorEastAsia"/>
          <w:color w:val="auto"/>
          <w:highlight w:val="none"/>
        </w:rPr>
        <w:t>4.3.</w:t>
      </w:r>
      <w:r>
        <w:rPr>
          <w:rFonts w:hint="eastAsia" w:asciiTheme="minorEastAsia" w:hAnsiTheme="minorEastAsia" w:eastAsiaTheme="minorEastAsia" w:cstheme="minorEastAsia"/>
          <w:color w:val="auto"/>
          <w:highlight w:val="none"/>
          <w:lang w:val="en-US" w:eastAsia="zh-CN"/>
        </w:rPr>
        <w:t>2地表水环境</w:t>
      </w:r>
      <w:r>
        <w:rPr>
          <w:rFonts w:hint="eastAsia" w:asciiTheme="minorEastAsia" w:hAnsiTheme="minorEastAsia" w:eastAsiaTheme="minorEastAsia" w:cstheme="minorEastAsia"/>
          <w:color w:val="auto"/>
          <w:highlight w:val="none"/>
        </w:rPr>
        <w:t>质量现状评价</w:t>
      </w:r>
    </w:p>
    <w:bookmarkEnd w:id="504"/>
    <w:bookmarkEnd w:id="505"/>
    <w:bookmarkEnd w:id="506"/>
    <w:bookmarkEnd w:id="507"/>
    <w:bookmarkEnd w:id="508"/>
    <w:bookmarkEnd w:id="509"/>
    <w:bookmarkEnd w:id="510"/>
    <w:bookmarkEnd w:id="511"/>
    <w:bookmarkEnd w:id="512"/>
    <w:bookmarkEnd w:id="513"/>
    <w:bookmarkEnd w:id="514"/>
    <w:bookmarkEnd w:id="515"/>
    <w:bookmarkEnd w:id="516"/>
    <w:p w14:paraId="0118023F">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kern w:val="2"/>
          <w:szCs w:val="24"/>
          <w:highlight w:val="none"/>
          <w:lang w:val="en-US" w:eastAsia="zh-CN" w:bidi="ar-SA"/>
        </w:rPr>
      </w:pPr>
      <w:r>
        <w:rPr>
          <w:rFonts w:hint="eastAsia" w:ascii="Times New Roman" w:hAnsi="Times New Roman" w:eastAsia="宋体" w:cs="Times New Roman"/>
          <w:color w:val="auto"/>
          <w:kern w:val="2"/>
          <w:sz w:val="24"/>
          <w:highlight w:val="none"/>
          <w:lang w:val="en-US" w:eastAsia="zh-CN" w:bidi="ar-SA"/>
        </w:rPr>
        <w:t>本项目地表水体为黄泥河，为蚂蚁河一级支流。根据《2024年哈尔滨生态环境质量状况年报》，2024年蚂蚁河总体水质为优。监测的8个断面中，Ⅱ类断面1个，占12.5%</w:t>
      </w:r>
      <w:r>
        <w:rPr>
          <w:rFonts w:hint="eastAsia" w:eastAsia="宋体" w:cs="Times New Roman"/>
          <w:color w:val="auto"/>
          <w:kern w:val="2"/>
          <w:sz w:val="24"/>
          <w:highlight w:val="none"/>
          <w:lang w:val="en-US" w:eastAsia="zh-CN" w:bidi="ar-SA"/>
        </w:rPr>
        <w:t>；</w:t>
      </w:r>
      <w:r>
        <w:rPr>
          <w:rFonts w:hint="eastAsia" w:ascii="Times New Roman" w:hAnsi="Times New Roman" w:eastAsia="宋体" w:cs="Times New Roman"/>
          <w:color w:val="auto"/>
          <w:kern w:val="2"/>
          <w:sz w:val="24"/>
          <w:highlight w:val="none"/>
          <w:lang w:val="en-US" w:eastAsia="zh-CN" w:bidi="ar-SA"/>
        </w:rPr>
        <w:t>Ⅲ类断面7个，占87.5%</w:t>
      </w:r>
      <w:r>
        <w:rPr>
          <w:rFonts w:hint="eastAsia" w:eastAsia="宋体" w:cs="Times New Roman"/>
          <w:color w:val="auto"/>
          <w:kern w:val="2"/>
          <w:sz w:val="24"/>
          <w:highlight w:val="none"/>
          <w:lang w:val="en-US" w:eastAsia="zh-CN" w:bidi="ar-SA"/>
        </w:rPr>
        <w:t>；</w:t>
      </w:r>
      <w:r>
        <w:rPr>
          <w:rFonts w:hint="eastAsia" w:ascii="Times New Roman" w:hAnsi="Times New Roman" w:eastAsia="宋体" w:cs="Times New Roman"/>
          <w:color w:val="auto"/>
          <w:kern w:val="2"/>
          <w:sz w:val="24"/>
          <w:highlight w:val="none"/>
          <w:lang w:val="en-US" w:eastAsia="zh-CN" w:bidi="ar-SA"/>
        </w:rPr>
        <w:t>无I类、IV类</w:t>
      </w:r>
      <w:r>
        <w:rPr>
          <w:rFonts w:hint="eastAsia" w:ascii="Times New Roman" w:cs="Times New Roman"/>
          <w:color w:val="auto"/>
          <w:kern w:val="2"/>
          <w:sz w:val="24"/>
          <w:szCs w:val="24"/>
          <w:highlight w:val="none"/>
          <w:lang w:val="en-US" w:eastAsia="zh-CN" w:bidi="ar-SA"/>
        </w:rPr>
        <w:t>、</w:t>
      </w:r>
      <w:r>
        <w:rPr>
          <w:rFonts w:hint="eastAsia" w:ascii="Times New Roman" w:hAnsi="Times New Roman" w:eastAsia="宋体" w:cs="Times New Roman"/>
          <w:color w:val="auto"/>
          <w:kern w:val="2"/>
          <w:sz w:val="24"/>
          <w:szCs w:val="24"/>
          <w:highlight w:val="none"/>
          <w:lang w:val="en-US" w:eastAsia="zh-CN" w:bidi="ar-SA"/>
        </w:rPr>
        <w:t>V类、劣V类断面</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可以满足</w:t>
      </w:r>
      <w:r>
        <w:rPr>
          <w:rFonts w:hint="eastAsia" w:asciiTheme="minorEastAsia" w:hAnsiTheme="minorEastAsia" w:eastAsiaTheme="minorEastAsia" w:cstheme="minorEastAsia"/>
          <w:b w:val="0"/>
          <w:bCs w:val="0"/>
          <w:color w:val="auto"/>
          <w:sz w:val="24"/>
          <w:szCs w:val="24"/>
          <w:highlight w:val="none"/>
        </w:rPr>
        <w:t>《地表水环境质量标准》（GB3838-2002）中Ⅲ类标准</w:t>
      </w:r>
      <w:r>
        <w:rPr>
          <w:rFonts w:hint="eastAsia" w:asciiTheme="minorEastAsia" w:hAnsiTheme="minorEastAsia" w:eastAsiaTheme="minorEastAsia" w:cstheme="minorEastAsia"/>
          <w:b w:val="0"/>
          <w:bCs w:val="0"/>
          <w:color w:val="auto"/>
          <w:sz w:val="24"/>
          <w:szCs w:val="24"/>
          <w:highlight w:val="none"/>
          <w:lang w:eastAsia="zh-CN"/>
        </w:rPr>
        <w:t>。</w:t>
      </w:r>
    </w:p>
    <w:p w14:paraId="1F90C6F2">
      <w:pPr>
        <w:pStyle w:val="7"/>
        <w:numPr>
          <w:ilvl w:val="0"/>
          <w:numId w:val="0"/>
        </w:numPr>
        <w:bidi w:val="0"/>
        <w:ind w:leftChars="0"/>
        <w:rPr>
          <w:rFonts w:hint="eastAsia" w:asciiTheme="minorEastAsia" w:hAnsiTheme="minorEastAsia" w:eastAsiaTheme="minorEastAsia" w:cstheme="minorEastAsia"/>
          <w:color w:val="auto"/>
          <w:highlight w:val="none"/>
        </w:rPr>
      </w:pPr>
      <w:bookmarkStart w:id="517" w:name="_Toc5763"/>
      <w:bookmarkStart w:id="518" w:name="_Toc23457"/>
      <w:bookmarkStart w:id="519" w:name="_Toc17962"/>
      <w:bookmarkStart w:id="520" w:name="_Toc18876"/>
      <w:bookmarkStart w:id="521" w:name="_Toc8129"/>
      <w:bookmarkStart w:id="522" w:name="_Toc23480"/>
      <w:bookmarkStart w:id="523" w:name="_Toc1737"/>
      <w:bookmarkStart w:id="524" w:name="_Toc29067"/>
      <w:bookmarkStart w:id="525" w:name="_Toc17578"/>
      <w:bookmarkStart w:id="526" w:name="_Toc19192"/>
      <w:bookmarkStart w:id="527" w:name="_Toc1680"/>
      <w:bookmarkStart w:id="528" w:name="_Toc23344"/>
      <w:bookmarkStart w:id="529" w:name="_Toc1076"/>
      <w:r>
        <w:rPr>
          <w:rFonts w:hint="eastAsia" w:asciiTheme="minorEastAsia" w:hAnsiTheme="minorEastAsia" w:eastAsiaTheme="minorEastAsia" w:cstheme="minorEastAsia"/>
          <w:color w:val="auto"/>
          <w:highlight w:val="none"/>
        </w:rPr>
        <w:t>4.3.</w:t>
      </w:r>
      <w:r>
        <w:rPr>
          <w:rFonts w:hint="eastAsia" w:asciiTheme="minorEastAsia" w:hAnsiTheme="minorEastAsia" w:eastAsiaTheme="minorEastAsia" w:cstheme="minorEastAsia"/>
          <w:color w:val="auto"/>
          <w:highlight w:val="none"/>
          <w:lang w:val="en-US" w:eastAsia="zh-CN"/>
        </w:rPr>
        <w:t>3地下水环境</w:t>
      </w:r>
      <w:r>
        <w:rPr>
          <w:rFonts w:hint="eastAsia" w:asciiTheme="minorEastAsia" w:hAnsiTheme="minorEastAsia" w:eastAsiaTheme="minorEastAsia" w:cstheme="minorEastAsia"/>
          <w:color w:val="auto"/>
          <w:highlight w:val="none"/>
        </w:rPr>
        <w:t>质量现状评价</w:t>
      </w:r>
    </w:p>
    <w:p w14:paraId="223AC1F6">
      <w:pPr>
        <w:pStyle w:val="8"/>
        <w:numPr>
          <w:ilvl w:val="0"/>
          <w:numId w:val="0"/>
        </w:numPr>
        <w:bidi w:val="0"/>
        <w:ind w:leftChars="0"/>
        <w:rPr>
          <w:rFonts w:hint="eastAsia" w:asciiTheme="minorEastAsia" w:hAnsiTheme="minorEastAsia" w:eastAsiaTheme="minorEastAsia" w:cstheme="minorEastAsia"/>
          <w:color w:val="auto"/>
          <w:spacing w:val="1"/>
          <w:szCs w:val="24"/>
          <w:highlight w:val="none"/>
        </w:rPr>
      </w:pPr>
      <w:r>
        <w:rPr>
          <w:rFonts w:hint="eastAsia" w:asciiTheme="minorEastAsia" w:hAnsiTheme="minorEastAsia" w:eastAsiaTheme="minorEastAsia" w:cstheme="minorEastAsia"/>
          <w:color w:val="auto"/>
          <w:highlight w:val="none"/>
          <w:lang w:val="en-US" w:eastAsia="zh-CN"/>
        </w:rPr>
        <w:t>4.3.3.1地下水环境现状监测</w:t>
      </w:r>
    </w:p>
    <w:bookmarkEnd w:id="517"/>
    <w:bookmarkEnd w:id="518"/>
    <w:bookmarkEnd w:id="519"/>
    <w:bookmarkEnd w:id="520"/>
    <w:bookmarkEnd w:id="521"/>
    <w:bookmarkEnd w:id="522"/>
    <w:bookmarkEnd w:id="523"/>
    <w:bookmarkEnd w:id="524"/>
    <w:bookmarkEnd w:id="525"/>
    <w:bookmarkEnd w:id="526"/>
    <w:bookmarkEnd w:id="527"/>
    <w:bookmarkEnd w:id="528"/>
    <w:bookmarkEnd w:id="529"/>
    <w:p w14:paraId="660EC92E">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1、监测数据的来源</w:t>
      </w:r>
    </w:p>
    <w:p w14:paraId="2DC37587">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本次评价地下水质量现状监测数据</w:t>
      </w:r>
      <w:r>
        <w:rPr>
          <w:rFonts w:hint="eastAsia" w:asciiTheme="minorEastAsia" w:hAnsiTheme="minorEastAsia" w:eastAsiaTheme="minorEastAsia" w:cstheme="minorEastAsia"/>
          <w:color w:val="auto"/>
          <w:highlight w:val="none"/>
          <w:lang w:val="en-US" w:eastAsia="zh-CN"/>
        </w:rPr>
        <w:t>来源</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黑龙江嘉龙环保科技有限公司灰渣回填复垦利用项目现状检测报告</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该厂区</w:t>
      </w:r>
      <w:r>
        <w:rPr>
          <w:rFonts w:hint="eastAsia" w:asciiTheme="minorEastAsia" w:hAnsiTheme="minorEastAsia" w:eastAsiaTheme="minorEastAsia" w:cstheme="minorEastAsia"/>
          <w:color w:val="auto"/>
          <w:highlight w:val="none"/>
        </w:rPr>
        <w:t>委托</w:t>
      </w:r>
      <w:r>
        <w:rPr>
          <w:rFonts w:hint="eastAsia" w:asciiTheme="minorEastAsia" w:hAnsiTheme="minorEastAsia" w:eastAsiaTheme="minorEastAsia" w:cstheme="minorEastAsia"/>
          <w:bCs/>
          <w:color w:val="auto"/>
          <w:sz w:val="24"/>
          <w:highlight w:val="none"/>
          <w:lang w:eastAsia="zh-CN"/>
        </w:rPr>
        <w:t>黑龙江博仕检验检测有限公司</w:t>
      </w:r>
      <w:r>
        <w:rPr>
          <w:rFonts w:hint="eastAsia" w:asciiTheme="minorEastAsia" w:hAnsiTheme="minorEastAsia" w:eastAsiaTheme="minorEastAsia" w:cstheme="minorEastAsia"/>
          <w:color w:val="auto"/>
          <w:highlight w:val="none"/>
        </w:rPr>
        <w:t>进行现场监测。</w:t>
      </w:r>
    </w:p>
    <w:p w14:paraId="4848B904">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2、监测点位</w:t>
      </w:r>
    </w:p>
    <w:p w14:paraId="6E0B21C8">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本项目布置水质监测点3个，分别分布于建设项目场地及其</w:t>
      </w:r>
      <w:r>
        <w:rPr>
          <w:rFonts w:hint="eastAsia" w:asciiTheme="minorEastAsia" w:hAnsiTheme="minorEastAsia" w:eastAsiaTheme="minorEastAsia" w:cstheme="minorEastAsia"/>
          <w:color w:val="auto"/>
          <w:highlight w:val="none"/>
          <w:lang w:val="en-US" w:eastAsia="zh-CN"/>
        </w:rPr>
        <w:t>上、</w:t>
      </w:r>
      <w:r>
        <w:rPr>
          <w:rFonts w:hint="eastAsia" w:asciiTheme="minorEastAsia" w:hAnsiTheme="minorEastAsia" w:eastAsiaTheme="minorEastAsia" w:cstheme="minorEastAsia"/>
          <w:color w:val="auto"/>
          <w:highlight w:val="none"/>
        </w:rPr>
        <w:t>下游，地下水监测点基本情况见表4.</w:t>
      </w:r>
      <w:r>
        <w:rPr>
          <w:rFonts w:hint="eastAsia" w:asciiTheme="minorEastAsia" w:hAnsiTheme="minorEastAsia" w:eastAsiaTheme="minorEastAsia" w:cstheme="minorEastAsia"/>
          <w:color w:val="auto"/>
          <w:highlight w:val="none"/>
          <w:lang w:val="en-US" w:eastAsia="zh-CN"/>
        </w:rPr>
        <w:t>3-6</w:t>
      </w:r>
      <w:r>
        <w:rPr>
          <w:rFonts w:hint="eastAsia" w:asciiTheme="minorEastAsia" w:hAnsiTheme="minorEastAsia" w:eastAsiaTheme="minorEastAsia" w:cstheme="minorEastAsia"/>
          <w:color w:val="auto"/>
          <w:highlight w:val="none"/>
        </w:rPr>
        <w:t>。</w:t>
      </w:r>
    </w:p>
    <w:p w14:paraId="75D61B20">
      <w:pPr>
        <w:spacing w:line="240" w:lineRule="auto"/>
        <w:ind w:firstLine="480"/>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highlight w:val="none"/>
        </w:rPr>
        <w:t>表4.</w:t>
      </w:r>
      <w:r>
        <w:rPr>
          <w:rFonts w:hint="eastAsia" w:asciiTheme="minorEastAsia" w:hAnsiTheme="minorEastAsia" w:eastAsiaTheme="minorEastAsia" w:cstheme="minorEastAsia"/>
          <w:b/>
          <w:bCs/>
          <w:color w:val="auto"/>
          <w:highlight w:val="none"/>
          <w:lang w:val="en-US" w:eastAsia="zh-CN"/>
        </w:rPr>
        <w:t>3-6</w:t>
      </w:r>
      <w:r>
        <w:rPr>
          <w:rFonts w:hint="eastAsia" w:asciiTheme="minorEastAsia" w:hAnsiTheme="minorEastAsia" w:eastAsiaTheme="minorEastAsia" w:cstheme="minorEastAsia"/>
          <w:b/>
          <w:bCs/>
          <w:color w:val="auto"/>
          <w:highlight w:val="none"/>
        </w:rPr>
        <w:t xml:space="preserve"> </w:t>
      </w:r>
      <w:r>
        <w:rPr>
          <w:rFonts w:hint="eastAsia" w:asciiTheme="minorEastAsia" w:hAnsiTheme="minorEastAsia" w:eastAsiaTheme="minorEastAsia" w:cstheme="minorEastAsia"/>
          <w:b/>
          <w:bCs/>
          <w:color w:val="auto"/>
          <w:highlight w:val="none"/>
          <w:lang w:val="en-US" w:eastAsia="zh-CN"/>
        </w:rPr>
        <w:t xml:space="preserve"> </w:t>
      </w:r>
      <w:r>
        <w:rPr>
          <w:rFonts w:hint="eastAsia" w:asciiTheme="minorEastAsia" w:hAnsiTheme="minorEastAsia" w:eastAsiaTheme="minorEastAsia" w:cstheme="minorEastAsia"/>
          <w:b/>
          <w:bCs/>
          <w:color w:val="auto"/>
          <w:highlight w:val="none"/>
        </w:rPr>
        <w:t>地下水环境质量监测点一览表</w:t>
      </w:r>
    </w:p>
    <w:tbl>
      <w:tblPr>
        <w:tblStyle w:val="84"/>
        <w:tblW w:w="510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199"/>
        <w:gridCol w:w="2512"/>
        <w:gridCol w:w="1088"/>
        <w:gridCol w:w="1423"/>
        <w:gridCol w:w="1421"/>
        <w:gridCol w:w="1312"/>
      </w:tblGrid>
      <w:tr w14:paraId="470AC2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38" w:hRule="atLeast"/>
          <w:jc w:val="center"/>
        </w:trPr>
        <w:tc>
          <w:tcPr>
            <w:tcW w:w="669" w:type="pct"/>
            <w:tcBorders>
              <w:tl2br w:val="nil"/>
              <w:tr2bl w:val="nil"/>
            </w:tcBorders>
            <w:noWrap w:val="0"/>
            <w:vAlign w:val="center"/>
          </w:tcPr>
          <w:p w14:paraId="53AE753B">
            <w:pPr>
              <w:pStyle w:val="312"/>
              <w:keepNext w:val="0"/>
              <w:keepLines w:val="0"/>
              <w:suppressLineNumbers w:val="0"/>
              <w:spacing w:before="0" w:beforeAutospacing="0" w:after="0" w:afterAutospacing="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监测点类型</w:t>
            </w:r>
          </w:p>
        </w:tc>
        <w:tc>
          <w:tcPr>
            <w:tcW w:w="1402" w:type="pct"/>
            <w:tcBorders>
              <w:tl2br w:val="nil"/>
              <w:tr2bl w:val="nil"/>
            </w:tcBorders>
            <w:noWrap w:val="0"/>
            <w:vAlign w:val="center"/>
          </w:tcPr>
          <w:p w14:paraId="5AE87F71">
            <w:pPr>
              <w:pStyle w:val="312"/>
              <w:keepNext w:val="0"/>
              <w:keepLines w:val="0"/>
              <w:suppressLineNumbers w:val="0"/>
              <w:spacing w:before="0" w:beforeAutospacing="0" w:after="0" w:afterAutospacing="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监测点位</w:t>
            </w:r>
          </w:p>
        </w:tc>
        <w:tc>
          <w:tcPr>
            <w:tcW w:w="607" w:type="pct"/>
            <w:tcBorders>
              <w:tl2br w:val="nil"/>
              <w:tr2bl w:val="nil"/>
            </w:tcBorders>
            <w:noWrap w:val="0"/>
            <w:vAlign w:val="center"/>
          </w:tcPr>
          <w:p w14:paraId="67D6509A">
            <w:pPr>
              <w:pStyle w:val="43"/>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井深m</w:t>
            </w:r>
          </w:p>
        </w:tc>
        <w:tc>
          <w:tcPr>
            <w:tcW w:w="794" w:type="pct"/>
            <w:tcBorders>
              <w:tl2br w:val="nil"/>
              <w:tr2bl w:val="nil"/>
            </w:tcBorders>
            <w:noWrap w:val="0"/>
            <w:vAlign w:val="center"/>
          </w:tcPr>
          <w:p w14:paraId="1E511AEB">
            <w:pPr>
              <w:pStyle w:val="43"/>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水位m</w:t>
            </w:r>
          </w:p>
        </w:tc>
        <w:tc>
          <w:tcPr>
            <w:tcW w:w="793" w:type="pct"/>
            <w:tcBorders>
              <w:tl2br w:val="nil"/>
              <w:tr2bl w:val="nil"/>
            </w:tcBorders>
            <w:noWrap w:val="0"/>
            <w:vAlign w:val="center"/>
          </w:tcPr>
          <w:p w14:paraId="4DEB03ED">
            <w:pPr>
              <w:pStyle w:val="312"/>
              <w:keepNext w:val="0"/>
              <w:keepLines w:val="0"/>
              <w:suppressLineNumbers w:val="0"/>
              <w:spacing w:before="0" w:beforeAutospacing="0" w:after="0" w:afterAutospacing="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含水目的层</w:t>
            </w:r>
          </w:p>
        </w:tc>
        <w:tc>
          <w:tcPr>
            <w:tcW w:w="732" w:type="pct"/>
            <w:tcBorders>
              <w:tl2br w:val="nil"/>
              <w:tr2bl w:val="nil"/>
            </w:tcBorders>
            <w:noWrap w:val="0"/>
            <w:vAlign w:val="center"/>
          </w:tcPr>
          <w:p w14:paraId="104299E0">
            <w:pPr>
              <w:pStyle w:val="312"/>
              <w:keepNext w:val="0"/>
              <w:keepLines w:val="0"/>
              <w:suppressLineNumbers w:val="0"/>
              <w:spacing w:before="0" w:beforeAutospacing="0" w:after="0" w:afterAutospacing="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使用功能</w:t>
            </w:r>
          </w:p>
        </w:tc>
      </w:tr>
      <w:tr w14:paraId="298B9D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2" w:hRule="atLeast"/>
          <w:jc w:val="center"/>
        </w:trPr>
        <w:tc>
          <w:tcPr>
            <w:tcW w:w="669" w:type="pct"/>
            <w:vMerge w:val="restart"/>
            <w:tcBorders>
              <w:tl2br w:val="nil"/>
              <w:tr2bl w:val="nil"/>
            </w:tcBorders>
            <w:noWrap w:val="0"/>
            <w:vAlign w:val="center"/>
          </w:tcPr>
          <w:p w14:paraId="271956CB">
            <w:pPr>
              <w:pStyle w:val="312"/>
              <w:keepNext w:val="0"/>
              <w:keepLines w:val="0"/>
              <w:suppressLineNumbers w:val="0"/>
              <w:spacing w:before="0" w:beforeAutospacing="0" w:after="0" w:afterAutospacing="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rPr>
              <w:t>水质</w:t>
            </w:r>
            <w:r>
              <w:rPr>
                <w:rFonts w:hint="eastAsia" w:asciiTheme="minorEastAsia" w:hAnsiTheme="minorEastAsia" w:eastAsiaTheme="minorEastAsia" w:cstheme="minorEastAsia"/>
                <w:b w:val="0"/>
                <w:bCs w:val="0"/>
                <w:color w:val="auto"/>
                <w:sz w:val="21"/>
                <w:szCs w:val="21"/>
                <w:highlight w:val="none"/>
                <w:lang w:val="en-US" w:eastAsia="zh-CN"/>
              </w:rPr>
              <w:t>+水位</w:t>
            </w:r>
          </w:p>
          <w:p w14:paraId="2FF8BE65">
            <w:pPr>
              <w:pStyle w:val="312"/>
              <w:keepNext w:val="0"/>
              <w:keepLines w:val="0"/>
              <w:suppressLineNumbers w:val="0"/>
              <w:spacing w:before="0" w:beforeAutospacing="0" w:after="0" w:afterAutospacing="0"/>
              <w:jc w:val="center"/>
              <w:rPr>
                <w:rFonts w:hint="eastAsia" w:asciiTheme="minorEastAsia" w:hAnsiTheme="minorEastAsia" w:eastAsiaTheme="minorEastAsia" w:cstheme="minorEastAsia"/>
                <w:b w:val="0"/>
                <w:bCs w:val="0"/>
                <w:color w:val="auto"/>
                <w:sz w:val="21"/>
                <w:szCs w:val="21"/>
                <w:highlight w:val="none"/>
                <w:lang w:eastAsia="zh-CN"/>
              </w:rPr>
            </w:pPr>
            <w:r>
              <w:rPr>
                <w:rFonts w:hint="eastAsia" w:asciiTheme="minorEastAsia" w:hAnsiTheme="minorEastAsia" w:eastAsiaTheme="minorEastAsia" w:cstheme="minorEastAsia"/>
                <w:b w:val="0"/>
                <w:bCs w:val="0"/>
                <w:color w:val="auto"/>
                <w:sz w:val="21"/>
                <w:szCs w:val="21"/>
                <w:highlight w:val="none"/>
                <w:lang w:val="en-US" w:eastAsia="zh-CN"/>
              </w:rPr>
              <w:t>监测点</w:t>
            </w:r>
          </w:p>
        </w:tc>
        <w:tc>
          <w:tcPr>
            <w:tcW w:w="1402" w:type="pct"/>
            <w:tcBorders>
              <w:tl2br w:val="nil"/>
              <w:tr2bl w:val="nil"/>
            </w:tcBorders>
            <w:shd w:val="clear" w:color="auto" w:fill="auto"/>
            <w:noWrap w:val="0"/>
            <w:vAlign w:val="center"/>
          </w:tcPr>
          <w:p w14:paraId="3733C78D">
            <w:pPr>
              <w:keepNext w:val="0"/>
              <w:keepLines w:val="0"/>
              <w:suppressLineNumbers w:val="0"/>
              <w:spacing w:before="0" w:beforeAutospacing="0" w:after="0" w:afterAutospacing="0" w:line="0" w:lineRule="atLeast"/>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场地上游</w:t>
            </w:r>
            <w:r>
              <w:rPr>
                <w:rFonts w:hint="eastAsia" w:ascii="Times New Roman" w:hAnsi="Times New Roman" w:eastAsia="宋体" w:cs="Times New Roman"/>
                <w:color w:val="auto"/>
                <w:sz w:val="21"/>
                <w:szCs w:val="21"/>
                <w:highlight w:val="none"/>
                <w:lang w:val="en-US" w:eastAsia="zh-CN"/>
              </w:rPr>
              <w:t>1#</w:t>
            </w:r>
          </w:p>
        </w:tc>
        <w:tc>
          <w:tcPr>
            <w:tcW w:w="607" w:type="pct"/>
            <w:tcBorders>
              <w:tl2br w:val="nil"/>
              <w:tr2bl w:val="nil"/>
            </w:tcBorders>
            <w:shd w:val="clear" w:color="auto" w:fill="auto"/>
            <w:noWrap w:val="0"/>
            <w:vAlign w:val="center"/>
          </w:tcPr>
          <w:p w14:paraId="2C3C1934">
            <w:pPr>
              <w:pStyle w:val="2"/>
              <w:keepNext w:val="0"/>
              <w:keepLines w:val="0"/>
              <w:widowControl/>
              <w:suppressLineNumbers w:val="0"/>
              <w:kinsoku/>
              <w:topLinePunct w:val="0"/>
              <w:autoSpaceDE/>
              <w:autoSpaceDN/>
              <w:adjustRightInd/>
              <w:snapToGrid/>
              <w:spacing w:before="0" w:beforeAutospacing="0" w:after="0" w:afterAutospacing="0" w:line="240" w:lineRule="auto"/>
              <w:ind w:left="0" w:right="113" w:rightChars="0" w:firstLine="0" w:firstLineChars="0"/>
              <w:jc w:val="center"/>
              <w:textAlignment w:val="auto"/>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38</w:t>
            </w:r>
          </w:p>
        </w:tc>
        <w:tc>
          <w:tcPr>
            <w:tcW w:w="794" w:type="pct"/>
            <w:tcBorders>
              <w:tl2br w:val="nil"/>
              <w:tr2bl w:val="nil"/>
            </w:tcBorders>
            <w:noWrap w:val="0"/>
            <w:vAlign w:val="center"/>
          </w:tcPr>
          <w:p w14:paraId="636611CE">
            <w:pPr>
              <w:pStyle w:val="2"/>
              <w:keepNext w:val="0"/>
              <w:keepLines w:val="0"/>
              <w:widowControl/>
              <w:suppressLineNumbers w:val="0"/>
              <w:kinsoku/>
              <w:topLinePunct w:val="0"/>
              <w:autoSpaceDE/>
              <w:autoSpaceDN/>
              <w:adjustRightInd/>
              <w:snapToGrid/>
              <w:spacing w:before="0" w:beforeAutospacing="0" w:after="0" w:afterAutospacing="0" w:line="240" w:lineRule="auto"/>
              <w:ind w:left="0" w:right="113" w:rightChars="0" w:firstLine="0" w:firstLineChars="0"/>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6</w:t>
            </w:r>
          </w:p>
        </w:tc>
        <w:tc>
          <w:tcPr>
            <w:tcW w:w="793" w:type="pct"/>
            <w:tcBorders>
              <w:tl2br w:val="nil"/>
              <w:tr2bl w:val="nil"/>
            </w:tcBorders>
            <w:noWrap w:val="0"/>
            <w:vAlign w:val="center"/>
          </w:tcPr>
          <w:p w14:paraId="536D5AC8">
            <w:pPr>
              <w:pStyle w:val="312"/>
              <w:keepNext w:val="0"/>
              <w:keepLines w:val="0"/>
              <w:suppressLineNumbers w:val="0"/>
              <w:spacing w:before="0" w:beforeAutospacing="0" w:after="0" w:afterAutospacing="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潜水</w:t>
            </w:r>
          </w:p>
        </w:tc>
        <w:tc>
          <w:tcPr>
            <w:tcW w:w="732" w:type="pct"/>
            <w:tcBorders>
              <w:tl2br w:val="nil"/>
              <w:tr2bl w:val="nil"/>
            </w:tcBorders>
            <w:shd w:val="clear" w:color="auto" w:fill="auto"/>
            <w:noWrap w:val="0"/>
            <w:vAlign w:val="center"/>
          </w:tcPr>
          <w:p w14:paraId="1DB439FF">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line="240" w:lineRule="auto"/>
              <w:ind w:left="0" w:right="0" w:firstLine="0" w:firstLineChars="0"/>
              <w:jc w:val="center"/>
              <w:textAlignment w:val="auto"/>
              <w:outlineLvl w:val="9"/>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灌溉井</w:t>
            </w:r>
          </w:p>
        </w:tc>
      </w:tr>
      <w:tr w14:paraId="3F8E90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2" w:hRule="atLeast"/>
          <w:jc w:val="center"/>
        </w:trPr>
        <w:tc>
          <w:tcPr>
            <w:tcW w:w="669" w:type="pct"/>
            <w:vMerge w:val="continue"/>
            <w:tcBorders>
              <w:tl2br w:val="nil"/>
              <w:tr2bl w:val="nil"/>
            </w:tcBorders>
            <w:noWrap w:val="0"/>
            <w:vAlign w:val="center"/>
          </w:tcPr>
          <w:p w14:paraId="0B080F9B">
            <w:pPr>
              <w:pStyle w:val="312"/>
              <w:keepNext w:val="0"/>
              <w:keepLines w:val="0"/>
              <w:suppressLineNumbers w:val="0"/>
              <w:spacing w:before="0" w:beforeAutospacing="0" w:after="0" w:afterAutospacing="0"/>
              <w:rPr>
                <w:rFonts w:hint="eastAsia" w:asciiTheme="minorEastAsia" w:hAnsiTheme="minorEastAsia" w:eastAsiaTheme="minorEastAsia" w:cstheme="minorEastAsia"/>
                <w:b w:val="0"/>
                <w:bCs w:val="0"/>
                <w:color w:val="auto"/>
                <w:sz w:val="21"/>
                <w:szCs w:val="21"/>
                <w:highlight w:val="none"/>
              </w:rPr>
            </w:pPr>
          </w:p>
        </w:tc>
        <w:tc>
          <w:tcPr>
            <w:tcW w:w="1402" w:type="pct"/>
            <w:tcBorders>
              <w:tl2br w:val="nil"/>
              <w:tr2bl w:val="nil"/>
            </w:tcBorders>
            <w:shd w:val="clear" w:color="auto" w:fill="auto"/>
            <w:noWrap w:val="0"/>
            <w:vAlign w:val="center"/>
          </w:tcPr>
          <w:p w14:paraId="7B552672">
            <w:pPr>
              <w:keepNext w:val="0"/>
              <w:keepLines w:val="0"/>
              <w:suppressLineNumbers w:val="0"/>
              <w:spacing w:before="0" w:beforeAutospacing="0" w:after="0" w:afterAutospacing="0" w:line="0" w:lineRule="atLeast"/>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项目场地</w:t>
            </w:r>
            <w:r>
              <w:rPr>
                <w:rFonts w:hint="eastAsia" w:ascii="Times New Roman" w:hAnsi="Times New Roman" w:eastAsia="宋体" w:cs="Times New Roman"/>
                <w:color w:val="auto"/>
                <w:sz w:val="21"/>
                <w:szCs w:val="21"/>
                <w:highlight w:val="none"/>
                <w:lang w:val="en-US" w:eastAsia="zh-CN"/>
              </w:rPr>
              <w:t>2#</w:t>
            </w:r>
          </w:p>
        </w:tc>
        <w:tc>
          <w:tcPr>
            <w:tcW w:w="607" w:type="pct"/>
            <w:tcBorders>
              <w:tl2br w:val="nil"/>
              <w:tr2bl w:val="nil"/>
            </w:tcBorders>
            <w:shd w:val="clear" w:color="auto" w:fill="auto"/>
            <w:noWrap w:val="0"/>
            <w:vAlign w:val="center"/>
          </w:tcPr>
          <w:p w14:paraId="60CAC07D">
            <w:pPr>
              <w:pStyle w:val="2"/>
              <w:keepNext w:val="0"/>
              <w:keepLines w:val="0"/>
              <w:widowControl/>
              <w:suppressLineNumbers w:val="0"/>
              <w:kinsoku/>
              <w:topLinePunct w:val="0"/>
              <w:autoSpaceDE/>
              <w:autoSpaceDN/>
              <w:adjustRightInd/>
              <w:snapToGrid/>
              <w:spacing w:before="0" w:beforeAutospacing="0" w:after="0" w:afterAutospacing="0" w:line="240" w:lineRule="auto"/>
              <w:ind w:left="0" w:right="113" w:rightChars="0" w:firstLine="0" w:firstLineChars="0"/>
              <w:jc w:val="center"/>
              <w:textAlignment w:val="auto"/>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42</w:t>
            </w:r>
          </w:p>
        </w:tc>
        <w:tc>
          <w:tcPr>
            <w:tcW w:w="794" w:type="pct"/>
            <w:tcBorders>
              <w:tl2br w:val="nil"/>
              <w:tr2bl w:val="nil"/>
            </w:tcBorders>
            <w:noWrap w:val="0"/>
            <w:vAlign w:val="center"/>
          </w:tcPr>
          <w:p w14:paraId="37074BC6">
            <w:pPr>
              <w:pStyle w:val="2"/>
              <w:keepNext w:val="0"/>
              <w:keepLines w:val="0"/>
              <w:widowControl/>
              <w:suppressLineNumbers w:val="0"/>
              <w:kinsoku/>
              <w:topLinePunct w:val="0"/>
              <w:autoSpaceDE/>
              <w:autoSpaceDN/>
              <w:adjustRightInd/>
              <w:snapToGrid/>
              <w:spacing w:before="0" w:beforeAutospacing="0" w:after="0" w:afterAutospacing="0" w:line="240" w:lineRule="auto"/>
              <w:ind w:left="0" w:right="113" w:rightChars="0" w:firstLine="0" w:firstLineChars="0"/>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4</w:t>
            </w:r>
          </w:p>
        </w:tc>
        <w:tc>
          <w:tcPr>
            <w:tcW w:w="793" w:type="pct"/>
            <w:tcBorders>
              <w:tl2br w:val="nil"/>
              <w:tr2bl w:val="nil"/>
            </w:tcBorders>
            <w:noWrap w:val="0"/>
            <w:vAlign w:val="center"/>
          </w:tcPr>
          <w:p w14:paraId="27E70D28">
            <w:pPr>
              <w:pStyle w:val="312"/>
              <w:keepNext w:val="0"/>
              <w:keepLines w:val="0"/>
              <w:suppressLineNumbers w:val="0"/>
              <w:spacing w:before="0" w:beforeAutospacing="0" w:after="0" w:afterAutospacing="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潜水</w:t>
            </w:r>
          </w:p>
        </w:tc>
        <w:tc>
          <w:tcPr>
            <w:tcW w:w="732" w:type="pct"/>
            <w:tcBorders>
              <w:tl2br w:val="nil"/>
              <w:tr2bl w:val="nil"/>
            </w:tcBorders>
            <w:shd w:val="clear" w:color="auto" w:fill="auto"/>
            <w:noWrap w:val="0"/>
            <w:vAlign w:val="center"/>
          </w:tcPr>
          <w:p w14:paraId="132BA54E">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line="240" w:lineRule="auto"/>
              <w:ind w:left="0" w:right="0" w:firstLine="0" w:firstLineChars="0"/>
              <w:jc w:val="center"/>
              <w:textAlignment w:val="auto"/>
              <w:outlineLvl w:val="9"/>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勘测井</w:t>
            </w:r>
          </w:p>
        </w:tc>
      </w:tr>
      <w:tr w14:paraId="2D5555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2" w:hRule="atLeast"/>
          <w:jc w:val="center"/>
        </w:trPr>
        <w:tc>
          <w:tcPr>
            <w:tcW w:w="669" w:type="pct"/>
            <w:vMerge w:val="continue"/>
            <w:tcBorders>
              <w:tl2br w:val="nil"/>
              <w:tr2bl w:val="nil"/>
            </w:tcBorders>
            <w:noWrap w:val="0"/>
            <w:vAlign w:val="center"/>
          </w:tcPr>
          <w:p w14:paraId="3D615770">
            <w:pPr>
              <w:pStyle w:val="312"/>
              <w:keepNext w:val="0"/>
              <w:keepLines w:val="0"/>
              <w:suppressLineNumbers w:val="0"/>
              <w:spacing w:before="0" w:beforeAutospacing="0" w:after="0" w:afterAutospacing="0"/>
              <w:rPr>
                <w:rFonts w:hint="eastAsia" w:asciiTheme="minorEastAsia" w:hAnsiTheme="minorEastAsia" w:eastAsiaTheme="minorEastAsia" w:cstheme="minorEastAsia"/>
                <w:b w:val="0"/>
                <w:bCs w:val="0"/>
                <w:color w:val="auto"/>
                <w:sz w:val="21"/>
                <w:szCs w:val="21"/>
                <w:highlight w:val="none"/>
              </w:rPr>
            </w:pPr>
          </w:p>
        </w:tc>
        <w:tc>
          <w:tcPr>
            <w:tcW w:w="1402" w:type="pct"/>
            <w:tcBorders>
              <w:tl2br w:val="nil"/>
              <w:tr2bl w:val="nil"/>
            </w:tcBorders>
            <w:shd w:val="clear" w:color="auto" w:fill="auto"/>
            <w:noWrap w:val="0"/>
            <w:vAlign w:val="center"/>
          </w:tcPr>
          <w:p w14:paraId="2B263CB7">
            <w:pPr>
              <w:keepNext w:val="0"/>
              <w:keepLines w:val="0"/>
              <w:suppressLineNumbers w:val="0"/>
              <w:spacing w:before="0" w:beforeAutospacing="0" w:after="0" w:afterAutospacing="0" w:line="0" w:lineRule="atLeast"/>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场地下游</w:t>
            </w:r>
            <w:r>
              <w:rPr>
                <w:rFonts w:hint="eastAsia" w:ascii="Times New Roman" w:hAnsi="Times New Roman" w:eastAsia="宋体" w:cs="Times New Roman"/>
                <w:color w:val="auto"/>
                <w:sz w:val="21"/>
                <w:szCs w:val="21"/>
                <w:highlight w:val="none"/>
                <w:lang w:val="en-US" w:eastAsia="zh-CN"/>
              </w:rPr>
              <w:t>3#</w:t>
            </w:r>
          </w:p>
        </w:tc>
        <w:tc>
          <w:tcPr>
            <w:tcW w:w="607" w:type="pct"/>
            <w:tcBorders>
              <w:tl2br w:val="nil"/>
              <w:tr2bl w:val="nil"/>
            </w:tcBorders>
            <w:shd w:val="clear" w:color="auto" w:fill="auto"/>
            <w:noWrap w:val="0"/>
            <w:vAlign w:val="center"/>
          </w:tcPr>
          <w:p w14:paraId="783E355B">
            <w:pPr>
              <w:pStyle w:val="2"/>
              <w:keepNext w:val="0"/>
              <w:keepLines w:val="0"/>
              <w:widowControl/>
              <w:suppressLineNumbers w:val="0"/>
              <w:kinsoku/>
              <w:topLinePunct w:val="0"/>
              <w:autoSpaceDE/>
              <w:autoSpaceDN/>
              <w:adjustRightInd/>
              <w:snapToGrid/>
              <w:spacing w:before="0" w:beforeAutospacing="0" w:after="0" w:afterAutospacing="0" w:line="240" w:lineRule="auto"/>
              <w:ind w:left="0" w:right="113" w:rightChars="0" w:firstLine="0" w:firstLineChars="0"/>
              <w:jc w:val="center"/>
              <w:textAlignment w:val="auto"/>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49</w:t>
            </w:r>
          </w:p>
        </w:tc>
        <w:tc>
          <w:tcPr>
            <w:tcW w:w="794" w:type="pct"/>
            <w:tcBorders>
              <w:tl2br w:val="nil"/>
              <w:tr2bl w:val="nil"/>
            </w:tcBorders>
            <w:noWrap w:val="0"/>
            <w:vAlign w:val="center"/>
          </w:tcPr>
          <w:p w14:paraId="29C8B780">
            <w:pPr>
              <w:pStyle w:val="2"/>
              <w:keepNext w:val="0"/>
              <w:keepLines w:val="0"/>
              <w:widowControl/>
              <w:suppressLineNumbers w:val="0"/>
              <w:kinsoku/>
              <w:topLinePunct w:val="0"/>
              <w:autoSpaceDE/>
              <w:autoSpaceDN/>
              <w:adjustRightInd/>
              <w:snapToGrid/>
              <w:spacing w:before="0" w:beforeAutospacing="0" w:after="0" w:afterAutospacing="0" w:line="240" w:lineRule="auto"/>
              <w:ind w:left="0" w:right="113" w:rightChars="0" w:firstLine="0" w:firstLineChars="0"/>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5</w:t>
            </w:r>
          </w:p>
        </w:tc>
        <w:tc>
          <w:tcPr>
            <w:tcW w:w="793" w:type="pct"/>
            <w:tcBorders>
              <w:tl2br w:val="nil"/>
              <w:tr2bl w:val="nil"/>
            </w:tcBorders>
            <w:noWrap w:val="0"/>
            <w:vAlign w:val="center"/>
          </w:tcPr>
          <w:p w14:paraId="79AD0029">
            <w:pPr>
              <w:pStyle w:val="312"/>
              <w:keepNext w:val="0"/>
              <w:keepLines w:val="0"/>
              <w:suppressLineNumbers w:val="0"/>
              <w:spacing w:before="0" w:beforeAutospacing="0" w:after="0" w:afterAutospacing="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潜水</w:t>
            </w:r>
          </w:p>
        </w:tc>
        <w:tc>
          <w:tcPr>
            <w:tcW w:w="732" w:type="pct"/>
            <w:tcBorders>
              <w:tl2br w:val="nil"/>
              <w:tr2bl w:val="nil"/>
            </w:tcBorders>
            <w:shd w:val="clear" w:color="auto" w:fill="auto"/>
            <w:noWrap w:val="0"/>
            <w:vAlign w:val="center"/>
          </w:tcPr>
          <w:p w14:paraId="69AC1683">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line="240" w:lineRule="auto"/>
              <w:ind w:left="0" w:right="0" w:firstLine="0" w:firstLineChars="0"/>
              <w:jc w:val="center"/>
              <w:textAlignment w:val="auto"/>
              <w:outlineLvl w:val="9"/>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灌溉井</w:t>
            </w:r>
          </w:p>
        </w:tc>
      </w:tr>
      <w:tr w14:paraId="6F1767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2" w:hRule="atLeast"/>
          <w:jc w:val="center"/>
        </w:trPr>
        <w:tc>
          <w:tcPr>
            <w:tcW w:w="669" w:type="pct"/>
            <w:vMerge w:val="restart"/>
            <w:tcBorders>
              <w:tl2br w:val="nil"/>
              <w:tr2bl w:val="nil"/>
            </w:tcBorders>
            <w:noWrap w:val="0"/>
            <w:vAlign w:val="center"/>
          </w:tcPr>
          <w:p w14:paraId="6D3C6AF8">
            <w:pPr>
              <w:pStyle w:val="312"/>
              <w:keepNext w:val="0"/>
              <w:keepLines w:val="0"/>
              <w:suppressLineNumbers w:val="0"/>
              <w:spacing w:before="0" w:beforeAutospacing="0" w:after="0" w:afterAutospacing="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水位监测点</w:t>
            </w:r>
          </w:p>
        </w:tc>
        <w:tc>
          <w:tcPr>
            <w:tcW w:w="1402" w:type="pct"/>
            <w:tcBorders>
              <w:tl2br w:val="nil"/>
              <w:tr2bl w:val="nil"/>
            </w:tcBorders>
            <w:shd w:val="clear" w:color="auto" w:fill="auto"/>
            <w:noWrap w:val="0"/>
            <w:vAlign w:val="center"/>
          </w:tcPr>
          <w:p w14:paraId="798D9CC6">
            <w:pPr>
              <w:keepNext w:val="0"/>
              <w:keepLines w:val="0"/>
              <w:suppressLineNumbers w:val="0"/>
              <w:spacing w:before="0" w:beforeAutospacing="0" w:after="0" w:afterAutospacing="0" w:line="0" w:lineRule="atLeast"/>
              <w:ind w:left="0" w:right="0"/>
              <w:jc w:val="center"/>
              <w:rPr>
                <w:rFonts w:hint="default" w:eastAsia="宋体" w:asciiTheme="minorEastAsia" w:hAnsiTheme="minorEastAsia" w:cstheme="minorEastAsia"/>
                <w:b w:val="0"/>
                <w:bCs w:val="0"/>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场地下游</w:t>
            </w:r>
            <w:r>
              <w:rPr>
                <w:rFonts w:hint="eastAsia" w:ascii="Times New Roman" w:hAnsi="Times New Roman" w:eastAsia="宋体" w:cs="Times New Roman"/>
                <w:color w:val="auto"/>
                <w:sz w:val="21"/>
                <w:szCs w:val="21"/>
                <w:highlight w:val="none"/>
                <w:lang w:val="en-US" w:eastAsia="zh-CN"/>
              </w:rPr>
              <w:t>4#</w:t>
            </w:r>
          </w:p>
        </w:tc>
        <w:tc>
          <w:tcPr>
            <w:tcW w:w="607" w:type="pct"/>
            <w:tcBorders>
              <w:tl2br w:val="nil"/>
              <w:tr2bl w:val="nil"/>
            </w:tcBorders>
            <w:shd w:val="clear" w:color="auto" w:fill="auto"/>
            <w:noWrap w:val="0"/>
            <w:vAlign w:val="center"/>
          </w:tcPr>
          <w:p w14:paraId="0EEC0CD1">
            <w:pPr>
              <w:pStyle w:val="2"/>
              <w:keepNext w:val="0"/>
              <w:keepLines w:val="0"/>
              <w:widowControl/>
              <w:suppressLineNumbers w:val="0"/>
              <w:kinsoku/>
              <w:topLinePunct w:val="0"/>
              <w:autoSpaceDE/>
              <w:autoSpaceDN/>
              <w:adjustRightInd/>
              <w:snapToGrid/>
              <w:spacing w:before="0" w:beforeAutospacing="0" w:after="0" w:afterAutospacing="0" w:line="240" w:lineRule="auto"/>
              <w:ind w:left="0" w:right="113" w:rightChars="0" w:firstLine="0" w:firstLineChars="0"/>
              <w:jc w:val="center"/>
              <w:textAlignment w:val="auto"/>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35</w:t>
            </w:r>
          </w:p>
        </w:tc>
        <w:tc>
          <w:tcPr>
            <w:tcW w:w="794" w:type="pct"/>
            <w:tcBorders>
              <w:tl2br w:val="nil"/>
              <w:tr2bl w:val="nil"/>
            </w:tcBorders>
            <w:shd w:val="clear" w:color="auto" w:fill="auto"/>
            <w:noWrap w:val="0"/>
            <w:vAlign w:val="center"/>
          </w:tcPr>
          <w:p w14:paraId="5139B888">
            <w:pPr>
              <w:pStyle w:val="2"/>
              <w:keepNext w:val="0"/>
              <w:keepLines w:val="0"/>
              <w:widowControl/>
              <w:suppressLineNumbers w:val="0"/>
              <w:kinsoku/>
              <w:topLinePunct w:val="0"/>
              <w:autoSpaceDE/>
              <w:autoSpaceDN/>
              <w:adjustRightInd/>
              <w:snapToGrid/>
              <w:spacing w:before="0" w:beforeAutospacing="0" w:after="0" w:afterAutospacing="0" w:line="240" w:lineRule="auto"/>
              <w:ind w:left="0" w:right="113" w:rightChars="0" w:firstLine="0" w:firstLineChars="0"/>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7</w:t>
            </w:r>
          </w:p>
        </w:tc>
        <w:tc>
          <w:tcPr>
            <w:tcW w:w="793" w:type="pct"/>
            <w:tcBorders>
              <w:tl2br w:val="nil"/>
              <w:tr2bl w:val="nil"/>
            </w:tcBorders>
            <w:shd w:val="clear" w:color="auto" w:fill="auto"/>
            <w:noWrap w:val="0"/>
            <w:vAlign w:val="center"/>
          </w:tcPr>
          <w:p w14:paraId="71D3DDC6">
            <w:pPr>
              <w:pStyle w:val="312"/>
              <w:keepNext w:val="0"/>
              <w:keepLines w:val="0"/>
              <w:suppressLineNumbers w:val="0"/>
              <w:spacing w:before="0" w:beforeAutospacing="0" w:after="0" w:afterAutospacing="0"/>
              <w:ind w:left="113" w:leftChars="0" w:right="113"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潜水</w:t>
            </w:r>
          </w:p>
        </w:tc>
        <w:tc>
          <w:tcPr>
            <w:tcW w:w="732" w:type="pct"/>
            <w:tcBorders>
              <w:tl2br w:val="nil"/>
              <w:tr2bl w:val="nil"/>
            </w:tcBorders>
            <w:shd w:val="clear" w:color="auto" w:fill="auto"/>
            <w:noWrap w:val="0"/>
            <w:vAlign w:val="center"/>
          </w:tcPr>
          <w:p w14:paraId="660EFB5C">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灌溉井</w:t>
            </w:r>
          </w:p>
        </w:tc>
      </w:tr>
      <w:tr w14:paraId="0BD3E3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2" w:hRule="atLeast"/>
          <w:jc w:val="center"/>
        </w:trPr>
        <w:tc>
          <w:tcPr>
            <w:tcW w:w="669" w:type="pct"/>
            <w:vMerge w:val="continue"/>
            <w:tcBorders>
              <w:tl2br w:val="nil"/>
              <w:tr2bl w:val="nil"/>
            </w:tcBorders>
            <w:noWrap w:val="0"/>
            <w:vAlign w:val="center"/>
          </w:tcPr>
          <w:p w14:paraId="4DD88F07">
            <w:pPr>
              <w:pStyle w:val="312"/>
              <w:keepNext w:val="0"/>
              <w:keepLines w:val="0"/>
              <w:suppressLineNumbers w:val="0"/>
              <w:spacing w:before="0" w:beforeAutospacing="0" w:after="0" w:afterAutospacing="0"/>
              <w:rPr>
                <w:rFonts w:hint="eastAsia" w:asciiTheme="minorEastAsia" w:hAnsiTheme="minorEastAsia" w:eastAsiaTheme="minorEastAsia" w:cstheme="minorEastAsia"/>
                <w:b w:val="0"/>
                <w:bCs w:val="0"/>
                <w:color w:val="auto"/>
                <w:sz w:val="21"/>
                <w:szCs w:val="21"/>
                <w:highlight w:val="none"/>
              </w:rPr>
            </w:pPr>
          </w:p>
        </w:tc>
        <w:tc>
          <w:tcPr>
            <w:tcW w:w="1402" w:type="pct"/>
            <w:tcBorders>
              <w:tl2br w:val="nil"/>
              <w:tr2bl w:val="nil"/>
            </w:tcBorders>
            <w:shd w:val="clear" w:color="auto" w:fill="auto"/>
            <w:noWrap w:val="0"/>
            <w:vAlign w:val="center"/>
          </w:tcPr>
          <w:p w14:paraId="66E14F54">
            <w:pPr>
              <w:keepNext w:val="0"/>
              <w:keepLines w:val="0"/>
              <w:suppressLineNumbers w:val="0"/>
              <w:spacing w:before="0" w:beforeAutospacing="0" w:after="0" w:afterAutospacing="0" w:line="0" w:lineRule="atLeast"/>
              <w:ind w:left="0" w:right="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场地</w:t>
            </w:r>
            <w:r>
              <w:rPr>
                <w:rFonts w:hint="eastAsia" w:ascii="Times New Roman" w:hAnsi="Times New Roman" w:eastAsia="宋体" w:cs="Times New Roman"/>
                <w:color w:val="auto"/>
                <w:sz w:val="21"/>
                <w:szCs w:val="21"/>
                <w:highlight w:val="none"/>
                <w:lang w:val="en-US" w:eastAsia="zh-CN"/>
              </w:rPr>
              <w:t>东南侧5#</w:t>
            </w:r>
          </w:p>
        </w:tc>
        <w:tc>
          <w:tcPr>
            <w:tcW w:w="607" w:type="pct"/>
            <w:tcBorders>
              <w:tl2br w:val="nil"/>
              <w:tr2bl w:val="nil"/>
            </w:tcBorders>
            <w:shd w:val="clear" w:color="auto" w:fill="auto"/>
            <w:noWrap w:val="0"/>
            <w:vAlign w:val="center"/>
          </w:tcPr>
          <w:p w14:paraId="4BAE44E0">
            <w:pPr>
              <w:pStyle w:val="2"/>
              <w:keepNext w:val="0"/>
              <w:keepLines w:val="0"/>
              <w:widowControl/>
              <w:suppressLineNumbers w:val="0"/>
              <w:kinsoku/>
              <w:topLinePunct w:val="0"/>
              <w:autoSpaceDE/>
              <w:autoSpaceDN/>
              <w:adjustRightInd/>
              <w:snapToGrid/>
              <w:spacing w:before="0" w:beforeAutospacing="0" w:after="0" w:afterAutospacing="0" w:line="240" w:lineRule="auto"/>
              <w:ind w:left="0" w:right="113" w:rightChars="0" w:firstLine="0" w:firstLineChars="0"/>
              <w:jc w:val="center"/>
              <w:textAlignment w:val="auto"/>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41</w:t>
            </w:r>
          </w:p>
        </w:tc>
        <w:tc>
          <w:tcPr>
            <w:tcW w:w="794" w:type="pct"/>
            <w:tcBorders>
              <w:tl2br w:val="nil"/>
              <w:tr2bl w:val="nil"/>
            </w:tcBorders>
            <w:shd w:val="clear" w:color="auto" w:fill="auto"/>
            <w:noWrap w:val="0"/>
            <w:vAlign w:val="center"/>
          </w:tcPr>
          <w:p w14:paraId="4C321839">
            <w:pPr>
              <w:pStyle w:val="2"/>
              <w:keepNext w:val="0"/>
              <w:keepLines w:val="0"/>
              <w:widowControl/>
              <w:suppressLineNumbers w:val="0"/>
              <w:kinsoku/>
              <w:topLinePunct w:val="0"/>
              <w:autoSpaceDE/>
              <w:autoSpaceDN/>
              <w:adjustRightInd/>
              <w:snapToGrid/>
              <w:spacing w:before="0" w:beforeAutospacing="0" w:after="0" w:afterAutospacing="0" w:line="240" w:lineRule="auto"/>
              <w:ind w:left="0" w:right="113" w:rightChars="0" w:firstLine="0" w:firstLineChars="0"/>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6</w:t>
            </w:r>
          </w:p>
        </w:tc>
        <w:tc>
          <w:tcPr>
            <w:tcW w:w="793" w:type="pct"/>
            <w:tcBorders>
              <w:tl2br w:val="nil"/>
              <w:tr2bl w:val="nil"/>
            </w:tcBorders>
            <w:shd w:val="clear" w:color="auto" w:fill="auto"/>
            <w:noWrap w:val="0"/>
            <w:vAlign w:val="center"/>
          </w:tcPr>
          <w:p w14:paraId="1D90509D">
            <w:pPr>
              <w:pStyle w:val="312"/>
              <w:keepNext w:val="0"/>
              <w:keepLines w:val="0"/>
              <w:suppressLineNumbers w:val="0"/>
              <w:spacing w:before="0" w:beforeAutospacing="0" w:after="0" w:afterAutospacing="0"/>
              <w:ind w:left="113" w:leftChars="0" w:right="113"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潜水</w:t>
            </w:r>
          </w:p>
        </w:tc>
        <w:tc>
          <w:tcPr>
            <w:tcW w:w="732" w:type="pct"/>
            <w:tcBorders>
              <w:tl2br w:val="nil"/>
              <w:tr2bl w:val="nil"/>
            </w:tcBorders>
            <w:shd w:val="clear" w:color="auto" w:fill="auto"/>
            <w:noWrap w:val="0"/>
            <w:vAlign w:val="center"/>
          </w:tcPr>
          <w:p w14:paraId="2C719CBF">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灌溉井</w:t>
            </w:r>
          </w:p>
        </w:tc>
      </w:tr>
      <w:tr w14:paraId="525162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74" w:hRule="atLeast"/>
          <w:jc w:val="center"/>
        </w:trPr>
        <w:tc>
          <w:tcPr>
            <w:tcW w:w="669" w:type="pct"/>
            <w:vMerge w:val="continue"/>
            <w:tcBorders>
              <w:tl2br w:val="nil"/>
              <w:tr2bl w:val="nil"/>
            </w:tcBorders>
            <w:noWrap w:val="0"/>
            <w:vAlign w:val="center"/>
          </w:tcPr>
          <w:p w14:paraId="01720F13">
            <w:pPr>
              <w:pStyle w:val="312"/>
              <w:keepNext w:val="0"/>
              <w:keepLines w:val="0"/>
              <w:suppressLineNumbers w:val="0"/>
              <w:spacing w:before="0" w:beforeAutospacing="0" w:after="0" w:afterAutospacing="0"/>
              <w:rPr>
                <w:rFonts w:hint="eastAsia" w:asciiTheme="minorEastAsia" w:hAnsiTheme="minorEastAsia" w:eastAsiaTheme="minorEastAsia" w:cstheme="minorEastAsia"/>
                <w:b w:val="0"/>
                <w:bCs w:val="0"/>
                <w:color w:val="auto"/>
                <w:sz w:val="21"/>
                <w:szCs w:val="21"/>
                <w:highlight w:val="none"/>
              </w:rPr>
            </w:pPr>
          </w:p>
        </w:tc>
        <w:tc>
          <w:tcPr>
            <w:tcW w:w="1402" w:type="pct"/>
            <w:tcBorders>
              <w:tl2br w:val="nil"/>
              <w:tr2bl w:val="nil"/>
            </w:tcBorders>
            <w:shd w:val="clear" w:color="auto" w:fill="auto"/>
            <w:noWrap w:val="0"/>
            <w:vAlign w:val="center"/>
          </w:tcPr>
          <w:p w14:paraId="2FA26C4A">
            <w:pPr>
              <w:keepNext w:val="0"/>
              <w:keepLines w:val="0"/>
              <w:suppressLineNumbers w:val="0"/>
              <w:spacing w:before="0" w:beforeAutospacing="0" w:after="0" w:afterAutospacing="0" w:line="0" w:lineRule="atLeast"/>
              <w:ind w:left="0" w:right="0"/>
              <w:jc w:val="center"/>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场地西南侧6#</w:t>
            </w:r>
          </w:p>
        </w:tc>
        <w:tc>
          <w:tcPr>
            <w:tcW w:w="607" w:type="pct"/>
            <w:tcBorders>
              <w:tl2br w:val="nil"/>
              <w:tr2bl w:val="nil"/>
            </w:tcBorders>
            <w:shd w:val="clear" w:color="auto" w:fill="auto"/>
            <w:noWrap w:val="0"/>
            <w:vAlign w:val="center"/>
          </w:tcPr>
          <w:p w14:paraId="48770172">
            <w:pPr>
              <w:pStyle w:val="2"/>
              <w:keepNext w:val="0"/>
              <w:keepLines w:val="0"/>
              <w:widowControl/>
              <w:suppressLineNumbers w:val="0"/>
              <w:kinsoku/>
              <w:topLinePunct w:val="0"/>
              <w:autoSpaceDE/>
              <w:autoSpaceDN/>
              <w:adjustRightInd/>
              <w:snapToGrid/>
              <w:spacing w:before="0" w:beforeAutospacing="0" w:after="0" w:afterAutospacing="0" w:line="240" w:lineRule="auto"/>
              <w:ind w:left="0" w:right="113" w:rightChars="0" w:firstLine="0" w:firstLineChars="0"/>
              <w:jc w:val="center"/>
              <w:textAlignment w:val="auto"/>
              <w:rPr>
                <w:rFonts w:hint="default"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47</w:t>
            </w:r>
          </w:p>
        </w:tc>
        <w:tc>
          <w:tcPr>
            <w:tcW w:w="794" w:type="pct"/>
            <w:tcBorders>
              <w:tl2br w:val="nil"/>
              <w:tr2bl w:val="nil"/>
            </w:tcBorders>
            <w:shd w:val="clear" w:color="auto" w:fill="auto"/>
            <w:noWrap w:val="0"/>
            <w:vAlign w:val="center"/>
          </w:tcPr>
          <w:p w14:paraId="1C6EE220">
            <w:pPr>
              <w:pStyle w:val="2"/>
              <w:keepNext w:val="0"/>
              <w:keepLines w:val="0"/>
              <w:widowControl/>
              <w:suppressLineNumbers w:val="0"/>
              <w:kinsoku/>
              <w:topLinePunct w:val="0"/>
              <w:autoSpaceDE/>
              <w:autoSpaceDN/>
              <w:adjustRightInd/>
              <w:snapToGrid/>
              <w:spacing w:before="0" w:beforeAutospacing="0" w:after="0" w:afterAutospacing="0" w:line="240" w:lineRule="auto"/>
              <w:ind w:left="0" w:right="113" w:rightChars="0" w:firstLine="0" w:firstLineChars="0"/>
              <w:jc w:val="center"/>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kern w:val="2"/>
                <w:sz w:val="21"/>
                <w:szCs w:val="21"/>
                <w:highlight w:val="none"/>
                <w:lang w:val="en-US" w:eastAsia="zh-CN" w:bidi="ar-SA"/>
              </w:rPr>
              <w:t>5</w:t>
            </w:r>
          </w:p>
        </w:tc>
        <w:tc>
          <w:tcPr>
            <w:tcW w:w="793" w:type="pct"/>
            <w:tcBorders>
              <w:tl2br w:val="nil"/>
              <w:tr2bl w:val="nil"/>
            </w:tcBorders>
            <w:shd w:val="clear" w:color="auto" w:fill="auto"/>
            <w:noWrap w:val="0"/>
            <w:vAlign w:val="center"/>
          </w:tcPr>
          <w:p w14:paraId="2B59835E">
            <w:pPr>
              <w:pStyle w:val="312"/>
              <w:keepNext w:val="0"/>
              <w:keepLines w:val="0"/>
              <w:suppressLineNumbers w:val="0"/>
              <w:spacing w:before="0" w:beforeAutospacing="0" w:after="0" w:afterAutospacing="0"/>
              <w:ind w:left="113" w:leftChars="0" w:right="113" w:rightChars="0"/>
              <w:jc w:val="center"/>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潜水</w:t>
            </w:r>
          </w:p>
        </w:tc>
        <w:tc>
          <w:tcPr>
            <w:tcW w:w="732" w:type="pct"/>
            <w:tcBorders>
              <w:tl2br w:val="nil"/>
              <w:tr2bl w:val="nil"/>
            </w:tcBorders>
            <w:shd w:val="clear" w:color="auto" w:fill="auto"/>
            <w:noWrap w:val="0"/>
            <w:vAlign w:val="center"/>
          </w:tcPr>
          <w:p w14:paraId="740D7395">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outlineLvl w:val="9"/>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sz w:val="21"/>
                <w:szCs w:val="21"/>
                <w:highlight w:val="none"/>
                <w:lang w:val="en-US" w:eastAsia="zh-CN"/>
              </w:rPr>
              <w:t>灌溉井</w:t>
            </w:r>
          </w:p>
        </w:tc>
      </w:tr>
    </w:tbl>
    <w:p w14:paraId="0C8231AB">
      <w:pPr>
        <w:pStyle w:val="148"/>
        <w:spacing w:line="240" w:lineRule="auto"/>
        <w:rPr>
          <w:color w:val="auto"/>
          <w:highlight w:val="none"/>
        </w:rPr>
      </w:pPr>
    </w:p>
    <w:p w14:paraId="5892F906">
      <w:pPr>
        <w:pStyle w:val="148"/>
        <w:spacing w:line="240" w:lineRule="auto"/>
        <w:jc w:val="center"/>
        <w:rPr>
          <w:rFonts w:hint="eastAsia" w:ascii="宋体" w:hAnsi="宋体" w:eastAsia="宋体" w:cs="宋体"/>
          <w:color w:val="auto"/>
          <w:highlight w:val="none"/>
          <w:lang w:val="en-US" w:eastAsia="zh-CN"/>
        </w:rPr>
      </w:pPr>
      <w:r>
        <w:rPr>
          <w:color w:val="auto"/>
          <w:highlight w:val="none"/>
        </w:rPr>
        <w:drawing>
          <wp:inline distT="0" distB="0" distL="114300" distR="114300">
            <wp:extent cx="5561965" cy="3770630"/>
            <wp:effectExtent l="0" t="0" r="635" b="127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2"/>
                    <a:stretch>
                      <a:fillRect/>
                    </a:stretch>
                  </pic:blipFill>
                  <pic:spPr>
                    <a:xfrm>
                      <a:off x="0" y="0"/>
                      <a:ext cx="5561965" cy="3770630"/>
                    </a:xfrm>
                    <a:prstGeom prst="rect">
                      <a:avLst/>
                    </a:prstGeom>
                    <a:noFill/>
                    <a:ln>
                      <a:noFill/>
                    </a:ln>
                  </pic:spPr>
                </pic:pic>
              </a:graphicData>
            </a:graphic>
          </wp:inline>
        </w:drawing>
      </w:r>
    </w:p>
    <w:p w14:paraId="3FC1A0AE">
      <w:pPr>
        <w:keepNext w:val="0"/>
        <w:keepLines w:val="0"/>
        <w:pageBreakBefore w:val="0"/>
        <w:widowControl/>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eastAsia="宋体" w:cs="宋体"/>
          <w:b/>
          <w:bCs/>
          <w:color w:val="auto"/>
          <w:kern w:val="0"/>
          <w:sz w:val="24"/>
          <w:highlight w:val="none"/>
          <w:lang w:val="en-US" w:eastAsia="zh-CN" w:bidi="ar"/>
        </w:rPr>
      </w:pPr>
      <w:r>
        <w:rPr>
          <w:rFonts w:hint="eastAsia" w:ascii="宋体" w:hAnsi="宋体" w:eastAsia="宋体" w:cs="宋体"/>
          <w:b/>
          <w:bCs/>
          <w:color w:val="auto"/>
          <w:kern w:val="0"/>
          <w:sz w:val="24"/>
          <w:highlight w:val="none"/>
          <w:lang w:val="en-US" w:eastAsia="zh-CN" w:bidi="ar"/>
        </w:rPr>
        <w:t>图4.3-2  地下水监测点位图</w:t>
      </w:r>
    </w:p>
    <w:p w14:paraId="00BAE6C1">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3、监测因子</w:t>
      </w:r>
    </w:p>
    <w:p w14:paraId="321CE7EC">
      <w:pPr>
        <w:spacing w:line="360" w:lineRule="auto"/>
        <w:ind w:firstLine="480"/>
        <w:rPr>
          <w:rFonts w:hint="eastAsia" w:hAnsi="宋体" w:eastAsia="宋体" w:cs="宋体"/>
          <w:color w:val="auto"/>
          <w:sz w:val="24"/>
          <w:szCs w:val="24"/>
          <w:highlight w:val="none"/>
          <w:lang w:eastAsia="zh-CN"/>
        </w:rPr>
      </w:pPr>
      <w:r>
        <w:rPr>
          <w:rFonts w:ascii="Times New Roman"/>
          <w:color w:val="auto"/>
          <w:sz w:val="24"/>
          <w:szCs w:val="24"/>
          <w:highlight w:val="none"/>
        </w:rPr>
        <w:t>监测项目为K</w:t>
      </w:r>
      <w:r>
        <w:rPr>
          <w:rFonts w:ascii="Times New Roman"/>
          <w:color w:val="auto"/>
          <w:sz w:val="24"/>
          <w:szCs w:val="24"/>
          <w:highlight w:val="none"/>
          <w:vertAlign w:val="superscript"/>
        </w:rPr>
        <w:t>+</w:t>
      </w:r>
      <w:r>
        <w:rPr>
          <w:rFonts w:ascii="Times New Roman"/>
          <w:color w:val="auto"/>
          <w:sz w:val="24"/>
          <w:szCs w:val="24"/>
          <w:highlight w:val="none"/>
        </w:rPr>
        <w:t>、Na</w:t>
      </w:r>
      <w:r>
        <w:rPr>
          <w:rFonts w:ascii="Times New Roman"/>
          <w:color w:val="auto"/>
          <w:sz w:val="24"/>
          <w:szCs w:val="24"/>
          <w:highlight w:val="none"/>
          <w:vertAlign w:val="superscript"/>
        </w:rPr>
        <w:t>+</w:t>
      </w:r>
      <w:r>
        <w:rPr>
          <w:rFonts w:ascii="Times New Roman"/>
          <w:color w:val="auto"/>
          <w:sz w:val="24"/>
          <w:szCs w:val="24"/>
          <w:highlight w:val="none"/>
        </w:rPr>
        <w:t>、Ca</w:t>
      </w:r>
      <w:r>
        <w:rPr>
          <w:rFonts w:ascii="Times New Roman"/>
          <w:color w:val="auto"/>
          <w:sz w:val="24"/>
          <w:szCs w:val="24"/>
          <w:highlight w:val="none"/>
          <w:vertAlign w:val="superscript"/>
        </w:rPr>
        <w:t>2+</w:t>
      </w:r>
      <w:r>
        <w:rPr>
          <w:rFonts w:ascii="Times New Roman"/>
          <w:color w:val="auto"/>
          <w:sz w:val="24"/>
          <w:szCs w:val="24"/>
          <w:highlight w:val="none"/>
        </w:rPr>
        <w:t>、Mg</w:t>
      </w:r>
      <w:r>
        <w:rPr>
          <w:rFonts w:ascii="Times New Roman"/>
          <w:color w:val="auto"/>
          <w:sz w:val="24"/>
          <w:szCs w:val="24"/>
          <w:highlight w:val="none"/>
          <w:vertAlign w:val="superscript"/>
        </w:rPr>
        <w:t>2+</w:t>
      </w:r>
      <w:r>
        <w:rPr>
          <w:rFonts w:ascii="Times New Roman"/>
          <w:color w:val="auto"/>
          <w:sz w:val="24"/>
          <w:szCs w:val="24"/>
          <w:highlight w:val="none"/>
        </w:rPr>
        <w:t>、CO</w:t>
      </w:r>
      <w:r>
        <w:rPr>
          <w:rFonts w:ascii="Times New Roman"/>
          <w:color w:val="auto"/>
          <w:sz w:val="24"/>
          <w:szCs w:val="24"/>
          <w:highlight w:val="none"/>
          <w:vertAlign w:val="subscript"/>
        </w:rPr>
        <w:t>3</w:t>
      </w:r>
      <w:r>
        <w:rPr>
          <w:rFonts w:ascii="Times New Roman"/>
          <w:color w:val="auto"/>
          <w:sz w:val="24"/>
          <w:szCs w:val="24"/>
          <w:highlight w:val="none"/>
          <w:vertAlign w:val="superscript"/>
        </w:rPr>
        <w:t>2-</w:t>
      </w:r>
      <w:r>
        <w:rPr>
          <w:rFonts w:ascii="Times New Roman"/>
          <w:color w:val="auto"/>
          <w:sz w:val="24"/>
          <w:szCs w:val="24"/>
          <w:highlight w:val="none"/>
        </w:rPr>
        <w:t>、HCO</w:t>
      </w:r>
      <w:r>
        <w:rPr>
          <w:rFonts w:ascii="Times New Roman"/>
          <w:color w:val="auto"/>
          <w:sz w:val="24"/>
          <w:szCs w:val="24"/>
          <w:highlight w:val="none"/>
          <w:vertAlign w:val="subscript"/>
        </w:rPr>
        <w:t>3</w:t>
      </w:r>
      <w:r>
        <w:rPr>
          <w:rFonts w:ascii="Times New Roman"/>
          <w:color w:val="auto"/>
          <w:sz w:val="24"/>
          <w:szCs w:val="24"/>
          <w:highlight w:val="none"/>
          <w:vertAlign w:val="superscript"/>
        </w:rPr>
        <w:t>-</w:t>
      </w:r>
      <w:r>
        <w:rPr>
          <w:rFonts w:ascii="Times New Roman"/>
          <w:color w:val="auto"/>
          <w:sz w:val="24"/>
          <w:szCs w:val="24"/>
          <w:highlight w:val="none"/>
        </w:rPr>
        <w:t>、Cl</w:t>
      </w:r>
      <w:r>
        <w:rPr>
          <w:rFonts w:ascii="Times New Roman"/>
          <w:color w:val="auto"/>
          <w:sz w:val="24"/>
          <w:szCs w:val="24"/>
          <w:highlight w:val="none"/>
          <w:vertAlign w:val="superscript"/>
        </w:rPr>
        <w:t>-</w:t>
      </w:r>
      <w:r>
        <w:rPr>
          <w:rFonts w:ascii="Times New Roman"/>
          <w:color w:val="auto"/>
          <w:sz w:val="24"/>
          <w:szCs w:val="24"/>
          <w:highlight w:val="none"/>
        </w:rPr>
        <w:t>、SO</w:t>
      </w:r>
      <w:r>
        <w:rPr>
          <w:rFonts w:ascii="Times New Roman"/>
          <w:color w:val="auto"/>
          <w:sz w:val="24"/>
          <w:szCs w:val="24"/>
          <w:highlight w:val="none"/>
          <w:vertAlign w:val="subscript"/>
        </w:rPr>
        <w:t>4</w:t>
      </w:r>
      <w:r>
        <w:rPr>
          <w:rFonts w:ascii="Times New Roman"/>
          <w:color w:val="auto"/>
          <w:sz w:val="24"/>
          <w:szCs w:val="24"/>
          <w:highlight w:val="none"/>
          <w:vertAlign w:val="superscript"/>
        </w:rPr>
        <w:t>2-</w:t>
      </w:r>
      <w:r>
        <w:rPr>
          <w:rFonts w:ascii="Times New Roman"/>
          <w:color w:val="auto"/>
          <w:sz w:val="24"/>
          <w:szCs w:val="24"/>
          <w:highlight w:val="none"/>
        </w:rPr>
        <w:t>、pH、氨氮、硝酸盐</w:t>
      </w:r>
      <w:r>
        <w:rPr>
          <w:rFonts w:hint="eastAsia" w:hAnsi="宋体" w:cs="宋体"/>
          <w:color w:val="auto"/>
          <w:sz w:val="24"/>
          <w:szCs w:val="24"/>
          <w:highlight w:val="none"/>
        </w:rPr>
        <w:t>氮、亚硝酸盐氮、挥发性酚类、砷、汞、铬（六价）、硒、镉、铜、锌、总硬度、铅、铁、锰、氰化物、氟化物、溶解性总固体、耗氧量、总大肠菌群、菌落总数</w:t>
      </w:r>
      <w:r>
        <w:rPr>
          <w:rFonts w:hint="eastAsia" w:hAnsi="宋体" w:cs="宋体"/>
          <w:color w:val="auto"/>
          <w:sz w:val="24"/>
          <w:szCs w:val="24"/>
          <w:highlight w:val="none"/>
          <w:lang w:eastAsia="zh-CN"/>
        </w:rPr>
        <w:t>。</w:t>
      </w:r>
    </w:p>
    <w:p w14:paraId="26216A47">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4、监测时间及频次</w:t>
      </w:r>
    </w:p>
    <w:p w14:paraId="70B0708D">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监测1天，每天各监测点采样1次。</w:t>
      </w:r>
    </w:p>
    <w:p w14:paraId="3A478F67">
      <w:pPr>
        <w:numPr>
          <w:ilvl w:val="0"/>
          <w:numId w:val="17"/>
        </w:numPr>
        <w:spacing w:line="360" w:lineRule="auto"/>
        <w:ind w:firstLine="480"/>
        <w:rPr>
          <w:rFonts w:hint="eastAsia" w:asciiTheme="minorEastAsia" w:hAnsiTheme="minorEastAsia" w:eastAsiaTheme="minorEastAsia" w:cstheme="minorEastAsia"/>
          <w:color w:val="auto"/>
          <w:szCs w:val="22"/>
          <w:highlight w:val="none"/>
        </w:rPr>
      </w:pPr>
      <w:r>
        <w:rPr>
          <w:rFonts w:hint="eastAsia" w:asciiTheme="minorEastAsia" w:hAnsiTheme="minorEastAsia" w:eastAsiaTheme="minorEastAsia" w:cstheme="minorEastAsia"/>
          <w:color w:val="auto"/>
          <w:szCs w:val="22"/>
          <w:highlight w:val="none"/>
        </w:rPr>
        <w:t>监测分析方法</w:t>
      </w:r>
    </w:p>
    <w:p w14:paraId="0648D8E8">
      <w:pPr>
        <w:numPr>
          <w:ilvl w:val="0"/>
          <w:numId w:val="0"/>
        </w:numPr>
        <w:spacing w:line="360" w:lineRule="auto"/>
        <w:ind w:firstLine="480" w:firstLineChars="200"/>
        <w:rPr>
          <w:rFonts w:hint="eastAsia" w:asciiTheme="minorEastAsia" w:hAnsiTheme="minorEastAsia" w:eastAsiaTheme="minorEastAsia" w:cstheme="minorEastAsia"/>
          <w:color w:val="auto"/>
          <w:szCs w:val="22"/>
          <w:highlight w:val="none"/>
        </w:rPr>
      </w:pPr>
      <w:r>
        <w:rPr>
          <w:rFonts w:hint="eastAsia" w:asciiTheme="minorEastAsia" w:hAnsiTheme="minorEastAsia" w:eastAsiaTheme="minorEastAsia" w:cstheme="minorEastAsia"/>
          <w:color w:val="auto"/>
          <w:szCs w:val="22"/>
          <w:highlight w:val="none"/>
        </w:rPr>
        <w:t>地下水环境监测因子检测方法见表</w:t>
      </w:r>
      <w:r>
        <w:rPr>
          <w:rFonts w:hint="eastAsia" w:asciiTheme="minorEastAsia" w:hAnsiTheme="minorEastAsia" w:eastAsiaTheme="minorEastAsia" w:cstheme="minorEastAsia"/>
          <w:color w:val="auto"/>
          <w:highlight w:val="none"/>
        </w:rPr>
        <w:t>4.</w:t>
      </w:r>
      <w:r>
        <w:rPr>
          <w:rFonts w:hint="eastAsia" w:asciiTheme="minorEastAsia" w:hAnsiTheme="minorEastAsia" w:eastAsiaTheme="minorEastAsia" w:cstheme="minorEastAsia"/>
          <w:color w:val="auto"/>
          <w:highlight w:val="none"/>
          <w:lang w:val="en-US" w:eastAsia="zh-CN"/>
        </w:rPr>
        <w:t>3-7</w:t>
      </w:r>
      <w:r>
        <w:rPr>
          <w:rFonts w:hint="eastAsia" w:asciiTheme="minorEastAsia" w:hAnsiTheme="minorEastAsia" w:eastAsiaTheme="minorEastAsia" w:cstheme="minorEastAsia"/>
          <w:color w:val="auto"/>
          <w:szCs w:val="22"/>
          <w:highlight w:val="none"/>
        </w:rPr>
        <w:t>。</w:t>
      </w:r>
    </w:p>
    <w:p w14:paraId="7105BE4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highlight w:val="none"/>
        </w:rPr>
        <w:t>表4.</w:t>
      </w:r>
      <w:r>
        <w:rPr>
          <w:rFonts w:hint="eastAsia" w:asciiTheme="minorEastAsia" w:hAnsiTheme="minorEastAsia" w:eastAsiaTheme="minorEastAsia" w:cstheme="minorEastAsia"/>
          <w:b/>
          <w:bCs/>
          <w:color w:val="auto"/>
          <w:highlight w:val="none"/>
          <w:lang w:val="en-US" w:eastAsia="zh-CN"/>
        </w:rPr>
        <w:t>3-7</w:t>
      </w:r>
      <w:r>
        <w:rPr>
          <w:rFonts w:hint="eastAsia" w:asciiTheme="minorEastAsia" w:hAnsiTheme="minorEastAsia" w:eastAsiaTheme="minorEastAsia" w:cstheme="minorEastAsia"/>
          <w:b/>
          <w:bCs/>
          <w:color w:val="auto"/>
          <w:highlight w:val="none"/>
        </w:rPr>
        <w:t xml:space="preserve">  地下水监测分析方法</w:t>
      </w:r>
    </w:p>
    <w:tbl>
      <w:tblPr>
        <w:tblStyle w:val="84"/>
        <w:tblW w:w="494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73"/>
        <w:gridCol w:w="1738"/>
        <w:gridCol w:w="5467"/>
      </w:tblGrid>
      <w:tr w14:paraId="1D2001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tblHeader/>
          <w:jc w:val="center"/>
        </w:trPr>
        <w:tc>
          <w:tcPr>
            <w:tcW w:w="942" w:type="pct"/>
            <w:tcBorders>
              <w:tl2br w:val="nil"/>
              <w:tr2bl w:val="nil"/>
            </w:tcBorders>
            <w:noWrap w:val="0"/>
            <w:vAlign w:val="center"/>
          </w:tcPr>
          <w:p w14:paraId="2B4DA6C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cs="Times New Roman"/>
                <w:b w:val="0"/>
                <w:bCs w:val="0"/>
                <w:color w:val="auto"/>
                <w:sz w:val="21"/>
                <w:szCs w:val="21"/>
                <w:highlight w:val="none"/>
                <w:lang w:val="en-US" w:eastAsia="zh-CN"/>
              </w:rPr>
              <w:t>类别</w:t>
            </w:r>
          </w:p>
        </w:tc>
        <w:tc>
          <w:tcPr>
            <w:tcW w:w="978" w:type="pct"/>
            <w:tcBorders>
              <w:tl2br w:val="nil"/>
              <w:tr2bl w:val="nil"/>
            </w:tcBorders>
            <w:noWrap w:val="0"/>
            <w:vAlign w:val="center"/>
          </w:tcPr>
          <w:p w14:paraId="3098ED4D">
            <w:pPr>
              <w:keepNext w:val="0"/>
              <w:keepLines w:val="0"/>
              <w:suppressLineNumbers w:val="0"/>
              <w:spacing w:before="0" w:beforeAutospacing="0" w:after="0" w:afterAutospacing="0" w:line="240" w:lineRule="auto"/>
              <w:ind w:left="0" w:right="0"/>
              <w:jc w:val="center"/>
              <w:rPr>
                <w:rFonts w:hint="default" w:ascii="Times New Roman" w:hAnsi="Times New Roman" w:cs="Times New Roman"/>
                <w:b w:val="0"/>
                <w:bCs w:val="0"/>
                <w:color w:val="auto"/>
                <w:sz w:val="21"/>
                <w:szCs w:val="21"/>
                <w:highlight w:val="none"/>
              </w:rPr>
            </w:pPr>
            <w:r>
              <w:rPr>
                <w:rFonts w:hint="default" w:ascii="Times New Roman" w:hAnsi="Times New Roman" w:cs="Times New Roman"/>
                <w:b w:val="0"/>
                <w:bCs w:val="0"/>
                <w:color w:val="auto"/>
                <w:sz w:val="21"/>
                <w:szCs w:val="21"/>
                <w:highlight w:val="none"/>
              </w:rPr>
              <w:t>检测项目</w:t>
            </w:r>
          </w:p>
        </w:tc>
        <w:tc>
          <w:tcPr>
            <w:tcW w:w="3078" w:type="pct"/>
            <w:tcBorders>
              <w:tl2br w:val="nil"/>
              <w:tr2bl w:val="nil"/>
            </w:tcBorders>
            <w:noWrap w:val="0"/>
            <w:vAlign w:val="center"/>
          </w:tcPr>
          <w:p w14:paraId="0B35CE2D">
            <w:pPr>
              <w:keepNext w:val="0"/>
              <w:keepLines w:val="0"/>
              <w:suppressLineNumbers w:val="0"/>
              <w:spacing w:before="0" w:beforeAutospacing="0" w:after="0" w:afterAutospacing="0" w:line="240" w:lineRule="auto"/>
              <w:ind w:left="0" w:right="0"/>
              <w:jc w:val="center"/>
              <w:rPr>
                <w:rFonts w:hint="default" w:ascii="Times New Roman" w:hAnsi="Times New Roman" w:cs="Times New Roman"/>
                <w:b w:val="0"/>
                <w:bCs w:val="0"/>
                <w:color w:val="auto"/>
                <w:sz w:val="21"/>
                <w:szCs w:val="21"/>
                <w:highlight w:val="none"/>
              </w:rPr>
            </w:pPr>
            <w:r>
              <w:rPr>
                <w:rFonts w:hint="default" w:ascii="Times New Roman" w:hAnsi="Times New Roman" w:cs="Times New Roman"/>
                <w:b w:val="0"/>
                <w:bCs w:val="0"/>
                <w:color w:val="auto"/>
                <w:sz w:val="21"/>
                <w:szCs w:val="21"/>
                <w:highlight w:val="none"/>
              </w:rPr>
              <w:t>检测标准及方法</w:t>
            </w:r>
          </w:p>
        </w:tc>
      </w:tr>
      <w:tr w14:paraId="69FB0A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restart"/>
            <w:tcBorders>
              <w:tl2br w:val="nil"/>
              <w:tr2bl w:val="nil"/>
            </w:tcBorders>
            <w:noWrap w:val="0"/>
            <w:vAlign w:val="center"/>
          </w:tcPr>
          <w:p w14:paraId="7DF40A2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地下水</w:t>
            </w:r>
          </w:p>
        </w:tc>
        <w:tc>
          <w:tcPr>
            <w:tcW w:w="978" w:type="pct"/>
            <w:tcBorders>
              <w:tl2br w:val="nil"/>
              <w:tr2bl w:val="nil"/>
            </w:tcBorders>
            <w:shd w:val="clear" w:color="auto" w:fill="auto"/>
            <w:noWrap w:val="0"/>
            <w:vAlign w:val="center"/>
          </w:tcPr>
          <w:p w14:paraId="3A060B58">
            <w:pPr>
              <w:pStyle w:val="798"/>
              <w:keepNext w:val="0"/>
              <w:keepLines w:val="0"/>
              <w:suppressLineNumbers w:val="0"/>
              <w:spacing w:before="0" w:beforeAutospacing="0" w:after="0" w:afterAutospacing="0" w:line="240" w:lineRule="auto"/>
              <w:ind w:left="0" w:right="0"/>
              <w:jc w:val="center"/>
              <w:outlineLvl w:val="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Cs/>
                <w:color w:val="auto"/>
                <w:kern w:val="0"/>
                <w:sz w:val="21"/>
                <w:szCs w:val="21"/>
                <w:highlight w:val="none"/>
                <w:lang w:val="en-US" w:eastAsia="zh-CN"/>
              </w:rPr>
              <w:t>pH值</w:t>
            </w:r>
          </w:p>
        </w:tc>
        <w:tc>
          <w:tcPr>
            <w:tcW w:w="3078" w:type="pct"/>
            <w:tcBorders>
              <w:tl2br w:val="nil"/>
              <w:tr2bl w:val="nil"/>
            </w:tcBorders>
            <w:shd w:val="clear" w:color="auto" w:fill="auto"/>
            <w:noWrap w:val="0"/>
            <w:vAlign w:val="center"/>
          </w:tcPr>
          <w:p w14:paraId="6CFFE8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bidi="zh-CN"/>
              </w:rPr>
              <w:t>水质pH值的测定 电极法HJ 1147-2020</w:t>
            </w:r>
          </w:p>
        </w:tc>
      </w:tr>
      <w:tr w14:paraId="3B4FE4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1F5EFF1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65121AB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氨氮</w:t>
            </w:r>
          </w:p>
        </w:tc>
        <w:tc>
          <w:tcPr>
            <w:tcW w:w="3078" w:type="pct"/>
            <w:tcBorders>
              <w:tl2br w:val="nil"/>
              <w:tr2bl w:val="nil"/>
            </w:tcBorders>
            <w:shd w:val="clear" w:color="auto" w:fill="auto"/>
            <w:noWrap w:val="0"/>
            <w:vAlign w:val="center"/>
          </w:tcPr>
          <w:p w14:paraId="53CD343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b w:val="0"/>
                <w:color w:val="auto"/>
                <w:kern w:val="2"/>
                <w:sz w:val="21"/>
                <w:szCs w:val="21"/>
                <w:highlight w:val="none"/>
                <w:lang w:val="en-US" w:eastAsia="zh-CN" w:bidi="ar-SA"/>
              </w:rPr>
              <w:t>水质 氨氮的测定 纳氏试剂分光光度</w:t>
            </w:r>
            <w:r>
              <w:rPr>
                <w:rFonts w:hint="default" w:ascii="Times New Roman" w:hAnsi="Times New Roman" w:cs="Times New Roman"/>
                <w:b w:val="0"/>
                <w:color w:val="auto"/>
                <w:kern w:val="2"/>
                <w:sz w:val="21"/>
                <w:szCs w:val="21"/>
                <w:highlight w:val="none"/>
                <w:lang w:val="en-US" w:eastAsia="zh-CN" w:bidi="ar-SA"/>
              </w:rPr>
              <w:t xml:space="preserve"> </w:t>
            </w:r>
            <w:r>
              <w:rPr>
                <w:rFonts w:hint="default" w:ascii="Times New Roman" w:hAnsi="Times New Roman" w:eastAsia="宋体" w:cs="Times New Roman"/>
                <w:b w:val="0"/>
                <w:color w:val="auto"/>
                <w:kern w:val="2"/>
                <w:sz w:val="21"/>
                <w:szCs w:val="21"/>
                <w:highlight w:val="none"/>
                <w:lang w:val="en-US" w:eastAsia="zh-CN" w:bidi="ar-SA"/>
              </w:rPr>
              <w:t>HJ 535-2009</w:t>
            </w:r>
          </w:p>
        </w:tc>
      </w:tr>
      <w:tr w14:paraId="48D29A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371D6D9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4735A3A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硝酸盐</w:t>
            </w:r>
          </w:p>
          <w:p w14:paraId="0B0578C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（以N计）</w:t>
            </w:r>
          </w:p>
        </w:tc>
        <w:tc>
          <w:tcPr>
            <w:tcW w:w="3078" w:type="pct"/>
            <w:tcBorders>
              <w:tl2br w:val="nil"/>
              <w:tr2bl w:val="nil"/>
            </w:tcBorders>
            <w:shd w:val="clear" w:color="auto" w:fill="auto"/>
            <w:noWrap w:val="0"/>
            <w:vAlign w:val="center"/>
          </w:tcPr>
          <w:p w14:paraId="30BAF74C">
            <w:pPr>
              <w:pStyle w:val="806"/>
              <w:keepNext w:val="0"/>
              <w:keepLines w:val="0"/>
              <w:pageBreakBefore w:val="0"/>
              <w:widowControl w:val="0"/>
              <w:suppressLineNumbers w:val="0"/>
              <w:kinsoku/>
              <w:wordWrap/>
              <w:overflowPunct/>
              <w:topLinePunct w:val="0"/>
              <w:autoSpaceDE/>
              <w:autoSpaceDN/>
              <w:bidi w:val="0"/>
              <w:adjustRightInd/>
              <w:snapToGrid/>
              <w:spacing w:before="74"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水质硝酸盐氮的测定紫外分光</w:t>
            </w:r>
            <w:r>
              <w:rPr>
                <w:rFonts w:hint="default" w:ascii="Times New Roman" w:hAnsi="Times New Roman" w:eastAsia="宋体" w:cs="Times New Roman"/>
                <w:color w:val="auto"/>
                <w:spacing w:val="9"/>
                <w:sz w:val="21"/>
                <w:szCs w:val="21"/>
                <w:highlight w:val="none"/>
              </w:rPr>
              <w:t xml:space="preserve"> </w:t>
            </w:r>
            <w:r>
              <w:rPr>
                <w:rFonts w:hint="default" w:ascii="Times New Roman" w:hAnsi="Times New Roman" w:eastAsia="宋体" w:cs="Times New Roman"/>
                <w:color w:val="auto"/>
                <w:spacing w:val="6"/>
                <w:sz w:val="21"/>
                <w:szCs w:val="21"/>
                <w:highlight w:val="none"/>
              </w:rPr>
              <w:t>光度法</w:t>
            </w:r>
            <w:r>
              <w:rPr>
                <w:rFonts w:hint="default" w:ascii="Times New Roman" w:hAnsi="Times New Roman" w:eastAsia="宋体" w:cs="Times New Roman"/>
                <w:color w:val="auto"/>
                <w:spacing w:val="6"/>
                <w:sz w:val="21"/>
                <w:szCs w:val="21"/>
                <w:highlight w:val="none"/>
                <w:lang w:val="en-US" w:eastAsia="zh-CN"/>
              </w:rPr>
              <w:t xml:space="preserve"> </w:t>
            </w:r>
            <w:r>
              <w:rPr>
                <w:rFonts w:hint="default" w:ascii="Times New Roman" w:hAnsi="Times New Roman" w:eastAsia="宋体" w:cs="Times New Roman"/>
                <w:color w:val="auto"/>
                <w:kern w:val="0"/>
                <w:sz w:val="21"/>
                <w:szCs w:val="21"/>
                <w:highlight w:val="none"/>
                <w:lang w:bidi="ar"/>
              </w:rPr>
              <w:t>HJ/T 34</w:t>
            </w:r>
            <w:r>
              <w:rPr>
                <w:rFonts w:hint="default" w:ascii="Times New Roman" w:hAnsi="Times New Roman" w:eastAsia="宋体" w:cs="Times New Roman"/>
                <w:color w:val="auto"/>
                <w:kern w:val="0"/>
                <w:sz w:val="21"/>
                <w:szCs w:val="21"/>
                <w:highlight w:val="none"/>
                <w:lang w:val="en-US" w:eastAsia="zh-CN" w:bidi="ar"/>
              </w:rPr>
              <w:t>6</w:t>
            </w:r>
            <w:r>
              <w:rPr>
                <w:rFonts w:hint="default" w:ascii="Times New Roman" w:hAnsi="Times New Roman" w:eastAsia="宋体" w:cs="Times New Roman"/>
                <w:color w:val="auto"/>
                <w:kern w:val="0"/>
                <w:sz w:val="21"/>
                <w:szCs w:val="21"/>
                <w:highlight w:val="none"/>
                <w:lang w:bidi="ar"/>
              </w:rPr>
              <w:t>-2007</w:t>
            </w:r>
          </w:p>
        </w:tc>
      </w:tr>
      <w:tr w14:paraId="408F6E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03BCE80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564428D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亚硝酸盐</w:t>
            </w:r>
          </w:p>
          <w:p w14:paraId="234E9B6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以N计）</w:t>
            </w:r>
          </w:p>
        </w:tc>
        <w:tc>
          <w:tcPr>
            <w:tcW w:w="3078" w:type="pct"/>
            <w:tcBorders>
              <w:tl2br w:val="nil"/>
              <w:tr2bl w:val="nil"/>
            </w:tcBorders>
            <w:shd w:val="clear" w:color="auto" w:fill="auto"/>
            <w:noWrap w:val="0"/>
            <w:vAlign w:val="center"/>
          </w:tcPr>
          <w:p w14:paraId="22A967E8">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水质</w:t>
            </w:r>
            <w:r>
              <w:rPr>
                <w:rFonts w:hint="default" w:ascii="Times New Roman" w:hAnsi="Times New Roman" w:eastAsia="宋体"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rPr>
              <w:t>亚硝酸盐氮的测定分光</w:t>
            </w:r>
            <w:r>
              <w:rPr>
                <w:rFonts w:hint="default" w:ascii="Times New Roman" w:hAnsi="Times New Roman" w:eastAsia="宋体"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rPr>
              <w:t>光</w:t>
            </w:r>
            <w:r>
              <w:rPr>
                <w:rFonts w:hint="default" w:ascii="Times New Roman" w:hAnsi="Times New Roman" w:eastAsia="宋体" w:cs="Times New Roman"/>
                <w:color w:val="auto"/>
                <w:spacing w:val="-2"/>
                <w:sz w:val="21"/>
                <w:szCs w:val="21"/>
                <w:highlight w:val="none"/>
              </w:rPr>
              <w:t>度法</w:t>
            </w:r>
            <w:r>
              <w:rPr>
                <w:rFonts w:hint="default" w:ascii="Times New Roman" w:hAnsi="Times New Roman" w:eastAsia="宋体" w:cs="Times New Roman"/>
                <w:color w:val="auto"/>
                <w:spacing w:val="-2"/>
                <w:sz w:val="21"/>
                <w:szCs w:val="21"/>
                <w:highlight w:val="none"/>
                <w:lang w:val="en-US" w:eastAsia="zh-CN"/>
              </w:rPr>
              <w:t xml:space="preserve"> </w:t>
            </w:r>
            <w:r>
              <w:rPr>
                <w:rFonts w:hint="default" w:ascii="Times New Roman" w:hAnsi="Times New Roman" w:eastAsia="宋体" w:cs="Times New Roman"/>
                <w:color w:val="auto"/>
                <w:sz w:val="21"/>
                <w:szCs w:val="21"/>
                <w:highlight w:val="none"/>
                <w:lang w:val="en-US" w:eastAsia="zh-CN" w:bidi="zh-CN"/>
              </w:rPr>
              <w:t>GB 7493-87</w:t>
            </w:r>
          </w:p>
        </w:tc>
      </w:tr>
      <w:tr w14:paraId="30ABBF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3C48EB4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413765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挥发酚类</w:t>
            </w:r>
          </w:p>
          <w:p w14:paraId="644146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（以苯酚计）</w:t>
            </w:r>
          </w:p>
        </w:tc>
        <w:tc>
          <w:tcPr>
            <w:tcW w:w="3078" w:type="pct"/>
            <w:tcBorders>
              <w:tl2br w:val="nil"/>
              <w:tr2bl w:val="nil"/>
            </w:tcBorders>
            <w:shd w:val="clear" w:color="auto" w:fill="auto"/>
            <w:noWrap w:val="0"/>
            <w:vAlign w:val="center"/>
          </w:tcPr>
          <w:p w14:paraId="43291ED1">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水质 挥发酚的测定 4-氨基安替吡啉分光光度法</w:t>
            </w:r>
          </w:p>
          <w:p w14:paraId="66219278">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HJ 503-2009</w:t>
            </w:r>
          </w:p>
        </w:tc>
      </w:tr>
      <w:tr w14:paraId="50EA6F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03087E3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40E8D96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bidi="ar-SA"/>
              </w:rPr>
              <w:t>氰化物</w:t>
            </w:r>
          </w:p>
        </w:tc>
        <w:tc>
          <w:tcPr>
            <w:tcW w:w="3078" w:type="pct"/>
            <w:tcBorders>
              <w:tl2br w:val="nil"/>
              <w:tr2bl w:val="nil"/>
            </w:tcBorders>
            <w:shd w:val="clear" w:color="auto" w:fill="auto"/>
            <w:noWrap w:val="0"/>
            <w:vAlign w:val="center"/>
          </w:tcPr>
          <w:p w14:paraId="2EA421D8">
            <w:pPr>
              <w:pStyle w:val="806"/>
              <w:keepNext w:val="0"/>
              <w:keepLines w:val="0"/>
              <w:pageBreakBefore w:val="0"/>
              <w:widowControl w:val="0"/>
              <w:suppressLineNumbers w:val="0"/>
              <w:kinsoku/>
              <w:wordWrap/>
              <w:overflowPunct/>
              <w:topLinePunct w:val="0"/>
              <w:autoSpaceDE/>
              <w:autoSpaceDN/>
              <w:bidi w:val="0"/>
              <w:adjustRightInd/>
              <w:snapToGrid/>
              <w:spacing w:before="74"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kern w:val="0"/>
                <w:sz w:val="21"/>
                <w:szCs w:val="21"/>
                <w:highlight w:val="none"/>
                <w:lang w:bidi="ar"/>
              </w:rPr>
              <w:t>水质 氰化物的测定 容量法和分光光度法</w:t>
            </w:r>
            <w:r>
              <w:rPr>
                <w:rFonts w:hint="eastAsia" w:ascii="Times New Roman" w:hAnsi="Times New Roman" w:cs="Times New Roman"/>
                <w:color w:val="auto"/>
                <w:kern w:val="0"/>
                <w:sz w:val="21"/>
                <w:szCs w:val="21"/>
                <w:highlight w:val="none"/>
                <w:lang w:val="en-US" w:eastAsia="zh-CN" w:bidi="ar"/>
              </w:rPr>
              <w:t xml:space="preserve"> </w:t>
            </w:r>
            <w:r>
              <w:rPr>
                <w:rFonts w:hint="default" w:ascii="Times New Roman" w:hAnsi="Times New Roman" w:cs="Times New Roman"/>
                <w:color w:val="auto"/>
                <w:kern w:val="0"/>
                <w:sz w:val="21"/>
                <w:szCs w:val="21"/>
                <w:highlight w:val="none"/>
                <w:lang w:bidi="ar"/>
              </w:rPr>
              <w:t>HJ 484-2009</w:t>
            </w:r>
          </w:p>
        </w:tc>
      </w:tr>
      <w:tr w14:paraId="1A3914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2C03C54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31D60F18">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砷</w:t>
            </w:r>
          </w:p>
        </w:tc>
        <w:tc>
          <w:tcPr>
            <w:tcW w:w="3078" w:type="pct"/>
            <w:tcBorders>
              <w:tl2br w:val="nil"/>
              <w:tr2bl w:val="nil"/>
            </w:tcBorders>
            <w:shd w:val="clear" w:color="auto" w:fill="auto"/>
            <w:noWrap w:val="0"/>
            <w:vAlign w:val="center"/>
          </w:tcPr>
          <w:p w14:paraId="1B75D300">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水质</w:t>
            </w:r>
            <w:r>
              <w:rPr>
                <w:rFonts w:hint="default" w:ascii="Times New Roman" w:hAnsi="Times New Roman"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lang w:val="en-US" w:eastAsia="zh-CN"/>
              </w:rPr>
              <w:t>汞、砷、硒、铋和锑的测定 原子荧光分光光度法HJ 694-2014</w:t>
            </w:r>
          </w:p>
        </w:tc>
      </w:tr>
      <w:tr w14:paraId="5E384A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restart"/>
            <w:tcBorders>
              <w:tl2br w:val="nil"/>
              <w:tr2bl w:val="nil"/>
            </w:tcBorders>
            <w:noWrap w:val="0"/>
            <w:vAlign w:val="center"/>
          </w:tcPr>
          <w:p w14:paraId="31D71A8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地下水</w:t>
            </w:r>
          </w:p>
        </w:tc>
        <w:tc>
          <w:tcPr>
            <w:tcW w:w="978" w:type="pct"/>
            <w:tcBorders>
              <w:tl2br w:val="nil"/>
              <w:tr2bl w:val="nil"/>
            </w:tcBorders>
            <w:shd w:val="clear" w:color="auto" w:fill="auto"/>
            <w:noWrap w:val="0"/>
            <w:vAlign w:val="center"/>
          </w:tcPr>
          <w:p w14:paraId="23345B7C">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汞</w:t>
            </w:r>
          </w:p>
        </w:tc>
        <w:tc>
          <w:tcPr>
            <w:tcW w:w="3078" w:type="pct"/>
            <w:tcBorders>
              <w:tl2br w:val="nil"/>
              <w:tr2bl w:val="nil"/>
            </w:tcBorders>
            <w:shd w:val="clear" w:color="auto" w:fill="auto"/>
            <w:noWrap w:val="0"/>
            <w:vAlign w:val="center"/>
          </w:tcPr>
          <w:p w14:paraId="5F64555B">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水质</w:t>
            </w:r>
            <w:r>
              <w:rPr>
                <w:rFonts w:hint="default" w:ascii="Times New Roman" w:hAnsi="Times New Roman"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lang w:val="en-US" w:eastAsia="zh-CN"/>
              </w:rPr>
              <w:t>汞、砷、硒、铋和锑的测定 原子荧光分光光度法 HJ 694-2014</w:t>
            </w:r>
          </w:p>
        </w:tc>
      </w:tr>
      <w:tr w14:paraId="227731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231F4DF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4C67A2C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铬（六价）</w:t>
            </w:r>
          </w:p>
        </w:tc>
        <w:tc>
          <w:tcPr>
            <w:tcW w:w="3078" w:type="pct"/>
            <w:tcBorders>
              <w:tl2br w:val="nil"/>
              <w:tr2bl w:val="nil"/>
            </w:tcBorders>
            <w:shd w:val="clear" w:color="auto" w:fill="auto"/>
            <w:noWrap w:val="0"/>
            <w:vAlign w:val="center"/>
          </w:tcPr>
          <w:p w14:paraId="52302DEF">
            <w:pPr>
              <w:keepNext w:val="0"/>
              <w:keepLines w:val="0"/>
              <w:suppressLineNumbers w:val="0"/>
              <w:spacing w:before="0" w:beforeAutospacing="0" w:after="0" w:afterAutospacing="0" w:line="240" w:lineRule="auto"/>
              <w:ind w:left="0" w:leftChars="0" w:right="0" w:rightChars="0"/>
              <w:jc w:val="center"/>
              <w:rPr>
                <w:rFonts w:hint="eastAsia" w:cs="Times New Roman"/>
                <w:color w:val="auto"/>
                <w:kern w:val="0"/>
                <w:sz w:val="21"/>
                <w:szCs w:val="21"/>
                <w:highlight w:val="none"/>
                <w:lang w:val="en-US" w:eastAsia="zh-CN" w:bidi="ar"/>
              </w:rPr>
            </w:pPr>
            <w:r>
              <w:rPr>
                <w:rFonts w:hint="default" w:ascii="Times New Roman" w:hAnsi="Times New Roman" w:cs="Times New Roman"/>
                <w:color w:val="auto"/>
                <w:kern w:val="0"/>
                <w:sz w:val="21"/>
                <w:szCs w:val="21"/>
                <w:highlight w:val="none"/>
                <w:lang w:bidi="ar"/>
              </w:rPr>
              <w:t>水质 六价铬的测定</w:t>
            </w:r>
            <w:r>
              <w:rPr>
                <w:rFonts w:hint="default" w:ascii="Times New Roman" w:hAnsi="Times New Roman" w:cs="Times New Roman"/>
                <w:color w:val="auto"/>
                <w:kern w:val="0"/>
                <w:sz w:val="21"/>
                <w:szCs w:val="21"/>
                <w:highlight w:val="none"/>
                <w:lang w:val="en-US" w:eastAsia="zh-CN" w:bidi="ar"/>
              </w:rPr>
              <w:t xml:space="preserve"> 二</w:t>
            </w:r>
            <w:r>
              <w:rPr>
                <w:rFonts w:hint="default" w:ascii="Times New Roman" w:hAnsi="Times New Roman" w:cs="Times New Roman"/>
                <w:color w:val="auto"/>
                <w:kern w:val="0"/>
                <w:sz w:val="21"/>
                <w:szCs w:val="21"/>
                <w:highlight w:val="none"/>
                <w:lang w:bidi="ar"/>
              </w:rPr>
              <w:t>苯碳酰二肼分光光度法</w:t>
            </w:r>
          </w:p>
          <w:p w14:paraId="45E4553F">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kern w:val="0"/>
                <w:sz w:val="21"/>
                <w:szCs w:val="21"/>
                <w:highlight w:val="none"/>
                <w:lang w:bidi="ar"/>
              </w:rPr>
              <w:t>GB 7467-87</w:t>
            </w:r>
          </w:p>
        </w:tc>
      </w:tr>
      <w:tr w14:paraId="0FA3C7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7766A08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78D59526">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eastAsia" w:hAnsi="宋体" w:cs="宋体"/>
                <w:color w:val="auto"/>
                <w:sz w:val="21"/>
                <w:szCs w:val="21"/>
                <w:highlight w:val="none"/>
              </w:rPr>
              <w:t>硒</w:t>
            </w:r>
          </w:p>
        </w:tc>
        <w:tc>
          <w:tcPr>
            <w:tcW w:w="3078" w:type="pct"/>
            <w:tcBorders>
              <w:tl2br w:val="nil"/>
              <w:tr2bl w:val="nil"/>
            </w:tcBorders>
            <w:shd w:val="clear" w:color="auto" w:fill="auto"/>
            <w:noWrap w:val="0"/>
            <w:vAlign w:val="center"/>
          </w:tcPr>
          <w:p w14:paraId="1E4A3BAF">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bidi="zh-CN"/>
              </w:rPr>
            </w:pPr>
            <w:r>
              <w:rPr>
                <w:rFonts w:hint="eastAsia" w:ascii="宋体" w:hAnsi="宋体" w:cs="宋体"/>
                <w:color w:val="auto"/>
                <w:kern w:val="0"/>
                <w:sz w:val="21"/>
                <w:szCs w:val="21"/>
                <w:highlight w:val="none"/>
                <w:lang w:bidi="ar"/>
              </w:rPr>
              <w:t>水质 汞、砷、硒、铋和锑的测定 原子荧光法</w:t>
            </w:r>
            <w:r>
              <w:rPr>
                <w:rFonts w:hint="eastAsia" w:cs="宋体"/>
                <w:color w:val="auto"/>
                <w:kern w:val="0"/>
                <w:sz w:val="21"/>
                <w:szCs w:val="21"/>
                <w:highlight w:val="none"/>
                <w:lang w:val="en-US" w:eastAsia="zh-CN" w:bidi="ar"/>
              </w:rPr>
              <w:t xml:space="preserve"> </w:t>
            </w:r>
            <w:r>
              <w:rPr>
                <w:rFonts w:hint="eastAsia" w:ascii="宋体" w:hAnsi="宋体" w:cs="宋体"/>
                <w:color w:val="auto"/>
                <w:kern w:val="0"/>
                <w:sz w:val="21"/>
                <w:szCs w:val="21"/>
                <w:highlight w:val="none"/>
                <w:lang w:bidi="ar"/>
              </w:rPr>
              <w:t>HJ 694-2014</w:t>
            </w:r>
          </w:p>
        </w:tc>
      </w:tr>
      <w:tr w14:paraId="2AD235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505F739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2B8AE55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总硬度</w:t>
            </w:r>
          </w:p>
        </w:tc>
        <w:tc>
          <w:tcPr>
            <w:tcW w:w="3078" w:type="pct"/>
            <w:tcBorders>
              <w:tl2br w:val="nil"/>
              <w:tr2bl w:val="nil"/>
            </w:tcBorders>
            <w:shd w:val="clear" w:color="auto" w:fill="auto"/>
            <w:noWrap w:val="0"/>
            <w:vAlign w:val="center"/>
          </w:tcPr>
          <w:p w14:paraId="3CBD5DEA">
            <w:pPr>
              <w:pStyle w:val="6"/>
              <w:suppressLineNumbers w:val="0"/>
              <w:bidi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bidi="zh-CN"/>
              </w:rPr>
              <w:t>水质 钙和镁总量的测定 EDTA滴定法</w:t>
            </w:r>
            <w:r>
              <w:rPr>
                <w:rFonts w:hint="eastAsia" w:ascii="Times New Roman" w:hAnsi="Times New Roman" w:eastAsia="宋体" w:cs="Times New Roman"/>
                <w:b w:val="0"/>
                <w:bCs w:val="0"/>
                <w:color w:val="auto"/>
                <w:sz w:val="21"/>
                <w:szCs w:val="21"/>
                <w:highlight w:val="none"/>
                <w:lang w:val="en-US" w:eastAsia="zh-CN" w:bidi="zh-CN"/>
              </w:rPr>
              <w:t xml:space="preserve"> </w:t>
            </w:r>
            <w:r>
              <w:rPr>
                <w:rFonts w:hint="default" w:ascii="Times New Roman" w:hAnsi="Times New Roman" w:eastAsia="宋体" w:cs="Times New Roman"/>
                <w:b w:val="0"/>
                <w:bCs w:val="0"/>
                <w:color w:val="auto"/>
                <w:sz w:val="21"/>
                <w:szCs w:val="21"/>
                <w:highlight w:val="none"/>
                <w:lang w:val="en-US" w:eastAsia="zh-CN" w:bidi="zh-CN"/>
              </w:rPr>
              <w:t>GB 7477-87</w:t>
            </w:r>
          </w:p>
        </w:tc>
      </w:tr>
      <w:tr w14:paraId="3ACB44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7E83FA8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22F010D5">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铅</w:t>
            </w:r>
          </w:p>
        </w:tc>
        <w:tc>
          <w:tcPr>
            <w:tcW w:w="3078" w:type="pct"/>
            <w:tcBorders>
              <w:tl2br w:val="nil"/>
              <w:tr2bl w:val="nil"/>
            </w:tcBorders>
            <w:shd w:val="clear" w:color="auto" w:fill="auto"/>
            <w:noWrap w:val="0"/>
            <w:vAlign w:val="center"/>
          </w:tcPr>
          <w:p w14:paraId="02E4CF8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b w:val="0"/>
                <w:color w:val="auto"/>
                <w:kern w:val="2"/>
                <w:sz w:val="21"/>
                <w:szCs w:val="21"/>
                <w:highlight w:val="none"/>
                <w:lang w:val="en-US" w:eastAsia="zh-CN" w:bidi="ar-SA"/>
              </w:rPr>
              <w:t>水质 铜、锌、铅、镉的测定原子吸收光度法</w:t>
            </w:r>
            <w:r>
              <w:rPr>
                <w:rFonts w:hint="eastAsia" w:cs="Times New Roman"/>
                <w:b w:val="0"/>
                <w:color w:val="auto"/>
                <w:kern w:val="2"/>
                <w:sz w:val="21"/>
                <w:szCs w:val="21"/>
                <w:highlight w:val="none"/>
                <w:lang w:val="en-US" w:eastAsia="zh-CN" w:bidi="ar-SA"/>
              </w:rPr>
              <w:t xml:space="preserve"> </w:t>
            </w:r>
            <w:r>
              <w:rPr>
                <w:rFonts w:hint="default" w:ascii="Times New Roman" w:hAnsi="Times New Roman" w:eastAsia="宋体" w:cs="Times New Roman"/>
                <w:b w:val="0"/>
                <w:color w:val="auto"/>
                <w:kern w:val="2"/>
                <w:sz w:val="21"/>
                <w:szCs w:val="21"/>
                <w:highlight w:val="none"/>
                <w:lang w:val="en-US" w:eastAsia="zh-CN" w:bidi="ar-SA"/>
              </w:rPr>
              <w:t>GB 7475-87</w:t>
            </w:r>
          </w:p>
        </w:tc>
      </w:tr>
      <w:tr w14:paraId="2BCD34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2EA9086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0235734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氟化物</w:t>
            </w:r>
          </w:p>
        </w:tc>
        <w:tc>
          <w:tcPr>
            <w:tcW w:w="3078" w:type="pct"/>
            <w:tcBorders>
              <w:tl2br w:val="nil"/>
              <w:tr2bl w:val="nil"/>
            </w:tcBorders>
            <w:shd w:val="clear" w:color="auto" w:fill="auto"/>
            <w:noWrap w:val="0"/>
            <w:vAlign w:val="center"/>
          </w:tcPr>
          <w:p w14:paraId="6F524754">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pacing w:val="1"/>
                <w:sz w:val="21"/>
                <w:szCs w:val="21"/>
                <w:highlight w:val="none"/>
              </w:rPr>
              <w:t>水质</w:t>
            </w:r>
            <w:r>
              <w:rPr>
                <w:rFonts w:hint="default" w:ascii="Times New Roman" w:hAnsi="Times New Roman" w:cs="Times New Roman"/>
                <w:color w:val="auto"/>
                <w:spacing w:val="1"/>
                <w:sz w:val="21"/>
                <w:szCs w:val="21"/>
                <w:highlight w:val="none"/>
                <w:lang w:val="en-US" w:eastAsia="zh-CN"/>
              </w:rPr>
              <w:t xml:space="preserve"> </w:t>
            </w:r>
            <w:r>
              <w:rPr>
                <w:rFonts w:hint="default" w:ascii="Times New Roman" w:hAnsi="Times New Roman" w:cs="Times New Roman"/>
                <w:color w:val="auto"/>
                <w:spacing w:val="1"/>
                <w:sz w:val="21"/>
                <w:szCs w:val="21"/>
                <w:highlight w:val="none"/>
              </w:rPr>
              <w:t>氟化物的测定离子选择电</w:t>
            </w:r>
            <w:r>
              <w:rPr>
                <w:rFonts w:hint="default" w:ascii="Times New Roman" w:hAnsi="Times New Roman" w:cs="Times New Roman"/>
                <w:color w:val="auto"/>
                <w:spacing w:val="-3"/>
                <w:sz w:val="21"/>
                <w:szCs w:val="21"/>
                <w:highlight w:val="none"/>
              </w:rPr>
              <w:t>极法</w:t>
            </w:r>
            <w:r>
              <w:rPr>
                <w:rFonts w:hint="default" w:ascii="Times New Roman" w:hAnsi="Times New Roman" w:cs="Times New Roman"/>
                <w:color w:val="auto"/>
                <w:spacing w:val="-3"/>
                <w:sz w:val="21"/>
                <w:szCs w:val="21"/>
                <w:highlight w:val="none"/>
                <w:lang w:val="en-US" w:eastAsia="zh-CN"/>
              </w:rPr>
              <w:t xml:space="preserve"> </w:t>
            </w:r>
            <w:r>
              <w:rPr>
                <w:rFonts w:hint="default" w:ascii="Times New Roman" w:hAnsi="Times New Roman" w:cs="Times New Roman"/>
                <w:color w:val="auto"/>
                <w:spacing w:val="-3"/>
                <w:sz w:val="21"/>
                <w:szCs w:val="21"/>
                <w:highlight w:val="none"/>
              </w:rPr>
              <w:t>GB</w:t>
            </w:r>
            <w:r>
              <w:rPr>
                <w:rFonts w:hint="default" w:ascii="Times New Roman" w:hAnsi="Times New Roman" w:cs="Times New Roman"/>
                <w:color w:val="auto"/>
                <w:spacing w:val="20"/>
                <w:sz w:val="21"/>
                <w:szCs w:val="21"/>
                <w:highlight w:val="none"/>
              </w:rPr>
              <w:t xml:space="preserve"> </w:t>
            </w:r>
            <w:r>
              <w:rPr>
                <w:rFonts w:hint="default" w:ascii="Times New Roman" w:hAnsi="Times New Roman" w:cs="Times New Roman"/>
                <w:color w:val="auto"/>
                <w:spacing w:val="-3"/>
                <w:sz w:val="21"/>
                <w:szCs w:val="21"/>
                <w:highlight w:val="none"/>
              </w:rPr>
              <w:t>7484-87</w:t>
            </w:r>
          </w:p>
        </w:tc>
      </w:tr>
      <w:tr w14:paraId="55CF55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5AE8599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00BD6C9B">
            <w:pPr>
              <w:pStyle w:val="806"/>
              <w:keepNext w:val="0"/>
              <w:keepLines w:val="0"/>
              <w:pageBreakBefore w:val="0"/>
              <w:widowControl w:val="0"/>
              <w:suppressLineNumbers w:val="0"/>
              <w:kinsoku/>
              <w:wordWrap/>
              <w:overflowPunct/>
              <w:topLinePunct w:val="0"/>
              <w:autoSpaceDE w:val="0"/>
              <w:autoSpaceDN w:val="0"/>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color w:val="auto"/>
                <w:sz w:val="21"/>
                <w:szCs w:val="21"/>
                <w:highlight w:val="none"/>
              </w:rPr>
              <w:t>镉</w:t>
            </w:r>
          </w:p>
        </w:tc>
        <w:tc>
          <w:tcPr>
            <w:tcW w:w="3078" w:type="pct"/>
            <w:tcBorders>
              <w:tl2br w:val="nil"/>
              <w:tr2bl w:val="nil"/>
            </w:tcBorders>
            <w:shd w:val="clear" w:color="auto" w:fill="auto"/>
            <w:noWrap w:val="0"/>
            <w:vAlign w:val="center"/>
          </w:tcPr>
          <w:p w14:paraId="4FE7A2B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b w:val="0"/>
                <w:color w:val="auto"/>
                <w:kern w:val="2"/>
                <w:sz w:val="21"/>
                <w:szCs w:val="21"/>
                <w:highlight w:val="none"/>
                <w:lang w:val="en-US" w:eastAsia="zh-CN" w:bidi="ar-SA"/>
              </w:rPr>
              <w:t>水质 铜、锌、铅、镉的测定原子吸收光度法</w:t>
            </w:r>
            <w:r>
              <w:rPr>
                <w:rFonts w:hint="eastAsia" w:cs="Times New Roman"/>
                <w:b w:val="0"/>
                <w:color w:val="auto"/>
                <w:kern w:val="2"/>
                <w:sz w:val="21"/>
                <w:szCs w:val="21"/>
                <w:highlight w:val="none"/>
                <w:lang w:val="en-US" w:eastAsia="zh-CN" w:bidi="ar-SA"/>
              </w:rPr>
              <w:t xml:space="preserve"> </w:t>
            </w:r>
            <w:r>
              <w:rPr>
                <w:rFonts w:hint="default" w:ascii="Times New Roman" w:hAnsi="Times New Roman" w:eastAsia="宋体" w:cs="Times New Roman"/>
                <w:b w:val="0"/>
                <w:color w:val="auto"/>
                <w:kern w:val="2"/>
                <w:sz w:val="21"/>
                <w:szCs w:val="21"/>
                <w:highlight w:val="none"/>
                <w:lang w:val="en-US" w:eastAsia="zh-CN" w:bidi="ar-SA"/>
              </w:rPr>
              <w:t>GB 7475-87</w:t>
            </w:r>
          </w:p>
        </w:tc>
      </w:tr>
      <w:tr w14:paraId="4C3F38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0C0A84C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49B4A87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铁</w:t>
            </w:r>
          </w:p>
        </w:tc>
        <w:tc>
          <w:tcPr>
            <w:tcW w:w="3078" w:type="pct"/>
            <w:tcBorders>
              <w:tl2br w:val="nil"/>
              <w:tr2bl w:val="nil"/>
            </w:tcBorders>
            <w:shd w:val="clear" w:color="auto" w:fill="auto"/>
            <w:noWrap w:val="0"/>
            <w:vAlign w:val="center"/>
          </w:tcPr>
          <w:p w14:paraId="744758A8">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bidi="zh-CN"/>
              </w:rPr>
            </w:pPr>
            <w:r>
              <w:rPr>
                <w:rFonts w:hint="default" w:ascii="Times New Roman" w:hAnsi="Times New Roman" w:eastAsia="宋体" w:cs="Times New Roman"/>
                <w:color w:val="auto"/>
                <w:sz w:val="21"/>
                <w:szCs w:val="21"/>
                <w:highlight w:val="none"/>
                <w:lang w:val="en-US" w:eastAsia="zh-CN" w:bidi="zh-CN"/>
              </w:rPr>
              <w:t>水质 铁、锰的测定 火焰原子吸收分光光度法</w:t>
            </w:r>
          </w:p>
          <w:p w14:paraId="1550618F">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bidi="zh-CN"/>
              </w:rPr>
              <w:t>GB 11911-89</w:t>
            </w:r>
          </w:p>
        </w:tc>
      </w:tr>
      <w:tr w14:paraId="6C3F3A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6728245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2E7A7AB8">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eastAsia" w:hAnsi="宋体" w:cs="宋体"/>
                <w:color w:val="auto"/>
                <w:sz w:val="21"/>
                <w:szCs w:val="21"/>
                <w:highlight w:val="none"/>
              </w:rPr>
              <w:t>铜</w:t>
            </w:r>
          </w:p>
        </w:tc>
        <w:tc>
          <w:tcPr>
            <w:tcW w:w="3078" w:type="pct"/>
            <w:tcBorders>
              <w:tl2br w:val="nil"/>
              <w:tr2bl w:val="nil"/>
            </w:tcBorders>
            <w:shd w:val="clear" w:color="auto" w:fill="auto"/>
            <w:noWrap w:val="0"/>
            <w:vAlign w:val="center"/>
          </w:tcPr>
          <w:p w14:paraId="49A19C32">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bidi="zh-CN"/>
              </w:rPr>
            </w:pPr>
            <w:r>
              <w:rPr>
                <w:rFonts w:hint="default" w:ascii="Times New Roman" w:hAnsi="Times New Roman" w:eastAsia="宋体" w:cs="Times New Roman"/>
                <w:color w:val="auto"/>
                <w:sz w:val="21"/>
                <w:szCs w:val="21"/>
                <w:highlight w:val="none"/>
                <w:lang w:val="en-US" w:eastAsia="zh-CN" w:bidi="zh-CN"/>
              </w:rPr>
              <w:t>水质 铜、锌、铅、镉的测定 原子吸收分光光度法</w:t>
            </w:r>
          </w:p>
          <w:p w14:paraId="4CA50973">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bidi="zh-CN"/>
              </w:rPr>
            </w:pPr>
            <w:r>
              <w:rPr>
                <w:rFonts w:hint="default" w:ascii="Times New Roman" w:hAnsi="Times New Roman" w:eastAsia="宋体" w:cs="Times New Roman"/>
                <w:color w:val="auto"/>
                <w:sz w:val="21"/>
                <w:szCs w:val="21"/>
                <w:highlight w:val="none"/>
                <w:lang w:val="en-US" w:eastAsia="zh-CN" w:bidi="zh-CN"/>
              </w:rPr>
              <w:t>GB 7475-87</w:t>
            </w:r>
          </w:p>
        </w:tc>
      </w:tr>
      <w:tr w14:paraId="30BCB0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232A3D9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4F1E4693">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eastAsia" w:hAnsi="宋体" w:cs="宋体"/>
                <w:color w:val="auto"/>
                <w:sz w:val="21"/>
                <w:szCs w:val="21"/>
                <w:highlight w:val="none"/>
              </w:rPr>
              <w:t>锌</w:t>
            </w:r>
          </w:p>
        </w:tc>
        <w:tc>
          <w:tcPr>
            <w:tcW w:w="3078" w:type="pct"/>
            <w:tcBorders>
              <w:tl2br w:val="nil"/>
              <w:tr2bl w:val="nil"/>
            </w:tcBorders>
            <w:shd w:val="clear" w:color="auto" w:fill="auto"/>
            <w:noWrap w:val="0"/>
            <w:vAlign w:val="center"/>
          </w:tcPr>
          <w:p w14:paraId="5B1D2181">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bidi="zh-CN"/>
              </w:rPr>
            </w:pPr>
            <w:r>
              <w:rPr>
                <w:rFonts w:hint="default" w:ascii="Times New Roman" w:hAnsi="Times New Roman" w:eastAsia="宋体" w:cs="Times New Roman"/>
                <w:color w:val="auto"/>
                <w:sz w:val="21"/>
                <w:szCs w:val="21"/>
                <w:highlight w:val="none"/>
                <w:lang w:val="en-US" w:eastAsia="zh-CN" w:bidi="zh-CN"/>
              </w:rPr>
              <w:t>水质 铜、锌、铅、镉的测定 原子吸收分光光度法</w:t>
            </w:r>
          </w:p>
          <w:p w14:paraId="04F3434E">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bidi="zh-CN"/>
              </w:rPr>
            </w:pPr>
            <w:r>
              <w:rPr>
                <w:rFonts w:hint="default" w:ascii="Times New Roman" w:hAnsi="Times New Roman" w:eastAsia="宋体" w:cs="Times New Roman"/>
                <w:color w:val="auto"/>
                <w:sz w:val="21"/>
                <w:szCs w:val="21"/>
                <w:highlight w:val="none"/>
                <w:lang w:val="en-US" w:eastAsia="zh-CN" w:bidi="zh-CN"/>
              </w:rPr>
              <w:t>GB 7475-87</w:t>
            </w:r>
          </w:p>
        </w:tc>
      </w:tr>
      <w:tr w14:paraId="00024F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266CB9D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1CDB36B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锰</w:t>
            </w:r>
          </w:p>
        </w:tc>
        <w:tc>
          <w:tcPr>
            <w:tcW w:w="3078" w:type="pct"/>
            <w:tcBorders>
              <w:tl2br w:val="nil"/>
              <w:tr2bl w:val="nil"/>
            </w:tcBorders>
            <w:shd w:val="clear" w:color="auto" w:fill="auto"/>
            <w:noWrap w:val="0"/>
            <w:vAlign w:val="center"/>
          </w:tcPr>
          <w:p w14:paraId="04E55575">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bidi="zh-CN"/>
              </w:rPr>
              <w:t>水质 铁、锰的测定 火焰原子吸收分光光度法</w:t>
            </w:r>
            <w:r>
              <w:rPr>
                <w:rFonts w:hint="eastAsia" w:ascii="Times New Roman" w:hAnsi="Times New Roman" w:eastAsia="宋体" w:cs="Times New Roman"/>
                <w:color w:val="auto"/>
                <w:sz w:val="21"/>
                <w:szCs w:val="21"/>
                <w:highlight w:val="none"/>
                <w:lang w:val="en-US" w:eastAsia="zh-CN" w:bidi="zh-CN"/>
              </w:rPr>
              <w:t xml:space="preserve"> </w:t>
            </w:r>
            <w:r>
              <w:rPr>
                <w:rFonts w:hint="default" w:ascii="Times New Roman" w:hAnsi="Times New Roman" w:eastAsia="宋体" w:cs="Times New Roman"/>
                <w:color w:val="auto"/>
                <w:sz w:val="21"/>
                <w:szCs w:val="21"/>
                <w:highlight w:val="none"/>
                <w:lang w:val="en-US" w:eastAsia="zh-CN" w:bidi="zh-CN"/>
              </w:rPr>
              <w:t>GB 11911-89</w:t>
            </w:r>
          </w:p>
        </w:tc>
      </w:tr>
      <w:tr w14:paraId="68F672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28345F6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0C318EF0">
            <w:pPr>
              <w:pStyle w:val="806"/>
              <w:keepNext w:val="0"/>
              <w:keepLines w:val="0"/>
              <w:suppressLineNumbers w:val="0"/>
              <w:spacing w:before="0" w:beforeAutospacing="0" w:after="0" w:afterAutospacing="0" w:line="240" w:lineRule="auto"/>
              <w:ind w:left="0" w:leftChars="0" w:right="0" w:rightChars="0"/>
              <w:jc w:val="center"/>
              <w:rPr>
                <w:rFonts w:hint="eastAsia"/>
                <w:color w:val="auto"/>
                <w:sz w:val="21"/>
                <w:szCs w:val="21"/>
                <w:highlight w:val="none"/>
                <w:lang w:val="en-US" w:eastAsia="zh-CN"/>
              </w:rPr>
            </w:pPr>
            <w:r>
              <w:rPr>
                <w:rFonts w:hint="eastAsia"/>
                <w:color w:val="auto"/>
                <w:sz w:val="21"/>
                <w:szCs w:val="21"/>
                <w:highlight w:val="none"/>
                <w:lang w:val="en-US" w:eastAsia="zh-CN"/>
              </w:rPr>
              <w:t>溶解性</w:t>
            </w:r>
          </w:p>
          <w:p w14:paraId="54FC2389">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eastAsia"/>
                <w:color w:val="auto"/>
                <w:sz w:val="21"/>
                <w:szCs w:val="21"/>
                <w:highlight w:val="none"/>
                <w:lang w:val="en-US" w:eastAsia="zh-CN"/>
              </w:rPr>
              <w:t>总固体</w:t>
            </w:r>
          </w:p>
        </w:tc>
        <w:tc>
          <w:tcPr>
            <w:tcW w:w="3078" w:type="pct"/>
            <w:tcBorders>
              <w:tl2br w:val="nil"/>
              <w:tr2bl w:val="nil"/>
            </w:tcBorders>
            <w:shd w:val="clear" w:color="auto" w:fill="auto"/>
            <w:noWrap w:val="0"/>
            <w:vAlign w:val="center"/>
          </w:tcPr>
          <w:p w14:paraId="39B1FAF1">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bidi="zh-CN"/>
              </w:rPr>
              <w:t>地下水质分析方法 第9部分：溶解性固体总量的测定 重</w:t>
            </w:r>
            <w:r>
              <w:rPr>
                <w:rFonts w:hint="eastAsia" w:cs="Times New Roman"/>
                <w:color w:val="auto"/>
                <w:sz w:val="21"/>
                <w:szCs w:val="21"/>
                <w:highlight w:val="none"/>
                <w:lang w:val="en-US" w:eastAsia="zh-CN" w:bidi="zh-CN"/>
              </w:rPr>
              <w:t>量</w:t>
            </w:r>
            <w:r>
              <w:rPr>
                <w:rFonts w:hint="default" w:ascii="Times New Roman" w:hAnsi="Times New Roman" w:eastAsia="宋体" w:cs="Times New Roman"/>
                <w:color w:val="auto"/>
                <w:sz w:val="21"/>
                <w:szCs w:val="21"/>
                <w:highlight w:val="none"/>
                <w:lang w:val="en-US" w:eastAsia="zh-CN" w:bidi="zh-CN"/>
              </w:rPr>
              <w:t>法</w:t>
            </w:r>
            <w:r>
              <w:rPr>
                <w:rFonts w:hint="eastAsia" w:cs="Times New Roman"/>
                <w:color w:val="auto"/>
                <w:sz w:val="21"/>
                <w:szCs w:val="21"/>
                <w:highlight w:val="none"/>
                <w:lang w:val="en-US" w:eastAsia="zh-CN" w:bidi="zh-CN"/>
              </w:rPr>
              <w:t xml:space="preserve"> </w:t>
            </w:r>
            <w:r>
              <w:rPr>
                <w:rFonts w:hint="default" w:ascii="Times New Roman" w:hAnsi="Times New Roman" w:eastAsia="宋体" w:cs="Times New Roman"/>
                <w:color w:val="auto"/>
                <w:sz w:val="21"/>
                <w:szCs w:val="21"/>
                <w:highlight w:val="none"/>
                <w:lang w:val="en-US" w:eastAsia="zh-CN" w:bidi="zh-CN"/>
              </w:rPr>
              <w:t>DZ/T 0064.9-2021</w:t>
            </w:r>
          </w:p>
        </w:tc>
      </w:tr>
      <w:tr w14:paraId="57CB00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1503F92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76E021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240" w:leftChars="-100" w:right="-240" w:rightChars="-100" w:firstLine="0" w:firstLineChars="0"/>
              <w:jc w:val="center"/>
              <w:textAlignment w:val="auto"/>
              <w:outlineLvl w:val="9"/>
              <w:rPr>
                <w:color w:val="auto"/>
                <w:spacing w:val="23"/>
                <w:sz w:val="21"/>
                <w:szCs w:val="21"/>
                <w:highlight w:val="none"/>
              </w:rPr>
            </w:pPr>
            <w:r>
              <w:rPr>
                <w:color w:val="auto"/>
                <w:spacing w:val="23"/>
                <w:sz w:val="21"/>
                <w:szCs w:val="21"/>
                <w:highlight w:val="none"/>
              </w:rPr>
              <w:t>耗氧量(</w:t>
            </w:r>
            <w:r>
              <w:rPr>
                <w:color w:val="auto"/>
                <w:sz w:val="21"/>
                <w:szCs w:val="21"/>
                <w:highlight w:val="none"/>
              </w:rPr>
              <w:t>CODMn</w:t>
            </w:r>
            <w:r>
              <w:rPr>
                <w:color w:val="auto"/>
                <w:spacing w:val="23"/>
                <w:sz w:val="21"/>
                <w:szCs w:val="21"/>
                <w:highlight w:val="none"/>
              </w:rPr>
              <w:t>法</w:t>
            </w:r>
          </w:p>
          <w:p w14:paraId="2CF9F6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240" w:leftChars="-100" w:right="-240" w:rightChars="-10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rPr>
            </w:pPr>
            <w:r>
              <w:rPr>
                <w:color w:val="auto"/>
                <w:spacing w:val="23"/>
                <w:sz w:val="21"/>
                <w:szCs w:val="21"/>
                <w:highlight w:val="none"/>
              </w:rPr>
              <w:t>以O</w:t>
            </w:r>
            <w:r>
              <w:rPr>
                <w:rFonts w:ascii="Calibri" w:hAnsi="Calibri" w:eastAsia="Calibri" w:cs="Calibri"/>
                <w:color w:val="auto"/>
                <w:spacing w:val="23"/>
                <w:sz w:val="21"/>
                <w:szCs w:val="21"/>
                <w:highlight w:val="none"/>
              </w:rPr>
              <w:t>₂</w:t>
            </w:r>
            <w:r>
              <w:rPr>
                <w:color w:val="auto"/>
                <w:spacing w:val="23"/>
                <w:sz w:val="21"/>
                <w:szCs w:val="21"/>
                <w:highlight w:val="none"/>
              </w:rPr>
              <w:t>计)</w:t>
            </w:r>
          </w:p>
        </w:tc>
        <w:tc>
          <w:tcPr>
            <w:tcW w:w="3078" w:type="pct"/>
            <w:tcBorders>
              <w:tl2br w:val="nil"/>
              <w:tr2bl w:val="nil"/>
            </w:tcBorders>
            <w:shd w:val="clear" w:color="auto" w:fill="auto"/>
            <w:noWrap w:val="0"/>
            <w:vAlign w:val="center"/>
          </w:tcPr>
          <w:p w14:paraId="76ECB9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bidi="zh-CN"/>
              </w:rPr>
            </w:pPr>
            <w:r>
              <w:rPr>
                <w:rFonts w:hint="default" w:ascii="Times New Roman" w:hAnsi="Times New Roman" w:eastAsia="宋体" w:cs="Times New Roman"/>
                <w:color w:val="auto"/>
                <w:sz w:val="21"/>
                <w:szCs w:val="21"/>
                <w:highlight w:val="none"/>
                <w:lang w:val="en-US" w:eastAsia="zh-CN" w:bidi="zh-CN"/>
              </w:rPr>
              <w:t>水质 高锰酸盐指数的测定</w:t>
            </w:r>
          </w:p>
          <w:p w14:paraId="314C08E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bidi="zh-CN"/>
              </w:rPr>
              <w:t>GB 11892-89</w:t>
            </w:r>
          </w:p>
        </w:tc>
      </w:tr>
      <w:tr w14:paraId="4BBF27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51CBD86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066C41DE">
            <w:pPr>
              <w:pStyle w:val="806"/>
              <w:keepNext w:val="0"/>
              <w:keepLines w:val="0"/>
              <w:suppressLineNumbers w:val="0"/>
              <w:spacing w:before="0" w:beforeAutospacing="0" w:after="0" w:afterAutospacing="0" w:line="240" w:lineRule="auto"/>
              <w:ind w:left="0" w:leftChars="0" w:right="0" w:rightChars="0"/>
              <w:jc w:val="center"/>
              <w:rPr>
                <w:rFonts w:hint="eastAsia"/>
                <w:color w:val="auto"/>
                <w:sz w:val="21"/>
                <w:szCs w:val="21"/>
                <w:highlight w:val="none"/>
                <w:lang w:val="en-US" w:eastAsia="zh-CN"/>
              </w:rPr>
            </w:pPr>
            <w:r>
              <w:rPr>
                <w:rFonts w:hint="eastAsia"/>
                <w:color w:val="auto"/>
                <w:sz w:val="21"/>
                <w:szCs w:val="21"/>
                <w:highlight w:val="none"/>
                <w:lang w:val="en-US" w:eastAsia="zh-CN"/>
              </w:rPr>
              <w:t>总大肠</w:t>
            </w:r>
          </w:p>
          <w:p w14:paraId="2DC49C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240" w:leftChars="-100" w:right="-240" w:rightChars="-100" w:firstLine="0" w:firstLineChars="0"/>
              <w:jc w:val="center"/>
              <w:textAlignment w:val="auto"/>
              <w:outlineLvl w:val="9"/>
              <w:rPr>
                <w:color w:val="auto"/>
                <w:spacing w:val="23"/>
                <w:sz w:val="21"/>
                <w:szCs w:val="21"/>
                <w:highlight w:val="none"/>
              </w:rPr>
            </w:pPr>
            <w:r>
              <w:rPr>
                <w:rFonts w:hint="eastAsia"/>
                <w:color w:val="auto"/>
                <w:sz w:val="21"/>
                <w:szCs w:val="21"/>
                <w:highlight w:val="none"/>
                <w:lang w:val="en-US" w:eastAsia="zh-CN"/>
              </w:rPr>
              <w:t>菌群</w:t>
            </w:r>
          </w:p>
        </w:tc>
        <w:tc>
          <w:tcPr>
            <w:tcW w:w="3078" w:type="pct"/>
            <w:tcBorders>
              <w:tl2br w:val="nil"/>
              <w:tr2bl w:val="nil"/>
            </w:tcBorders>
            <w:shd w:val="clear" w:color="auto" w:fill="auto"/>
            <w:noWrap w:val="0"/>
            <w:vAlign w:val="center"/>
          </w:tcPr>
          <w:p w14:paraId="280B1D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firstLine="0" w:firstLineChars="0"/>
              <w:jc w:val="center"/>
              <w:textAlignment w:val="auto"/>
              <w:outlineLvl w:val="9"/>
              <w:rPr>
                <w:rFonts w:hint="default" w:ascii="Times New Roman" w:hAnsi="Times New Roman" w:eastAsia="宋体" w:cs="Times New Roman"/>
                <w:color w:val="auto"/>
                <w:sz w:val="21"/>
                <w:szCs w:val="21"/>
                <w:highlight w:val="none"/>
                <w:lang w:val="en-US" w:eastAsia="zh-CN" w:bidi="zh-CN"/>
              </w:rPr>
            </w:pPr>
            <w:r>
              <w:rPr>
                <w:rFonts w:hint="eastAsia" w:ascii="Times New Roman" w:hAnsi="Times New Roman" w:eastAsia="宋体" w:cs="Times New Roman"/>
                <w:color w:val="auto"/>
                <w:kern w:val="2"/>
                <w:sz w:val="21"/>
                <w:szCs w:val="21"/>
                <w:highlight w:val="none"/>
                <w:lang w:val="en-US" w:eastAsia="zh-CN" w:bidi="ar-SA"/>
              </w:rPr>
              <w:t>生活饮用水标准检验方法第</w:t>
            </w:r>
            <w:r>
              <w:rPr>
                <w:rFonts w:hint="default" w:ascii="Times New Roman" w:hAnsi="Times New Roman" w:eastAsia="宋体" w:cs="Times New Roman"/>
                <w:color w:val="auto"/>
                <w:kern w:val="2"/>
                <w:sz w:val="21"/>
                <w:szCs w:val="21"/>
                <w:highlight w:val="none"/>
                <w:lang w:val="en-US" w:eastAsia="zh-CN" w:bidi="ar-SA"/>
              </w:rPr>
              <w:t>12</w:t>
            </w:r>
            <w:r>
              <w:rPr>
                <w:rFonts w:hint="eastAsia" w:ascii="Times New Roman" w:hAnsi="Times New Roman" w:eastAsia="宋体" w:cs="Times New Roman"/>
                <w:color w:val="auto"/>
                <w:kern w:val="2"/>
                <w:sz w:val="21"/>
                <w:szCs w:val="21"/>
                <w:highlight w:val="none"/>
                <w:lang w:val="en-US" w:eastAsia="zh-CN" w:bidi="ar-SA"/>
              </w:rPr>
              <w:t xml:space="preserve">部分：微生物指标 </w:t>
            </w:r>
            <w:r>
              <w:rPr>
                <w:rFonts w:hint="default" w:ascii="Times New Roman" w:hAnsi="Times New Roman" w:eastAsia="宋体" w:cs="Times New Roman"/>
                <w:color w:val="auto"/>
                <w:kern w:val="2"/>
                <w:sz w:val="21"/>
                <w:szCs w:val="21"/>
                <w:highlight w:val="none"/>
                <w:lang w:val="en-US" w:eastAsia="zh-CN" w:bidi="ar-SA"/>
              </w:rPr>
              <w:t>GB 5750.12-2023 (5.1）</w:t>
            </w:r>
            <w:r>
              <w:rPr>
                <w:rFonts w:hint="eastAsia" w:ascii="Times New Roman" w:hAnsi="Times New Roman" w:eastAsia="宋体" w:cs="Times New Roman"/>
                <w:color w:val="auto"/>
                <w:kern w:val="2"/>
                <w:sz w:val="21"/>
                <w:szCs w:val="21"/>
                <w:highlight w:val="none"/>
                <w:lang w:val="en-US" w:eastAsia="zh-CN" w:bidi="ar-SA"/>
              </w:rPr>
              <w:t>多管发酵法</w:t>
            </w:r>
          </w:p>
        </w:tc>
      </w:tr>
      <w:tr w14:paraId="15F8F2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0F0D1FB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p>
        </w:tc>
        <w:tc>
          <w:tcPr>
            <w:tcW w:w="978" w:type="pct"/>
            <w:tcBorders>
              <w:tl2br w:val="nil"/>
              <w:tr2bl w:val="nil"/>
            </w:tcBorders>
            <w:shd w:val="clear" w:color="auto" w:fill="auto"/>
            <w:noWrap w:val="0"/>
            <w:vAlign w:val="center"/>
          </w:tcPr>
          <w:p w14:paraId="1ADFB53B">
            <w:pPr>
              <w:pStyle w:val="806"/>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zh-CN"/>
              </w:rPr>
            </w:pPr>
            <w:r>
              <w:rPr>
                <w:rFonts w:hint="eastAsia"/>
                <w:color w:val="auto"/>
                <w:sz w:val="21"/>
                <w:szCs w:val="21"/>
                <w:highlight w:val="none"/>
                <w:lang w:val="en-US" w:eastAsia="zh-CN"/>
              </w:rPr>
              <w:t>细菌总数</w:t>
            </w:r>
          </w:p>
        </w:tc>
        <w:tc>
          <w:tcPr>
            <w:tcW w:w="3078" w:type="pct"/>
            <w:tcBorders>
              <w:tl2br w:val="nil"/>
              <w:tr2bl w:val="nil"/>
            </w:tcBorders>
            <w:shd w:val="clear" w:color="auto" w:fill="auto"/>
            <w:noWrap w:val="0"/>
            <w:vAlign w:val="center"/>
          </w:tcPr>
          <w:p w14:paraId="3B3A17C9">
            <w:pPr>
              <w:pStyle w:val="806"/>
              <w:keepNext w:val="0"/>
              <w:keepLines w:val="0"/>
              <w:suppressLineNumbers w:val="0"/>
              <w:spacing w:before="56" w:beforeAutospacing="0" w:after="0" w:afterAutospacing="0" w:line="240" w:lineRule="auto"/>
              <w:ind w:left="108" w:leftChars="0" w:right="101" w:rightChars="0"/>
              <w:jc w:val="center"/>
              <w:rPr>
                <w:rFonts w:hint="eastAsia" w:ascii="Times New Roman" w:hAnsi="Times New Roman" w:eastAsia="宋体" w:cs="Times New Roman"/>
                <w:color w:val="auto"/>
                <w:kern w:val="2"/>
                <w:sz w:val="21"/>
                <w:szCs w:val="21"/>
                <w:highlight w:val="none"/>
                <w:lang w:val="en-US" w:eastAsia="zh-CN" w:bidi="zh-CN"/>
              </w:rPr>
            </w:pPr>
            <w:r>
              <w:rPr>
                <w:rFonts w:hint="default" w:ascii="Times New Roman" w:hAnsi="Times New Roman" w:eastAsia="宋体" w:cs="Times New Roman"/>
                <w:color w:val="auto"/>
                <w:kern w:val="0"/>
                <w:sz w:val="21"/>
                <w:szCs w:val="21"/>
                <w:highlight w:val="none"/>
                <w:lang w:bidi="ar"/>
              </w:rPr>
              <w:t>水质 细菌总数的测定</w:t>
            </w:r>
            <w:r>
              <w:rPr>
                <w:rFonts w:hint="default"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bidi="ar"/>
              </w:rPr>
              <w:t>平皿计数法</w:t>
            </w:r>
            <w:r>
              <w:rPr>
                <w:rFonts w:hint="default"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bidi="ar"/>
              </w:rPr>
              <w:t>HJ 1000-2018</w:t>
            </w:r>
          </w:p>
        </w:tc>
      </w:tr>
      <w:tr w14:paraId="6F7D7E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restart"/>
            <w:tcBorders>
              <w:tl2br w:val="nil"/>
              <w:tr2bl w:val="nil"/>
            </w:tcBorders>
            <w:noWrap w:val="0"/>
            <w:vAlign w:val="center"/>
          </w:tcPr>
          <w:p w14:paraId="302EE80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地下水</w:t>
            </w:r>
          </w:p>
        </w:tc>
        <w:tc>
          <w:tcPr>
            <w:tcW w:w="978" w:type="pct"/>
            <w:tcBorders>
              <w:tl2br w:val="nil"/>
              <w:tr2bl w:val="nil"/>
            </w:tcBorders>
            <w:shd w:val="clear" w:color="auto" w:fill="auto"/>
            <w:noWrap w:val="0"/>
            <w:vAlign w:val="center"/>
          </w:tcPr>
          <w:p w14:paraId="08C86615">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bidi="ar"/>
              </w:rPr>
              <w:t>钾离子</w:t>
            </w:r>
          </w:p>
        </w:tc>
        <w:tc>
          <w:tcPr>
            <w:tcW w:w="3078" w:type="pct"/>
            <w:tcBorders>
              <w:tl2br w:val="nil"/>
              <w:tr2bl w:val="nil"/>
            </w:tcBorders>
            <w:shd w:val="clear" w:color="auto" w:fill="auto"/>
            <w:noWrap w:val="0"/>
            <w:vAlign w:val="center"/>
          </w:tcPr>
          <w:p w14:paraId="546EFF6B">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水质 可溶性阳离子（Li+、Na+、NH4+、K+、Ca2+、Mg2+）的测定 离子色谱法 HJ 812-2016</w:t>
            </w:r>
          </w:p>
        </w:tc>
      </w:tr>
      <w:tr w14:paraId="4A7291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0378C34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78" w:type="pct"/>
            <w:tcBorders>
              <w:tl2br w:val="nil"/>
              <w:tr2bl w:val="nil"/>
            </w:tcBorders>
            <w:shd w:val="clear" w:color="auto" w:fill="auto"/>
            <w:noWrap w:val="0"/>
            <w:vAlign w:val="center"/>
          </w:tcPr>
          <w:p w14:paraId="5A69B902">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bidi="ar"/>
              </w:rPr>
              <w:t>钠离子</w:t>
            </w:r>
          </w:p>
        </w:tc>
        <w:tc>
          <w:tcPr>
            <w:tcW w:w="3078" w:type="pct"/>
            <w:tcBorders>
              <w:tl2br w:val="nil"/>
              <w:tr2bl w:val="nil"/>
            </w:tcBorders>
            <w:shd w:val="clear" w:color="auto" w:fill="auto"/>
            <w:noWrap w:val="0"/>
            <w:vAlign w:val="center"/>
          </w:tcPr>
          <w:p w14:paraId="21240283">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水质可溶性阳离子（Li+、Na+、NH4+、K+、Ca2+、Mg2+）的测定 离子色谱法 HJ 812-2016</w:t>
            </w:r>
          </w:p>
        </w:tc>
      </w:tr>
      <w:tr w14:paraId="14C340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3C25EEC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78" w:type="pct"/>
            <w:tcBorders>
              <w:tl2br w:val="nil"/>
              <w:tr2bl w:val="nil"/>
            </w:tcBorders>
            <w:shd w:val="clear" w:color="auto" w:fill="auto"/>
            <w:noWrap w:val="0"/>
            <w:vAlign w:val="center"/>
          </w:tcPr>
          <w:p w14:paraId="0E3DFE81">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bidi="ar"/>
              </w:rPr>
              <w:t>钙离子</w:t>
            </w:r>
          </w:p>
        </w:tc>
        <w:tc>
          <w:tcPr>
            <w:tcW w:w="3078" w:type="pct"/>
            <w:tcBorders>
              <w:tl2br w:val="nil"/>
              <w:tr2bl w:val="nil"/>
            </w:tcBorders>
            <w:shd w:val="clear" w:color="auto" w:fill="auto"/>
            <w:noWrap w:val="0"/>
            <w:vAlign w:val="center"/>
          </w:tcPr>
          <w:p w14:paraId="34DC1FCE">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水质可溶性阳离子（Li+、Na+、NH4+、K+、Ca2+、Mg2+）的测定 离子色谱法 HJ 812-2016</w:t>
            </w:r>
          </w:p>
        </w:tc>
      </w:tr>
      <w:tr w14:paraId="630307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50A38CA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78" w:type="pct"/>
            <w:tcBorders>
              <w:tl2br w:val="nil"/>
              <w:tr2bl w:val="nil"/>
            </w:tcBorders>
            <w:shd w:val="clear" w:color="auto" w:fill="auto"/>
            <w:noWrap w:val="0"/>
            <w:vAlign w:val="center"/>
          </w:tcPr>
          <w:p w14:paraId="5507E80E">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bidi="ar"/>
              </w:rPr>
              <w:t>镁离子</w:t>
            </w:r>
          </w:p>
        </w:tc>
        <w:tc>
          <w:tcPr>
            <w:tcW w:w="3078" w:type="pct"/>
            <w:tcBorders>
              <w:tl2br w:val="nil"/>
              <w:tr2bl w:val="nil"/>
            </w:tcBorders>
            <w:shd w:val="clear" w:color="auto" w:fill="auto"/>
            <w:noWrap w:val="0"/>
            <w:vAlign w:val="center"/>
          </w:tcPr>
          <w:p w14:paraId="601B1501">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水质 可溶性阳离子（Li+、Na+、NH4+、K+、Ca2+、Mg2+）的测定 离子色谱法 HJ 812-2016</w:t>
            </w:r>
          </w:p>
        </w:tc>
      </w:tr>
      <w:tr w14:paraId="777A0B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19EF8F4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78" w:type="pct"/>
            <w:tcBorders>
              <w:tl2br w:val="nil"/>
              <w:tr2bl w:val="nil"/>
            </w:tcBorders>
            <w:shd w:val="clear" w:color="auto" w:fill="auto"/>
            <w:noWrap w:val="0"/>
            <w:vAlign w:val="center"/>
          </w:tcPr>
          <w:p w14:paraId="066EA62B">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line="240" w:lineRule="auto"/>
              <w:ind w:left="-120" w:leftChars="-50" w:right="-283" w:rightChars="0"/>
              <w:jc w:val="center"/>
              <w:textAlignment w:val="auto"/>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bidi="ar"/>
              </w:rPr>
              <w:t>碳酸根离子</w:t>
            </w:r>
          </w:p>
        </w:tc>
        <w:tc>
          <w:tcPr>
            <w:tcW w:w="3078" w:type="pct"/>
            <w:tcBorders>
              <w:tl2br w:val="nil"/>
              <w:tr2bl w:val="nil"/>
            </w:tcBorders>
            <w:shd w:val="clear" w:color="auto" w:fill="auto"/>
            <w:noWrap w:val="0"/>
            <w:vAlign w:val="center"/>
          </w:tcPr>
          <w:p w14:paraId="44AE4BB9">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地下水质分析方法 第49部分：碳酸根、重碳酸根和氢氧根离子的测定 滴定法</w:t>
            </w:r>
          </w:p>
          <w:p w14:paraId="5D50AB36">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DZ/T 0064.49-2021</w:t>
            </w:r>
          </w:p>
        </w:tc>
      </w:tr>
      <w:tr w14:paraId="67E15C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73324DE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78" w:type="pct"/>
            <w:tcBorders>
              <w:tl2br w:val="nil"/>
              <w:tr2bl w:val="nil"/>
            </w:tcBorders>
            <w:shd w:val="clear" w:color="auto" w:fill="auto"/>
            <w:noWrap w:val="0"/>
            <w:vAlign w:val="center"/>
          </w:tcPr>
          <w:p w14:paraId="6E5D00DD">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碳酸氢根离子</w:t>
            </w:r>
          </w:p>
        </w:tc>
        <w:tc>
          <w:tcPr>
            <w:tcW w:w="3078" w:type="pct"/>
            <w:tcBorders>
              <w:tl2br w:val="nil"/>
              <w:tr2bl w:val="nil"/>
            </w:tcBorders>
            <w:shd w:val="clear" w:color="auto" w:fill="auto"/>
            <w:noWrap w:val="0"/>
            <w:vAlign w:val="center"/>
          </w:tcPr>
          <w:p w14:paraId="0F55951F">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地下水质分析方法 第49部分：碳酸根、重碳酸根和氢氧根离子的测定 滴定法</w:t>
            </w:r>
          </w:p>
          <w:p w14:paraId="2CEE4711">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DZ/T 0064.49-2021</w:t>
            </w:r>
          </w:p>
        </w:tc>
      </w:tr>
      <w:tr w14:paraId="2533EB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1253247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78" w:type="pct"/>
            <w:tcBorders>
              <w:tl2br w:val="nil"/>
              <w:tr2bl w:val="nil"/>
            </w:tcBorders>
            <w:shd w:val="clear" w:color="auto" w:fill="auto"/>
            <w:noWrap w:val="0"/>
            <w:vAlign w:val="center"/>
          </w:tcPr>
          <w:p w14:paraId="7705EC4E">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cs="Times New Roman"/>
                <w:bCs/>
                <w:color w:val="auto"/>
                <w:sz w:val="21"/>
                <w:szCs w:val="21"/>
                <w:highlight w:val="none"/>
                <w:lang w:val="en-US" w:eastAsia="zh-CN"/>
              </w:rPr>
              <w:t>硫酸根离子</w:t>
            </w:r>
          </w:p>
        </w:tc>
        <w:tc>
          <w:tcPr>
            <w:tcW w:w="3078" w:type="pct"/>
            <w:tcBorders>
              <w:tl2br w:val="nil"/>
              <w:tr2bl w:val="nil"/>
            </w:tcBorders>
            <w:shd w:val="clear" w:color="auto" w:fill="auto"/>
            <w:noWrap w:val="0"/>
            <w:vAlign w:val="center"/>
          </w:tcPr>
          <w:p w14:paraId="008F6C6E">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水质 无机阴离子（F-、Cl-、NO2-、Br-、NO3-、PO43-、SO32-、SO42-）的测定 离子色谱法 HJ 84-2016</w:t>
            </w:r>
          </w:p>
        </w:tc>
      </w:tr>
      <w:tr w14:paraId="76357E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942" w:type="pct"/>
            <w:vMerge w:val="continue"/>
            <w:tcBorders>
              <w:tl2br w:val="nil"/>
              <w:tr2bl w:val="nil"/>
            </w:tcBorders>
            <w:noWrap w:val="0"/>
            <w:vAlign w:val="center"/>
          </w:tcPr>
          <w:p w14:paraId="12F419F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i w:val="0"/>
                <w:iCs w:val="0"/>
                <w:color w:val="auto"/>
                <w:kern w:val="0"/>
                <w:sz w:val="21"/>
                <w:szCs w:val="21"/>
                <w:highlight w:val="none"/>
                <w:u w:val="none"/>
                <w:lang w:val="en-US" w:eastAsia="zh-CN" w:bidi="ar"/>
              </w:rPr>
            </w:pPr>
          </w:p>
        </w:tc>
        <w:tc>
          <w:tcPr>
            <w:tcW w:w="978" w:type="pct"/>
            <w:tcBorders>
              <w:tl2br w:val="nil"/>
              <w:tr2bl w:val="nil"/>
            </w:tcBorders>
            <w:shd w:val="clear" w:color="auto" w:fill="auto"/>
            <w:noWrap w:val="0"/>
            <w:vAlign w:val="center"/>
          </w:tcPr>
          <w:p w14:paraId="508C6D5E">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氯离子</w:t>
            </w:r>
          </w:p>
        </w:tc>
        <w:tc>
          <w:tcPr>
            <w:tcW w:w="3078" w:type="pct"/>
            <w:tcBorders>
              <w:tl2br w:val="nil"/>
              <w:tr2bl w:val="nil"/>
            </w:tcBorders>
            <w:shd w:val="clear" w:color="auto" w:fill="auto"/>
            <w:noWrap w:val="0"/>
            <w:vAlign w:val="center"/>
          </w:tcPr>
          <w:p w14:paraId="0D0CC096">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color w:val="auto"/>
                <w:kern w:val="0"/>
                <w:sz w:val="21"/>
                <w:szCs w:val="21"/>
                <w:highlight w:val="none"/>
                <w:lang w:bidi="ar"/>
              </w:rPr>
              <w:t>水质 无机阴离子（F-、Cl-、NO2-、Br-、NO3-、PO43-、SO32-、SO42-）的测定 离子色谱法</w:t>
            </w:r>
            <w:r>
              <w:rPr>
                <w:rFonts w:hint="default"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bidi="ar"/>
              </w:rPr>
              <w:t>HJ 84-2016</w:t>
            </w:r>
          </w:p>
        </w:tc>
      </w:tr>
    </w:tbl>
    <w:p w14:paraId="74D15724">
      <w:pPr>
        <w:pStyle w:val="8"/>
        <w:numPr>
          <w:ilvl w:val="0"/>
          <w:numId w:val="0"/>
        </w:numPr>
        <w:bidi w:val="0"/>
        <w:ind w:leftChars="0"/>
        <w:rPr>
          <w:rFonts w:hint="eastAsia" w:asciiTheme="minorEastAsia" w:hAnsiTheme="minorEastAsia" w:eastAsiaTheme="minorEastAsia" w:cstheme="minorEastAsia"/>
          <w:color w:val="auto"/>
          <w:spacing w:val="1"/>
          <w:szCs w:val="24"/>
          <w:highlight w:val="none"/>
        </w:rPr>
      </w:pPr>
      <w:r>
        <w:rPr>
          <w:rFonts w:hint="eastAsia" w:asciiTheme="minorEastAsia" w:hAnsiTheme="minorEastAsia" w:eastAsiaTheme="minorEastAsia" w:cstheme="minorEastAsia"/>
          <w:color w:val="auto"/>
          <w:highlight w:val="none"/>
          <w:lang w:val="en-US" w:eastAsia="zh-CN"/>
        </w:rPr>
        <w:t>4.3.3.2地下水环境现状评价</w:t>
      </w:r>
    </w:p>
    <w:p w14:paraId="0F2F61F7">
      <w:pPr>
        <w:spacing w:line="360" w:lineRule="auto"/>
        <w:ind w:firstLine="480"/>
        <w:rPr>
          <w:rFonts w:hint="eastAsia" w:asciiTheme="minorEastAsia" w:hAnsiTheme="minorEastAsia" w:eastAsiaTheme="minorEastAsia" w:cstheme="minorEastAsia"/>
          <w:color w:val="auto"/>
          <w:szCs w:val="22"/>
          <w:highlight w:val="none"/>
        </w:rPr>
      </w:pPr>
      <w:r>
        <w:rPr>
          <w:rFonts w:hint="eastAsia" w:asciiTheme="minorEastAsia" w:hAnsiTheme="minorEastAsia" w:eastAsiaTheme="minorEastAsia" w:cstheme="minorEastAsia"/>
          <w:color w:val="auto"/>
          <w:szCs w:val="22"/>
          <w:highlight w:val="none"/>
        </w:rPr>
        <w:t>1、评价方法</w:t>
      </w:r>
    </w:p>
    <w:p w14:paraId="2D96E716">
      <w:pPr>
        <w:keepNext w:val="0"/>
        <w:keepLines w:val="0"/>
        <w:pageBreakBefore w:val="0"/>
        <w:widowControl/>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eastAsia="zh-CN"/>
        </w:rPr>
        <w:t>根据《环境影响评价技术导则—地下水环境》，本次地下水现状评价以评价区域地下水水体各监测点位的水质单项指标测定值作为水质评价参数，对照《地下水质量标准》GB14848-2017Ⅲ类标准，采用标准指数法进行水质参数的评价。</w:t>
      </w:r>
    </w:p>
    <w:p w14:paraId="4904244C">
      <w:pPr>
        <w:keepNext w:val="0"/>
        <w:keepLines w:val="0"/>
        <w:pageBreakBefore w:val="0"/>
        <w:widowControl/>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eastAsia="zh-CN"/>
        </w:rPr>
        <w:t>对于评价标准为定值的水质因子，其标准指数计算公式：</w:t>
      </w:r>
    </w:p>
    <w:p w14:paraId="48E0006E">
      <w:pPr>
        <w:snapToGrid w:val="0"/>
        <w:spacing w:after="0" w:line="360" w:lineRule="auto"/>
        <w:ind w:firstLine="480" w:firstLineChars="200"/>
        <w:jc w:val="center"/>
        <w:textAlignment w:val="baseline"/>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object>
          <v:shape id="_x0000_i1026" o:spt="75" type="#_x0000_t75" style="height:30.25pt;width:41.75pt;" o:ole="t" filled="f" stroked="f" coordsize="21600,21600">
            <v:path/>
            <v:fill on="f" focussize="0,0"/>
            <v:stroke on="f"/>
            <v:imagedata r:id="rId44" o:title=""/>
            <o:lock v:ext="edit" aspectratio="t"/>
            <w10:wrap type="none"/>
            <w10:anchorlock/>
          </v:shape>
          <o:OLEObject Type="Embed" ProgID="Equation.3" ShapeID="_x0000_i1026" DrawAspect="Content" ObjectID="_1468075726" r:id="rId43">
            <o:LockedField>false</o:LockedField>
          </o:OLEObject>
        </w:object>
      </w:r>
    </w:p>
    <w:p w14:paraId="59066DC8">
      <w:pPr>
        <w:snapToGrid w:val="0"/>
        <w:spacing w:after="0" w:line="360" w:lineRule="auto"/>
        <w:ind w:firstLine="480" w:firstLineChars="200"/>
        <w:jc w:val="both"/>
        <w:textAlignment w:val="baseline"/>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式中：</w:t>
      </w:r>
    </w:p>
    <w:p w14:paraId="71A24400">
      <w:pPr>
        <w:snapToGrid w:val="0"/>
        <w:spacing w:after="0" w:line="360" w:lineRule="auto"/>
        <w:ind w:firstLine="480" w:firstLineChars="200"/>
        <w:jc w:val="both"/>
        <w:textAlignment w:val="baseline"/>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P</w:t>
      </w:r>
      <w:r>
        <w:rPr>
          <w:rFonts w:hint="eastAsia" w:ascii="宋体" w:hAnsi="宋体" w:eastAsia="宋体" w:cs="宋体"/>
          <w:color w:val="auto"/>
          <w:kern w:val="2"/>
          <w:sz w:val="24"/>
          <w:szCs w:val="24"/>
          <w:highlight w:val="none"/>
          <w:vertAlign w:val="subscript"/>
        </w:rPr>
        <w:t>i</w:t>
      </w:r>
      <w:r>
        <w:rPr>
          <w:rFonts w:hint="eastAsia" w:ascii="宋体" w:hAnsi="宋体" w:eastAsia="宋体" w:cs="宋体"/>
          <w:color w:val="auto"/>
          <w:kern w:val="2"/>
          <w:sz w:val="24"/>
          <w:szCs w:val="24"/>
          <w:highlight w:val="none"/>
        </w:rPr>
        <w:t xml:space="preserve"> —第 i个水质因子的标准指数，无量纲；</w:t>
      </w:r>
    </w:p>
    <w:p w14:paraId="6CF7F7CB">
      <w:pPr>
        <w:snapToGrid w:val="0"/>
        <w:spacing w:after="0" w:line="360" w:lineRule="auto"/>
        <w:ind w:firstLine="480" w:firstLineChars="200"/>
        <w:jc w:val="both"/>
        <w:textAlignment w:val="baseline"/>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C</w:t>
      </w:r>
      <w:r>
        <w:rPr>
          <w:rFonts w:hint="eastAsia" w:ascii="宋体" w:hAnsi="宋体" w:eastAsia="宋体" w:cs="宋体"/>
          <w:color w:val="auto"/>
          <w:kern w:val="2"/>
          <w:sz w:val="24"/>
          <w:szCs w:val="24"/>
          <w:highlight w:val="none"/>
          <w:vertAlign w:val="subscript"/>
        </w:rPr>
        <w:t>i</w:t>
      </w:r>
      <w:r>
        <w:rPr>
          <w:rFonts w:hint="eastAsia" w:ascii="宋体" w:hAnsi="宋体" w:eastAsia="宋体" w:cs="宋体"/>
          <w:color w:val="auto"/>
          <w:kern w:val="2"/>
          <w:sz w:val="24"/>
          <w:szCs w:val="24"/>
          <w:highlight w:val="none"/>
        </w:rPr>
        <w:t>—第 i个水质因子的监测浓度值，mg/L；</w:t>
      </w:r>
    </w:p>
    <w:p w14:paraId="063547D7">
      <w:pPr>
        <w:snapToGrid w:val="0"/>
        <w:spacing w:after="0" w:line="360" w:lineRule="auto"/>
        <w:ind w:firstLine="480" w:firstLineChars="200"/>
        <w:jc w:val="both"/>
        <w:textAlignment w:val="baseline"/>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C</w:t>
      </w:r>
      <w:r>
        <w:rPr>
          <w:rFonts w:hint="eastAsia" w:ascii="宋体" w:hAnsi="宋体" w:eastAsia="宋体" w:cs="宋体"/>
          <w:color w:val="auto"/>
          <w:kern w:val="2"/>
          <w:sz w:val="24"/>
          <w:szCs w:val="24"/>
          <w:highlight w:val="none"/>
          <w:vertAlign w:val="subscript"/>
        </w:rPr>
        <w:t>si</w:t>
      </w:r>
      <w:r>
        <w:rPr>
          <w:rFonts w:hint="eastAsia" w:ascii="宋体" w:hAnsi="宋体" w:eastAsia="宋体" w:cs="宋体"/>
          <w:color w:val="auto"/>
          <w:kern w:val="2"/>
          <w:sz w:val="24"/>
          <w:szCs w:val="24"/>
          <w:highlight w:val="none"/>
        </w:rPr>
        <w:t>—第 i个水质因子的标准浓度值，mg/L。</w:t>
      </w:r>
    </w:p>
    <w:p w14:paraId="50304AE3">
      <w:pPr>
        <w:snapToGrid w:val="0"/>
        <w:spacing w:after="0" w:line="360" w:lineRule="auto"/>
        <w:ind w:firstLine="360" w:firstLineChars="150"/>
        <w:jc w:val="both"/>
        <w:textAlignment w:val="baseline"/>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对于评价标准为区间值的水质因子（如pH值），其标准指数计算公式：</w:t>
      </w:r>
    </w:p>
    <w:p w14:paraId="30157CEB">
      <w:pPr>
        <w:snapToGrid w:val="0"/>
        <w:spacing w:after="0" w:line="360" w:lineRule="auto"/>
        <w:ind w:firstLine="480" w:firstLineChars="200"/>
        <w:jc w:val="center"/>
        <w:textAlignment w:val="baseline"/>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object>
          <v:shape id="_x0000_i1027" o:spt="75" type="#_x0000_t75" style="height:30.25pt;width:82.1pt;" o:ole="t" filled="f" stroked="f" coordsize="21600,21600">
            <v:path/>
            <v:fill on="f" focussize="0,0"/>
            <v:stroke on="f"/>
            <v:imagedata r:id="rId46" o:title=""/>
            <o:lock v:ext="edit" aspectratio="t"/>
            <w10:wrap type="none"/>
            <w10:anchorlock/>
          </v:shape>
          <o:OLEObject Type="Embed" ProgID="Equation.3" ShapeID="_x0000_i1027" DrawAspect="Content" ObjectID="_1468075727" r:id="rId45">
            <o:LockedField>false</o:LockedField>
          </o:OLEObject>
        </w:object>
      </w:r>
      <w:r>
        <w:rPr>
          <w:rFonts w:hint="eastAsia" w:ascii="宋体" w:hAnsi="宋体" w:eastAsia="宋体" w:cs="宋体"/>
          <w:color w:val="auto"/>
          <w:kern w:val="2"/>
          <w:sz w:val="24"/>
          <w:szCs w:val="24"/>
          <w:highlight w:val="none"/>
        </w:rPr>
        <w:drawing>
          <wp:inline distT="0" distB="0" distL="114300" distR="114300">
            <wp:extent cx="648970" cy="201295"/>
            <wp:effectExtent l="0" t="0" r="17780" b="6985"/>
            <wp:docPr id="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pic:cNvPicPr>
                      <a:picLocks noChangeAspect="1"/>
                    </pic:cNvPicPr>
                  </pic:nvPicPr>
                  <pic:blipFill>
                    <a:blip r:embed="rId47"/>
                    <a:stretch>
                      <a:fillRect/>
                    </a:stretch>
                  </pic:blipFill>
                  <pic:spPr>
                    <a:xfrm>
                      <a:off x="0" y="0"/>
                      <a:ext cx="648970" cy="201295"/>
                    </a:xfrm>
                    <a:prstGeom prst="rect">
                      <a:avLst/>
                    </a:prstGeom>
                    <a:noFill/>
                    <a:ln>
                      <a:noFill/>
                    </a:ln>
                  </pic:spPr>
                </pic:pic>
              </a:graphicData>
            </a:graphic>
          </wp:inline>
        </w:drawing>
      </w:r>
    </w:p>
    <w:p w14:paraId="3C0114E5">
      <w:pPr>
        <w:snapToGrid w:val="0"/>
        <w:spacing w:after="0" w:line="360" w:lineRule="auto"/>
        <w:ind w:firstLine="480" w:firstLineChars="200"/>
        <w:jc w:val="center"/>
        <w:textAlignment w:val="baseline"/>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object>
          <v:shape id="_x0000_i1028" o:spt="75" type="#_x0000_t75" style="height:31.35pt;width:82.45pt;" o:ole="t" filled="f" o:preferrelative="t" stroked="f" coordsize="21600,21600">
            <v:path/>
            <v:fill on="f" focussize="0,0"/>
            <v:stroke on="f"/>
            <v:imagedata r:id="rId49" o:title=""/>
            <o:lock v:ext="edit" aspectratio="t"/>
            <w10:wrap type="none"/>
            <w10:anchorlock/>
          </v:shape>
          <o:OLEObject Type="Embed" ProgID="Equation.3" ShapeID="_x0000_i1028" DrawAspect="Content" ObjectID="_1468075728" r:id="rId48">
            <o:LockedField>false</o:LockedField>
          </o:OLEObject>
        </w:object>
      </w:r>
      <w:r>
        <w:rPr>
          <w:rFonts w:hint="eastAsia" w:ascii="宋体" w:hAnsi="宋体" w:eastAsia="宋体" w:cs="宋体"/>
          <w:color w:val="auto"/>
          <w:kern w:val="2"/>
          <w:sz w:val="24"/>
          <w:szCs w:val="24"/>
          <w:highlight w:val="none"/>
        </w:rPr>
        <w:drawing>
          <wp:inline distT="0" distB="0" distL="114300" distR="114300">
            <wp:extent cx="648970" cy="201295"/>
            <wp:effectExtent l="0" t="0" r="17780" b="698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50"/>
                    <a:stretch>
                      <a:fillRect/>
                    </a:stretch>
                  </pic:blipFill>
                  <pic:spPr>
                    <a:xfrm>
                      <a:off x="0" y="0"/>
                      <a:ext cx="648970" cy="201295"/>
                    </a:xfrm>
                    <a:prstGeom prst="rect">
                      <a:avLst/>
                    </a:prstGeom>
                    <a:noFill/>
                    <a:ln>
                      <a:noFill/>
                    </a:ln>
                  </pic:spPr>
                </pic:pic>
              </a:graphicData>
            </a:graphic>
          </wp:inline>
        </w:drawing>
      </w:r>
    </w:p>
    <w:p w14:paraId="6A7BDA22">
      <w:pPr>
        <w:keepNext w:val="0"/>
        <w:keepLines w:val="0"/>
        <w:pageBreakBefore w:val="0"/>
        <w:widowControl/>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cs="宋体"/>
          <w:color w:val="auto"/>
          <w:kern w:val="0"/>
          <w:sz w:val="24"/>
          <w:highlight w:val="none"/>
          <w:lang w:bidi="ar"/>
        </w:rPr>
      </w:pPr>
      <w:r>
        <w:rPr>
          <w:rFonts w:hint="eastAsia" w:ascii="宋体" w:hAnsi="宋体" w:eastAsia="宋体" w:cs="宋体"/>
          <w:color w:val="auto"/>
          <w:kern w:val="0"/>
          <w:sz w:val="24"/>
          <w:highlight w:val="none"/>
          <w:lang w:bidi="ar"/>
        </w:rPr>
        <w:t>式中：</w:t>
      </w:r>
    </w:p>
    <w:p w14:paraId="08A185CA">
      <w:pPr>
        <w:keepNext w:val="0"/>
        <w:keepLines w:val="0"/>
        <w:pageBreakBefore w:val="0"/>
        <w:widowControl/>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cs="宋体"/>
          <w:color w:val="auto"/>
          <w:kern w:val="0"/>
          <w:sz w:val="24"/>
          <w:highlight w:val="none"/>
          <w:lang w:bidi="ar"/>
        </w:rPr>
      </w:pPr>
      <w:r>
        <w:rPr>
          <w:rFonts w:hint="eastAsia" w:ascii="宋体" w:hAnsi="宋体" w:eastAsia="宋体" w:cs="宋体"/>
          <w:color w:val="auto"/>
          <w:kern w:val="0"/>
          <w:sz w:val="24"/>
          <w:highlight w:val="none"/>
          <w:lang w:bidi="ar"/>
        </w:rPr>
        <w:t>P</w:t>
      </w:r>
      <w:r>
        <w:rPr>
          <w:rFonts w:hint="eastAsia" w:ascii="宋体" w:hAnsi="宋体" w:eastAsia="宋体" w:cs="宋体"/>
          <w:color w:val="auto"/>
          <w:kern w:val="0"/>
          <w:sz w:val="24"/>
          <w:highlight w:val="none"/>
          <w:vertAlign w:val="subscript"/>
          <w:lang w:bidi="ar"/>
        </w:rPr>
        <w:t>pH</w:t>
      </w:r>
      <w:r>
        <w:rPr>
          <w:rFonts w:hint="eastAsia" w:ascii="宋体" w:hAnsi="宋体" w:eastAsia="宋体" w:cs="宋体"/>
          <w:color w:val="auto"/>
          <w:kern w:val="0"/>
          <w:sz w:val="24"/>
          <w:highlight w:val="none"/>
          <w:lang w:bidi="ar"/>
        </w:rPr>
        <w:t>—pH的标准指数，无量纲；</w:t>
      </w:r>
    </w:p>
    <w:p w14:paraId="5FE1F5C4">
      <w:pPr>
        <w:keepNext w:val="0"/>
        <w:keepLines w:val="0"/>
        <w:pageBreakBefore w:val="0"/>
        <w:widowControl/>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cs="宋体"/>
          <w:color w:val="auto"/>
          <w:kern w:val="0"/>
          <w:sz w:val="24"/>
          <w:highlight w:val="none"/>
          <w:lang w:bidi="ar"/>
        </w:rPr>
      </w:pPr>
      <w:r>
        <w:rPr>
          <w:rFonts w:hint="eastAsia" w:ascii="宋体" w:hAnsi="宋体" w:eastAsia="宋体" w:cs="宋体"/>
          <w:color w:val="auto"/>
          <w:kern w:val="0"/>
          <w:sz w:val="24"/>
          <w:highlight w:val="none"/>
          <w:lang w:bidi="ar"/>
        </w:rPr>
        <w:t>pH—pH监测值；</w:t>
      </w:r>
    </w:p>
    <w:p w14:paraId="4CFEA7F3">
      <w:pPr>
        <w:keepNext w:val="0"/>
        <w:keepLines w:val="0"/>
        <w:pageBreakBefore w:val="0"/>
        <w:widowControl/>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cs="宋体"/>
          <w:color w:val="auto"/>
          <w:kern w:val="0"/>
          <w:sz w:val="24"/>
          <w:highlight w:val="none"/>
          <w:lang w:bidi="ar"/>
        </w:rPr>
      </w:pPr>
      <w:r>
        <w:rPr>
          <w:rFonts w:hint="eastAsia" w:ascii="宋体" w:hAnsi="宋体" w:eastAsia="宋体" w:cs="宋体"/>
          <w:color w:val="auto"/>
          <w:kern w:val="0"/>
          <w:sz w:val="24"/>
          <w:highlight w:val="none"/>
          <w:lang w:val="en-US" w:eastAsia="zh-CN" w:bidi="ar"/>
        </w:rPr>
        <w:t>p</w:t>
      </w:r>
      <w:r>
        <w:rPr>
          <w:rFonts w:hint="eastAsia" w:ascii="宋体" w:hAnsi="宋体" w:eastAsia="宋体" w:cs="宋体"/>
          <w:color w:val="auto"/>
          <w:kern w:val="0"/>
          <w:sz w:val="24"/>
          <w:highlight w:val="none"/>
          <w:lang w:bidi="ar"/>
        </w:rPr>
        <w:t>Hsu—标准中pH的上限值；</w:t>
      </w:r>
    </w:p>
    <w:p w14:paraId="0A037070">
      <w:pPr>
        <w:keepNext w:val="0"/>
        <w:keepLines w:val="0"/>
        <w:pageBreakBefore w:val="0"/>
        <w:widowControl/>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cs="宋体"/>
          <w:color w:val="auto"/>
          <w:kern w:val="0"/>
          <w:sz w:val="24"/>
          <w:highlight w:val="none"/>
          <w:lang w:bidi="ar"/>
        </w:rPr>
      </w:pPr>
      <w:r>
        <w:rPr>
          <w:rFonts w:hint="eastAsia" w:ascii="宋体" w:hAnsi="宋体" w:eastAsia="宋体" w:cs="宋体"/>
          <w:color w:val="auto"/>
          <w:kern w:val="0"/>
          <w:sz w:val="24"/>
          <w:highlight w:val="none"/>
          <w:lang w:val="en-US" w:eastAsia="zh-CN" w:bidi="ar"/>
        </w:rPr>
        <w:t>p</w:t>
      </w:r>
      <w:r>
        <w:rPr>
          <w:rFonts w:hint="eastAsia" w:ascii="宋体" w:hAnsi="宋体" w:eastAsia="宋体" w:cs="宋体"/>
          <w:color w:val="auto"/>
          <w:kern w:val="0"/>
          <w:sz w:val="24"/>
          <w:highlight w:val="none"/>
          <w:lang w:bidi="ar"/>
        </w:rPr>
        <w:t>Hsd—标准中 pH的下限值。</w:t>
      </w:r>
    </w:p>
    <w:p w14:paraId="6733116A">
      <w:pPr>
        <w:keepNext w:val="0"/>
        <w:keepLines w:val="0"/>
        <w:pageBreakBefore w:val="0"/>
        <w:widowControl/>
        <w:kinsoku/>
        <w:wordWrap/>
        <w:overflowPunct/>
        <w:topLinePunct w:val="0"/>
        <w:autoSpaceDE/>
        <w:autoSpaceDN/>
        <w:bidi w:val="0"/>
        <w:adjustRightInd/>
        <w:snapToGrid/>
        <w:spacing w:line="500" w:lineRule="exact"/>
        <w:ind w:firstLine="480" w:firstLineChars="200"/>
        <w:textAlignment w:val="auto"/>
        <w:rPr>
          <w:rFonts w:hint="eastAsia" w:ascii="宋体" w:hAnsi="宋体" w:eastAsia="宋体" w:cs="宋体"/>
          <w:color w:val="auto"/>
          <w:kern w:val="0"/>
          <w:sz w:val="24"/>
          <w:highlight w:val="none"/>
          <w:lang w:bidi="ar"/>
        </w:rPr>
      </w:pPr>
      <w:r>
        <w:rPr>
          <w:rFonts w:hint="eastAsia" w:ascii="宋体" w:hAnsi="宋体" w:eastAsia="宋体" w:cs="宋体"/>
          <w:color w:val="auto"/>
          <w:kern w:val="0"/>
          <w:sz w:val="24"/>
          <w:highlight w:val="none"/>
          <w:lang w:bidi="ar"/>
        </w:rPr>
        <w:t>标准指数P&gt;1时，即表明该水质因子已经超过了规定的水质标准，且指数越大，超标越严重。</w:t>
      </w:r>
    </w:p>
    <w:p w14:paraId="6C4312A4">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2、评价标准</w:t>
      </w:r>
    </w:p>
    <w:p w14:paraId="37DB2758">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采用《地下水质量标准》（GB/T14848-2017）Ⅲ类标准进行。</w:t>
      </w:r>
    </w:p>
    <w:p w14:paraId="70265C79">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3、评价结果及分析</w:t>
      </w:r>
    </w:p>
    <w:p w14:paraId="4AB48A2E">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根据《环境影响评价技术导则—地下水环境》（HJ 610-2016）要求，地下水环境质量监测结果见表</w:t>
      </w:r>
      <w:r>
        <w:rPr>
          <w:rFonts w:hint="eastAsia" w:asciiTheme="minorEastAsia" w:hAnsiTheme="minorEastAsia" w:eastAsiaTheme="minorEastAsia" w:cstheme="minorEastAsia"/>
          <w:color w:val="auto"/>
          <w:highlight w:val="none"/>
          <w:lang w:val="en-US" w:eastAsia="zh-CN"/>
        </w:rPr>
        <w:t>4.3-8</w:t>
      </w:r>
      <w:r>
        <w:rPr>
          <w:rFonts w:hint="eastAsia" w:asciiTheme="minorEastAsia" w:hAnsiTheme="minorEastAsia" w:eastAsiaTheme="minorEastAsia" w:cstheme="minorEastAsia"/>
          <w:color w:val="auto"/>
          <w:highlight w:val="none"/>
        </w:rPr>
        <w:t>。</w:t>
      </w:r>
    </w:p>
    <w:p w14:paraId="330B33F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rPr>
        <w:t>表4.</w:t>
      </w:r>
      <w:r>
        <w:rPr>
          <w:rFonts w:hint="eastAsia" w:asciiTheme="minorEastAsia" w:hAnsiTheme="minorEastAsia" w:eastAsiaTheme="minorEastAsia" w:cstheme="minorEastAsia"/>
          <w:b/>
          <w:bCs/>
          <w:color w:val="auto"/>
          <w:highlight w:val="none"/>
          <w:lang w:val="en-US" w:eastAsia="zh-CN"/>
        </w:rPr>
        <w:t>3-8</w:t>
      </w:r>
      <w:r>
        <w:rPr>
          <w:rFonts w:hint="eastAsia" w:asciiTheme="minorEastAsia" w:hAnsiTheme="minorEastAsia" w:eastAsiaTheme="minorEastAsia" w:cstheme="minorEastAsia"/>
          <w:b/>
          <w:bCs/>
          <w:color w:val="auto"/>
          <w:highlight w:val="none"/>
        </w:rPr>
        <w:t xml:space="preserve"> </w:t>
      </w:r>
      <w:r>
        <w:rPr>
          <w:rFonts w:hint="eastAsia" w:asciiTheme="minorEastAsia" w:hAnsiTheme="minorEastAsia" w:eastAsiaTheme="minorEastAsia" w:cstheme="minorEastAsia"/>
          <w:b/>
          <w:bCs/>
          <w:color w:val="auto"/>
          <w:highlight w:val="none"/>
          <w:lang w:val="en-US" w:eastAsia="zh-CN"/>
        </w:rPr>
        <w:t xml:space="preserve"> </w:t>
      </w:r>
      <w:r>
        <w:rPr>
          <w:rFonts w:hint="eastAsia" w:asciiTheme="minorEastAsia" w:hAnsiTheme="minorEastAsia" w:eastAsiaTheme="minorEastAsia" w:cstheme="minorEastAsia"/>
          <w:b/>
          <w:bCs/>
          <w:color w:val="auto"/>
          <w:highlight w:val="none"/>
        </w:rPr>
        <w:t>地下水水质现状监测结果统计表</w:t>
      </w:r>
    </w:p>
    <w:tbl>
      <w:tblPr>
        <w:tblStyle w:val="84"/>
        <w:tblW w:w="488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33"/>
        <w:gridCol w:w="1534"/>
        <w:gridCol w:w="1534"/>
        <w:gridCol w:w="1534"/>
        <w:gridCol w:w="1537"/>
        <w:gridCol w:w="1205"/>
      </w:tblGrid>
      <w:tr w14:paraId="4C3279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8" w:hRule="atLeast"/>
          <w:tblHeader/>
          <w:jc w:val="center"/>
        </w:trPr>
        <w:tc>
          <w:tcPr>
            <w:tcW w:w="1663" w:type="dxa"/>
            <w:vMerge w:val="restart"/>
            <w:tcBorders>
              <w:tl2br w:val="nil"/>
              <w:tr2bl w:val="nil"/>
            </w:tcBorders>
            <w:shd w:val="clear" w:color="auto" w:fill="auto"/>
            <w:noWrap w:val="0"/>
            <w:vAlign w:val="center"/>
          </w:tcPr>
          <w:p w14:paraId="3A1CE7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检测项目</w:t>
            </w:r>
          </w:p>
        </w:tc>
        <w:tc>
          <w:tcPr>
            <w:tcW w:w="5340" w:type="dxa"/>
            <w:gridSpan w:val="3"/>
            <w:tcBorders>
              <w:tl2br w:val="nil"/>
              <w:tr2bl w:val="nil"/>
            </w:tcBorders>
            <w:shd w:val="clear" w:color="auto" w:fill="auto"/>
            <w:noWrap w:val="0"/>
            <w:vAlign w:val="center"/>
          </w:tcPr>
          <w:p w14:paraId="3E14B4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检测结果</w:t>
            </w:r>
          </w:p>
        </w:tc>
        <w:tc>
          <w:tcPr>
            <w:tcW w:w="1783" w:type="dxa"/>
            <w:vMerge w:val="restart"/>
            <w:tcBorders>
              <w:tl2br w:val="nil"/>
              <w:tr2bl w:val="nil"/>
            </w:tcBorders>
            <w:shd w:val="clear" w:color="auto" w:fill="auto"/>
            <w:noWrap w:val="0"/>
            <w:vAlign w:val="center"/>
          </w:tcPr>
          <w:p w14:paraId="672A10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ascii="Times New Roman" w:hAnsi="Times New Roman" w:cs="Times New Roman"/>
                <w:b w:val="0"/>
                <w:bCs w:val="0"/>
                <w:color w:val="auto"/>
                <w:kern w:val="2"/>
                <w:sz w:val="21"/>
                <w:szCs w:val="21"/>
                <w:highlight w:val="none"/>
                <w:vertAlign w:val="baseline"/>
                <w:lang w:val="en-US" w:eastAsia="zh-CN" w:bidi="ar-SA"/>
              </w:rPr>
              <w:t>限值</w:t>
            </w:r>
          </w:p>
        </w:tc>
        <w:tc>
          <w:tcPr>
            <w:tcW w:w="1398" w:type="dxa"/>
            <w:vMerge w:val="restart"/>
            <w:tcBorders>
              <w:tl2br w:val="nil"/>
              <w:tr2bl w:val="nil"/>
            </w:tcBorders>
            <w:shd w:val="clear" w:color="auto" w:fill="auto"/>
            <w:noWrap w:val="0"/>
            <w:vAlign w:val="center"/>
          </w:tcPr>
          <w:p w14:paraId="1558BB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单位</w:t>
            </w:r>
          </w:p>
        </w:tc>
      </w:tr>
      <w:tr w14:paraId="46B14F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0" w:hRule="atLeast"/>
          <w:tblHeader/>
          <w:jc w:val="center"/>
        </w:trPr>
        <w:tc>
          <w:tcPr>
            <w:tcW w:w="1663" w:type="dxa"/>
            <w:vMerge w:val="continue"/>
            <w:tcBorders>
              <w:tl2br w:val="nil"/>
              <w:tr2bl w:val="nil"/>
            </w:tcBorders>
            <w:shd w:val="clear" w:color="auto" w:fill="auto"/>
            <w:noWrap w:val="0"/>
            <w:vAlign w:val="center"/>
          </w:tcPr>
          <w:p w14:paraId="7F117B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color w:val="auto"/>
                <w:sz w:val="21"/>
                <w:szCs w:val="21"/>
                <w:highlight w:val="none"/>
              </w:rPr>
            </w:pPr>
          </w:p>
        </w:tc>
        <w:tc>
          <w:tcPr>
            <w:tcW w:w="1780" w:type="dxa"/>
            <w:tcBorders>
              <w:tl2br w:val="nil"/>
              <w:tr2bl w:val="nil"/>
            </w:tcBorders>
            <w:shd w:val="clear" w:color="auto" w:fill="auto"/>
            <w:noWrap w:val="0"/>
            <w:vAlign w:val="center"/>
          </w:tcPr>
          <w:p w14:paraId="6211DBD9">
            <w:pPr>
              <w:pStyle w:val="49"/>
              <w:keepNext w:val="0"/>
              <w:keepLines w:val="0"/>
              <w:pageBreakBefore w:val="0"/>
              <w:suppressLineNumbers w:val="0"/>
              <w:kinsoku/>
              <w:wordWrap/>
              <w:overflowPunct/>
              <w:topLinePunct w:val="0"/>
              <w:autoSpaceDE/>
              <w:autoSpaceDN/>
              <w:bidi w:val="0"/>
              <w:adjustRightInd/>
              <w:snapToGrid/>
              <w:spacing w:before="0" w:beforeAutospacing="0" w:after="0" w:afterLines="0" w:afterAutospacing="0" w:line="240" w:lineRule="auto"/>
              <w:ind w:left="0" w:leftChars="0" w:right="0" w:firstLine="0" w:firstLineChars="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rPr>
              <w:t>场地上游</w:t>
            </w:r>
            <w:r>
              <w:rPr>
                <w:rFonts w:hint="eastAsia"/>
                <w:color w:val="auto"/>
                <w:sz w:val="21"/>
                <w:szCs w:val="21"/>
                <w:highlight w:val="none"/>
                <w:lang w:val="en-US" w:eastAsia="zh-CN"/>
              </w:rPr>
              <w:t xml:space="preserve">  1#</w:t>
            </w:r>
          </w:p>
        </w:tc>
        <w:tc>
          <w:tcPr>
            <w:tcW w:w="1780" w:type="dxa"/>
            <w:tcBorders>
              <w:tl2br w:val="nil"/>
              <w:tr2bl w:val="nil"/>
            </w:tcBorders>
            <w:shd w:val="clear" w:color="auto" w:fill="auto"/>
            <w:noWrap w:val="0"/>
            <w:vAlign w:val="center"/>
          </w:tcPr>
          <w:p w14:paraId="37F278AC">
            <w:pPr>
              <w:pStyle w:val="49"/>
              <w:keepNext w:val="0"/>
              <w:keepLines w:val="0"/>
              <w:pageBreakBefore w:val="0"/>
              <w:suppressLineNumbers w:val="0"/>
              <w:kinsoku/>
              <w:wordWrap/>
              <w:overflowPunct/>
              <w:topLinePunct w:val="0"/>
              <w:autoSpaceDE/>
              <w:autoSpaceDN/>
              <w:bidi w:val="0"/>
              <w:adjustRightInd/>
              <w:snapToGrid/>
              <w:spacing w:before="0" w:beforeAutospacing="0" w:after="0" w:afterLines="0" w:afterAutospacing="0" w:line="240" w:lineRule="auto"/>
              <w:ind w:left="0" w:leftChars="0" w:right="0" w:firstLine="0" w:firstLineChars="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rPr>
              <w:t>项目场地</w:t>
            </w:r>
            <w:r>
              <w:rPr>
                <w:rFonts w:hint="eastAsia"/>
                <w:color w:val="auto"/>
                <w:sz w:val="21"/>
                <w:szCs w:val="21"/>
                <w:highlight w:val="none"/>
                <w:lang w:val="en-US" w:eastAsia="zh-CN"/>
              </w:rPr>
              <w:t xml:space="preserve">  2#</w:t>
            </w:r>
          </w:p>
        </w:tc>
        <w:tc>
          <w:tcPr>
            <w:tcW w:w="1780" w:type="dxa"/>
            <w:tcBorders>
              <w:tl2br w:val="nil"/>
              <w:tr2bl w:val="nil"/>
            </w:tcBorders>
            <w:shd w:val="clear" w:color="auto" w:fill="auto"/>
            <w:noWrap w:val="0"/>
            <w:vAlign w:val="center"/>
          </w:tcPr>
          <w:p w14:paraId="73822616">
            <w:pPr>
              <w:pStyle w:val="49"/>
              <w:keepNext w:val="0"/>
              <w:keepLines w:val="0"/>
              <w:pageBreakBefore w:val="0"/>
              <w:suppressLineNumbers w:val="0"/>
              <w:kinsoku/>
              <w:wordWrap/>
              <w:overflowPunct/>
              <w:topLinePunct w:val="0"/>
              <w:autoSpaceDE/>
              <w:autoSpaceDN/>
              <w:bidi w:val="0"/>
              <w:adjustRightInd/>
              <w:snapToGrid/>
              <w:spacing w:before="0" w:beforeAutospacing="0" w:after="0" w:afterLines="0" w:afterAutospacing="0" w:line="240" w:lineRule="auto"/>
              <w:ind w:left="0" w:leftChars="0" w:right="0" w:firstLine="0" w:firstLineChars="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rPr>
              <w:t>场地下游</w:t>
            </w:r>
            <w:r>
              <w:rPr>
                <w:rFonts w:hint="eastAsia"/>
                <w:color w:val="auto"/>
                <w:sz w:val="21"/>
                <w:szCs w:val="21"/>
                <w:highlight w:val="none"/>
                <w:lang w:val="en-US" w:eastAsia="zh-CN"/>
              </w:rPr>
              <w:t xml:space="preserve">  3#</w:t>
            </w:r>
          </w:p>
        </w:tc>
        <w:tc>
          <w:tcPr>
            <w:tcW w:w="1783" w:type="dxa"/>
            <w:vMerge w:val="continue"/>
            <w:tcBorders>
              <w:tl2br w:val="nil"/>
              <w:tr2bl w:val="nil"/>
            </w:tcBorders>
            <w:shd w:val="clear" w:color="auto" w:fill="auto"/>
            <w:noWrap w:val="0"/>
            <w:vAlign w:val="center"/>
          </w:tcPr>
          <w:p w14:paraId="229F14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p>
        </w:tc>
        <w:tc>
          <w:tcPr>
            <w:tcW w:w="1398" w:type="dxa"/>
            <w:vMerge w:val="continue"/>
            <w:tcBorders>
              <w:tl2br w:val="nil"/>
              <w:tr2bl w:val="nil"/>
            </w:tcBorders>
            <w:shd w:val="clear" w:color="auto" w:fill="auto"/>
            <w:noWrap w:val="0"/>
            <w:vAlign w:val="center"/>
          </w:tcPr>
          <w:p w14:paraId="7BB691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p>
        </w:tc>
      </w:tr>
      <w:tr w14:paraId="729B81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1D737907">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钾离子</w:t>
            </w:r>
          </w:p>
        </w:tc>
        <w:tc>
          <w:tcPr>
            <w:tcW w:w="1780" w:type="dxa"/>
            <w:tcBorders>
              <w:tl2br w:val="nil"/>
              <w:tr2bl w:val="nil"/>
            </w:tcBorders>
            <w:shd w:val="clear" w:color="auto" w:fill="auto"/>
            <w:noWrap w:val="0"/>
            <w:vAlign w:val="center"/>
          </w:tcPr>
          <w:p w14:paraId="7361A3BF">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3.52</w:t>
            </w:r>
          </w:p>
        </w:tc>
        <w:tc>
          <w:tcPr>
            <w:tcW w:w="1780" w:type="dxa"/>
            <w:tcBorders>
              <w:tl2br w:val="nil"/>
              <w:tr2bl w:val="nil"/>
            </w:tcBorders>
            <w:shd w:val="clear" w:color="auto" w:fill="auto"/>
            <w:noWrap w:val="0"/>
            <w:vAlign w:val="center"/>
          </w:tcPr>
          <w:p w14:paraId="34FE27CE">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3.21</w:t>
            </w:r>
          </w:p>
        </w:tc>
        <w:tc>
          <w:tcPr>
            <w:tcW w:w="1780" w:type="dxa"/>
            <w:tcBorders>
              <w:tl2br w:val="nil"/>
              <w:tr2bl w:val="nil"/>
            </w:tcBorders>
            <w:shd w:val="clear" w:color="auto" w:fill="auto"/>
            <w:noWrap w:val="0"/>
            <w:vAlign w:val="center"/>
          </w:tcPr>
          <w:p w14:paraId="3CE4EC43">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3.29</w:t>
            </w:r>
          </w:p>
        </w:tc>
        <w:tc>
          <w:tcPr>
            <w:tcW w:w="1783" w:type="dxa"/>
            <w:tcBorders>
              <w:tl2br w:val="nil"/>
              <w:tr2bl w:val="nil"/>
            </w:tcBorders>
            <w:shd w:val="clear" w:color="auto" w:fill="auto"/>
            <w:noWrap w:val="0"/>
            <w:vAlign w:val="center"/>
          </w:tcPr>
          <w:p w14:paraId="5A909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2"/>
                <w:sz w:val="21"/>
                <w:szCs w:val="21"/>
                <w:highlight w:val="none"/>
              </w:rPr>
              <w:t>/</w:t>
            </w:r>
          </w:p>
        </w:tc>
        <w:tc>
          <w:tcPr>
            <w:tcW w:w="1398" w:type="dxa"/>
            <w:tcBorders>
              <w:tl2br w:val="nil"/>
              <w:tr2bl w:val="nil"/>
            </w:tcBorders>
            <w:shd w:val="clear" w:color="auto" w:fill="auto"/>
            <w:noWrap w:val="0"/>
            <w:vAlign w:val="center"/>
          </w:tcPr>
          <w:p w14:paraId="71C0292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2"/>
                <w:sz w:val="21"/>
                <w:szCs w:val="21"/>
                <w:highlight w:val="none"/>
              </w:rPr>
              <w:t>mg/L</w:t>
            </w:r>
          </w:p>
        </w:tc>
      </w:tr>
      <w:tr w14:paraId="0FFCF5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23D96856">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钠离子</w:t>
            </w:r>
          </w:p>
        </w:tc>
        <w:tc>
          <w:tcPr>
            <w:tcW w:w="1780" w:type="dxa"/>
            <w:tcBorders>
              <w:tl2br w:val="nil"/>
              <w:tr2bl w:val="nil"/>
            </w:tcBorders>
            <w:shd w:val="clear" w:color="auto" w:fill="auto"/>
            <w:noWrap w:val="0"/>
            <w:vAlign w:val="center"/>
          </w:tcPr>
          <w:p w14:paraId="665FDBE6">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21.5</w:t>
            </w:r>
          </w:p>
        </w:tc>
        <w:tc>
          <w:tcPr>
            <w:tcW w:w="1780" w:type="dxa"/>
            <w:tcBorders>
              <w:tl2br w:val="nil"/>
              <w:tr2bl w:val="nil"/>
            </w:tcBorders>
            <w:shd w:val="clear" w:color="auto" w:fill="auto"/>
            <w:noWrap w:val="0"/>
            <w:vAlign w:val="center"/>
          </w:tcPr>
          <w:p w14:paraId="19237CC8">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21.13</w:t>
            </w:r>
          </w:p>
        </w:tc>
        <w:tc>
          <w:tcPr>
            <w:tcW w:w="1780" w:type="dxa"/>
            <w:tcBorders>
              <w:tl2br w:val="nil"/>
              <w:tr2bl w:val="nil"/>
            </w:tcBorders>
            <w:shd w:val="clear" w:color="auto" w:fill="auto"/>
            <w:noWrap w:val="0"/>
            <w:vAlign w:val="center"/>
          </w:tcPr>
          <w:p w14:paraId="4A43F942">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20.68</w:t>
            </w:r>
          </w:p>
        </w:tc>
        <w:tc>
          <w:tcPr>
            <w:tcW w:w="1783" w:type="dxa"/>
            <w:tcBorders>
              <w:tl2br w:val="nil"/>
              <w:tr2bl w:val="nil"/>
            </w:tcBorders>
            <w:shd w:val="clear" w:color="auto" w:fill="auto"/>
            <w:noWrap w:val="0"/>
            <w:vAlign w:val="center"/>
          </w:tcPr>
          <w:p w14:paraId="78EC82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2"/>
                <w:sz w:val="21"/>
                <w:szCs w:val="21"/>
                <w:highlight w:val="none"/>
              </w:rPr>
              <w:t>/</w:t>
            </w:r>
          </w:p>
        </w:tc>
        <w:tc>
          <w:tcPr>
            <w:tcW w:w="1398" w:type="dxa"/>
            <w:tcBorders>
              <w:tl2br w:val="nil"/>
              <w:tr2bl w:val="nil"/>
            </w:tcBorders>
            <w:shd w:val="clear" w:color="auto" w:fill="auto"/>
            <w:noWrap w:val="0"/>
            <w:vAlign w:val="center"/>
          </w:tcPr>
          <w:p w14:paraId="5A26215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pacing w:val="-2"/>
                <w:kern w:val="2"/>
                <w:sz w:val="21"/>
                <w:szCs w:val="21"/>
                <w:highlight w:val="none"/>
                <w:lang w:val="en-US" w:eastAsia="zh-CN" w:bidi="ar-SA"/>
              </w:rPr>
            </w:pPr>
            <w:r>
              <w:rPr>
                <w:rFonts w:hint="default" w:ascii="Times New Roman" w:hAnsi="Times New Roman" w:eastAsia="宋体" w:cs="Times New Roman"/>
                <w:color w:val="auto"/>
                <w:spacing w:val="-2"/>
                <w:sz w:val="21"/>
                <w:szCs w:val="21"/>
                <w:highlight w:val="none"/>
              </w:rPr>
              <w:t>mg/L</w:t>
            </w:r>
          </w:p>
        </w:tc>
      </w:tr>
      <w:tr w14:paraId="17C582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2587CDF2">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钙离子</w:t>
            </w:r>
          </w:p>
        </w:tc>
        <w:tc>
          <w:tcPr>
            <w:tcW w:w="1780" w:type="dxa"/>
            <w:tcBorders>
              <w:tl2br w:val="nil"/>
              <w:tr2bl w:val="nil"/>
            </w:tcBorders>
            <w:shd w:val="clear" w:color="auto" w:fill="auto"/>
            <w:noWrap w:val="0"/>
            <w:vAlign w:val="center"/>
          </w:tcPr>
          <w:p w14:paraId="0C4345BC">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27.2</w:t>
            </w:r>
          </w:p>
        </w:tc>
        <w:tc>
          <w:tcPr>
            <w:tcW w:w="1780" w:type="dxa"/>
            <w:tcBorders>
              <w:tl2br w:val="nil"/>
              <w:tr2bl w:val="nil"/>
            </w:tcBorders>
            <w:shd w:val="clear" w:color="auto" w:fill="auto"/>
            <w:noWrap w:val="0"/>
            <w:vAlign w:val="center"/>
          </w:tcPr>
          <w:p w14:paraId="13645D0B">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28</w:t>
            </w:r>
          </w:p>
        </w:tc>
        <w:tc>
          <w:tcPr>
            <w:tcW w:w="1780" w:type="dxa"/>
            <w:tcBorders>
              <w:tl2br w:val="nil"/>
              <w:tr2bl w:val="nil"/>
            </w:tcBorders>
            <w:shd w:val="clear" w:color="auto" w:fill="auto"/>
            <w:noWrap w:val="0"/>
            <w:vAlign w:val="center"/>
          </w:tcPr>
          <w:p w14:paraId="786B4827">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27.6</w:t>
            </w:r>
          </w:p>
        </w:tc>
        <w:tc>
          <w:tcPr>
            <w:tcW w:w="1783" w:type="dxa"/>
            <w:tcBorders>
              <w:tl2br w:val="nil"/>
              <w:tr2bl w:val="nil"/>
            </w:tcBorders>
            <w:shd w:val="clear" w:color="auto" w:fill="auto"/>
            <w:noWrap w:val="0"/>
            <w:vAlign w:val="center"/>
          </w:tcPr>
          <w:p w14:paraId="20A5EA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2"/>
                <w:sz w:val="21"/>
                <w:szCs w:val="21"/>
                <w:highlight w:val="none"/>
              </w:rPr>
              <w:t>/</w:t>
            </w:r>
          </w:p>
        </w:tc>
        <w:tc>
          <w:tcPr>
            <w:tcW w:w="1398" w:type="dxa"/>
            <w:tcBorders>
              <w:tl2br w:val="nil"/>
              <w:tr2bl w:val="nil"/>
            </w:tcBorders>
            <w:shd w:val="clear" w:color="auto" w:fill="auto"/>
            <w:noWrap w:val="0"/>
            <w:vAlign w:val="center"/>
          </w:tcPr>
          <w:p w14:paraId="4EB90FE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2"/>
                <w:sz w:val="21"/>
                <w:szCs w:val="21"/>
                <w:highlight w:val="none"/>
              </w:rPr>
              <w:t>mg/L</w:t>
            </w:r>
          </w:p>
        </w:tc>
      </w:tr>
      <w:tr w14:paraId="1767E7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18E478A2">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镁离子</w:t>
            </w:r>
          </w:p>
        </w:tc>
        <w:tc>
          <w:tcPr>
            <w:tcW w:w="1780" w:type="dxa"/>
            <w:tcBorders>
              <w:tl2br w:val="nil"/>
              <w:tr2bl w:val="nil"/>
            </w:tcBorders>
            <w:shd w:val="clear" w:color="auto" w:fill="auto"/>
            <w:noWrap w:val="0"/>
            <w:vAlign w:val="center"/>
          </w:tcPr>
          <w:p w14:paraId="64F21010">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21.3</w:t>
            </w:r>
          </w:p>
        </w:tc>
        <w:tc>
          <w:tcPr>
            <w:tcW w:w="1780" w:type="dxa"/>
            <w:tcBorders>
              <w:tl2br w:val="nil"/>
              <w:tr2bl w:val="nil"/>
            </w:tcBorders>
            <w:shd w:val="clear" w:color="auto" w:fill="auto"/>
            <w:noWrap w:val="0"/>
            <w:vAlign w:val="center"/>
          </w:tcPr>
          <w:p w14:paraId="29E1B051">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22.8</w:t>
            </w:r>
          </w:p>
        </w:tc>
        <w:tc>
          <w:tcPr>
            <w:tcW w:w="1780" w:type="dxa"/>
            <w:tcBorders>
              <w:tl2br w:val="nil"/>
              <w:tr2bl w:val="nil"/>
            </w:tcBorders>
            <w:shd w:val="clear" w:color="auto" w:fill="auto"/>
            <w:noWrap w:val="0"/>
            <w:vAlign w:val="center"/>
          </w:tcPr>
          <w:p w14:paraId="71B32EDD">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22.4</w:t>
            </w:r>
          </w:p>
        </w:tc>
        <w:tc>
          <w:tcPr>
            <w:tcW w:w="1783" w:type="dxa"/>
            <w:tcBorders>
              <w:tl2br w:val="nil"/>
              <w:tr2bl w:val="nil"/>
            </w:tcBorders>
            <w:shd w:val="clear" w:color="auto" w:fill="auto"/>
            <w:noWrap w:val="0"/>
            <w:vAlign w:val="center"/>
          </w:tcPr>
          <w:p w14:paraId="1A3184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2"/>
                <w:sz w:val="21"/>
                <w:szCs w:val="21"/>
                <w:highlight w:val="none"/>
              </w:rPr>
              <w:t>/</w:t>
            </w:r>
          </w:p>
        </w:tc>
        <w:tc>
          <w:tcPr>
            <w:tcW w:w="1398" w:type="dxa"/>
            <w:tcBorders>
              <w:tl2br w:val="nil"/>
              <w:tr2bl w:val="nil"/>
            </w:tcBorders>
            <w:shd w:val="clear" w:color="auto" w:fill="auto"/>
            <w:noWrap w:val="0"/>
            <w:vAlign w:val="center"/>
          </w:tcPr>
          <w:p w14:paraId="0E27716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2"/>
                <w:sz w:val="21"/>
                <w:szCs w:val="21"/>
                <w:highlight w:val="none"/>
              </w:rPr>
              <w:t>mg/L</w:t>
            </w:r>
          </w:p>
        </w:tc>
      </w:tr>
      <w:tr w14:paraId="3AB993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4F2AC18C">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line="240" w:lineRule="auto"/>
              <w:ind w:left="-120" w:leftChars="-50" w:right="-283" w:rightChars="0"/>
              <w:jc w:val="center"/>
              <w:textAlignment w:val="auto"/>
              <w:rPr>
                <w:rFonts w:hint="default" w:ascii="宋体" w:hAnsi="宋体" w:eastAsia="宋体" w:cs="宋体"/>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碳酸根离子</w:t>
            </w:r>
          </w:p>
        </w:tc>
        <w:tc>
          <w:tcPr>
            <w:tcW w:w="1780" w:type="dxa"/>
            <w:tcBorders>
              <w:tl2br w:val="nil"/>
              <w:tr2bl w:val="nil"/>
            </w:tcBorders>
            <w:shd w:val="clear" w:color="auto" w:fill="auto"/>
            <w:noWrap w:val="0"/>
            <w:vAlign w:val="center"/>
          </w:tcPr>
          <w:p w14:paraId="472FC5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w:t>
            </w:r>
          </w:p>
        </w:tc>
        <w:tc>
          <w:tcPr>
            <w:tcW w:w="1780" w:type="dxa"/>
            <w:tcBorders>
              <w:tl2br w:val="nil"/>
              <w:tr2bl w:val="nil"/>
            </w:tcBorders>
            <w:shd w:val="clear" w:color="auto" w:fill="auto"/>
            <w:noWrap w:val="0"/>
            <w:vAlign w:val="center"/>
          </w:tcPr>
          <w:p w14:paraId="099404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w:t>
            </w:r>
          </w:p>
        </w:tc>
        <w:tc>
          <w:tcPr>
            <w:tcW w:w="1780" w:type="dxa"/>
            <w:tcBorders>
              <w:tl2br w:val="nil"/>
              <w:tr2bl w:val="nil"/>
            </w:tcBorders>
            <w:shd w:val="clear" w:color="auto" w:fill="auto"/>
            <w:noWrap w:val="0"/>
            <w:vAlign w:val="center"/>
          </w:tcPr>
          <w:p w14:paraId="43775B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w:t>
            </w:r>
          </w:p>
        </w:tc>
        <w:tc>
          <w:tcPr>
            <w:tcW w:w="1783" w:type="dxa"/>
            <w:tcBorders>
              <w:tl2br w:val="nil"/>
              <w:tr2bl w:val="nil"/>
            </w:tcBorders>
            <w:shd w:val="clear" w:color="auto" w:fill="auto"/>
            <w:noWrap w:val="0"/>
            <w:vAlign w:val="center"/>
          </w:tcPr>
          <w:p w14:paraId="1D9499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2"/>
                <w:sz w:val="21"/>
                <w:szCs w:val="21"/>
                <w:highlight w:val="none"/>
              </w:rPr>
              <w:t>/</w:t>
            </w:r>
          </w:p>
        </w:tc>
        <w:tc>
          <w:tcPr>
            <w:tcW w:w="1398" w:type="dxa"/>
            <w:tcBorders>
              <w:tl2br w:val="nil"/>
              <w:tr2bl w:val="nil"/>
            </w:tcBorders>
            <w:shd w:val="clear" w:color="auto" w:fill="auto"/>
            <w:noWrap w:val="0"/>
            <w:vAlign w:val="center"/>
          </w:tcPr>
          <w:p w14:paraId="7859361D">
            <w:pPr>
              <w:keepNext w:val="0"/>
              <w:keepLines w:val="0"/>
              <w:suppressLineNumbers w:val="0"/>
              <w:spacing w:before="0" w:beforeAutospacing="0" w:after="0" w:afterAutospacing="0" w:line="240" w:lineRule="auto"/>
              <w:ind w:left="0" w:right="0"/>
              <w:jc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2"/>
                <w:sz w:val="21"/>
                <w:szCs w:val="21"/>
                <w:highlight w:val="none"/>
              </w:rPr>
              <w:t>mg/L</w:t>
            </w:r>
          </w:p>
        </w:tc>
      </w:tr>
      <w:tr w14:paraId="26F74E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32DBEDC1">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line="240" w:lineRule="auto"/>
              <w:ind w:left="0" w:leftChars="0" w:right="0" w:rightChars="0"/>
              <w:jc w:val="center"/>
              <w:textAlignment w:val="auto"/>
              <w:rPr>
                <w:rFonts w:hint="default" w:ascii="宋体" w:hAnsi="宋体" w:eastAsia="宋体" w:cs="宋体"/>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碳酸氢根离子</w:t>
            </w:r>
          </w:p>
        </w:tc>
        <w:tc>
          <w:tcPr>
            <w:tcW w:w="1780" w:type="dxa"/>
            <w:tcBorders>
              <w:tl2br w:val="nil"/>
              <w:tr2bl w:val="nil"/>
            </w:tcBorders>
            <w:shd w:val="clear" w:color="auto" w:fill="auto"/>
            <w:noWrap w:val="0"/>
            <w:vAlign w:val="center"/>
          </w:tcPr>
          <w:p w14:paraId="66820703">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118</w:t>
            </w:r>
          </w:p>
        </w:tc>
        <w:tc>
          <w:tcPr>
            <w:tcW w:w="1780" w:type="dxa"/>
            <w:tcBorders>
              <w:tl2br w:val="nil"/>
              <w:tr2bl w:val="nil"/>
            </w:tcBorders>
            <w:shd w:val="clear" w:color="auto" w:fill="auto"/>
            <w:noWrap w:val="0"/>
            <w:vAlign w:val="center"/>
          </w:tcPr>
          <w:p w14:paraId="6E4C1BB5">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15</w:t>
            </w:r>
          </w:p>
        </w:tc>
        <w:tc>
          <w:tcPr>
            <w:tcW w:w="1780" w:type="dxa"/>
            <w:tcBorders>
              <w:tl2br w:val="nil"/>
              <w:tr2bl w:val="nil"/>
            </w:tcBorders>
            <w:shd w:val="clear" w:color="auto" w:fill="auto"/>
            <w:noWrap w:val="0"/>
            <w:vAlign w:val="center"/>
          </w:tcPr>
          <w:p w14:paraId="33B33334">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124</w:t>
            </w:r>
          </w:p>
        </w:tc>
        <w:tc>
          <w:tcPr>
            <w:tcW w:w="1783" w:type="dxa"/>
            <w:tcBorders>
              <w:tl2br w:val="nil"/>
              <w:tr2bl w:val="nil"/>
            </w:tcBorders>
            <w:shd w:val="clear" w:color="auto" w:fill="auto"/>
            <w:noWrap w:val="0"/>
            <w:vAlign w:val="center"/>
          </w:tcPr>
          <w:p w14:paraId="15C032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2"/>
                <w:sz w:val="21"/>
                <w:szCs w:val="21"/>
                <w:highlight w:val="none"/>
              </w:rPr>
              <w:t>/</w:t>
            </w:r>
          </w:p>
        </w:tc>
        <w:tc>
          <w:tcPr>
            <w:tcW w:w="1398" w:type="dxa"/>
            <w:tcBorders>
              <w:tl2br w:val="nil"/>
              <w:tr2bl w:val="nil"/>
            </w:tcBorders>
            <w:shd w:val="clear" w:color="auto" w:fill="auto"/>
            <w:noWrap w:val="0"/>
            <w:vAlign w:val="center"/>
          </w:tcPr>
          <w:p w14:paraId="4C4F79D8">
            <w:pPr>
              <w:keepNext w:val="0"/>
              <w:keepLines w:val="0"/>
              <w:suppressLineNumbers w:val="0"/>
              <w:spacing w:before="0" w:beforeAutospacing="0" w:after="0" w:afterAutospacing="0" w:line="240" w:lineRule="auto"/>
              <w:ind w:left="0" w:right="0"/>
              <w:jc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2"/>
                <w:sz w:val="21"/>
                <w:szCs w:val="21"/>
                <w:highlight w:val="none"/>
              </w:rPr>
              <w:t>mg/L</w:t>
            </w:r>
          </w:p>
        </w:tc>
      </w:tr>
      <w:tr w14:paraId="56B4C4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743D454D">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line="240" w:lineRule="auto"/>
              <w:ind w:left="-120" w:leftChars="-50" w:right="-283" w:rightChars="0"/>
              <w:jc w:val="center"/>
              <w:textAlignment w:val="auto"/>
              <w:rPr>
                <w:rFonts w:hint="default" w:ascii="宋体" w:hAnsi="宋体" w:eastAsia="宋体" w:cs="宋体"/>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碳酸根离子</w:t>
            </w:r>
          </w:p>
        </w:tc>
        <w:tc>
          <w:tcPr>
            <w:tcW w:w="1780" w:type="dxa"/>
            <w:tcBorders>
              <w:tl2br w:val="nil"/>
              <w:tr2bl w:val="nil"/>
            </w:tcBorders>
            <w:shd w:val="clear" w:color="auto" w:fill="auto"/>
            <w:noWrap w:val="0"/>
            <w:vAlign w:val="center"/>
          </w:tcPr>
          <w:p w14:paraId="3C5C985B">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41.3</w:t>
            </w:r>
          </w:p>
        </w:tc>
        <w:tc>
          <w:tcPr>
            <w:tcW w:w="1780" w:type="dxa"/>
            <w:tcBorders>
              <w:tl2br w:val="nil"/>
              <w:tr2bl w:val="nil"/>
            </w:tcBorders>
            <w:shd w:val="clear" w:color="auto" w:fill="auto"/>
            <w:noWrap w:val="0"/>
            <w:vAlign w:val="center"/>
          </w:tcPr>
          <w:p w14:paraId="4C22BEE9">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38.5</w:t>
            </w:r>
          </w:p>
        </w:tc>
        <w:tc>
          <w:tcPr>
            <w:tcW w:w="1780" w:type="dxa"/>
            <w:tcBorders>
              <w:tl2br w:val="nil"/>
              <w:tr2bl w:val="nil"/>
            </w:tcBorders>
            <w:shd w:val="clear" w:color="auto" w:fill="auto"/>
            <w:noWrap w:val="0"/>
            <w:vAlign w:val="center"/>
          </w:tcPr>
          <w:p w14:paraId="61359D2E">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38.9</w:t>
            </w:r>
          </w:p>
        </w:tc>
        <w:tc>
          <w:tcPr>
            <w:tcW w:w="1783" w:type="dxa"/>
            <w:tcBorders>
              <w:tl2br w:val="nil"/>
              <w:tr2bl w:val="nil"/>
            </w:tcBorders>
            <w:shd w:val="clear" w:color="auto" w:fill="auto"/>
            <w:noWrap w:val="0"/>
            <w:vAlign w:val="center"/>
          </w:tcPr>
          <w:p w14:paraId="5D27A7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2"/>
                <w:sz w:val="21"/>
                <w:szCs w:val="21"/>
                <w:highlight w:val="none"/>
              </w:rPr>
              <w:t>/</w:t>
            </w:r>
          </w:p>
        </w:tc>
        <w:tc>
          <w:tcPr>
            <w:tcW w:w="1398" w:type="dxa"/>
            <w:tcBorders>
              <w:tl2br w:val="nil"/>
              <w:tr2bl w:val="nil"/>
            </w:tcBorders>
            <w:shd w:val="clear" w:color="auto" w:fill="auto"/>
            <w:noWrap w:val="0"/>
            <w:vAlign w:val="center"/>
          </w:tcPr>
          <w:p w14:paraId="0C06CA81">
            <w:pPr>
              <w:keepNext w:val="0"/>
              <w:keepLines w:val="0"/>
              <w:suppressLineNumbers w:val="0"/>
              <w:spacing w:before="0" w:beforeAutospacing="0" w:after="0" w:afterAutospacing="0" w:line="240" w:lineRule="auto"/>
              <w:ind w:left="0" w:right="0"/>
              <w:jc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2"/>
                <w:sz w:val="21"/>
                <w:szCs w:val="21"/>
                <w:highlight w:val="none"/>
              </w:rPr>
              <w:t>mg/L</w:t>
            </w:r>
          </w:p>
        </w:tc>
      </w:tr>
      <w:tr w14:paraId="3F9D19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2DEAA04F">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氯离子</w:t>
            </w:r>
          </w:p>
        </w:tc>
        <w:tc>
          <w:tcPr>
            <w:tcW w:w="1780" w:type="dxa"/>
            <w:tcBorders>
              <w:tl2br w:val="nil"/>
              <w:tr2bl w:val="nil"/>
            </w:tcBorders>
            <w:shd w:val="clear" w:color="auto" w:fill="auto"/>
            <w:noWrap w:val="0"/>
            <w:vAlign w:val="center"/>
          </w:tcPr>
          <w:p w14:paraId="2E91782A">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46.8</w:t>
            </w:r>
          </w:p>
        </w:tc>
        <w:tc>
          <w:tcPr>
            <w:tcW w:w="1780" w:type="dxa"/>
            <w:tcBorders>
              <w:tl2br w:val="nil"/>
              <w:tr2bl w:val="nil"/>
            </w:tcBorders>
            <w:shd w:val="clear" w:color="auto" w:fill="auto"/>
            <w:noWrap w:val="0"/>
            <w:vAlign w:val="center"/>
          </w:tcPr>
          <w:p w14:paraId="7D251DB0">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58</w:t>
            </w:r>
          </w:p>
        </w:tc>
        <w:tc>
          <w:tcPr>
            <w:tcW w:w="1780" w:type="dxa"/>
            <w:tcBorders>
              <w:tl2br w:val="nil"/>
              <w:tr2bl w:val="nil"/>
            </w:tcBorders>
            <w:shd w:val="clear" w:color="auto" w:fill="auto"/>
            <w:noWrap w:val="0"/>
            <w:vAlign w:val="center"/>
          </w:tcPr>
          <w:p w14:paraId="4FBE3BC9">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50.4</w:t>
            </w:r>
          </w:p>
        </w:tc>
        <w:tc>
          <w:tcPr>
            <w:tcW w:w="1783" w:type="dxa"/>
            <w:tcBorders>
              <w:tl2br w:val="nil"/>
              <w:tr2bl w:val="nil"/>
            </w:tcBorders>
            <w:shd w:val="clear" w:color="auto" w:fill="auto"/>
            <w:noWrap w:val="0"/>
            <w:vAlign w:val="center"/>
          </w:tcPr>
          <w:p w14:paraId="4F5253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2"/>
                <w:sz w:val="21"/>
                <w:szCs w:val="21"/>
                <w:highlight w:val="none"/>
              </w:rPr>
              <w:t>/</w:t>
            </w:r>
          </w:p>
        </w:tc>
        <w:tc>
          <w:tcPr>
            <w:tcW w:w="1398" w:type="dxa"/>
            <w:tcBorders>
              <w:tl2br w:val="nil"/>
              <w:tr2bl w:val="nil"/>
            </w:tcBorders>
            <w:shd w:val="clear" w:color="auto" w:fill="auto"/>
            <w:noWrap w:val="0"/>
            <w:vAlign w:val="center"/>
          </w:tcPr>
          <w:p w14:paraId="04D08A67">
            <w:pPr>
              <w:keepNext w:val="0"/>
              <w:keepLines w:val="0"/>
              <w:suppressLineNumbers w:val="0"/>
              <w:spacing w:before="0" w:beforeAutospacing="0" w:after="0" w:afterAutospacing="0" w:line="240" w:lineRule="auto"/>
              <w:ind w:left="0" w:right="0"/>
              <w:jc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2"/>
                <w:sz w:val="21"/>
                <w:szCs w:val="21"/>
                <w:highlight w:val="none"/>
              </w:rPr>
              <w:t>mg/L</w:t>
            </w:r>
          </w:p>
        </w:tc>
      </w:tr>
      <w:tr w14:paraId="2233F2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4FB322F2">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pH</w:t>
            </w:r>
          </w:p>
        </w:tc>
        <w:tc>
          <w:tcPr>
            <w:tcW w:w="1780" w:type="dxa"/>
            <w:tcBorders>
              <w:tl2br w:val="nil"/>
              <w:tr2bl w:val="nil"/>
            </w:tcBorders>
            <w:shd w:val="clear" w:color="auto" w:fill="auto"/>
            <w:noWrap w:val="0"/>
            <w:vAlign w:val="center"/>
          </w:tcPr>
          <w:p w14:paraId="0A5BA4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7.2</w:t>
            </w:r>
          </w:p>
        </w:tc>
        <w:tc>
          <w:tcPr>
            <w:tcW w:w="1780" w:type="dxa"/>
            <w:tcBorders>
              <w:tl2br w:val="nil"/>
              <w:tr2bl w:val="nil"/>
            </w:tcBorders>
            <w:shd w:val="clear" w:color="auto" w:fill="auto"/>
            <w:noWrap w:val="0"/>
            <w:vAlign w:val="center"/>
          </w:tcPr>
          <w:p w14:paraId="1331B2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7.3</w:t>
            </w:r>
          </w:p>
        </w:tc>
        <w:tc>
          <w:tcPr>
            <w:tcW w:w="1780" w:type="dxa"/>
            <w:tcBorders>
              <w:tl2br w:val="nil"/>
              <w:tr2bl w:val="nil"/>
            </w:tcBorders>
            <w:shd w:val="clear" w:color="auto" w:fill="auto"/>
            <w:noWrap w:val="0"/>
            <w:vAlign w:val="center"/>
          </w:tcPr>
          <w:p w14:paraId="4D71FA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7.1</w:t>
            </w:r>
          </w:p>
        </w:tc>
        <w:tc>
          <w:tcPr>
            <w:tcW w:w="1783" w:type="dxa"/>
            <w:tcBorders>
              <w:tl2br w:val="nil"/>
              <w:tr2bl w:val="nil"/>
            </w:tcBorders>
            <w:shd w:val="clear" w:color="auto" w:fill="auto"/>
            <w:noWrap w:val="0"/>
            <w:vAlign w:val="center"/>
          </w:tcPr>
          <w:p w14:paraId="00C284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6.5≤</w:t>
            </w:r>
            <w:r>
              <w:rPr>
                <w:rFonts w:hint="default" w:ascii="Times New Roman" w:hAnsi="Times New Roman" w:eastAsia="宋体" w:cs="Times New Roman"/>
                <w:color w:val="auto"/>
                <w:kern w:val="0"/>
                <w:sz w:val="21"/>
                <w:szCs w:val="21"/>
                <w:highlight w:val="none"/>
                <w:lang w:bidi="ar"/>
              </w:rPr>
              <w:t>pH</w:t>
            </w:r>
            <w:r>
              <w:rPr>
                <w:rFonts w:hint="default" w:ascii="Times New Roman" w:hAnsi="Times New Roman" w:cs="Times New Roman"/>
                <w:b w:val="0"/>
                <w:bCs w:val="0"/>
                <w:color w:val="auto"/>
                <w:kern w:val="2"/>
                <w:sz w:val="21"/>
                <w:szCs w:val="21"/>
                <w:highlight w:val="none"/>
                <w:vertAlign w:val="baseline"/>
                <w:lang w:val="en-US" w:eastAsia="zh-CN" w:bidi="ar-SA"/>
              </w:rPr>
              <w:t>≤8.5</w:t>
            </w:r>
          </w:p>
        </w:tc>
        <w:tc>
          <w:tcPr>
            <w:tcW w:w="1398" w:type="dxa"/>
            <w:tcBorders>
              <w:tl2br w:val="nil"/>
              <w:tr2bl w:val="nil"/>
            </w:tcBorders>
            <w:shd w:val="clear" w:color="auto" w:fill="auto"/>
            <w:noWrap w:val="0"/>
            <w:vAlign w:val="center"/>
          </w:tcPr>
          <w:p w14:paraId="3E645C75">
            <w:pPr>
              <w:keepNext w:val="0"/>
              <w:keepLines w:val="0"/>
              <w:suppressLineNumbers w:val="0"/>
              <w:spacing w:before="0" w:beforeAutospacing="0" w:after="0" w:afterAutospacing="0" w:line="240" w:lineRule="auto"/>
              <w:ind w:left="0" w:right="0"/>
              <w:jc w:val="center"/>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无量纲</w:t>
            </w:r>
          </w:p>
        </w:tc>
      </w:tr>
      <w:tr w14:paraId="62DA18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729F4061">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bidi="ar"/>
              </w:rPr>
              <w:t>氨氮</w:t>
            </w:r>
          </w:p>
        </w:tc>
        <w:tc>
          <w:tcPr>
            <w:tcW w:w="1780" w:type="dxa"/>
            <w:tcBorders>
              <w:tl2br w:val="nil"/>
              <w:tr2bl w:val="nil"/>
            </w:tcBorders>
            <w:shd w:val="clear" w:color="auto" w:fill="auto"/>
            <w:noWrap w:val="0"/>
            <w:vAlign w:val="center"/>
          </w:tcPr>
          <w:p w14:paraId="4D341A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0.049</w:t>
            </w:r>
          </w:p>
        </w:tc>
        <w:tc>
          <w:tcPr>
            <w:tcW w:w="1780" w:type="dxa"/>
            <w:tcBorders>
              <w:tl2br w:val="nil"/>
              <w:tr2bl w:val="nil"/>
            </w:tcBorders>
            <w:shd w:val="clear" w:color="auto" w:fill="auto"/>
            <w:noWrap w:val="0"/>
            <w:vAlign w:val="center"/>
          </w:tcPr>
          <w:p w14:paraId="5BAA5C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0.077</w:t>
            </w:r>
          </w:p>
        </w:tc>
        <w:tc>
          <w:tcPr>
            <w:tcW w:w="1780" w:type="dxa"/>
            <w:tcBorders>
              <w:tl2br w:val="nil"/>
              <w:tr2bl w:val="nil"/>
            </w:tcBorders>
            <w:shd w:val="clear" w:color="auto" w:fill="auto"/>
            <w:noWrap w:val="0"/>
            <w:vAlign w:val="center"/>
          </w:tcPr>
          <w:p w14:paraId="60DB13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0.105</w:t>
            </w:r>
          </w:p>
        </w:tc>
        <w:tc>
          <w:tcPr>
            <w:tcW w:w="1783" w:type="dxa"/>
            <w:tcBorders>
              <w:tl2br w:val="nil"/>
              <w:tr2bl w:val="nil"/>
            </w:tcBorders>
            <w:shd w:val="clear" w:color="auto" w:fill="auto"/>
            <w:noWrap w:val="0"/>
            <w:vAlign w:val="center"/>
          </w:tcPr>
          <w:p w14:paraId="0F1437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0.50</w:t>
            </w:r>
          </w:p>
        </w:tc>
        <w:tc>
          <w:tcPr>
            <w:tcW w:w="1398" w:type="dxa"/>
            <w:tcBorders>
              <w:tl2br w:val="nil"/>
              <w:tr2bl w:val="nil"/>
            </w:tcBorders>
            <w:shd w:val="clear" w:color="auto" w:fill="auto"/>
            <w:noWrap w:val="0"/>
            <w:vAlign w:val="center"/>
          </w:tcPr>
          <w:p w14:paraId="777891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4A53F9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7842CF2A">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bidi="ar"/>
              </w:rPr>
              <w:t>硝酸盐</w:t>
            </w:r>
          </w:p>
        </w:tc>
        <w:tc>
          <w:tcPr>
            <w:tcW w:w="1780" w:type="dxa"/>
            <w:tcBorders>
              <w:tl2br w:val="nil"/>
              <w:tr2bl w:val="nil"/>
            </w:tcBorders>
            <w:shd w:val="clear" w:color="auto" w:fill="auto"/>
            <w:noWrap w:val="0"/>
            <w:vAlign w:val="center"/>
          </w:tcPr>
          <w:p w14:paraId="4E6164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3.65</w:t>
            </w:r>
          </w:p>
        </w:tc>
        <w:tc>
          <w:tcPr>
            <w:tcW w:w="1780" w:type="dxa"/>
            <w:tcBorders>
              <w:tl2br w:val="nil"/>
              <w:tr2bl w:val="nil"/>
            </w:tcBorders>
            <w:shd w:val="clear" w:color="auto" w:fill="auto"/>
            <w:noWrap w:val="0"/>
            <w:vAlign w:val="center"/>
          </w:tcPr>
          <w:p w14:paraId="31607E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4.11</w:t>
            </w:r>
          </w:p>
        </w:tc>
        <w:tc>
          <w:tcPr>
            <w:tcW w:w="1780" w:type="dxa"/>
            <w:tcBorders>
              <w:tl2br w:val="nil"/>
              <w:tr2bl w:val="nil"/>
            </w:tcBorders>
            <w:shd w:val="clear" w:color="auto" w:fill="auto"/>
            <w:noWrap w:val="0"/>
            <w:vAlign w:val="center"/>
          </w:tcPr>
          <w:p w14:paraId="336202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4.37</w:t>
            </w:r>
          </w:p>
        </w:tc>
        <w:tc>
          <w:tcPr>
            <w:tcW w:w="1783" w:type="dxa"/>
            <w:tcBorders>
              <w:tl2br w:val="nil"/>
              <w:tr2bl w:val="nil"/>
            </w:tcBorders>
            <w:shd w:val="clear" w:color="auto" w:fill="auto"/>
            <w:noWrap w:val="0"/>
            <w:vAlign w:val="center"/>
          </w:tcPr>
          <w:p w14:paraId="4892F2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20.0</w:t>
            </w:r>
          </w:p>
        </w:tc>
        <w:tc>
          <w:tcPr>
            <w:tcW w:w="1398" w:type="dxa"/>
            <w:tcBorders>
              <w:tl2br w:val="nil"/>
              <w:tr2bl w:val="nil"/>
            </w:tcBorders>
            <w:shd w:val="clear" w:color="auto" w:fill="auto"/>
            <w:noWrap w:val="0"/>
            <w:vAlign w:val="center"/>
          </w:tcPr>
          <w:p w14:paraId="71E0E4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3FB1B2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4ED23785">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bidi="ar"/>
              </w:rPr>
              <w:t>亚硝酸盐</w:t>
            </w:r>
          </w:p>
        </w:tc>
        <w:tc>
          <w:tcPr>
            <w:tcW w:w="1780" w:type="dxa"/>
            <w:tcBorders>
              <w:tl2br w:val="nil"/>
              <w:tr2bl w:val="nil"/>
            </w:tcBorders>
            <w:shd w:val="clear" w:color="auto" w:fill="auto"/>
            <w:noWrap w:val="0"/>
            <w:vAlign w:val="center"/>
          </w:tcPr>
          <w:p w14:paraId="7900BE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0.003L</w:t>
            </w:r>
          </w:p>
        </w:tc>
        <w:tc>
          <w:tcPr>
            <w:tcW w:w="1780" w:type="dxa"/>
            <w:tcBorders>
              <w:tl2br w:val="nil"/>
              <w:tr2bl w:val="nil"/>
            </w:tcBorders>
            <w:shd w:val="clear" w:color="auto" w:fill="auto"/>
            <w:noWrap w:val="0"/>
            <w:vAlign w:val="center"/>
          </w:tcPr>
          <w:p w14:paraId="17FA13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0.003L</w:t>
            </w:r>
          </w:p>
        </w:tc>
        <w:tc>
          <w:tcPr>
            <w:tcW w:w="1780" w:type="dxa"/>
            <w:tcBorders>
              <w:tl2br w:val="nil"/>
              <w:tr2bl w:val="nil"/>
            </w:tcBorders>
            <w:shd w:val="clear" w:color="auto" w:fill="auto"/>
            <w:noWrap w:val="0"/>
            <w:vAlign w:val="center"/>
          </w:tcPr>
          <w:p w14:paraId="18015C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0.003L</w:t>
            </w:r>
          </w:p>
        </w:tc>
        <w:tc>
          <w:tcPr>
            <w:tcW w:w="1783" w:type="dxa"/>
            <w:tcBorders>
              <w:tl2br w:val="nil"/>
              <w:tr2bl w:val="nil"/>
            </w:tcBorders>
            <w:shd w:val="clear" w:color="auto" w:fill="auto"/>
            <w:noWrap w:val="0"/>
            <w:vAlign w:val="center"/>
          </w:tcPr>
          <w:p w14:paraId="5ECB18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1.00</w:t>
            </w:r>
          </w:p>
        </w:tc>
        <w:tc>
          <w:tcPr>
            <w:tcW w:w="1398" w:type="dxa"/>
            <w:tcBorders>
              <w:tl2br w:val="nil"/>
              <w:tr2bl w:val="nil"/>
            </w:tcBorders>
            <w:shd w:val="clear" w:color="auto" w:fill="auto"/>
            <w:noWrap w:val="0"/>
            <w:vAlign w:val="center"/>
          </w:tcPr>
          <w:p w14:paraId="16FCF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44D2D3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54EB32BC">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bidi="ar"/>
              </w:rPr>
              <w:t>挥发性酚类（以苯酚计）</w:t>
            </w:r>
          </w:p>
        </w:tc>
        <w:tc>
          <w:tcPr>
            <w:tcW w:w="1780" w:type="dxa"/>
            <w:tcBorders>
              <w:tl2br w:val="nil"/>
              <w:tr2bl w:val="nil"/>
            </w:tcBorders>
            <w:shd w:val="clear" w:color="auto" w:fill="auto"/>
            <w:noWrap w:val="0"/>
            <w:vAlign w:val="center"/>
          </w:tcPr>
          <w:p w14:paraId="5CD1AB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0.0003L</w:t>
            </w:r>
          </w:p>
        </w:tc>
        <w:tc>
          <w:tcPr>
            <w:tcW w:w="1780" w:type="dxa"/>
            <w:tcBorders>
              <w:tl2br w:val="nil"/>
              <w:tr2bl w:val="nil"/>
            </w:tcBorders>
            <w:shd w:val="clear" w:color="auto" w:fill="auto"/>
            <w:noWrap w:val="0"/>
            <w:vAlign w:val="center"/>
          </w:tcPr>
          <w:p w14:paraId="2DA79E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0.0003L</w:t>
            </w:r>
          </w:p>
        </w:tc>
        <w:tc>
          <w:tcPr>
            <w:tcW w:w="1780" w:type="dxa"/>
            <w:tcBorders>
              <w:tl2br w:val="nil"/>
              <w:tr2bl w:val="nil"/>
            </w:tcBorders>
            <w:shd w:val="clear" w:color="auto" w:fill="auto"/>
            <w:noWrap w:val="0"/>
            <w:vAlign w:val="center"/>
          </w:tcPr>
          <w:p w14:paraId="025810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0.0003L</w:t>
            </w:r>
          </w:p>
        </w:tc>
        <w:tc>
          <w:tcPr>
            <w:tcW w:w="1783" w:type="dxa"/>
            <w:tcBorders>
              <w:tl2br w:val="nil"/>
              <w:tr2bl w:val="nil"/>
            </w:tcBorders>
            <w:shd w:val="clear" w:color="auto" w:fill="auto"/>
            <w:noWrap w:val="0"/>
            <w:vAlign w:val="center"/>
          </w:tcPr>
          <w:p w14:paraId="3BA6EE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0.002</w:t>
            </w:r>
          </w:p>
        </w:tc>
        <w:tc>
          <w:tcPr>
            <w:tcW w:w="1398" w:type="dxa"/>
            <w:tcBorders>
              <w:tl2br w:val="nil"/>
              <w:tr2bl w:val="nil"/>
            </w:tcBorders>
            <w:shd w:val="clear" w:color="auto" w:fill="auto"/>
            <w:noWrap w:val="0"/>
            <w:vAlign w:val="center"/>
          </w:tcPr>
          <w:p w14:paraId="3183F1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0D1B42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5E1A7A0B">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bidi="ar"/>
              </w:rPr>
              <w:t>氰化物</w:t>
            </w:r>
          </w:p>
        </w:tc>
        <w:tc>
          <w:tcPr>
            <w:tcW w:w="1780" w:type="dxa"/>
            <w:tcBorders>
              <w:tl2br w:val="nil"/>
              <w:tr2bl w:val="nil"/>
            </w:tcBorders>
            <w:shd w:val="clear" w:color="auto" w:fill="auto"/>
            <w:noWrap w:val="0"/>
            <w:vAlign w:val="center"/>
          </w:tcPr>
          <w:p w14:paraId="6D030B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0.004L</w:t>
            </w:r>
          </w:p>
        </w:tc>
        <w:tc>
          <w:tcPr>
            <w:tcW w:w="1780" w:type="dxa"/>
            <w:tcBorders>
              <w:tl2br w:val="nil"/>
              <w:tr2bl w:val="nil"/>
            </w:tcBorders>
            <w:shd w:val="clear" w:color="auto" w:fill="auto"/>
            <w:noWrap w:val="0"/>
            <w:vAlign w:val="center"/>
          </w:tcPr>
          <w:p w14:paraId="236C2D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0.004L</w:t>
            </w:r>
          </w:p>
        </w:tc>
        <w:tc>
          <w:tcPr>
            <w:tcW w:w="1780" w:type="dxa"/>
            <w:tcBorders>
              <w:tl2br w:val="nil"/>
              <w:tr2bl w:val="nil"/>
            </w:tcBorders>
            <w:shd w:val="clear" w:color="auto" w:fill="auto"/>
            <w:noWrap w:val="0"/>
            <w:vAlign w:val="center"/>
          </w:tcPr>
          <w:p w14:paraId="301D8A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0.004L</w:t>
            </w:r>
          </w:p>
        </w:tc>
        <w:tc>
          <w:tcPr>
            <w:tcW w:w="1783" w:type="dxa"/>
            <w:tcBorders>
              <w:tl2br w:val="nil"/>
              <w:tr2bl w:val="nil"/>
            </w:tcBorders>
            <w:shd w:val="clear" w:color="auto" w:fill="auto"/>
            <w:noWrap w:val="0"/>
            <w:vAlign w:val="center"/>
          </w:tcPr>
          <w:p w14:paraId="18B167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0.05</w:t>
            </w:r>
          </w:p>
        </w:tc>
        <w:tc>
          <w:tcPr>
            <w:tcW w:w="1398" w:type="dxa"/>
            <w:tcBorders>
              <w:tl2br w:val="nil"/>
              <w:tr2bl w:val="nil"/>
            </w:tcBorders>
            <w:shd w:val="clear" w:color="auto" w:fill="auto"/>
            <w:noWrap w:val="0"/>
            <w:vAlign w:val="center"/>
          </w:tcPr>
          <w:p w14:paraId="43E692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16436D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70F41D22">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bidi="ar"/>
              </w:rPr>
              <w:t>砷</w:t>
            </w:r>
          </w:p>
        </w:tc>
        <w:tc>
          <w:tcPr>
            <w:tcW w:w="1780" w:type="dxa"/>
            <w:tcBorders>
              <w:tl2br w:val="nil"/>
              <w:tr2bl w:val="nil"/>
            </w:tcBorders>
            <w:shd w:val="clear" w:color="auto" w:fill="auto"/>
            <w:noWrap w:val="0"/>
            <w:vAlign w:val="center"/>
          </w:tcPr>
          <w:p w14:paraId="66D4E4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0.0003L</w:t>
            </w:r>
          </w:p>
        </w:tc>
        <w:tc>
          <w:tcPr>
            <w:tcW w:w="1780" w:type="dxa"/>
            <w:tcBorders>
              <w:tl2br w:val="nil"/>
              <w:tr2bl w:val="nil"/>
            </w:tcBorders>
            <w:shd w:val="clear" w:color="auto" w:fill="auto"/>
            <w:noWrap w:val="0"/>
            <w:vAlign w:val="center"/>
          </w:tcPr>
          <w:p w14:paraId="40BFB2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0.0003L</w:t>
            </w:r>
          </w:p>
        </w:tc>
        <w:tc>
          <w:tcPr>
            <w:tcW w:w="1780" w:type="dxa"/>
            <w:tcBorders>
              <w:tl2br w:val="nil"/>
              <w:tr2bl w:val="nil"/>
            </w:tcBorders>
            <w:shd w:val="clear" w:color="auto" w:fill="auto"/>
            <w:noWrap w:val="0"/>
            <w:vAlign w:val="center"/>
          </w:tcPr>
          <w:p w14:paraId="673BF3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0.0003L</w:t>
            </w:r>
          </w:p>
        </w:tc>
        <w:tc>
          <w:tcPr>
            <w:tcW w:w="1783" w:type="dxa"/>
            <w:tcBorders>
              <w:tl2br w:val="nil"/>
              <w:tr2bl w:val="nil"/>
            </w:tcBorders>
            <w:shd w:val="clear" w:color="auto" w:fill="auto"/>
            <w:noWrap w:val="0"/>
            <w:vAlign w:val="center"/>
          </w:tcPr>
          <w:p w14:paraId="702B98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0.01</w:t>
            </w:r>
          </w:p>
        </w:tc>
        <w:tc>
          <w:tcPr>
            <w:tcW w:w="1398" w:type="dxa"/>
            <w:tcBorders>
              <w:tl2br w:val="nil"/>
              <w:tr2bl w:val="nil"/>
            </w:tcBorders>
            <w:shd w:val="clear" w:color="auto" w:fill="auto"/>
            <w:noWrap w:val="0"/>
            <w:vAlign w:val="center"/>
          </w:tcPr>
          <w:p w14:paraId="3F05737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7604DD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07CE1314">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bidi="ar"/>
              </w:rPr>
              <w:t>汞</w:t>
            </w:r>
          </w:p>
        </w:tc>
        <w:tc>
          <w:tcPr>
            <w:tcW w:w="1780" w:type="dxa"/>
            <w:tcBorders>
              <w:tl2br w:val="nil"/>
              <w:tr2bl w:val="nil"/>
            </w:tcBorders>
            <w:shd w:val="clear" w:color="auto" w:fill="auto"/>
            <w:noWrap w:val="0"/>
            <w:vAlign w:val="center"/>
          </w:tcPr>
          <w:p w14:paraId="2FED62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0.00004L</w:t>
            </w:r>
          </w:p>
        </w:tc>
        <w:tc>
          <w:tcPr>
            <w:tcW w:w="1780" w:type="dxa"/>
            <w:tcBorders>
              <w:tl2br w:val="nil"/>
              <w:tr2bl w:val="nil"/>
            </w:tcBorders>
            <w:shd w:val="clear" w:color="auto" w:fill="auto"/>
            <w:noWrap w:val="0"/>
            <w:vAlign w:val="center"/>
          </w:tcPr>
          <w:p w14:paraId="6B79CD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0.00004L</w:t>
            </w:r>
          </w:p>
        </w:tc>
        <w:tc>
          <w:tcPr>
            <w:tcW w:w="1780" w:type="dxa"/>
            <w:tcBorders>
              <w:tl2br w:val="nil"/>
              <w:tr2bl w:val="nil"/>
            </w:tcBorders>
            <w:shd w:val="clear" w:color="auto" w:fill="auto"/>
            <w:noWrap w:val="0"/>
            <w:vAlign w:val="center"/>
          </w:tcPr>
          <w:p w14:paraId="3EDAA1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0.00004L</w:t>
            </w:r>
          </w:p>
        </w:tc>
        <w:tc>
          <w:tcPr>
            <w:tcW w:w="1783" w:type="dxa"/>
            <w:tcBorders>
              <w:tl2br w:val="nil"/>
              <w:tr2bl w:val="nil"/>
            </w:tcBorders>
            <w:shd w:val="clear" w:color="auto" w:fill="auto"/>
            <w:noWrap w:val="0"/>
            <w:vAlign w:val="center"/>
          </w:tcPr>
          <w:p w14:paraId="061EC6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0.001</w:t>
            </w:r>
          </w:p>
        </w:tc>
        <w:tc>
          <w:tcPr>
            <w:tcW w:w="1398" w:type="dxa"/>
            <w:tcBorders>
              <w:tl2br w:val="nil"/>
              <w:tr2bl w:val="nil"/>
            </w:tcBorders>
            <w:shd w:val="clear" w:color="auto" w:fill="auto"/>
            <w:noWrap w:val="0"/>
            <w:vAlign w:val="center"/>
          </w:tcPr>
          <w:p w14:paraId="50456AA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5CB415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45B7B233">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宋体" w:hAnsi="宋体" w:eastAsia="宋体" w:cs="宋体"/>
                <w:color w:val="auto"/>
                <w:kern w:val="0"/>
                <w:sz w:val="21"/>
                <w:szCs w:val="21"/>
                <w:highlight w:val="none"/>
                <w:lang w:bidi="ar"/>
              </w:rPr>
              <w:t>铬（六价）</w:t>
            </w:r>
          </w:p>
        </w:tc>
        <w:tc>
          <w:tcPr>
            <w:tcW w:w="1780" w:type="dxa"/>
            <w:tcBorders>
              <w:tl2br w:val="nil"/>
              <w:tr2bl w:val="nil"/>
            </w:tcBorders>
            <w:shd w:val="clear" w:color="auto" w:fill="auto"/>
            <w:noWrap w:val="0"/>
            <w:vAlign w:val="center"/>
          </w:tcPr>
          <w:p w14:paraId="7A4EA1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0.004L</w:t>
            </w:r>
          </w:p>
        </w:tc>
        <w:tc>
          <w:tcPr>
            <w:tcW w:w="1780" w:type="dxa"/>
            <w:tcBorders>
              <w:tl2br w:val="nil"/>
              <w:tr2bl w:val="nil"/>
            </w:tcBorders>
            <w:shd w:val="clear" w:color="auto" w:fill="auto"/>
            <w:noWrap w:val="0"/>
            <w:vAlign w:val="center"/>
          </w:tcPr>
          <w:p w14:paraId="4CDF3C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0.004L</w:t>
            </w:r>
          </w:p>
        </w:tc>
        <w:tc>
          <w:tcPr>
            <w:tcW w:w="1780" w:type="dxa"/>
            <w:tcBorders>
              <w:tl2br w:val="nil"/>
              <w:tr2bl w:val="nil"/>
            </w:tcBorders>
            <w:shd w:val="clear" w:color="auto" w:fill="auto"/>
            <w:noWrap w:val="0"/>
            <w:vAlign w:val="center"/>
          </w:tcPr>
          <w:p w14:paraId="2A6983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0.004L</w:t>
            </w:r>
          </w:p>
        </w:tc>
        <w:tc>
          <w:tcPr>
            <w:tcW w:w="1783" w:type="dxa"/>
            <w:tcBorders>
              <w:tl2br w:val="nil"/>
              <w:tr2bl w:val="nil"/>
            </w:tcBorders>
            <w:shd w:val="clear" w:color="auto" w:fill="auto"/>
            <w:noWrap w:val="0"/>
            <w:vAlign w:val="center"/>
          </w:tcPr>
          <w:p w14:paraId="7FEBEA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0.05</w:t>
            </w:r>
          </w:p>
        </w:tc>
        <w:tc>
          <w:tcPr>
            <w:tcW w:w="1398" w:type="dxa"/>
            <w:tcBorders>
              <w:tl2br w:val="nil"/>
              <w:tr2bl w:val="nil"/>
            </w:tcBorders>
            <w:shd w:val="clear" w:color="auto" w:fill="auto"/>
            <w:noWrap w:val="0"/>
            <w:vAlign w:val="center"/>
          </w:tcPr>
          <w:p w14:paraId="21E44D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6BA4D3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6FFB7E6D">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color w:val="auto"/>
                <w:kern w:val="0"/>
                <w:sz w:val="21"/>
                <w:szCs w:val="21"/>
                <w:highlight w:val="none"/>
                <w:lang w:bidi="ar"/>
              </w:rPr>
              <w:t>总硬度</w:t>
            </w:r>
          </w:p>
        </w:tc>
        <w:tc>
          <w:tcPr>
            <w:tcW w:w="1780" w:type="dxa"/>
            <w:tcBorders>
              <w:tl2br w:val="nil"/>
              <w:tr2bl w:val="nil"/>
            </w:tcBorders>
            <w:shd w:val="clear" w:color="auto" w:fill="auto"/>
            <w:noWrap w:val="0"/>
            <w:vAlign w:val="center"/>
          </w:tcPr>
          <w:p w14:paraId="7DC5E6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107</w:t>
            </w:r>
          </w:p>
        </w:tc>
        <w:tc>
          <w:tcPr>
            <w:tcW w:w="1780" w:type="dxa"/>
            <w:tcBorders>
              <w:tl2br w:val="nil"/>
              <w:tr2bl w:val="nil"/>
            </w:tcBorders>
            <w:shd w:val="clear" w:color="auto" w:fill="auto"/>
            <w:noWrap w:val="0"/>
            <w:vAlign w:val="center"/>
          </w:tcPr>
          <w:p w14:paraId="29AE65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112</w:t>
            </w:r>
          </w:p>
        </w:tc>
        <w:tc>
          <w:tcPr>
            <w:tcW w:w="1780" w:type="dxa"/>
            <w:tcBorders>
              <w:tl2br w:val="nil"/>
              <w:tr2bl w:val="nil"/>
            </w:tcBorders>
            <w:shd w:val="clear" w:color="auto" w:fill="auto"/>
            <w:noWrap w:val="0"/>
            <w:vAlign w:val="center"/>
          </w:tcPr>
          <w:p w14:paraId="5B44FD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115</w:t>
            </w:r>
          </w:p>
        </w:tc>
        <w:tc>
          <w:tcPr>
            <w:tcW w:w="1783" w:type="dxa"/>
            <w:tcBorders>
              <w:tl2br w:val="nil"/>
              <w:tr2bl w:val="nil"/>
            </w:tcBorders>
            <w:shd w:val="clear" w:color="auto" w:fill="auto"/>
            <w:noWrap w:val="0"/>
            <w:vAlign w:val="center"/>
          </w:tcPr>
          <w:p w14:paraId="460663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450</w:t>
            </w:r>
          </w:p>
        </w:tc>
        <w:tc>
          <w:tcPr>
            <w:tcW w:w="1398" w:type="dxa"/>
            <w:tcBorders>
              <w:tl2br w:val="nil"/>
              <w:tr2bl w:val="nil"/>
            </w:tcBorders>
            <w:shd w:val="clear" w:color="auto" w:fill="auto"/>
            <w:noWrap w:val="0"/>
            <w:vAlign w:val="center"/>
          </w:tcPr>
          <w:p w14:paraId="6AD4FC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0A0BB2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316F577F">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color w:val="auto"/>
                <w:kern w:val="0"/>
                <w:sz w:val="21"/>
                <w:szCs w:val="21"/>
                <w:highlight w:val="none"/>
                <w:lang w:bidi="ar"/>
              </w:rPr>
              <w:t>铅</w:t>
            </w:r>
          </w:p>
        </w:tc>
        <w:tc>
          <w:tcPr>
            <w:tcW w:w="1780" w:type="dxa"/>
            <w:tcBorders>
              <w:tl2br w:val="nil"/>
              <w:tr2bl w:val="nil"/>
            </w:tcBorders>
            <w:shd w:val="clear" w:color="auto" w:fill="auto"/>
            <w:noWrap w:val="0"/>
            <w:vAlign w:val="center"/>
          </w:tcPr>
          <w:p w14:paraId="1A6D6C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0.0025L</w:t>
            </w:r>
          </w:p>
        </w:tc>
        <w:tc>
          <w:tcPr>
            <w:tcW w:w="1780" w:type="dxa"/>
            <w:tcBorders>
              <w:tl2br w:val="nil"/>
              <w:tr2bl w:val="nil"/>
            </w:tcBorders>
            <w:shd w:val="clear" w:color="auto" w:fill="auto"/>
            <w:noWrap w:val="0"/>
            <w:vAlign w:val="center"/>
          </w:tcPr>
          <w:p w14:paraId="38C775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0.0025L</w:t>
            </w:r>
          </w:p>
        </w:tc>
        <w:tc>
          <w:tcPr>
            <w:tcW w:w="1780" w:type="dxa"/>
            <w:tcBorders>
              <w:tl2br w:val="nil"/>
              <w:tr2bl w:val="nil"/>
            </w:tcBorders>
            <w:shd w:val="clear" w:color="auto" w:fill="auto"/>
            <w:noWrap w:val="0"/>
            <w:vAlign w:val="center"/>
          </w:tcPr>
          <w:p w14:paraId="47BF57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0.0025L</w:t>
            </w:r>
          </w:p>
        </w:tc>
        <w:tc>
          <w:tcPr>
            <w:tcW w:w="1783" w:type="dxa"/>
            <w:tcBorders>
              <w:tl2br w:val="nil"/>
              <w:tr2bl w:val="nil"/>
            </w:tcBorders>
            <w:shd w:val="clear" w:color="auto" w:fill="auto"/>
            <w:noWrap w:val="0"/>
            <w:vAlign w:val="center"/>
          </w:tcPr>
          <w:p w14:paraId="228607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0.01</w:t>
            </w:r>
          </w:p>
        </w:tc>
        <w:tc>
          <w:tcPr>
            <w:tcW w:w="1398" w:type="dxa"/>
            <w:tcBorders>
              <w:tl2br w:val="nil"/>
              <w:tr2bl w:val="nil"/>
            </w:tcBorders>
            <w:shd w:val="clear" w:color="auto" w:fill="auto"/>
            <w:noWrap w:val="0"/>
            <w:vAlign w:val="center"/>
          </w:tcPr>
          <w:p w14:paraId="42FBCE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3CDD1C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700F607A">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eastAsia" w:ascii="宋体" w:hAnsi="宋体" w:eastAsia="宋体" w:cs="宋体"/>
                <w:color w:val="auto"/>
                <w:kern w:val="0"/>
                <w:sz w:val="21"/>
                <w:szCs w:val="21"/>
                <w:highlight w:val="none"/>
                <w:lang w:val="en-US" w:eastAsia="zh-CN" w:bidi="ar"/>
              </w:rPr>
              <w:t>氟化物</w:t>
            </w:r>
          </w:p>
        </w:tc>
        <w:tc>
          <w:tcPr>
            <w:tcW w:w="1780" w:type="dxa"/>
            <w:tcBorders>
              <w:tl2br w:val="nil"/>
              <w:tr2bl w:val="nil"/>
            </w:tcBorders>
            <w:shd w:val="clear" w:color="auto" w:fill="auto"/>
            <w:noWrap w:val="0"/>
            <w:vAlign w:val="center"/>
          </w:tcPr>
          <w:p w14:paraId="7D9722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0.63</w:t>
            </w:r>
          </w:p>
        </w:tc>
        <w:tc>
          <w:tcPr>
            <w:tcW w:w="1780" w:type="dxa"/>
            <w:tcBorders>
              <w:tl2br w:val="nil"/>
              <w:tr2bl w:val="nil"/>
            </w:tcBorders>
            <w:shd w:val="clear" w:color="auto" w:fill="auto"/>
            <w:noWrap w:val="0"/>
            <w:vAlign w:val="center"/>
          </w:tcPr>
          <w:p w14:paraId="2362F4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0.77</w:t>
            </w:r>
          </w:p>
        </w:tc>
        <w:tc>
          <w:tcPr>
            <w:tcW w:w="1780" w:type="dxa"/>
            <w:tcBorders>
              <w:tl2br w:val="nil"/>
              <w:tr2bl w:val="nil"/>
            </w:tcBorders>
            <w:shd w:val="clear" w:color="auto" w:fill="auto"/>
            <w:noWrap w:val="0"/>
            <w:vAlign w:val="center"/>
          </w:tcPr>
          <w:p w14:paraId="4B7A03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0.71</w:t>
            </w:r>
          </w:p>
        </w:tc>
        <w:tc>
          <w:tcPr>
            <w:tcW w:w="1783" w:type="dxa"/>
            <w:tcBorders>
              <w:tl2br w:val="nil"/>
              <w:tr2bl w:val="nil"/>
            </w:tcBorders>
            <w:shd w:val="clear" w:color="auto" w:fill="auto"/>
            <w:noWrap w:val="0"/>
            <w:vAlign w:val="center"/>
          </w:tcPr>
          <w:p w14:paraId="783050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1.0</w:t>
            </w:r>
          </w:p>
        </w:tc>
        <w:tc>
          <w:tcPr>
            <w:tcW w:w="1398" w:type="dxa"/>
            <w:tcBorders>
              <w:tl2br w:val="nil"/>
              <w:tr2bl w:val="nil"/>
            </w:tcBorders>
            <w:shd w:val="clear" w:color="auto" w:fill="auto"/>
            <w:noWrap w:val="0"/>
            <w:vAlign w:val="center"/>
          </w:tcPr>
          <w:p w14:paraId="680EAA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5D4D2F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61D19F4E">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bidi="ar"/>
              </w:rPr>
              <w:t>镉</w:t>
            </w:r>
          </w:p>
        </w:tc>
        <w:tc>
          <w:tcPr>
            <w:tcW w:w="1780" w:type="dxa"/>
            <w:tcBorders>
              <w:tl2br w:val="nil"/>
              <w:tr2bl w:val="nil"/>
            </w:tcBorders>
            <w:shd w:val="clear" w:color="auto" w:fill="auto"/>
            <w:noWrap w:val="0"/>
            <w:vAlign w:val="center"/>
          </w:tcPr>
          <w:p w14:paraId="54527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0.001L</w:t>
            </w:r>
          </w:p>
        </w:tc>
        <w:tc>
          <w:tcPr>
            <w:tcW w:w="1780" w:type="dxa"/>
            <w:tcBorders>
              <w:tl2br w:val="nil"/>
              <w:tr2bl w:val="nil"/>
            </w:tcBorders>
            <w:shd w:val="clear" w:color="auto" w:fill="auto"/>
            <w:noWrap w:val="0"/>
            <w:vAlign w:val="center"/>
          </w:tcPr>
          <w:p w14:paraId="3BC22C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olor w:val="auto"/>
                <w:sz w:val="21"/>
                <w:szCs w:val="21"/>
                <w:highlight w:val="none"/>
                <w:lang w:val="en-US" w:eastAsia="zh-CN"/>
              </w:rPr>
              <w:t>0.001L</w:t>
            </w:r>
          </w:p>
        </w:tc>
        <w:tc>
          <w:tcPr>
            <w:tcW w:w="1780" w:type="dxa"/>
            <w:tcBorders>
              <w:tl2br w:val="nil"/>
              <w:tr2bl w:val="nil"/>
            </w:tcBorders>
            <w:shd w:val="clear" w:color="auto" w:fill="auto"/>
            <w:noWrap w:val="0"/>
            <w:vAlign w:val="center"/>
          </w:tcPr>
          <w:p w14:paraId="4AD67E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olor w:val="auto"/>
                <w:sz w:val="21"/>
                <w:szCs w:val="21"/>
                <w:highlight w:val="none"/>
                <w:lang w:val="en-US" w:eastAsia="zh-CN"/>
              </w:rPr>
              <w:t>0.001L</w:t>
            </w:r>
          </w:p>
        </w:tc>
        <w:tc>
          <w:tcPr>
            <w:tcW w:w="1783" w:type="dxa"/>
            <w:tcBorders>
              <w:tl2br w:val="nil"/>
              <w:tr2bl w:val="nil"/>
            </w:tcBorders>
            <w:shd w:val="clear" w:color="auto" w:fill="auto"/>
            <w:noWrap w:val="0"/>
            <w:vAlign w:val="center"/>
          </w:tcPr>
          <w:p w14:paraId="7F1A67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0.005</w:t>
            </w:r>
          </w:p>
        </w:tc>
        <w:tc>
          <w:tcPr>
            <w:tcW w:w="1398" w:type="dxa"/>
            <w:tcBorders>
              <w:tl2br w:val="nil"/>
              <w:tr2bl w:val="nil"/>
            </w:tcBorders>
            <w:shd w:val="clear" w:color="auto" w:fill="auto"/>
            <w:noWrap w:val="0"/>
            <w:vAlign w:val="center"/>
          </w:tcPr>
          <w:p w14:paraId="283E7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2F3A31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33869C9F">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bidi="ar"/>
              </w:rPr>
              <w:t>铁</w:t>
            </w:r>
          </w:p>
        </w:tc>
        <w:tc>
          <w:tcPr>
            <w:tcW w:w="1780" w:type="dxa"/>
            <w:tcBorders>
              <w:tl2br w:val="nil"/>
              <w:tr2bl w:val="nil"/>
            </w:tcBorders>
            <w:shd w:val="clear" w:color="auto" w:fill="auto"/>
            <w:noWrap w:val="0"/>
            <w:vAlign w:val="center"/>
          </w:tcPr>
          <w:p w14:paraId="5A8E67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0.15</w:t>
            </w:r>
          </w:p>
        </w:tc>
        <w:tc>
          <w:tcPr>
            <w:tcW w:w="1780" w:type="dxa"/>
            <w:tcBorders>
              <w:tl2br w:val="nil"/>
              <w:tr2bl w:val="nil"/>
            </w:tcBorders>
            <w:shd w:val="clear" w:color="auto" w:fill="auto"/>
            <w:noWrap w:val="0"/>
            <w:vAlign w:val="center"/>
          </w:tcPr>
          <w:p w14:paraId="690472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0.14</w:t>
            </w:r>
          </w:p>
        </w:tc>
        <w:tc>
          <w:tcPr>
            <w:tcW w:w="1780" w:type="dxa"/>
            <w:tcBorders>
              <w:tl2br w:val="nil"/>
              <w:tr2bl w:val="nil"/>
            </w:tcBorders>
            <w:shd w:val="clear" w:color="auto" w:fill="auto"/>
            <w:noWrap w:val="0"/>
            <w:vAlign w:val="center"/>
          </w:tcPr>
          <w:p w14:paraId="2F3A7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0.16</w:t>
            </w:r>
          </w:p>
        </w:tc>
        <w:tc>
          <w:tcPr>
            <w:tcW w:w="1783" w:type="dxa"/>
            <w:tcBorders>
              <w:tl2br w:val="nil"/>
              <w:tr2bl w:val="nil"/>
            </w:tcBorders>
            <w:shd w:val="clear" w:color="auto" w:fill="auto"/>
            <w:noWrap w:val="0"/>
            <w:vAlign w:val="center"/>
          </w:tcPr>
          <w:p w14:paraId="5EA98E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0.3</w:t>
            </w:r>
          </w:p>
        </w:tc>
        <w:tc>
          <w:tcPr>
            <w:tcW w:w="1398" w:type="dxa"/>
            <w:tcBorders>
              <w:tl2br w:val="nil"/>
              <w:tr2bl w:val="nil"/>
            </w:tcBorders>
            <w:shd w:val="clear" w:color="auto" w:fill="auto"/>
            <w:noWrap w:val="0"/>
            <w:vAlign w:val="center"/>
          </w:tcPr>
          <w:p w14:paraId="2E14C9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311C66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12D09F46">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bidi="ar"/>
              </w:rPr>
              <w:t>锰</w:t>
            </w:r>
          </w:p>
        </w:tc>
        <w:tc>
          <w:tcPr>
            <w:tcW w:w="1780" w:type="dxa"/>
            <w:tcBorders>
              <w:tl2br w:val="nil"/>
              <w:tr2bl w:val="nil"/>
            </w:tcBorders>
            <w:shd w:val="clear" w:color="auto" w:fill="auto"/>
            <w:noWrap w:val="0"/>
            <w:vAlign w:val="center"/>
          </w:tcPr>
          <w:p w14:paraId="37971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0.017</w:t>
            </w:r>
          </w:p>
        </w:tc>
        <w:tc>
          <w:tcPr>
            <w:tcW w:w="1780" w:type="dxa"/>
            <w:tcBorders>
              <w:tl2br w:val="nil"/>
              <w:tr2bl w:val="nil"/>
            </w:tcBorders>
            <w:shd w:val="clear" w:color="auto" w:fill="auto"/>
            <w:noWrap w:val="0"/>
            <w:vAlign w:val="center"/>
          </w:tcPr>
          <w:p w14:paraId="592E57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0.018</w:t>
            </w:r>
          </w:p>
        </w:tc>
        <w:tc>
          <w:tcPr>
            <w:tcW w:w="1780" w:type="dxa"/>
            <w:tcBorders>
              <w:tl2br w:val="nil"/>
              <w:tr2bl w:val="nil"/>
            </w:tcBorders>
            <w:shd w:val="clear" w:color="auto" w:fill="auto"/>
            <w:noWrap w:val="0"/>
            <w:vAlign w:val="center"/>
          </w:tcPr>
          <w:p w14:paraId="0FD0FD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0.012</w:t>
            </w:r>
          </w:p>
        </w:tc>
        <w:tc>
          <w:tcPr>
            <w:tcW w:w="1783" w:type="dxa"/>
            <w:tcBorders>
              <w:tl2br w:val="nil"/>
              <w:tr2bl w:val="nil"/>
            </w:tcBorders>
            <w:shd w:val="clear" w:color="auto" w:fill="auto"/>
            <w:noWrap w:val="0"/>
            <w:vAlign w:val="center"/>
          </w:tcPr>
          <w:p w14:paraId="6FA49C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0.10</w:t>
            </w:r>
          </w:p>
        </w:tc>
        <w:tc>
          <w:tcPr>
            <w:tcW w:w="1398" w:type="dxa"/>
            <w:tcBorders>
              <w:tl2br w:val="nil"/>
              <w:tr2bl w:val="nil"/>
            </w:tcBorders>
            <w:shd w:val="clear" w:color="auto" w:fill="auto"/>
            <w:noWrap w:val="0"/>
            <w:vAlign w:val="center"/>
          </w:tcPr>
          <w:p w14:paraId="4057A4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71222C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281463D9">
            <w:pPr>
              <w:pStyle w:val="806"/>
              <w:keepNext w:val="0"/>
              <w:keepLines w:val="0"/>
              <w:suppressLineNumbers w:val="0"/>
              <w:spacing w:before="56" w:beforeAutospacing="0" w:after="0" w:afterAutospacing="0" w:line="240" w:lineRule="auto"/>
              <w:ind w:left="108" w:leftChars="0" w:right="101" w:rightChars="0"/>
              <w:jc w:val="center"/>
              <w:rPr>
                <w:rFonts w:hint="eastAsia" w:ascii="宋体" w:hAnsi="宋体" w:eastAsia="宋体" w:cs="宋体"/>
                <w:color w:val="auto"/>
                <w:kern w:val="0"/>
                <w:sz w:val="21"/>
                <w:szCs w:val="21"/>
                <w:highlight w:val="none"/>
                <w:lang w:bidi="ar"/>
              </w:rPr>
            </w:pPr>
            <w:r>
              <w:rPr>
                <w:rFonts w:hint="eastAsia" w:hAnsi="宋体" w:cs="宋体"/>
                <w:color w:val="auto"/>
                <w:sz w:val="21"/>
                <w:szCs w:val="21"/>
                <w:highlight w:val="none"/>
              </w:rPr>
              <w:t>硒</w:t>
            </w:r>
          </w:p>
        </w:tc>
        <w:tc>
          <w:tcPr>
            <w:tcW w:w="1780" w:type="dxa"/>
            <w:tcBorders>
              <w:tl2br w:val="nil"/>
              <w:tr2bl w:val="nil"/>
            </w:tcBorders>
            <w:shd w:val="clear" w:color="auto" w:fill="auto"/>
            <w:noWrap w:val="0"/>
            <w:vAlign w:val="center"/>
          </w:tcPr>
          <w:p w14:paraId="76D4D1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0.0004L</w:t>
            </w:r>
          </w:p>
        </w:tc>
        <w:tc>
          <w:tcPr>
            <w:tcW w:w="1780" w:type="dxa"/>
            <w:tcBorders>
              <w:tl2br w:val="nil"/>
              <w:tr2bl w:val="nil"/>
            </w:tcBorders>
            <w:shd w:val="clear" w:color="auto" w:fill="auto"/>
            <w:noWrap w:val="0"/>
            <w:vAlign w:val="center"/>
          </w:tcPr>
          <w:p w14:paraId="6361BF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0.0004L</w:t>
            </w:r>
          </w:p>
        </w:tc>
        <w:tc>
          <w:tcPr>
            <w:tcW w:w="1780" w:type="dxa"/>
            <w:tcBorders>
              <w:tl2br w:val="nil"/>
              <w:tr2bl w:val="nil"/>
            </w:tcBorders>
            <w:shd w:val="clear" w:color="auto" w:fill="auto"/>
            <w:noWrap w:val="0"/>
            <w:vAlign w:val="center"/>
          </w:tcPr>
          <w:p w14:paraId="282692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0.0004L</w:t>
            </w:r>
          </w:p>
        </w:tc>
        <w:tc>
          <w:tcPr>
            <w:tcW w:w="1783" w:type="dxa"/>
            <w:tcBorders>
              <w:tl2br w:val="nil"/>
              <w:tr2bl w:val="nil"/>
            </w:tcBorders>
            <w:shd w:val="clear" w:color="auto" w:fill="auto"/>
            <w:noWrap w:val="0"/>
            <w:vAlign w:val="center"/>
          </w:tcPr>
          <w:p w14:paraId="4928D4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cs="Times New Roman"/>
                <w:b w:val="0"/>
                <w:bCs w:val="0"/>
                <w:color w:val="auto"/>
                <w:kern w:val="2"/>
                <w:sz w:val="21"/>
                <w:szCs w:val="21"/>
                <w:highlight w:val="none"/>
                <w:vertAlign w:val="baseline"/>
                <w:lang w:val="en-US" w:eastAsia="zh-CN" w:bidi="ar-SA"/>
              </w:rPr>
              <w:t>0.01</w:t>
            </w:r>
          </w:p>
        </w:tc>
        <w:tc>
          <w:tcPr>
            <w:tcW w:w="1398" w:type="dxa"/>
            <w:tcBorders>
              <w:tl2br w:val="nil"/>
              <w:tr2bl w:val="nil"/>
            </w:tcBorders>
            <w:shd w:val="clear" w:color="auto" w:fill="auto"/>
            <w:noWrap w:val="0"/>
            <w:vAlign w:val="center"/>
          </w:tcPr>
          <w:p w14:paraId="176CFA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22AD8A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3133CD33">
            <w:pPr>
              <w:pStyle w:val="806"/>
              <w:keepNext w:val="0"/>
              <w:keepLines w:val="0"/>
              <w:suppressLineNumbers w:val="0"/>
              <w:spacing w:before="0" w:beforeAutospacing="0" w:after="0" w:afterAutospacing="0" w:line="240" w:lineRule="auto"/>
              <w:ind w:left="0" w:leftChars="0" w:right="0" w:rightChars="0"/>
              <w:jc w:val="center"/>
              <w:rPr>
                <w:rFonts w:hint="eastAsia" w:ascii="宋体" w:hAnsi="宋体" w:eastAsia="宋体" w:cs="宋体"/>
                <w:color w:val="auto"/>
                <w:kern w:val="0"/>
                <w:sz w:val="21"/>
                <w:szCs w:val="21"/>
                <w:highlight w:val="none"/>
                <w:lang w:bidi="ar"/>
              </w:rPr>
            </w:pPr>
            <w:r>
              <w:rPr>
                <w:rFonts w:hint="eastAsia" w:hAnsi="宋体" w:cs="宋体"/>
                <w:color w:val="auto"/>
                <w:sz w:val="21"/>
                <w:szCs w:val="21"/>
                <w:highlight w:val="none"/>
              </w:rPr>
              <w:t>铜</w:t>
            </w:r>
          </w:p>
        </w:tc>
        <w:tc>
          <w:tcPr>
            <w:tcW w:w="1780" w:type="dxa"/>
            <w:tcBorders>
              <w:tl2br w:val="nil"/>
              <w:tr2bl w:val="nil"/>
            </w:tcBorders>
            <w:shd w:val="clear" w:color="auto" w:fill="auto"/>
            <w:noWrap w:val="0"/>
            <w:vAlign w:val="center"/>
          </w:tcPr>
          <w:p w14:paraId="73AC89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0.05L</w:t>
            </w:r>
          </w:p>
        </w:tc>
        <w:tc>
          <w:tcPr>
            <w:tcW w:w="1780" w:type="dxa"/>
            <w:tcBorders>
              <w:tl2br w:val="nil"/>
              <w:tr2bl w:val="nil"/>
            </w:tcBorders>
            <w:shd w:val="clear" w:color="auto" w:fill="auto"/>
            <w:noWrap w:val="0"/>
            <w:vAlign w:val="center"/>
          </w:tcPr>
          <w:p w14:paraId="3FCCC2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0.05L</w:t>
            </w:r>
          </w:p>
        </w:tc>
        <w:tc>
          <w:tcPr>
            <w:tcW w:w="1780" w:type="dxa"/>
            <w:tcBorders>
              <w:tl2br w:val="nil"/>
              <w:tr2bl w:val="nil"/>
            </w:tcBorders>
            <w:shd w:val="clear" w:color="auto" w:fill="auto"/>
            <w:noWrap w:val="0"/>
            <w:vAlign w:val="center"/>
          </w:tcPr>
          <w:p w14:paraId="5B6D0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0.05L</w:t>
            </w:r>
          </w:p>
        </w:tc>
        <w:tc>
          <w:tcPr>
            <w:tcW w:w="1783" w:type="dxa"/>
            <w:tcBorders>
              <w:tl2br w:val="nil"/>
              <w:tr2bl w:val="nil"/>
            </w:tcBorders>
            <w:shd w:val="clear" w:color="auto" w:fill="auto"/>
            <w:noWrap w:val="0"/>
            <w:vAlign w:val="center"/>
          </w:tcPr>
          <w:p w14:paraId="078B37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1.00</w:t>
            </w:r>
          </w:p>
        </w:tc>
        <w:tc>
          <w:tcPr>
            <w:tcW w:w="1398" w:type="dxa"/>
            <w:tcBorders>
              <w:tl2br w:val="nil"/>
              <w:tr2bl w:val="nil"/>
            </w:tcBorders>
            <w:shd w:val="clear" w:color="auto" w:fill="auto"/>
            <w:noWrap w:val="0"/>
            <w:vAlign w:val="center"/>
          </w:tcPr>
          <w:p w14:paraId="339A79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67A898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586AA2F4">
            <w:pPr>
              <w:pStyle w:val="806"/>
              <w:keepNext w:val="0"/>
              <w:keepLines w:val="0"/>
              <w:suppressLineNumbers w:val="0"/>
              <w:spacing w:before="0" w:beforeAutospacing="0" w:after="0" w:afterAutospacing="0" w:line="240" w:lineRule="auto"/>
              <w:ind w:left="0" w:leftChars="0" w:right="0" w:rightChars="0"/>
              <w:jc w:val="center"/>
              <w:rPr>
                <w:rFonts w:hint="eastAsia" w:ascii="宋体" w:hAnsi="宋体" w:eastAsia="宋体" w:cs="宋体"/>
                <w:color w:val="auto"/>
                <w:kern w:val="0"/>
                <w:sz w:val="21"/>
                <w:szCs w:val="21"/>
                <w:highlight w:val="none"/>
                <w:lang w:bidi="ar"/>
              </w:rPr>
            </w:pPr>
            <w:r>
              <w:rPr>
                <w:rFonts w:hint="eastAsia" w:hAnsi="宋体" w:cs="宋体"/>
                <w:color w:val="auto"/>
                <w:sz w:val="21"/>
                <w:szCs w:val="21"/>
                <w:highlight w:val="none"/>
              </w:rPr>
              <w:t>锌</w:t>
            </w:r>
          </w:p>
        </w:tc>
        <w:tc>
          <w:tcPr>
            <w:tcW w:w="1780" w:type="dxa"/>
            <w:tcBorders>
              <w:tl2br w:val="nil"/>
              <w:tr2bl w:val="nil"/>
            </w:tcBorders>
            <w:shd w:val="clear" w:color="auto" w:fill="auto"/>
            <w:noWrap w:val="0"/>
            <w:vAlign w:val="center"/>
          </w:tcPr>
          <w:p w14:paraId="54E6F0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0.05L</w:t>
            </w:r>
          </w:p>
        </w:tc>
        <w:tc>
          <w:tcPr>
            <w:tcW w:w="1780" w:type="dxa"/>
            <w:tcBorders>
              <w:tl2br w:val="nil"/>
              <w:tr2bl w:val="nil"/>
            </w:tcBorders>
            <w:shd w:val="clear" w:color="auto" w:fill="auto"/>
            <w:noWrap w:val="0"/>
            <w:vAlign w:val="center"/>
          </w:tcPr>
          <w:p w14:paraId="4F4335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0.05L</w:t>
            </w:r>
          </w:p>
        </w:tc>
        <w:tc>
          <w:tcPr>
            <w:tcW w:w="1780" w:type="dxa"/>
            <w:tcBorders>
              <w:tl2br w:val="nil"/>
              <w:tr2bl w:val="nil"/>
            </w:tcBorders>
            <w:shd w:val="clear" w:color="auto" w:fill="auto"/>
            <w:noWrap w:val="0"/>
            <w:vAlign w:val="center"/>
          </w:tcPr>
          <w:p w14:paraId="42A427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0.05L</w:t>
            </w:r>
          </w:p>
        </w:tc>
        <w:tc>
          <w:tcPr>
            <w:tcW w:w="1783" w:type="dxa"/>
            <w:tcBorders>
              <w:tl2br w:val="nil"/>
              <w:tr2bl w:val="nil"/>
            </w:tcBorders>
            <w:shd w:val="clear" w:color="auto" w:fill="auto"/>
            <w:noWrap w:val="0"/>
            <w:vAlign w:val="center"/>
          </w:tcPr>
          <w:p w14:paraId="166389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1.00</w:t>
            </w:r>
          </w:p>
        </w:tc>
        <w:tc>
          <w:tcPr>
            <w:tcW w:w="1398" w:type="dxa"/>
            <w:tcBorders>
              <w:tl2br w:val="nil"/>
              <w:tr2bl w:val="nil"/>
            </w:tcBorders>
            <w:shd w:val="clear" w:color="auto" w:fill="auto"/>
            <w:noWrap w:val="0"/>
            <w:vAlign w:val="center"/>
          </w:tcPr>
          <w:p w14:paraId="77BDAE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19E116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1197ADA7">
            <w:pPr>
              <w:pStyle w:val="806"/>
              <w:keepNext w:val="0"/>
              <w:keepLines w:val="0"/>
              <w:suppressLineNumbers w:val="0"/>
              <w:spacing w:before="56" w:beforeAutospacing="0" w:after="0" w:afterAutospacing="0" w:line="240" w:lineRule="auto"/>
              <w:ind w:left="0" w:right="101" w:rightChars="0"/>
              <w:jc w:val="center"/>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bidi="ar"/>
              </w:rPr>
              <w:t>溶解性总固体</w:t>
            </w:r>
          </w:p>
        </w:tc>
        <w:tc>
          <w:tcPr>
            <w:tcW w:w="1780" w:type="dxa"/>
            <w:tcBorders>
              <w:tl2br w:val="nil"/>
              <w:tr2bl w:val="nil"/>
            </w:tcBorders>
            <w:shd w:val="clear" w:color="auto" w:fill="auto"/>
            <w:noWrap w:val="0"/>
            <w:vAlign w:val="center"/>
          </w:tcPr>
          <w:p w14:paraId="646E9E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326</w:t>
            </w:r>
          </w:p>
        </w:tc>
        <w:tc>
          <w:tcPr>
            <w:tcW w:w="1780" w:type="dxa"/>
            <w:tcBorders>
              <w:tl2br w:val="nil"/>
              <w:tr2bl w:val="nil"/>
            </w:tcBorders>
            <w:shd w:val="clear" w:color="auto" w:fill="auto"/>
            <w:noWrap w:val="0"/>
            <w:vAlign w:val="center"/>
          </w:tcPr>
          <w:p w14:paraId="3BBCFE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303</w:t>
            </w:r>
          </w:p>
        </w:tc>
        <w:tc>
          <w:tcPr>
            <w:tcW w:w="1780" w:type="dxa"/>
            <w:tcBorders>
              <w:tl2br w:val="nil"/>
              <w:tr2bl w:val="nil"/>
            </w:tcBorders>
            <w:shd w:val="clear" w:color="auto" w:fill="auto"/>
            <w:noWrap w:val="0"/>
            <w:vAlign w:val="center"/>
          </w:tcPr>
          <w:p w14:paraId="1E4671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287</w:t>
            </w:r>
          </w:p>
        </w:tc>
        <w:tc>
          <w:tcPr>
            <w:tcW w:w="1783" w:type="dxa"/>
            <w:tcBorders>
              <w:tl2br w:val="nil"/>
              <w:tr2bl w:val="nil"/>
            </w:tcBorders>
            <w:shd w:val="clear" w:color="auto" w:fill="auto"/>
            <w:noWrap w:val="0"/>
            <w:vAlign w:val="center"/>
          </w:tcPr>
          <w:p w14:paraId="57357C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1000</w:t>
            </w:r>
          </w:p>
        </w:tc>
        <w:tc>
          <w:tcPr>
            <w:tcW w:w="1398" w:type="dxa"/>
            <w:tcBorders>
              <w:tl2br w:val="nil"/>
              <w:tr2bl w:val="nil"/>
            </w:tcBorders>
            <w:shd w:val="clear" w:color="auto" w:fill="auto"/>
            <w:noWrap w:val="0"/>
            <w:vAlign w:val="center"/>
          </w:tcPr>
          <w:p w14:paraId="726AE1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1A342B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4D55196C">
            <w:pPr>
              <w:pStyle w:val="806"/>
              <w:keepNext w:val="0"/>
              <w:keepLines w:val="0"/>
              <w:suppressLineNumbers w:val="0"/>
              <w:spacing w:before="56" w:beforeAutospacing="0" w:after="0" w:afterAutospacing="0" w:line="240" w:lineRule="auto"/>
              <w:ind w:left="108" w:leftChars="0" w:right="101" w:rightChars="0"/>
              <w:jc w:val="center"/>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bidi="ar"/>
              </w:rPr>
              <w:t>耗氧量</w:t>
            </w:r>
          </w:p>
        </w:tc>
        <w:tc>
          <w:tcPr>
            <w:tcW w:w="1780" w:type="dxa"/>
            <w:tcBorders>
              <w:tl2br w:val="nil"/>
              <w:tr2bl w:val="nil"/>
            </w:tcBorders>
            <w:shd w:val="clear" w:color="auto" w:fill="auto"/>
            <w:noWrap w:val="0"/>
            <w:vAlign w:val="center"/>
          </w:tcPr>
          <w:p w14:paraId="326590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0.9</w:t>
            </w:r>
          </w:p>
        </w:tc>
        <w:tc>
          <w:tcPr>
            <w:tcW w:w="1780" w:type="dxa"/>
            <w:tcBorders>
              <w:tl2br w:val="nil"/>
              <w:tr2bl w:val="nil"/>
            </w:tcBorders>
            <w:shd w:val="clear" w:color="auto" w:fill="auto"/>
            <w:noWrap w:val="0"/>
            <w:vAlign w:val="center"/>
          </w:tcPr>
          <w:p w14:paraId="1CA507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1.1</w:t>
            </w:r>
          </w:p>
        </w:tc>
        <w:tc>
          <w:tcPr>
            <w:tcW w:w="1780" w:type="dxa"/>
            <w:tcBorders>
              <w:tl2br w:val="nil"/>
              <w:tr2bl w:val="nil"/>
            </w:tcBorders>
            <w:shd w:val="clear" w:color="auto" w:fill="auto"/>
            <w:noWrap w:val="0"/>
            <w:vAlign w:val="center"/>
          </w:tcPr>
          <w:p w14:paraId="3992FC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1.2</w:t>
            </w:r>
          </w:p>
        </w:tc>
        <w:tc>
          <w:tcPr>
            <w:tcW w:w="1783" w:type="dxa"/>
            <w:tcBorders>
              <w:tl2br w:val="nil"/>
              <w:tr2bl w:val="nil"/>
            </w:tcBorders>
            <w:shd w:val="clear" w:color="auto" w:fill="auto"/>
            <w:noWrap w:val="0"/>
            <w:vAlign w:val="center"/>
          </w:tcPr>
          <w:p w14:paraId="02DFE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3.0</w:t>
            </w:r>
          </w:p>
        </w:tc>
        <w:tc>
          <w:tcPr>
            <w:tcW w:w="1398" w:type="dxa"/>
            <w:tcBorders>
              <w:tl2br w:val="nil"/>
              <w:tr2bl w:val="nil"/>
            </w:tcBorders>
            <w:shd w:val="clear" w:color="auto" w:fill="auto"/>
            <w:noWrap w:val="0"/>
            <w:vAlign w:val="center"/>
          </w:tcPr>
          <w:p w14:paraId="3614D6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2"/>
                <w:sz w:val="21"/>
                <w:szCs w:val="21"/>
                <w:highlight w:val="none"/>
              </w:rPr>
            </w:pPr>
            <w:r>
              <w:rPr>
                <w:rFonts w:hint="default" w:ascii="Times New Roman" w:hAnsi="Times New Roman" w:eastAsia="宋体" w:cs="Times New Roman"/>
                <w:color w:val="auto"/>
                <w:spacing w:val="-2"/>
                <w:sz w:val="21"/>
                <w:szCs w:val="21"/>
                <w:highlight w:val="none"/>
              </w:rPr>
              <w:t>mg/L</w:t>
            </w:r>
          </w:p>
        </w:tc>
      </w:tr>
      <w:tr w14:paraId="09EB7A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1055B0E3">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总大肠菌群</w:t>
            </w:r>
          </w:p>
        </w:tc>
        <w:tc>
          <w:tcPr>
            <w:tcW w:w="1780" w:type="dxa"/>
            <w:tcBorders>
              <w:tl2br w:val="nil"/>
              <w:tr2bl w:val="nil"/>
            </w:tcBorders>
            <w:shd w:val="clear" w:color="auto" w:fill="auto"/>
            <w:noWrap w:val="0"/>
            <w:vAlign w:val="center"/>
          </w:tcPr>
          <w:p w14:paraId="57D8CA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b w:val="0"/>
                <w:bCs w:val="0"/>
                <w:color w:val="auto"/>
                <w:kern w:val="2"/>
                <w:sz w:val="21"/>
                <w:szCs w:val="21"/>
                <w:highlight w:val="none"/>
                <w:vertAlign w:val="baseline"/>
                <w:lang w:val="en-US" w:eastAsia="zh-CN" w:bidi="ar-SA"/>
              </w:rPr>
              <w:t>&lt;</w:t>
            </w:r>
            <w:r>
              <w:rPr>
                <w:rFonts w:hint="default" w:ascii="Times New Roman" w:hAnsi="Times New Roman" w:cs="Times New Roman"/>
                <w:b w:val="0"/>
                <w:bCs w:val="0"/>
                <w:color w:val="auto"/>
                <w:kern w:val="2"/>
                <w:sz w:val="21"/>
                <w:szCs w:val="21"/>
                <w:highlight w:val="none"/>
                <w:vertAlign w:val="baseline"/>
                <w:lang w:val="en-US" w:eastAsia="zh-CN" w:bidi="ar-SA"/>
              </w:rPr>
              <w:t>2</w:t>
            </w:r>
          </w:p>
        </w:tc>
        <w:tc>
          <w:tcPr>
            <w:tcW w:w="1780" w:type="dxa"/>
            <w:tcBorders>
              <w:tl2br w:val="nil"/>
              <w:tr2bl w:val="nil"/>
            </w:tcBorders>
            <w:shd w:val="clear" w:color="auto" w:fill="auto"/>
            <w:noWrap w:val="0"/>
            <w:vAlign w:val="center"/>
          </w:tcPr>
          <w:p w14:paraId="66925B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b w:val="0"/>
                <w:bCs w:val="0"/>
                <w:color w:val="auto"/>
                <w:kern w:val="2"/>
                <w:sz w:val="21"/>
                <w:szCs w:val="21"/>
                <w:highlight w:val="none"/>
                <w:vertAlign w:val="baseline"/>
                <w:lang w:val="en-US" w:eastAsia="zh-CN" w:bidi="ar-SA"/>
              </w:rPr>
              <w:t>&lt;</w:t>
            </w:r>
            <w:r>
              <w:rPr>
                <w:rFonts w:hint="default" w:ascii="Times New Roman" w:hAnsi="Times New Roman" w:cs="Times New Roman"/>
                <w:b w:val="0"/>
                <w:bCs w:val="0"/>
                <w:color w:val="auto"/>
                <w:kern w:val="2"/>
                <w:sz w:val="21"/>
                <w:szCs w:val="21"/>
                <w:highlight w:val="none"/>
                <w:vertAlign w:val="baseline"/>
                <w:lang w:val="en-US" w:eastAsia="zh-CN" w:bidi="ar-SA"/>
              </w:rPr>
              <w:t>2</w:t>
            </w:r>
          </w:p>
        </w:tc>
        <w:tc>
          <w:tcPr>
            <w:tcW w:w="1780" w:type="dxa"/>
            <w:tcBorders>
              <w:tl2br w:val="nil"/>
              <w:tr2bl w:val="nil"/>
            </w:tcBorders>
            <w:shd w:val="clear" w:color="auto" w:fill="auto"/>
            <w:noWrap w:val="0"/>
            <w:vAlign w:val="center"/>
          </w:tcPr>
          <w:p w14:paraId="5C02B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b w:val="0"/>
                <w:bCs w:val="0"/>
                <w:color w:val="auto"/>
                <w:kern w:val="2"/>
                <w:sz w:val="21"/>
                <w:szCs w:val="21"/>
                <w:highlight w:val="none"/>
                <w:vertAlign w:val="baseline"/>
                <w:lang w:val="en-US" w:eastAsia="zh-CN" w:bidi="ar-SA"/>
              </w:rPr>
              <w:t>&lt;</w:t>
            </w:r>
            <w:r>
              <w:rPr>
                <w:rFonts w:hint="default" w:ascii="Times New Roman" w:hAnsi="Times New Roman" w:cs="Times New Roman"/>
                <w:b w:val="0"/>
                <w:bCs w:val="0"/>
                <w:color w:val="auto"/>
                <w:kern w:val="2"/>
                <w:sz w:val="21"/>
                <w:szCs w:val="21"/>
                <w:highlight w:val="none"/>
                <w:vertAlign w:val="baseline"/>
                <w:lang w:val="en-US" w:eastAsia="zh-CN" w:bidi="ar-SA"/>
              </w:rPr>
              <w:t>2</w:t>
            </w:r>
          </w:p>
        </w:tc>
        <w:tc>
          <w:tcPr>
            <w:tcW w:w="1783" w:type="dxa"/>
            <w:tcBorders>
              <w:tl2br w:val="nil"/>
              <w:tr2bl w:val="nil"/>
            </w:tcBorders>
            <w:shd w:val="clear" w:color="auto" w:fill="auto"/>
            <w:noWrap w:val="0"/>
            <w:vAlign w:val="center"/>
          </w:tcPr>
          <w:p w14:paraId="04E02A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3.0</w:t>
            </w:r>
          </w:p>
        </w:tc>
        <w:tc>
          <w:tcPr>
            <w:tcW w:w="1398" w:type="dxa"/>
            <w:tcBorders>
              <w:tl2br w:val="nil"/>
              <w:tr2bl w:val="nil"/>
            </w:tcBorders>
            <w:shd w:val="clear" w:color="auto" w:fill="auto"/>
            <w:noWrap w:val="0"/>
            <w:vAlign w:val="center"/>
          </w:tcPr>
          <w:p w14:paraId="29447B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MPN/100mL</w:t>
            </w:r>
          </w:p>
        </w:tc>
      </w:tr>
      <w:tr w14:paraId="30D902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63" w:type="dxa"/>
            <w:tcBorders>
              <w:tl2br w:val="nil"/>
              <w:tr2bl w:val="nil"/>
            </w:tcBorders>
            <w:shd w:val="clear" w:color="auto" w:fill="auto"/>
            <w:noWrap w:val="0"/>
            <w:vAlign w:val="center"/>
          </w:tcPr>
          <w:p w14:paraId="4F408052">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菌落总数</w:t>
            </w:r>
          </w:p>
        </w:tc>
        <w:tc>
          <w:tcPr>
            <w:tcW w:w="1780" w:type="dxa"/>
            <w:tcBorders>
              <w:tl2br w:val="nil"/>
              <w:tr2bl w:val="nil"/>
            </w:tcBorders>
            <w:shd w:val="clear" w:color="auto" w:fill="auto"/>
            <w:noWrap w:val="0"/>
            <w:vAlign w:val="center"/>
          </w:tcPr>
          <w:p w14:paraId="5CFD8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45</w:t>
            </w:r>
          </w:p>
        </w:tc>
        <w:tc>
          <w:tcPr>
            <w:tcW w:w="1780" w:type="dxa"/>
            <w:tcBorders>
              <w:tl2br w:val="nil"/>
              <w:tr2bl w:val="nil"/>
            </w:tcBorders>
            <w:shd w:val="clear" w:color="auto" w:fill="auto"/>
            <w:noWrap w:val="0"/>
            <w:vAlign w:val="center"/>
          </w:tcPr>
          <w:p w14:paraId="4B8C0D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35</w:t>
            </w:r>
          </w:p>
        </w:tc>
        <w:tc>
          <w:tcPr>
            <w:tcW w:w="1780" w:type="dxa"/>
            <w:tcBorders>
              <w:tl2br w:val="nil"/>
              <w:tr2bl w:val="nil"/>
            </w:tcBorders>
            <w:shd w:val="clear" w:color="auto" w:fill="auto"/>
            <w:noWrap w:val="0"/>
            <w:vAlign w:val="center"/>
          </w:tcPr>
          <w:p w14:paraId="34AD8B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kern w:val="2"/>
                <w:sz w:val="21"/>
                <w:szCs w:val="21"/>
                <w:highlight w:val="none"/>
                <w:vertAlign w:val="baseline"/>
                <w:lang w:val="en-US" w:eastAsia="zh-CN" w:bidi="ar-SA"/>
              </w:rPr>
              <w:t>50</w:t>
            </w:r>
          </w:p>
        </w:tc>
        <w:tc>
          <w:tcPr>
            <w:tcW w:w="1783" w:type="dxa"/>
            <w:tcBorders>
              <w:tl2br w:val="nil"/>
              <w:tr2bl w:val="nil"/>
            </w:tcBorders>
            <w:shd w:val="clear" w:color="auto" w:fill="auto"/>
            <w:noWrap w:val="0"/>
            <w:vAlign w:val="center"/>
          </w:tcPr>
          <w:p w14:paraId="33AB66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w:t>
            </w:r>
            <w:r>
              <w:rPr>
                <w:rFonts w:hint="eastAsia" w:ascii="Times New Roman" w:hAnsi="Times New Roman" w:cs="Times New Roman"/>
                <w:b w:val="0"/>
                <w:bCs w:val="0"/>
                <w:color w:val="auto"/>
                <w:kern w:val="2"/>
                <w:sz w:val="21"/>
                <w:szCs w:val="21"/>
                <w:highlight w:val="none"/>
                <w:vertAlign w:val="baseline"/>
                <w:lang w:val="en-US" w:eastAsia="zh-CN" w:bidi="ar-SA"/>
              </w:rPr>
              <w:t>100</w:t>
            </w:r>
          </w:p>
        </w:tc>
        <w:tc>
          <w:tcPr>
            <w:tcW w:w="1398" w:type="dxa"/>
            <w:tcBorders>
              <w:tl2br w:val="nil"/>
              <w:tr2bl w:val="nil"/>
            </w:tcBorders>
            <w:shd w:val="clear" w:color="auto" w:fill="auto"/>
            <w:noWrap w:val="0"/>
            <w:vAlign w:val="center"/>
          </w:tcPr>
          <w:p w14:paraId="465D87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default" w:ascii="Times New Roman" w:hAnsi="Times New Roman" w:cs="Times New Roman"/>
                <w:b w:val="0"/>
                <w:bCs w:val="0"/>
                <w:color w:val="auto"/>
                <w:kern w:val="2"/>
                <w:sz w:val="21"/>
                <w:szCs w:val="21"/>
                <w:highlight w:val="none"/>
                <w:vertAlign w:val="baseline"/>
                <w:lang w:val="en-US" w:eastAsia="zh-CN" w:bidi="ar-SA"/>
              </w:rPr>
              <w:t>CFU/mL</w:t>
            </w:r>
          </w:p>
        </w:tc>
      </w:tr>
      <w:tr w14:paraId="50D9C2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10184" w:type="dxa"/>
            <w:gridSpan w:val="6"/>
            <w:tcBorders>
              <w:tl2br w:val="nil"/>
              <w:tr2bl w:val="nil"/>
            </w:tcBorders>
            <w:shd w:val="clear" w:color="auto" w:fill="auto"/>
            <w:noWrap w:val="0"/>
            <w:vAlign w:val="center"/>
          </w:tcPr>
          <w:p w14:paraId="430E9C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left"/>
              <w:textAlignment w:val="auto"/>
              <w:rPr>
                <w:rFonts w:hint="default" w:ascii="Times New Roman" w:hAnsi="Times New Roman" w:cs="Times New Roman"/>
                <w:b w:val="0"/>
                <w:bCs w:val="0"/>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rPr>
              <w:t>注：</w:t>
            </w:r>
            <w:r>
              <w:rPr>
                <w:rFonts w:hint="eastAsia" w:ascii="Times New Roman" w:hAnsi="Times New Roman" w:eastAsia="宋体" w:cs="Times New Roman"/>
                <w:color w:val="auto"/>
                <w:sz w:val="21"/>
                <w:szCs w:val="21"/>
                <w:highlight w:val="none"/>
                <w:lang w:val="en-US" w:eastAsia="zh-CN"/>
              </w:rPr>
              <w:t>执行</w:t>
            </w:r>
            <w:r>
              <w:rPr>
                <w:rFonts w:hint="default" w:ascii="Times New Roman" w:hAnsi="Times New Roman" w:eastAsia="宋体" w:cs="Times New Roman"/>
                <w:color w:val="auto"/>
                <w:sz w:val="21"/>
                <w:szCs w:val="21"/>
                <w:highlight w:val="none"/>
              </w:rPr>
              <w:t>《</w:t>
            </w:r>
            <w:r>
              <w:rPr>
                <w:rFonts w:hint="eastAsia" w:ascii="Times New Roman" w:hAnsi="Times New Roman" w:cs="Times New Roman"/>
                <w:color w:val="auto"/>
                <w:sz w:val="21"/>
                <w:szCs w:val="21"/>
                <w:highlight w:val="none"/>
                <w:lang w:val="en-US" w:eastAsia="zh-CN"/>
              </w:rPr>
              <w:t>地下水质量标准</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kern w:val="2"/>
                <w:sz w:val="21"/>
                <w:szCs w:val="21"/>
                <w:highlight w:val="none"/>
                <w:lang w:val="en-US" w:eastAsia="zh-CN" w:bidi="ar-SA"/>
              </w:rPr>
              <w:t>GB/T 14848-2017</w:t>
            </w:r>
            <w:r>
              <w:rPr>
                <w:rFonts w:hint="default" w:ascii="Times New Roman" w:hAnsi="Times New Roman" w:eastAsia="宋体" w:cs="Times New Roman"/>
                <w:color w:val="auto"/>
                <w:sz w:val="21"/>
                <w:szCs w:val="21"/>
                <w:highlight w:val="none"/>
              </w:rPr>
              <w:t>）Ⅲ</w:t>
            </w:r>
            <w:r>
              <w:rPr>
                <w:rFonts w:hint="eastAsia" w:cs="Times New Roman"/>
                <w:color w:val="auto"/>
                <w:kern w:val="2"/>
                <w:sz w:val="21"/>
                <w:szCs w:val="21"/>
                <w:highlight w:val="none"/>
                <w:lang w:val="en-US" w:eastAsia="zh-CN" w:bidi="ar-SA"/>
              </w:rPr>
              <w:t>类</w:t>
            </w:r>
            <w:r>
              <w:rPr>
                <w:rFonts w:hint="eastAsia" w:ascii="Times New Roman" w:hAnsi="Times New Roman" w:cs="Times New Roman"/>
                <w:color w:val="auto"/>
                <w:sz w:val="21"/>
                <w:szCs w:val="21"/>
                <w:highlight w:val="none"/>
                <w:lang w:val="en-US" w:eastAsia="zh-CN"/>
              </w:rPr>
              <w:t>限值</w:t>
            </w:r>
            <w:r>
              <w:rPr>
                <w:rFonts w:hint="eastAsia" w:cs="Times New Roman"/>
                <w:color w:val="auto"/>
                <w:sz w:val="21"/>
                <w:szCs w:val="21"/>
                <w:highlight w:val="none"/>
                <w:lang w:val="en-US" w:eastAsia="zh-CN"/>
              </w:rPr>
              <w:t>，</w:t>
            </w:r>
            <w:r>
              <w:rPr>
                <w:rFonts w:hint="eastAsia" w:ascii="宋体" w:hAnsi="宋体" w:eastAsia="宋体" w:cs="宋体"/>
                <w:color w:val="auto"/>
                <w:sz w:val="21"/>
                <w:szCs w:val="21"/>
                <w:highlight w:val="none"/>
                <w:lang w:val="en-US" w:eastAsia="zh-CN"/>
              </w:rPr>
              <w:t>当检测结果未检出或小于检出限时，检测结果以检出限加L表示。</w:t>
            </w:r>
          </w:p>
        </w:tc>
      </w:tr>
    </w:tbl>
    <w:p w14:paraId="498CE2C9">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4、现状评价结论</w:t>
      </w:r>
    </w:p>
    <w:p w14:paraId="4CA54A77">
      <w:pPr>
        <w:spacing w:line="360" w:lineRule="auto"/>
        <w:ind w:firstLine="472"/>
        <w:rPr>
          <w:rFonts w:hint="eastAsia" w:asciiTheme="minorEastAsia" w:hAnsiTheme="minorEastAsia" w:eastAsiaTheme="minorEastAsia" w:cstheme="minorEastAsia"/>
          <w:color w:val="auto"/>
          <w:spacing w:val="-2"/>
          <w:szCs w:val="24"/>
          <w:highlight w:val="none"/>
          <w:lang w:val="zh-CN"/>
        </w:rPr>
      </w:pPr>
      <w:r>
        <w:rPr>
          <w:rFonts w:hint="eastAsia" w:ascii="宋体" w:hAnsi="宋体" w:eastAsia="宋体" w:cs="宋体"/>
          <w:color w:val="auto"/>
          <w:kern w:val="0"/>
          <w:sz w:val="24"/>
          <w:highlight w:val="none"/>
          <w:lang w:bidi="ar"/>
        </w:rPr>
        <w:t>由评价结果可知：</w:t>
      </w:r>
      <w:r>
        <w:rPr>
          <w:rFonts w:hint="eastAsia" w:ascii="宋体" w:hAnsi="宋体" w:eastAsia="宋体" w:cs="宋体"/>
          <w:color w:val="auto"/>
          <w:kern w:val="0"/>
          <w:sz w:val="24"/>
          <w:highlight w:val="none"/>
          <w:lang w:val="en-US" w:eastAsia="zh-CN" w:bidi="ar"/>
        </w:rPr>
        <w:t>各</w:t>
      </w:r>
      <w:r>
        <w:rPr>
          <w:rFonts w:hint="eastAsia" w:ascii="宋体" w:hAnsi="宋体" w:eastAsia="宋体" w:cs="宋体"/>
          <w:color w:val="auto"/>
          <w:kern w:val="0"/>
          <w:sz w:val="24"/>
          <w:highlight w:val="none"/>
          <w:lang w:bidi="ar"/>
        </w:rPr>
        <w:t>监测点</w:t>
      </w:r>
      <w:r>
        <w:rPr>
          <w:rFonts w:hint="eastAsia" w:ascii="宋体" w:hAnsi="宋体" w:eastAsia="宋体" w:cs="宋体"/>
          <w:color w:val="auto"/>
          <w:kern w:val="0"/>
          <w:sz w:val="24"/>
          <w:highlight w:val="none"/>
          <w:lang w:val="en-US" w:eastAsia="zh-CN" w:bidi="ar"/>
        </w:rPr>
        <w:t>位监测因子均能满足</w:t>
      </w:r>
      <w:r>
        <w:rPr>
          <w:rFonts w:hint="eastAsia" w:ascii="宋体" w:hAnsi="宋体" w:eastAsia="宋体" w:cs="宋体"/>
          <w:color w:val="auto"/>
          <w:kern w:val="0"/>
          <w:sz w:val="24"/>
          <w:highlight w:val="none"/>
          <w:lang w:bidi="ar"/>
        </w:rPr>
        <w:t>《地下水质量标准》（GB/T14848-2017）中</w:t>
      </w:r>
      <w:r>
        <w:rPr>
          <w:rFonts w:hint="eastAsia" w:ascii="宋体" w:hAnsi="宋体" w:eastAsia="宋体" w:cs="宋体"/>
          <w:color w:val="auto"/>
          <w:kern w:val="0"/>
          <w:sz w:val="24"/>
          <w:highlight w:val="none"/>
          <w:lang w:eastAsia="zh-CN" w:bidi="ar"/>
        </w:rPr>
        <w:t>Ⅲ类</w:t>
      </w:r>
      <w:r>
        <w:rPr>
          <w:rFonts w:hint="eastAsia" w:ascii="宋体" w:hAnsi="宋体" w:eastAsia="宋体" w:cs="宋体"/>
          <w:color w:val="auto"/>
          <w:kern w:val="0"/>
          <w:sz w:val="24"/>
          <w:highlight w:val="none"/>
          <w:lang w:bidi="ar"/>
        </w:rPr>
        <w:t>标准</w:t>
      </w:r>
      <w:r>
        <w:rPr>
          <w:rFonts w:hint="eastAsia" w:asciiTheme="minorEastAsia" w:hAnsiTheme="minorEastAsia" w:eastAsiaTheme="minorEastAsia" w:cstheme="minorEastAsia"/>
          <w:color w:val="auto"/>
          <w:spacing w:val="-2"/>
          <w:szCs w:val="24"/>
          <w:highlight w:val="none"/>
          <w:lang w:val="zh-CN"/>
        </w:rPr>
        <w:t>。</w:t>
      </w:r>
    </w:p>
    <w:p w14:paraId="25A8D86C">
      <w:pPr>
        <w:pStyle w:val="8"/>
        <w:numPr>
          <w:ilvl w:val="0"/>
          <w:numId w:val="0"/>
        </w:numPr>
        <w:bidi w:val="0"/>
        <w:ind w:leftChars="0"/>
        <w:rPr>
          <w:rFonts w:hint="default" w:asciiTheme="minorEastAsia" w:hAnsiTheme="minorEastAsia" w:eastAsiaTheme="minorEastAsia" w:cstheme="minorEastAsia"/>
          <w:color w:val="auto"/>
          <w:spacing w:val="1"/>
          <w:szCs w:val="24"/>
          <w:highlight w:val="none"/>
          <w:lang w:val="en-US"/>
        </w:rPr>
      </w:pPr>
      <w:r>
        <w:rPr>
          <w:rFonts w:hint="eastAsia" w:asciiTheme="minorEastAsia" w:hAnsiTheme="minorEastAsia" w:eastAsiaTheme="minorEastAsia" w:cstheme="minorEastAsia"/>
          <w:color w:val="auto"/>
          <w:highlight w:val="none"/>
          <w:lang w:val="en-US" w:eastAsia="zh-CN"/>
        </w:rPr>
        <w:t>4.3.3.3地下水化学类型</w:t>
      </w:r>
    </w:p>
    <w:p w14:paraId="6A5D727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地下水化学类型的舒卡列夫分类是根据地下水中8种主要离子（Na</w:t>
      </w:r>
      <w:r>
        <w:rPr>
          <w:rFonts w:hint="eastAsia" w:asciiTheme="minorEastAsia" w:hAnsiTheme="minorEastAsia" w:eastAsiaTheme="minorEastAsia" w:cstheme="minorEastAsia"/>
          <w:color w:val="auto"/>
          <w:highlight w:val="none"/>
          <w:vertAlign w:val="superscript"/>
        </w:rPr>
        <w:t>+</w:t>
      </w:r>
      <w:r>
        <w:rPr>
          <w:rFonts w:hint="eastAsia" w:asciiTheme="minorEastAsia" w:hAnsiTheme="minorEastAsia" w:eastAsiaTheme="minorEastAsia" w:cstheme="minorEastAsia"/>
          <w:color w:val="auto"/>
          <w:highlight w:val="none"/>
        </w:rPr>
        <w:t>、Ca</w:t>
      </w:r>
      <w:r>
        <w:rPr>
          <w:rFonts w:hint="eastAsia" w:asciiTheme="minorEastAsia" w:hAnsiTheme="minorEastAsia" w:eastAsiaTheme="minorEastAsia" w:cstheme="minorEastAsia"/>
          <w:color w:val="auto"/>
          <w:highlight w:val="none"/>
          <w:vertAlign w:val="superscript"/>
        </w:rPr>
        <w:t>2+</w:t>
      </w:r>
      <w:r>
        <w:rPr>
          <w:rFonts w:hint="eastAsia" w:asciiTheme="minorEastAsia" w:hAnsiTheme="minorEastAsia" w:eastAsiaTheme="minorEastAsia" w:cstheme="minorEastAsia"/>
          <w:color w:val="auto"/>
          <w:highlight w:val="none"/>
        </w:rPr>
        <w:t>、Mg</w:t>
      </w:r>
      <w:r>
        <w:rPr>
          <w:rFonts w:hint="eastAsia" w:asciiTheme="minorEastAsia" w:hAnsiTheme="minorEastAsia" w:eastAsiaTheme="minorEastAsia" w:cstheme="minorEastAsia"/>
          <w:color w:val="auto"/>
          <w:highlight w:val="none"/>
          <w:vertAlign w:val="superscript"/>
        </w:rPr>
        <w:t>2+</w:t>
      </w:r>
      <w:r>
        <w:rPr>
          <w:rFonts w:hint="eastAsia" w:asciiTheme="minorEastAsia" w:hAnsiTheme="minorEastAsia" w:eastAsiaTheme="minorEastAsia" w:cstheme="minorEastAsia"/>
          <w:color w:val="auto"/>
          <w:highlight w:val="none"/>
        </w:rPr>
        <w:t>、HCO</w:t>
      </w:r>
      <w:r>
        <w:rPr>
          <w:rFonts w:hint="eastAsia" w:asciiTheme="minorEastAsia" w:hAnsiTheme="minorEastAsia" w:eastAsiaTheme="minorEastAsia" w:cstheme="minorEastAsia"/>
          <w:color w:val="auto"/>
          <w:highlight w:val="none"/>
          <w:vertAlign w:val="subscript"/>
        </w:rPr>
        <w:t>3</w:t>
      </w:r>
      <w:r>
        <w:rPr>
          <w:rFonts w:hint="eastAsia" w:asciiTheme="minorEastAsia" w:hAnsiTheme="minorEastAsia" w:eastAsiaTheme="minorEastAsia" w:cstheme="minorEastAsia"/>
          <w:color w:val="auto"/>
          <w:highlight w:val="none"/>
          <w:vertAlign w:val="superscript"/>
        </w:rPr>
        <w:t>-</w:t>
      </w:r>
      <w:r>
        <w:rPr>
          <w:rFonts w:hint="eastAsia" w:asciiTheme="minorEastAsia" w:hAnsiTheme="minorEastAsia" w:eastAsiaTheme="minorEastAsia" w:cstheme="minorEastAsia"/>
          <w:color w:val="auto"/>
          <w:highlight w:val="none"/>
        </w:rPr>
        <w:t>、SO</w:t>
      </w:r>
      <w:r>
        <w:rPr>
          <w:rFonts w:hint="eastAsia" w:asciiTheme="minorEastAsia" w:hAnsiTheme="minorEastAsia" w:eastAsiaTheme="minorEastAsia" w:cstheme="minorEastAsia"/>
          <w:color w:val="auto"/>
          <w:highlight w:val="none"/>
          <w:vertAlign w:val="subscript"/>
        </w:rPr>
        <w:t>4</w:t>
      </w:r>
      <w:r>
        <w:rPr>
          <w:rFonts w:hint="eastAsia" w:asciiTheme="minorEastAsia" w:hAnsiTheme="minorEastAsia" w:eastAsiaTheme="minorEastAsia" w:cstheme="minorEastAsia"/>
          <w:color w:val="auto"/>
          <w:highlight w:val="none"/>
          <w:vertAlign w:val="superscript"/>
        </w:rPr>
        <w:t>2-</w:t>
      </w:r>
      <w:r>
        <w:rPr>
          <w:rFonts w:hint="eastAsia" w:asciiTheme="minorEastAsia" w:hAnsiTheme="minorEastAsia" w:eastAsiaTheme="minorEastAsia" w:cstheme="minorEastAsia"/>
          <w:color w:val="auto"/>
          <w:highlight w:val="none"/>
        </w:rPr>
        <w:t>、Cl</w:t>
      </w:r>
      <w:r>
        <w:rPr>
          <w:rFonts w:hint="eastAsia" w:asciiTheme="minorEastAsia" w:hAnsiTheme="minorEastAsia" w:eastAsiaTheme="minorEastAsia" w:cstheme="minorEastAsia"/>
          <w:color w:val="auto"/>
          <w:highlight w:val="none"/>
          <w:vertAlign w:val="superscript"/>
        </w:rPr>
        <w:t>-</w:t>
      </w:r>
      <w:r>
        <w:rPr>
          <w:rFonts w:hint="eastAsia" w:asciiTheme="minorEastAsia" w:hAnsiTheme="minorEastAsia" w:eastAsiaTheme="minorEastAsia" w:cstheme="minorEastAsia"/>
          <w:color w:val="auto"/>
          <w:highlight w:val="none"/>
        </w:rPr>
        <w:t>，K</w:t>
      </w:r>
      <w:r>
        <w:rPr>
          <w:rFonts w:hint="eastAsia" w:asciiTheme="minorEastAsia" w:hAnsiTheme="minorEastAsia" w:eastAsiaTheme="minorEastAsia" w:cstheme="minorEastAsia"/>
          <w:color w:val="auto"/>
          <w:highlight w:val="none"/>
          <w:vertAlign w:val="superscript"/>
        </w:rPr>
        <w:t>+</w:t>
      </w:r>
      <w:r>
        <w:rPr>
          <w:rFonts w:hint="eastAsia" w:asciiTheme="minorEastAsia" w:hAnsiTheme="minorEastAsia" w:eastAsiaTheme="minorEastAsia" w:cstheme="minorEastAsia"/>
          <w:color w:val="auto"/>
          <w:highlight w:val="none"/>
        </w:rPr>
        <w:t>+Na</w:t>
      </w:r>
      <w:r>
        <w:rPr>
          <w:rFonts w:hint="eastAsia" w:asciiTheme="minorEastAsia" w:hAnsiTheme="minorEastAsia" w:eastAsiaTheme="minorEastAsia" w:cstheme="minorEastAsia"/>
          <w:color w:val="auto"/>
          <w:highlight w:val="none"/>
          <w:vertAlign w:val="superscript"/>
        </w:rPr>
        <w:t>+</w:t>
      </w:r>
      <w:r>
        <w:rPr>
          <w:rFonts w:hint="eastAsia" w:asciiTheme="minorEastAsia" w:hAnsiTheme="minorEastAsia" w:eastAsiaTheme="minorEastAsia" w:cstheme="minorEastAsia"/>
          <w:color w:val="auto"/>
          <w:highlight w:val="none"/>
        </w:rPr>
        <w:t>）及矿化度划分的。具体步骤如下：</w:t>
      </w:r>
    </w:p>
    <w:p w14:paraId="1D6EA47C">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第一步，根据水质分析结果，将8种主要离子中含量大于25%毫克当量的阴离子和阳离子进行组合，可组合出49型水，并将每型用一个阿拉伯数字作为代号。</w:t>
      </w:r>
    </w:p>
    <w:p w14:paraId="6C4A8B5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heme="minorEastAsia" w:hAnsiTheme="minorEastAsia" w:eastAsiaTheme="minorEastAsia" w:cstheme="minorEastAsia"/>
          <w:b/>
          <w:bCs/>
          <w:color w:val="auto"/>
          <w:highlight w:val="none"/>
        </w:rPr>
      </w:pPr>
    </w:p>
    <w:p w14:paraId="2291DBB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heme="minorEastAsia" w:hAnsiTheme="minorEastAsia" w:eastAsiaTheme="minorEastAsia" w:cstheme="minorEastAsia"/>
          <w:b/>
          <w:bCs/>
          <w:color w:val="auto"/>
          <w:highlight w:val="none"/>
        </w:rPr>
      </w:pPr>
    </w:p>
    <w:p w14:paraId="229EA5A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heme="minorEastAsia" w:hAnsiTheme="minorEastAsia" w:eastAsiaTheme="minorEastAsia" w:cstheme="minorEastAsia"/>
          <w:b/>
          <w:bCs/>
          <w:color w:val="auto"/>
          <w:highlight w:val="none"/>
        </w:rPr>
      </w:pPr>
    </w:p>
    <w:p w14:paraId="341B379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rPr>
        <w:t>表4</w:t>
      </w:r>
      <w:r>
        <w:rPr>
          <w:rFonts w:hint="eastAsia" w:asciiTheme="minorEastAsia" w:hAnsiTheme="minorEastAsia" w:eastAsiaTheme="minorEastAsia" w:cstheme="minorEastAsia"/>
          <w:b/>
          <w:bCs/>
          <w:color w:val="auto"/>
          <w:highlight w:val="none"/>
          <w:lang w:val="en-US" w:eastAsia="zh-CN"/>
        </w:rPr>
        <w:t xml:space="preserve">.3-9  </w:t>
      </w:r>
      <w:r>
        <w:rPr>
          <w:rFonts w:hint="eastAsia" w:asciiTheme="minorEastAsia" w:hAnsiTheme="minorEastAsia" w:eastAsiaTheme="minorEastAsia" w:cstheme="minorEastAsia"/>
          <w:b/>
          <w:bCs/>
          <w:color w:val="auto"/>
          <w:highlight w:val="none"/>
        </w:rPr>
        <w:t>舒卡列夫分类图表</w:t>
      </w:r>
    </w:p>
    <w:tbl>
      <w:tblPr>
        <w:tblStyle w:val="84"/>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88"/>
        <w:gridCol w:w="821"/>
        <w:gridCol w:w="1412"/>
        <w:gridCol w:w="1658"/>
        <w:gridCol w:w="1390"/>
        <w:gridCol w:w="715"/>
        <w:gridCol w:w="1024"/>
        <w:gridCol w:w="669"/>
      </w:tblGrid>
      <w:tr w14:paraId="08C865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7" w:type="pct"/>
            <w:tcBorders>
              <w:tl2br w:val="nil"/>
              <w:tr2bl w:val="nil"/>
            </w:tcBorders>
            <w:noWrap w:val="0"/>
            <w:vAlign w:val="center"/>
          </w:tcPr>
          <w:p w14:paraId="7DB040E7">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b/>
                <w:bCs/>
                <w:snapToGrid w:val="0"/>
                <w:color w:val="auto"/>
                <w:sz w:val="21"/>
                <w:highlight w:val="none"/>
              </w:rPr>
            </w:pPr>
            <w:r>
              <w:rPr>
                <w:rFonts w:hint="eastAsia" w:asciiTheme="minorEastAsia" w:hAnsiTheme="minorEastAsia" w:eastAsiaTheme="minorEastAsia" w:cstheme="minorEastAsia"/>
                <w:b/>
                <w:bCs/>
                <w:snapToGrid w:val="0"/>
                <w:color w:val="auto"/>
                <w:sz w:val="21"/>
                <w:highlight w:val="none"/>
              </w:rPr>
              <w:t>超过25％毫克当量的离子</w:t>
            </w:r>
          </w:p>
        </w:tc>
        <w:tc>
          <w:tcPr>
            <w:tcW w:w="457" w:type="pct"/>
            <w:tcBorders>
              <w:tl2br w:val="nil"/>
              <w:tr2bl w:val="nil"/>
            </w:tcBorders>
            <w:noWrap w:val="0"/>
            <w:vAlign w:val="center"/>
          </w:tcPr>
          <w:p w14:paraId="036DC0AF">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b/>
                <w:bCs/>
                <w:snapToGrid w:val="0"/>
                <w:color w:val="auto"/>
                <w:sz w:val="21"/>
                <w:highlight w:val="none"/>
              </w:rPr>
            </w:pPr>
            <w:r>
              <w:rPr>
                <w:rFonts w:hint="eastAsia" w:asciiTheme="minorEastAsia" w:hAnsiTheme="minorEastAsia" w:eastAsiaTheme="minorEastAsia" w:cstheme="minorEastAsia"/>
                <w:b/>
                <w:bCs/>
                <w:snapToGrid w:val="0"/>
                <w:color w:val="auto"/>
                <w:sz w:val="21"/>
                <w:highlight w:val="none"/>
              </w:rPr>
              <w:t>HCO</w:t>
            </w:r>
            <w:r>
              <w:rPr>
                <w:rFonts w:hint="eastAsia" w:asciiTheme="minorEastAsia" w:hAnsiTheme="minorEastAsia" w:eastAsiaTheme="minorEastAsia" w:cstheme="minorEastAsia"/>
                <w:b/>
                <w:bCs/>
                <w:snapToGrid w:val="0"/>
                <w:color w:val="auto"/>
                <w:sz w:val="21"/>
                <w:highlight w:val="none"/>
                <w:vertAlign w:val="subscript"/>
              </w:rPr>
              <w:t>3</w:t>
            </w:r>
          </w:p>
        </w:tc>
        <w:tc>
          <w:tcPr>
            <w:tcW w:w="786" w:type="pct"/>
            <w:tcBorders>
              <w:tl2br w:val="nil"/>
              <w:tr2bl w:val="nil"/>
            </w:tcBorders>
            <w:noWrap w:val="0"/>
            <w:vAlign w:val="center"/>
          </w:tcPr>
          <w:p w14:paraId="0F74C71B">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b/>
                <w:bCs/>
                <w:snapToGrid w:val="0"/>
                <w:color w:val="auto"/>
                <w:sz w:val="21"/>
                <w:highlight w:val="none"/>
              </w:rPr>
            </w:pPr>
            <w:r>
              <w:rPr>
                <w:rFonts w:hint="eastAsia" w:asciiTheme="minorEastAsia" w:hAnsiTheme="minorEastAsia" w:eastAsiaTheme="minorEastAsia" w:cstheme="minorEastAsia"/>
                <w:b/>
                <w:bCs/>
                <w:snapToGrid w:val="0"/>
                <w:color w:val="auto"/>
                <w:sz w:val="21"/>
                <w:highlight w:val="none"/>
              </w:rPr>
              <w:t>HCO</w:t>
            </w:r>
            <w:r>
              <w:rPr>
                <w:rFonts w:hint="eastAsia" w:asciiTheme="minorEastAsia" w:hAnsiTheme="minorEastAsia" w:eastAsiaTheme="minorEastAsia" w:cstheme="minorEastAsia"/>
                <w:b/>
                <w:bCs/>
                <w:snapToGrid w:val="0"/>
                <w:color w:val="auto"/>
                <w:sz w:val="21"/>
                <w:highlight w:val="none"/>
                <w:vertAlign w:val="subscript"/>
              </w:rPr>
              <w:t>3</w:t>
            </w:r>
            <w:r>
              <w:rPr>
                <w:rFonts w:hint="eastAsia" w:asciiTheme="minorEastAsia" w:hAnsiTheme="minorEastAsia" w:eastAsiaTheme="minorEastAsia" w:cstheme="minorEastAsia"/>
                <w:b/>
                <w:bCs/>
                <w:snapToGrid w:val="0"/>
                <w:color w:val="auto"/>
                <w:sz w:val="21"/>
                <w:highlight w:val="none"/>
              </w:rPr>
              <w:t>+SO</w:t>
            </w:r>
            <w:r>
              <w:rPr>
                <w:rFonts w:hint="eastAsia" w:asciiTheme="minorEastAsia" w:hAnsiTheme="minorEastAsia" w:eastAsiaTheme="minorEastAsia" w:cstheme="minorEastAsia"/>
                <w:b/>
                <w:bCs/>
                <w:snapToGrid w:val="0"/>
                <w:color w:val="auto"/>
                <w:sz w:val="21"/>
                <w:highlight w:val="none"/>
                <w:vertAlign w:val="subscript"/>
              </w:rPr>
              <w:t>4</w:t>
            </w:r>
          </w:p>
        </w:tc>
        <w:tc>
          <w:tcPr>
            <w:tcW w:w="923" w:type="pct"/>
            <w:tcBorders>
              <w:tl2br w:val="nil"/>
              <w:tr2bl w:val="nil"/>
            </w:tcBorders>
            <w:noWrap w:val="0"/>
            <w:vAlign w:val="center"/>
          </w:tcPr>
          <w:p w14:paraId="56D45D0E">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b/>
                <w:bCs/>
                <w:snapToGrid w:val="0"/>
                <w:color w:val="auto"/>
                <w:sz w:val="21"/>
                <w:highlight w:val="none"/>
              </w:rPr>
            </w:pPr>
            <w:r>
              <w:rPr>
                <w:rFonts w:hint="eastAsia" w:asciiTheme="minorEastAsia" w:hAnsiTheme="minorEastAsia" w:eastAsiaTheme="minorEastAsia" w:cstheme="minorEastAsia"/>
                <w:b/>
                <w:bCs/>
                <w:snapToGrid w:val="0"/>
                <w:color w:val="auto"/>
                <w:sz w:val="21"/>
                <w:highlight w:val="none"/>
              </w:rPr>
              <w:t>HCO</w:t>
            </w:r>
            <w:r>
              <w:rPr>
                <w:rFonts w:hint="eastAsia" w:asciiTheme="minorEastAsia" w:hAnsiTheme="minorEastAsia" w:eastAsiaTheme="minorEastAsia" w:cstheme="minorEastAsia"/>
                <w:b/>
                <w:bCs/>
                <w:snapToGrid w:val="0"/>
                <w:color w:val="auto"/>
                <w:sz w:val="21"/>
                <w:highlight w:val="none"/>
                <w:vertAlign w:val="subscript"/>
              </w:rPr>
              <w:t>3</w:t>
            </w:r>
            <w:r>
              <w:rPr>
                <w:rFonts w:hint="eastAsia" w:asciiTheme="minorEastAsia" w:hAnsiTheme="minorEastAsia" w:eastAsiaTheme="minorEastAsia" w:cstheme="minorEastAsia"/>
                <w:b/>
                <w:bCs/>
                <w:snapToGrid w:val="0"/>
                <w:color w:val="auto"/>
                <w:sz w:val="21"/>
                <w:highlight w:val="none"/>
              </w:rPr>
              <w:t>+SO</w:t>
            </w:r>
            <w:r>
              <w:rPr>
                <w:rFonts w:hint="eastAsia" w:asciiTheme="minorEastAsia" w:hAnsiTheme="minorEastAsia" w:eastAsiaTheme="minorEastAsia" w:cstheme="minorEastAsia"/>
                <w:b/>
                <w:bCs/>
                <w:snapToGrid w:val="0"/>
                <w:color w:val="auto"/>
                <w:sz w:val="21"/>
                <w:highlight w:val="none"/>
                <w:vertAlign w:val="subscript"/>
              </w:rPr>
              <w:t>4</w:t>
            </w:r>
            <w:r>
              <w:rPr>
                <w:rFonts w:hint="eastAsia" w:asciiTheme="minorEastAsia" w:hAnsiTheme="minorEastAsia" w:eastAsiaTheme="minorEastAsia" w:cstheme="minorEastAsia"/>
                <w:b/>
                <w:bCs/>
                <w:snapToGrid w:val="0"/>
                <w:color w:val="auto"/>
                <w:sz w:val="21"/>
                <w:highlight w:val="none"/>
              </w:rPr>
              <w:t>+Cl</w:t>
            </w:r>
          </w:p>
        </w:tc>
        <w:tc>
          <w:tcPr>
            <w:tcW w:w="774" w:type="pct"/>
            <w:tcBorders>
              <w:tl2br w:val="nil"/>
              <w:tr2bl w:val="nil"/>
            </w:tcBorders>
            <w:noWrap w:val="0"/>
            <w:vAlign w:val="center"/>
          </w:tcPr>
          <w:p w14:paraId="2D5B5224">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b/>
                <w:bCs/>
                <w:snapToGrid w:val="0"/>
                <w:color w:val="auto"/>
                <w:sz w:val="21"/>
                <w:highlight w:val="none"/>
              </w:rPr>
            </w:pPr>
            <w:r>
              <w:rPr>
                <w:rFonts w:hint="eastAsia" w:asciiTheme="minorEastAsia" w:hAnsiTheme="minorEastAsia" w:eastAsiaTheme="minorEastAsia" w:cstheme="minorEastAsia"/>
                <w:b/>
                <w:bCs/>
                <w:snapToGrid w:val="0"/>
                <w:color w:val="auto"/>
                <w:sz w:val="21"/>
                <w:highlight w:val="none"/>
              </w:rPr>
              <w:t>HCO</w:t>
            </w:r>
            <w:r>
              <w:rPr>
                <w:rFonts w:hint="eastAsia" w:asciiTheme="minorEastAsia" w:hAnsiTheme="minorEastAsia" w:eastAsiaTheme="minorEastAsia" w:cstheme="minorEastAsia"/>
                <w:b/>
                <w:bCs/>
                <w:snapToGrid w:val="0"/>
                <w:color w:val="auto"/>
                <w:sz w:val="21"/>
                <w:highlight w:val="none"/>
                <w:vertAlign w:val="subscript"/>
              </w:rPr>
              <w:t>3</w:t>
            </w:r>
            <w:r>
              <w:rPr>
                <w:rFonts w:hint="eastAsia" w:asciiTheme="minorEastAsia" w:hAnsiTheme="minorEastAsia" w:eastAsiaTheme="minorEastAsia" w:cstheme="minorEastAsia"/>
                <w:b/>
                <w:bCs/>
                <w:snapToGrid w:val="0"/>
                <w:color w:val="auto"/>
                <w:sz w:val="21"/>
                <w:highlight w:val="none"/>
              </w:rPr>
              <w:t>+Cl</w:t>
            </w:r>
          </w:p>
        </w:tc>
        <w:tc>
          <w:tcPr>
            <w:tcW w:w="398" w:type="pct"/>
            <w:tcBorders>
              <w:tl2br w:val="nil"/>
              <w:tr2bl w:val="nil"/>
            </w:tcBorders>
            <w:noWrap w:val="0"/>
            <w:vAlign w:val="center"/>
          </w:tcPr>
          <w:p w14:paraId="7CFFEB6A">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b/>
                <w:bCs/>
                <w:snapToGrid w:val="0"/>
                <w:color w:val="auto"/>
                <w:sz w:val="21"/>
                <w:highlight w:val="none"/>
              </w:rPr>
            </w:pPr>
            <w:r>
              <w:rPr>
                <w:rFonts w:hint="eastAsia" w:asciiTheme="minorEastAsia" w:hAnsiTheme="minorEastAsia" w:eastAsiaTheme="minorEastAsia" w:cstheme="minorEastAsia"/>
                <w:b/>
                <w:bCs/>
                <w:snapToGrid w:val="0"/>
                <w:color w:val="auto"/>
                <w:sz w:val="21"/>
                <w:highlight w:val="none"/>
              </w:rPr>
              <w:t>SO</w:t>
            </w:r>
            <w:r>
              <w:rPr>
                <w:rFonts w:hint="eastAsia" w:asciiTheme="minorEastAsia" w:hAnsiTheme="minorEastAsia" w:eastAsiaTheme="minorEastAsia" w:cstheme="minorEastAsia"/>
                <w:b/>
                <w:bCs/>
                <w:snapToGrid w:val="0"/>
                <w:color w:val="auto"/>
                <w:sz w:val="21"/>
                <w:highlight w:val="none"/>
                <w:vertAlign w:val="subscript"/>
              </w:rPr>
              <w:t>4</w:t>
            </w:r>
          </w:p>
        </w:tc>
        <w:tc>
          <w:tcPr>
            <w:tcW w:w="570" w:type="pct"/>
            <w:tcBorders>
              <w:tl2br w:val="nil"/>
              <w:tr2bl w:val="nil"/>
            </w:tcBorders>
            <w:noWrap w:val="0"/>
            <w:vAlign w:val="center"/>
          </w:tcPr>
          <w:p w14:paraId="4D7047A2">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b/>
                <w:bCs/>
                <w:snapToGrid w:val="0"/>
                <w:color w:val="auto"/>
                <w:sz w:val="21"/>
                <w:highlight w:val="none"/>
              </w:rPr>
            </w:pPr>
            <w:r>
              <w:rPr>
                <w:rFonts w:hint="eastAsia" w:asciiTheme="minorEastAsia" w:hAnsiTheme="minorEastAsia" w:eastAsiaTheme="minorEastAsia" w:cstheme="minorEastAsia"/>
                <w:b/>
                <w:bCs/>
                <w:snapToGrid w:val="0"/>
                <w:color w:val="auto"/>
                <w:sz w:val="21"/>
                <w:highlight w:val="none"/>
              </w:rPr>
              <w:t>SO</w:t>
            </w:r>
            <w:r>
              <w:rPr>
                <w:rFonts w:hint="eastAsia" w:asciiTheme="minorEastAsia" w:hAnsiTheme="minorEastAsia" w:eastAsiaTheme="minorEastAsia" w:cstheme="minorEastAsia"/>
                <w:b/>
                <w:bCs/>
                <w:snapToGrid w:val="0"/>
                <w:color w:val="auto"/>
                <w:sz w:val="21"/>
                <w:highlight w:val="none"/>
                <w:vertAlign w:val="subscript"/>
              </w:rPr>
              <w:t>4</w:t>
            </w:r>
            <w:r>
              <w:rPr>
                <w:rFonts w:hint="eastAsia" w:asciiTheme="minorEastAsia" w:hAnsiTheme="minorEastAsia" w:eastAsiaTheme="minorEastAsia" w:cstheme="minorEastAsia"/>
                <w:b/>
                <w:bCs/>
                <w:snapToGrid w:val="0"/>
                <w:color w:val="auto"/>
                <w:sz w:val="21"/>
                <w:highlight w:val="none"/>
              </w:rPr>
              <w:t>+Cl</w:t>
            </w:r>
          </w:p>
        </w:tc>
        <w:tc>
          <w:tcPr>
            <w:tcW w:w="372" w:type="pct"/>
            <w:tcBorders>
              <w:tl2br w:val="nil"/>
              <w:tr2bl w:val="nil"/>
            </w:tcBorders>
            <w:noWrap w:val="0"/>
            <w:vAlign w:val="center"/>
          </w:tcPr>
          <w:p w14:paraId="0C4F49C7">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b/>
                <w:bCs/>
                <w:snapToGrid w:val="0"/>
                <w:color w:val="auto"/>
                <w:sz w:val="21"/>
                <w:highlight w:val="none"/>
              </w:rPr>
            </w:pPr>
            <w:r>
              <w:rPr>
                <w:rFonts w:hint="eastAsia" w:asciiTheme="minorEastAsia" w:hAnsiTheme="minorEastAsia" w:eastAsiaTheme="minorEastAsia" w:cstheme="minorEastAsia"/>
                <w:b/>
                <w:bCs/>
                <w:snapToGrid w:val="0"/>
                <w:color w:val="auto"/>
                <w:sz w:val="21"/>
                <w:highlight w:val="none"/>
              </w:rPr>
              <w:t>Cl</w:t>
            </w:r>
          </w:p>
        </w:tc>
      </w:tr>
      <w:tr w14:paraId="7170D3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7" w:type="pct"/>
            <w:tcBorders>
              <w:tl2br w:val="nil"/>
              <w:tr2bl w:val="nil"/>
            </w:tcBorders>
            <w:noWrap w:val="0"/>
            <w:vAlign w:val="center"/>
          </w:tcPr>
          <w:p w14:paraId="0C65D4EC">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Ca</w:t>
            </w:r>
          </w:p>
        </w:tc>
        <w:tc>
          <w:tcPr>
            <w:tcW w:w="457" w:type="pct"/>
            <w:tcBorders>
              <w:tl2br w:val="nil"/>
              <w:tr2bl w:val="nil"/>
            </w:tcBorders>
            <w:noWrap w:val="0"/>
            <w:vAlign w:val="center"/>
          </w:tcPr>
          <w:p w14:paraId="793E3313">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1</w:t>
            </w:r>
          </w:p>
        </w:tc>
        <w:tc>
          <w:tcPr>
            <w:tcW w:w="786" w:type="pct"/>
            <w:tcBorders>
              <w:tl2br w:val="nil"/>
              <w:tr2bl w:val="nil"/>
            </w:tcBorders>
            <w:noWrap w:val="0"/>
            <w:vAlign w:val="center"/>
          </w:tcPr>
          <w:p w14:paraId="1CDB4DE9">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8</w:t>
            </w:r>
          </w:p>
        </w:tc>
        <w:tc>
          <w:tcPr>
            <w:tcW w:w="923" w:type="pct"/>
            <w:tcBorders>
              <w:tl2br w:val="nil"/>
              <w:tr2bl w:val="nil"/>
            </w:tcBorders>
            <w:noWrap w:val="0"/>
            <w:vAlign w:val="center"/>
          </w:tcPr>
          <w:p w14:paraId="6034A646">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15</w:t>
            </w:r>
          </w:p>
        </w:tc>
        <w:tc>
          <w:tcPr>
            <w:tcW w:w="774" w:type="pct"/>
            <w:tcBorders>
              <w:tl2br w:val="nil"/>
              <w:tr2bl w:val="nil"/>
            </w:tcBorders>
            <w:noWrap w:val="0"/>
            <w:vAlign w:val="center"/>
          </w:tcPr>
          <w:p w14:paraId="421E8966">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22</w:t>
            </w:r>
          </w:p>
        </w:tc>
        <w:tc>
          <w:tcPr>
            <w:tcW w:w="398" w:type="pct"/>
            <w:tcBorders>
              <w:tl2br w:val="nil"/>
              <w:tr2bl w:val="nil"/>
            </w:tcBorders>
            <w:noWrap w:val="0"/>
            <w:vAlign w:val="center"/>
          </w:tcPr>
          <w:p w14:paraId="253EBF0C">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29</w:t>
            </w:r>
          </w:p>
        </w:tc>
        <w:tc>
          <w:tcPr>
            <w:tcW w:w="570" w:type="pct"/>
            <w:tcBorders>
              <w:tl2br w:val="nil"/>
              <w:tr2bl w:val="nil"/>
            </w:tcBorders>
            <w:noWrap w:val="0"/>
            <w:vAlign w:val="center"/>
          </w:tcPr>
          <w:p w14:paraId="42723E37">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36</w:t>
            </w:r>
          </w:p>
        </w:tc>
        <w:tc>
          <w:tcPr>
            <w:tcW w:w="372" w:type="pct"/>
            <w:tcBorders>
              <w:tl2br w:val="nil"/>
              <w:tr2bl w:val="nil"/>
            </w:tcBorders>
            <w:noWrap w:val="0"/>
            <w:vAlign w:val="center"/>
          </w:tcPr>
          <w:p w14:paraId="547D0DC4">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43</w:t>
            </w:r>
          </w:p>
        </w:tc>
      </w:tr>
      <w:tr w14:paraId="7F9C2F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7" w:type="pct"/>
            <w:tcBorders>
              <w:tl2br w:val="nil"/>
              <w:tr2bl w:val="nil"/>
            </w:tcBorders>
            <w:noWrap w:val="0"/>
            <w:vAlign w:val="center"/>
          </w:tcPr>
          <w:p w14:paraId="2468BF21">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Ca+Mg</w:t>
            </w:r>
          </w:p>
        </w:tc>
        <w:tc>
          <w:tcPr>
            <w:tcW w:w="457" w:type="pct"/>
            <w:tcBorders>
              <w:tl2br w:val="nil"/>
              <w:tr2bl w:val="nil"/>
            </w:tcBorders>
            <w:noWrap w:val="0"/>
            <w:vAlign w:val="center"/>
          </w:tcPr>
          <w:p w14:paraId="0347B572">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2</w:t>
            </w:r>
          </w:p>
        </w:tc>
        <w:tc>
          <w:tcPr>
            <w:tcW w:w="786" w:type="pct"/>
            <w:tcBorders>
              <w:tl2br w:val="nil"/>
              <w:tr2bl w:val="nil"/>
            </w:tcBorders>
            <w:noWrap w:val="0"/>
            <w:vAlign w:val="center"/>
          </w:tcPr>
          <w:p w14:paraId="753060D0">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9</w:t>
            </w:r>
          </w:p>
        </w:tc>
        <w:tc>
          <w:tcPr>
            <w:tcW w:w="923" w:type="pct"/>
            <w:tcBorders>
              <w:tl2br w:val="nil"/>
              <w:tr2bl w:val="nil"/>
            </w:tcBorders>
            <w:noWrap w:val="0"/>
            <w:vAlign w:val="center"/>
          </w:tcPr>
          <w:p w14:paraId="6DE0B0D7">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16</w:t>
            </w:r>
          </w:p>
        </w:tc>
        <w:tc>
          <w:tcPr>
            <w:tcW w:w="774" w:type="pct"/>
            <w:tcBorders>
              <w:tl2br w:val="nil"/>
              <w:tr2bl w:val="nil"/>
            </w:tcBorders>
            <w:noWrap w:val="0"/>
            <w:vAlign w:val="center"/>
          </w:tcPr>
          <w:p w14:paraId="4592198D">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23</w:t>
            </w:r>
          </w:p>
        </w:tc>
        <w:tc>
          <w:tcPr>
            <w:tcW w:w="398" w:type="pct"/>
            <w:tcBorders>
              <w:tl2br w:val="nil"/>
              <w:tr2bl w:val="nil"/>
            </w:tcBorders>
            <w:noWrap w:val="0"/>
            <w:vAlign w:val="center"/>
          </w:tcPr>
          <w:p w14:paraId="1F1E8E61">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30</w:t>
            </w:r>
          </w:p>
        </w:tc>
        <w:tc>
          <w:tcPr>
            <w:tcW w:w="570" w:type="pct"/>
            <w:tcBorders>
              <w:tl2br w:val="nil"/>
              <w:tr2bl w:val="nil"/>
            </w:tcBorders>
            <w:noWrap w:val="0"/>
            <w:vAlign w:val="center"/>
          </w:tcPr>
          <w:p w14:paraId="785F9D74">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37</w:t>
            </w:r>
          </w:p>
        </w:tc>
        <w:tc>
          <w:tcPr>
            <w:tcW w:w="372" w:type="pct"/>
            <w:tcBorders>
              <w:tl2br w:val="nil"/>
              <w:tr2bl w:val="nil"/>
            </w:tcBorders>
            <w:noWrap w:val="0"/>
            <w:vAlign w:val="center"/>
          </w:tcPr>
          <w:p w14:paraId="428C745D">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44</w:t>
            </w:r>
          </w:p>
        </w:tc>
      </w:tr>
      <w:tr w14:paraId="2914D8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7" w:type="pct"/>
            <w:tcBorders>
              <w:tl2br w:val="nil"/>
              <w:tr2bl w:val="nil"/>
            </w:tcBorders>
            <w:noWrap w:val="0"/>
            <w:vAlign w:val="center"/>
          </w:tcPr>
          <w:p w14:paraId="1A71A457">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Mg</w:t>
            </w:r>
          </w:p>
        </w:tc>
        <w:tc>
          <w:tcPr>
            <w:tcW w:w="457" w:type="pct"/>
            <w:tcBorders>
              <w:tl2br w:val="nil"/>
              <w:tr2bl w:val="nil"/>
            </w:tcBorders>
            <w:noWrap w:val="0"/>
            <w:vAlign w:val="center"/>
          </w:tcPr>
          <w:p w14:paraId="56707DD2">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3</w:t>
            </w:r>
          </w:p>
        </w:tc>
        <w:tc>
          <w:tcPr>
            <w:tcW w:w="786" w:type="pct"/>
            <w:tcBorders>
              <w:tl2br w:val="nil"/>
              <w:tr2bl w:val="nil"/>
            </w:tcBorders>
            <w:noWrap w:val="0"/>
            <w:vAlign w:val="center"/>
          </w:tcPr>
          <w:p w14:paraId="0FBF08BE">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10</w:t>
            </w:r>
          </w:p>
        </w:tc>
        <w:tc>
          <w:tcPr>
            <w:tcW w:w="923" w:type="pct"/>
            <w:tcBorders>
              <w:tl2br w:val="nil"/>
              <w:tr2bl w:val="nil"/>
            </w:tcBorders>
            <w:noWrap w:val="0"/>
            <w:vAlign w:val="center"/>
          </w:tcPr>
          <w:p w14:paraId="5198D3C9">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17</w:t>
            </w:r>
          </w:p>
        </w:tc>
        <w:tc>
          <w:tcPr>
            <w:tcW w:w="774" w:type="pct"/>
            <w:tcBorders>
              <w:tl2br w:val="nil"/>
              <w:tr2bl w:val="nil"/>
            </w:tcBorders>
            <w:noWrap w:val="0"/>
            <w:vAlign w:val="center"/>
          </w:tcPr>
          <w:p w14:paraId="77A50284">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24</w:t>
            </w:r>
          </w:p>
        </w:tc>
        <w:tc>
          <w:tcPr>
            <w:tcW w:w="398" w:type="pct"/>
            <w:tcBorders>
              <w:tl2br w:val="nil"/>
              <w:tr2bl w:val="nil"/>
            </w:tcBorders>
            <w:noWrap w:val="0"/>
            <w:vAlign w:val="center"/>
          </w:tcPr>
          <w:p w14:paraId="22D1CF2C">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31</w:t>
            </w:r>
          </w:p>
        </w:tc>
        <w:tc>
          <w:tcPr>
            <w:tcW w:w="570" w:type="pct"/>
            <w:tcBorders>
              <w:tl2br w:val="nil"/>
              <w:tr2bl w:val="nil"/>
            </w:tcBorders>
            <w:noWrap w:val="0"/>
            <w:vAlign w:val="center"/>
          </w:tcPr>
          <w:p w14:paraId="2046D495">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38</w:t>
            </w:r>
          </w:p>
        </w:tc>
        <w:tc>
          <w:tcPr>
            <w:tcW w:w="372" w:type="pct"/>
            <w:tcBorders>
              <w:tl2br w:val="nil"/>
              <w:tr2bl w:val="nil"/>
            </w:tcBorders>
            <w:noWrap w:val="0"/>
            <w:vAlign w:val="center"/>
          </w:tcPr>
          <w:p w14:paraId="1E31CC64">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45</w:t>
            </w:r>
          </w:p>
        </w:tc>
      </w:tr>
      <w:tr w14:paraId="230D12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7" w:type="pct"/>
            <w:tcBorders>
              <w:tl2br w:val="nil"/>
              <w:tr2bl w:val="nil"/>
            </w:tcBorders>
            <w:noWrap w:val="0"/>
            <w:vAlign w:val="center"/>
          </w:tcPr>
          <w:p w14:paraId="788C4640">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Na+Ca</w:t>
            </w:r>
          </w:p>
        </w:tc>
        <w:tc>
          <w:tcPr>
            <w:tcW w:w="457" w:type="pct"/>
            <w:tcBorders>
              <w:tl2br w:val="nil"/>
              <w:tr2bl w:val="nil"/>
            </w:tcBorders>
            <w:noWrap w:val="0"/>
            <w:vAlign w:val="center"/>
          </w:tcPr>
          <w:p w14:paraId="4EE1699C">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4</w:t>
            </w:r>
          </w:p>
        </w:tc>
        <w:tc>
          <w:tcPr>
            <w:tcW w:w="786" w:type="pct"/>
            <w:tcBorders>
              <w:tl2br w:val="nil"/>
              <w:tr2bl w:val="nil"/>
            </w:tcBorders>
            <w:noWrap w:val="0"/>
            <w:vAlign w:val="center"/>
          </w:tcPr>
          <w:p w14:paraId="78D27C2C">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11</w:t>
            </w:r>
          </w:p>
        </w:tc>
        <w:tc>
          <w:tcPr>
            <w:tcW w:w="923" w:type="pct"/>
            <w:tcBorders>
              <w:tl2br w:val="nil"/>
              <w:tr2bl w:val="nil"/>
            </w:tcBorders>
            <w:noWrap w:val="0"/>
            <w:vAlign w:val="center"/>
          </w:tcPr>
          <w:p w14:paraId="724C587B">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18</w:t>
            </w:r>
          </w:p>
        </w:tc>
        <w:tc>
          <w:tcPr>
            <w:tcW w:w="774" w:type="pct"/>
            <w:tcBorders>
              <w:tl2br w:val="nil"/>
              <w:tr2bl w:val="nil"/>
            </w:tcBorders>
            <w:noWrap w:val="0"/>
            <w:vAlign w:val="center"/>
          </w:tcPr>
          <w:p w14:paraId="7F4D2F3B">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25</w:t>
            </w:r>
          </w:p>
        </w:tc>
        <w:tc>
          <w:tcPr>
            <w:tcW w:w="398" w:type="pct"/>
            <w:tcBorders>
              <w:tl2br w:val="nil"/>
              <w:tr2bl w:val="nil"/>
            </w:tcBorders>
            <w:noWrap w:val="0"/>
            <w:vAlign w:val="center"/>
          </w:tcPr>
          <w:p w14:paraId="21595C95">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32</w:t>
            </w:r>
          </w:p>
        </w:tc>
        <w:tc>
          <w:tcPr>
            <w:tcW w:w="570" w:type="pct"/>
            <w:tcBorders>
              <w:tl2br w:val="nil"/>
              <w:tr2bl w:val="nil"/>
            </w:tcBorders>
            <w:noWrap w:val="0"/>
            <w:vAlign w:val="center"/>
          </w:tcPr>
          <w:p w14:paraId="4162AF7B">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39</w:t>
            </w:r>
          </w:p>
        </w:tc>
        <w:tc>
          <w:tcPr>
            <w:tcW w:w="372" w:type="pct"/>
            <w:tcBorders>
              <w:tl2br w:val="nil"/>
              <w:tr2bl w:val="nil"/>
            </w:tcBorders>
            <w:noWrap w:val="0"/>
            <w:vAlign w:val="center"/>
          </w:tcPr>
          <w:p w14:paraId="792A7CB7">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46</w:t>
            </w:r>
          </w:p>
        </w:tc>
      </w:tr>
      <w:tr w14:paraId="1FC074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7" w:type="pct"/>
            <w:tcBorders>
              <w:tl2br w:val="nil"/>
              <w:tr2bl w:val="nil"/>
            </w:tcBorders>
            <w:noWrap w:val="0"/>
            <w:vAlign w:val="center"/>
          </w:tcPr>
          <w:p w14:paraId="5114569A">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Na+Ca+Mg</w:t>
            </w:r>
          </w:p>
        </w:tc>
        <w:tc>
          <w:tcPr>
            <w:tcW w:w="457" w:type="pct"/>
            <w:tcBorders>
              <w:tl2br w:val="nil"/>
              <w:tr2bl w:val="nil"/>
            </w:tcBorders>
            <w:noWrap w:val="0"/>
            <w:vAlign w:val="center"/>
          </w:tcPr>
          <w:p w14:paraId="6308B5BC">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5</w:t>
            </w:r>
          </w:p>
        </w:tc>
        <w:tc>
          <w:tcPr>
            <w:tcW w:w="786" w:type="pct"/>
            <w:tcBorders>
              <w:tl2br w:val="nil"/>
              <w:tr2bl w:val="nil"/>
            </w:tcBorders>
            <w:noWrap w:val="0"/>
            <w:vAlign w:val="center"/>
          </w:tcPr>
          <w:p w14:paraId="0FCBD34D">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12</w:t>
            </w:r>
          </w:p>
        </w:tc>
        <w:tc>
          <w:tcPr>
            <w:tcW w:w="923" w:type="pct"/>
            <w:tcBorders>
              <w:tl2br w:val="nil"/>
              <w:tr2bl w:val="nil"/>
            </w:tcBorders>
            <w:noWrap w:val="0"/>
            <w:vAlign w:val="center"/>
          </w:tcPr>
          <w:p w14:paraId="43F6BD4F">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19</w:t>
            </w:r>
          </w:p>
        </w:tc>
        <w:tc>
          <w:tcPr>
            <w:tcW w:w="774" w:type="pct"/>
            <w:tcBorders>
              <w:tl2br w:val="nil"/>
              <w:tr2bl w:val="nil"/>
            </w:tcBorders>
            <w:noWrap w:val="0"/>
            <w:vAlign w:val="center"/>
          </w:tcPr>
          <w:p w14:paraId="21DDDCF8">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26</w:t>
            </w:r>
          </w:p>
        </w:tc>
        <w:tc>
          <w:tcPr>
            <w:tcW w:w="398" w:type="pct"/>
            <w:tcBorders>
              <w:tl2br w:val="nil"/>
              <w:tr2bl w:val="nil"/>
            </w:tcBorders>
            <w:noWrap w:val="0"/>
            <w:vAlign w:val="center"/>
          </w:tcPr>
          <w:p w14:paraId="2D86F7A2">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33</w:t>
            </w:r>
          </w:p>
        </w:tc>
        <w:tc>
          <w:tcPr>
            <w:tcW w:w="570" w:type="pct"/>
            <w:tcBorders>
              <w:tl2br w:val="nil"/>
              <w:tr2bl w:val="nil"/>
            </w:tcBorders>
            <w:noWrap w:val="0"/>
            <w:vAlign w:val="center"/>
          </w:tcPr>
          <w:p w14:paraId="61EF8D7B">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40</w:t>
            </w:r>
          </w:p>
        </w:tc>
        <w:tc>
          <w:tcPr>
            <w:tcW w:w="372" w:type="pct"/>
            <w:tcBorders>
              <w:tl2br w:val="nil"/>
              <w:tr2bl w:val="nil"/>
            </w:tcBorders>
            <w:noWrap w:val="0"/>
            <w:vAlign w:val="center"/>
          </w:tcPr>
          <w:p w14:paraId="6925013C">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47</w:t>
            </w:r>
          </w:p>
        </w:tc>
      </w:tr>
      <w:tr w14:paraId="473766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7" w:type="pct"/>
            <w:tcBorders>
              <w:tl2br w:val="nil"/>
              <w:tr2bl w:val="nil"/>
            </w:tcBorders>
            <w:noWrap w:val="0"/>
            <w:vAlign w:val="center"/>
          </w:tcPr>
          <w:p w14:paraId="5C5F32C3">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Na+Mg</w:t>
            </w:r>
          </w:p>
        </w:tc>
        <w:tc>
          <w:tcPr>
            <w:tcW w:w="457" w:type="pct"/>
            <w:tcBorders>
              <w:tl2br w:val="nil"/>
              <w:tr2bl w:val="nil"/>
            </w:tcBorders>
            <w:noWrap w:val="0"/>
            <w:vAlign w:val="center"/>
          </w:tcPr>
          <w:p w14:paraId="3052DBB9">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6</w:t>
            </w:r>
          </w:p>
        </w:tc>
        <w:tc>
          <w:tcPr>
            <w:tcW w:w="786" w:type="pct"/>
            <w:tcBorders>
              <w:tl2br w:val="nil"/>
              <w:tr2bl w:val="nil"/>
            </w:tcBorders>
            <w:noWrap w:val="0"/>
            <w:vAlign w:val="center"/>
          </w:tcPr>
          <w:p w14:paraId="5D78F4EA">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13</w:t>
            </w:r>
          </w:p>
        </w:tc>
        <w:tc>
          <w:tcPr>
            <w:tcW w:w="923" w:type="pct"/>
            <w:tcBorders>
              <w:tl2br w:val="nil"/>
              <w:tr2bl w:val="nil"/>
            </w:tcBorders>
            <w:noWrap w:val="0"/>
            <w:vAlign w:val="center"/>
          </w:tcPr>
          <w:p w14:paraId="4C48FA6F">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20</w:t>
            </w:r>
          </w:p>
        </w:tc>
        <w:tc>
          <w:tcPr>
            <w:tcW w:w="774" w:type="pct"/>
            <w:tcBorders>
              <w:tl2br w:val="nil"/>
              <w:tr2bl w:val="nil"/>
            </w:tcBorders>
            <w:noWrap w:val="0"/>
            <w:vAlign w:val="center"/>
          </w:tcPr>
          <w:p w14:paraId="47D57997">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27</w:t>
            </w:r>
          </w:p>
        </w:tc>
        <w:tc>
          <w:tcPr>
            <w:tcW w:w="398" w:type="pct"/>
            <w:tcBorders>
              <w:tl2br w:val="nil"/>
              <w:tr2bl w:val="nil"/>
            </w:tcBorders>
            <w:noWrap w:val="0"/>
            <w:vAlign w:val="center"/>
          </w:tcPr>
          <w:p w14:paraId="4669F527">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34</w:t>
            </w:r>
          </w:p>
        </w:tc>
        <w:tc>
          <w:tcPr>
            <w:tcW w:w="570" w:type="pct"/>
            <w:tcBorders>
              <w:tl2br w:val="nil"/>
              <w:tr2bl w:val="nil"/>
            </w:tcBorders>
            <w:noWrap w:val="0"/>
            <w:vAlign w:val="center"/>
          </w:tcPr>
          <w:p w14:paraId="54F9BF7C">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41</w:t>
            </w:r>
          </w:p>
        </w:tc>
        <w:tc>
          <w:tcPr>
            <w:tcW w:w="372" w:type="pct"/>
            <w:tcBorders>
              <w:tl2br w:val="nil"/>
              <w:tr2bl w:val="nil"/>
            </w:tcBorders>
            <w:noWrap w:val="0"/>
            <w:vAlign w:val="center"/>
          </w:tcPr>
          <w:p w14:paraId="26F11868">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48</w:t>
            </w:r>
          </w:p>
        </w:tc>
      </w:tr>
      <w:tr w14:paraId="7A0FE6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17" w:type="pct"/>
            <w:tcBorders>
              <w:tl2br w:val="nil"/>
              <w:tr2bl w:val="nil"/>
            </w:tcBorders>
            <w:noWrap w:val="0"/>
            <w:vAlign w:val="center"/>
          </w:tcPr>
          <w:p w14:paraId="4412464D">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Na</w:t>
            </w:r>
          </w:p>
        </w:tc>
        <w:tc>
          <w:tcPr>
            <w:tcW w:w="457" w:type="pct"/>
            <w:tcBorders>
              <w:tl2br w:val="nil"/>
              <w:tr2bl w:val="nil"/>
            </w:tcBorders>
            <w:noWrap w:val="0"/>
            <w:vAlign w:val="center"/>
          </w:tcPr>
          <w:p w14:paraId="0BFA711F">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7</w:t>
            </w:r>
          </w:p>
        </w:tc>
        <w:tc>
          <w:tcPr>
            <w:tcW w:w="786" w:type="pct"/>
            <w:tcBorders>
              <w:tl2br w:val="nil"/>
              <w:tr2bl w:val="nil"/>
            </w:tcBorders>
            <w:noWrap w:val="0"/>
            <w:vAlign w:val="center"/>
          </w:tcPr>
          <w:p w14:paraId="2181CCA2">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14</w:t>
            </w:r>
          </w:p>
        </w:tc>
        <w:tc>
          <w:tcPr>
            <w:tcW w:w="923" w:type="pct"/>
            <w:tcBorders>
              <w:tl2br w:val="nil"/>
              <w:tr2bl w:val="nil"/>
            </w:tcBorders>
            <w:noWrap w:val="0"/>
            <w:vAlign w:val="center"/>
          </w:tcPr>
          <w:p w14:paraId="5513E13B">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21</w:t>
            </w:r>
          </w:p>
        </w:tc>
        <w:tc>
          <w:tcPr>
            <w:tcW w:w="774" w:type="pct"/>
            <w:tcBorders>
              <w:tl2br w:val="nil"/>
              <w:tr2bl w:val="nil"/>
            </w:tcBorders>
            <w:noWrap w:val="0"/>
            <w:vAlign w:val="center"/>
          </w:tcPr>
          <w:p w14:paraId="1D67BB5C">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28</w:t>
            </w:r>
          </w:p>
        </w:tc>
        <w:tc>
          <w:tcPr>
            <w:tcW w:w="398" w:type="pct"/>
            <w:tcBorders>
              <w:tl2br w:val="nil"/>
              <w:tr2bl w:val="nil"/>
            </w:tcBorders>
            <w:noWrap w:val="0"/>
            <w:vAlign w:val="center"/>
          </w:tcPr>
          <w:p w14:paraId="1A050B7B">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35</w:t>
            </w:r>
          </w:p>
        </w:tc>
        <w:tc>
          <w:tcPr>
            <w:tcW w:w="570" w:type="pct"/>
            <w:tcBorders>
              <w:tl2br w:val="nil"/>
              <w:tr2bl w:val="nil"/>
            </w:tcBorders>
            <w:noWrap w:val="0"/>
            <w:vAlign w:val="center"/>
          </w:tcPr>
          <w:p w14:paraId="678B449F">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42</w:t>
            </w:r>
          </w:p>
        </w:tc>
        <w:tc>
          <w:tcPr>
            <w:tcW w:w="372" w:type="pct"/>
            <w:tcBorders>
              <w:tl2br w:val="nil"/>
              <w:tr2bl w:val="nil"/>
            </w:tcBorders>
            <w:noWrap w:val="0"/>
            <w:vAlign w:val="center"/>
          </w:tcPr>
          <w:p w14:paraId="3C1DEC91">
            <w:pPr>
              <w:keepNext w:val="0"/>
              <w:keepLines w:val="0"/>
              <w:suppressLineNumbers w:val="0"/>
              <w:spacing w:before="0" w:beforeAutospacing="0" w:after="0" w:afterAutospacing="0" w:line="240" w:lineRule="auto"/>
              <w:ind w:left="0" w:right="0" w:firstLine="0" w:firstLineChars="0"/>
              <w:jc w:val="center"/>
              <w:rPr>
                <w:rFonts w:hint="eastAsia" w:asciiTheme="minorEastAsia" w:hAnsiTheme="minorEastAsia" w:eastAsiaTheme="minorEastAsia" w:cstheme="minorEastAsia"/>
                <w:snapToGrid w:val="0"/>
                <w:color w:val="auto"/>
                <w:sz w:val="21"/>
                <w:highlight w:val="none"/>
              </w:rPr>
            </w:pPr>
            <w:r>
              <w:rPr>
                <w:rFonts w:hint="eastAsia" w:asciiTheme="minorEastAsia" w:hAnsiTheme="minorEastAsia" w:eastAsiaTheme="minorEastAsia" w:cstheme="minorEastAsia"/>
                <w:snapToGrid w:val="0"/>
                <w:color w:val="auto"/>
                <w:sz w:val="21"/>
                <w:highlight w:val="none"/>
              </w:rPr>
              <w:t>49</w:t>
            </w:r>
          </w:p>
        </w:tc>
      </w:tr>
    </w:tbl>
    <w:p w14:paraId="1CA91E33">
      <w:pPr>
        <w:spacing w:line="360" w:lineRule="auto"/>
        <w:ind w:firstLine="480" w:firstLineChars="200"/>
        <w:rPr>
          <w:rFonts w:hint="eastAsia" w:asciiTheme="minorEastAsia" w:hAnsiTheme="minorEastAsia" w:eastAsiaTheme="minorEastAsia" w:cstheme="minorEastAsia"/>
          <w:b/>
          <w:color w:val="auto"/>
          <w:szCs w:val="20"/>
          <w:highlight w:val="none"/>
          <w:lang w:bidi="ar"/>
        </w:rPr>
      </w:pPr>
      <w:bookmarkStart w:id="530" w:name="_Toc12460"/>
      <w:bookmarkStart w:id="531" w:name="_Toc29829"/>
      <w:bookmarkStart w:id="532" w:name="_Toc30709"/>
      <w:bookmarkStart w:id="533" w:name="_Toc8424"/>
      <w:bookmarkStart w:id="534" w:name="_Toc21353"/>
      <w:bookmarkStart w:id="535" w:name="_Toc29840"/>
      <w:bookmarkStart w:id="536" w:name="_Toc25686"/>
      <w:bookmarkStart w:id="537" w:name="_Toc15228"/>
      <w:bookmarkStart w:id="538" w:name="_Toc2028"/>
      <w:bookmarkStart w:id="539" w:name="_Toc24041"/>
      <w:bookmarkStart w:id="540" w:name="_Toc922"/>
      <w:bookmarkStart w:id="541" w:name="_Toc24288"/>
      <w:r>
        <w:rPr>
          <w:rFonts w:hint="eastAsia" w:asciiTheme="minorEastAsia" w:hAnsiTheme="minorEastAsia" w:eastAsiaTheme="minorEastAsia" w:cstheme="minorEastAsia"/>
          <w:color w:val="auto"/>
          <w:szCs w:val="20"/>
          <w:highlight w:val="none"/>
          <w:lang w:bidi="ar"/>
        </w:rPr>
        <w:t>离子毫克当量百分比计算结果见表4.</w:t>
      </w:r>
      <w:r>
        <w:rPr>
          <w:rFonts w:hint="eastAsia" w:asciiTheme="minorEastAsia" w:hAnsiTheme="minorEastAsia" w:eastAsiaTheme="minorEastAsia" w:cstheme="minorEastAsia"/>
          <w:color w:val="auto"/>
          <w:szCs w:val="20"/>
          <w:highlight w:val="none"/>
          <w:lang w:val="en-US" w:eastAsia="zh-CN" w:bidi="ar"/>
        </w:rPr>
        <w:t>3</w:t>
      </w:r>
      <w:r>
        <w:rPr>
          <w:rFonts w:hint="eastAsia" w:asciiTheme="minorEastAsia" w:hAnsiTheme="minorEastAsia" w:eastAsiaTheme="minorEastAsia" w:cstheme="minorEastAsia"/>
          <w:color w:val="auto"/>
          <w:szCs w:val="20"/>
          <w:highlight w:val="none"/>
          <w:lang w:bidi="ar"/>
        </w:rPr>
        <w:t>-</w:t>
      </w:r>
      <w:r>
        <w:rPr>
          <w:rFonts w:hint="eastAsia" w:asciiTheme="minorEastAsia" w:hAnsiTheme="minorEastAsia" w:eastAsiaTheme="minorEastAsia" w:cstheme="minorEastAsia"/>
          <w:color w:val="auto"/>
          <w:szCs w:val="20"/>
          <w:highlight w:val="none"/>
          <w:lang w:val="en-US" w:eastAsia="zh-CN" w:bidi="ar"/>
        </w:rPr>
        <w:t>10</w:t>
      </w:r>
      <w:r>
        <w:rPr>
          <w:rFonts w:hint="eastAsia" w:asciiTheme="minorEastAsia" w:hAnsiTheme="minorEastAsia" w:eastAsiaTheme="minorEastAsia" w:cstheme="minorEastAsia"/>
          <w:color w:val="auto"/>
          <w:szCs w:val="20"/>
          <w:highlight w:val="none"/>
          <w:lang w:bidi="ar"/>
        </w:rPr>
        <w:t>。</w:t>
      </w:r>
    </w:p>
    <w:p w14:paraId="4E0895F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heme="minorEastAsia" w:hAnsiTheme="minorEastAsia" w:eastAsiaTheme="minorEastAsia" w:cstheme="minorEastAsia"/>
          <w:b/>
          <w:bCs/>
          <w:color w:val="auto"/>
          <w:highlight w:val="none"/>
          <w:lang w:val="en-US"/>
        </w:rPr>
      </w:pPr>
      <w:r>
        <w:rPr>
          <w:rFonts w:hint="eastAsia" w:asciiTheme="minorEastAsia" w:hAnsiTheme="minorEastAsia" w:eastAsiaTheme="minorEastAsia" w:cstheme="minorEastAsia"/>
          <w:b/>
          <w:bCs/>
          <w:color w:val="auto"/>
          <w:szCs w:val="20"/>
          <w:highlight w:val="none"/>
          <w:lang w:bidi="ar"/>
        </w:rPr>
        <w:t>表4.</w:t>
      </w:r>
      <w:r>
        <w:rPr>
          <w:rFonts w:hint="eastAsia" w:asciiTheme="minorEastAsia" w:hAnsiTheme="minorEastAsia" w:eastAsiaTheme="minorEastAsia" w:cstheme="minorEastAsia"/>
          <w:b/>
          <w:bCs/>
          <w:color w:val="auto"/>
          <w:szCs w:val="20"/>
          <w:highlight w:val="none"/>
          <w:lang w:val="en-US" w:eastAsia="zh-CN" w:bidi="ar"/>
        </w:rPr>
        <w:t>3</w:t>
      </w:r>
      <w:r>
        <w:rPr>
          <w:rFonts w:hint="eastAsia" w:asciiTheme="minorEastAsia" w:hAnsiTheme="minorEastAsia" w:eastAsiaTheme="minorEastAsia" w:cstheme="minorEastAsia"/>
          <w:b/>
          <w:bCs/>
          <w:color w:val="auto"/>
          <w:szCs w:val="20"/>
          <w:highlight w:val="none"/>
          <w:lang w:bidi="ar"/>
        </w:rPr>
        <w:t>-</w:t>
      </w:r>
      <w:r>
        <w:rPr>
          <w:rFonts w:hint="eastAsia" w:asciiTheme="minorEastAsia" w:hAnsiTheme="minorEastAsia" w:eastAsiaTheme="minorEastAsia" w:cstheme="minorEastAsia"/>
          <w:b/>
          <w:bCs/>
          <w:color w:val="auto"/>
          <w:szCs w:val="20"/>
          <w:highlight w:val="none"/>
          <w:lang w:val="en-US" w:eastAsia="zh-CN" w:bidi="ar"/>
        </w:rPr>
        <w:t xml:space="preserve">10  </w:t>
      </w:r>
      <w:r>
        <w:rPr>
          <w:rFonts w:hint="eastAsia" w:asciiTheme="minorEastAsia" w:hAnsiTheme="minorEastAsia" w:eastAsiaTheme="minorEastAsia" w:cstheme="minorEastAsia"/>
          <w:b/>
          <w:bCs/>
          <w:color w:val="auto"/>
          <w:szCs w:val="20"/>
          <w:highlight w:val="none"/>
          <w:lang w:bidi="ar"/>
        </w:rPr>
        <w:t>离子毫克当量百分比计算结果</w:t>
      </w:r>
    </w:p>
    <w:tbl>
      <w:tblPr>
        <w:tblStyle w:val="85"/>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93"/>
        <w:gridCol w:w="1798"/>
        <w:gridCol w:w="1795"/>
        <w:gridCol w:w="1796"/>
        <w:gridCol w:w="1796"/>
      </w:tblGrid>
      <w:tr w14:paraId="0E2F3B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999" w:type="pct"/>
            <w:gridSpan w:val="2"/>
            <w:tcBorders>
              <w:tl2br w:val="nil"/>
              <w:tr2bl w:val="nil"/>
            </w:tcBorders>
            <w:noWrap w:val="0"/>
            <w:vAlign w:val="center"/>
          </w:tcPr>
          <w:p w14:paraId="1A45CA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lang w:val="en-US" w:eastAsia="zh-CN"/>
              </w:rPr>
              <w:t>★</w:t>
            </w:r>
            <w:r>
              <w:rPr>
                <w:rFonts w:hint="default" w:ascii="Times New Roman" w:hAnsi="Times New Roman" w:cs="Times New Roman"/>
                <w:color w:val="auto"/>
                <w:kern w:val="0"/>
                <w:sz w:val="21"/>
                <w:szCs w:val="21"/>
                <w:highlight w:val="none"/>
              </w:rPr>
              <w:t>1</w:t>
            </w:r>
            <w:r>
              <w:rPr>
                <w:rFonts w:hint="default" w:ascii="Times New Roman" w:hAnsi="Times New Roman" w:cs="Times New Roman"/>
                <w:color w:val="auto"/>
                <w:kern w:val="0"/>
                <w:sz w:val="21"/>
                <w:szCs w:val="21"/>
                <w:highlight w:val="none"/>
                <w:lang w:val="en-US" w:eastAsia="zh-CN"/>
              </w:rPr>
              <w:t>#</w:t>
            </w:r>
            <w:r>
              <w:rPr>
                <w:rFonts w:hint="default" w:ascii="Times New Roman" w:hAnsi="Times New Roman" w:cs="Times New Roman"/>
                <w:color w:val="auto"/>
                <w:sz w:val="21"/>
                <w:szCs w:val="21"/>
                <w:highlight w:val="none"/>
              </w:rPr>
              <w:t>离子</w:t>
            </w:r>
          </w:p>
        </w:tc>
        <w:tc>
          <w:tcPr>
            <w:tcW w:w="999" w:type="pct"/>
            <w:tcBorders>
              <w:tl2br w:val="nil"/>
              <w:tr2bl w:val="nil"/>
            </w:tcBorders>
            <w:noWrap w:val="0"/>
            <w:vAlign w:val="center"/>
          </w:tcPr>
          <w:p w14:paraId="010681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mg/L</w:t>
            </w:r>
          </w:p>
        </w:tc>
        <w:tc>
          <w:tcPr>
            <w:tcW w:w="1000" w:type="pct"/>
            <w:tcBorders>
              <w:tl2br w:val="nil"/>
              <w:tr2bl w:val="nil"/>
            </w:tcBorders>
            <w:noWrap w:val="0"/>
            <w:vAlign w:val="center"/>
          </w:tcPr>
          <w:p w14:paraId="75AE2B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meq/L</w:t>
            </w:r>
          </w:p>
        </w:tc>
        <w:tc>
          <w:tcPr>
            <w:tcW w:w="1000" w:type="pct"/>
            <w:tcBorders>
              <w:tl2br w:val="nil"/>
              <w:tr2bl w:val="nil"/>
            </w:tcBorders>
            <w:noWrap w:val="0"/>
            <w:vAlign w:val="center"/>
          </w:tcPr>
          <w:p w14:paraId="485BAF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meq%</w:t>
            </w:r>
          </w:p>
        </w:tc>
      </w:tr>
      <w:tr w14:paraId="7ECE07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98" w:type="pct"/>
            <w:vMerge w:val="restart"/>
            <w:tcBorders>
              <w:tl2br w:val="nil"/>
              <w:tr2bl w:val="nil"/>
            </w:tcBorders>
            <w:noWrap w:val="0"/>
            <w:vAlign w:val="center"/>
          </w:tcPr>
          <w:p w14:paraId="20EE36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阳离子</w:t>
            </w:r>
          </w:p>
        </w:tc>
        <w:tc>
          <w:tcPr>
            <w:tcW w:w="1001" w:type="pct"/>
            <w:tcBorders>
              <w:tl2br w:val="nil"/>
              <w:tr2bl w:val="nil"/>
            </w:tcBorders>
            <w:noWrap w:val="0"/>
            <w:vAlign w:val="center"/>
          </w:tcPr>
          <w:p w14:paraId="7B025B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K</w:t>
            </w:r>
            <w:r>
              <w:rPr>
                <w:rFonts w:hint="default" w:ascii="Times New Roman" w:hAnsi="Times New Roman" w:cs="Times New Roman"/>
                <w:color w:val="auto"/>
                <w:sz w:val="21"/>
                <w:szCs w:val="21"/>
                <w:highlight w:val="none"/>
                <w:vertAlign w:val="superscript"/>
              </w:rPr>
              <w:t>+</w:t>
            </w:r>
          </w:p>
        </w:tc>
        <w:tc>
          <w:tcPr>
            <w:tcW w:w="1703" w:type="dxa"/>
            <w:tcBorders>
              <w:tl2br w:val="nil"/>
              <w:tr2bl w:val="nil"/>
            </w:tcBorders>
            <w:noWrap w:val="0"/>
            <w:vAlign w:val="center"/>
          </w:tcPr>
          <w:p w14:paraId="5800767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3.52</w:t>
            </w:r>
          </w:p>
        </w:tc>
        <w:tc>
          <w:tcPr>
            <w:tcW w:w="1704" w:type="dxa"/>
            <w:tcBorders>
              <w:tl2br w:val="nil"/>
              <w:tr2bl w:val="nil"/>
            </w:tcBorders>
            <w:noWrap w:val="0"/>
            <w:vAlign w:val="center"/>
          </w:tcPr>
          <w:p w14:paraId="7FFBF80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0.090</w:t>
            </w:r>
          </w:p>
        </w:tc>
        <w:tc>
          <w:tcPr>
            <w:tcW w:w="1705" w:type="dxa"/>
            <w:tcBorders>
              <w:tl2br w:val="nil"/>
              <w:tr2bl w:val="nil"/>
            </w:tcBorders>
            <w:noWrap w:val="0"/>
            <w:vAlign w:val="center"/>
          </w:tcPr>
          <w:p w14:paraId="25B2365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2.17</w:t>
            </w:r>
          </w:p>
        </w:tc>
      </w:tr>
      <w:tr w14:paraId="46E33D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 w:hRule="atLeast"/>
        </w:trPr>
        <w:tc>
          <w:tcPr>
            <w:tcW w:w="998" w:type="pct"/>
            <w:vMerge w:val="continue"/>
            <w:tcBorders>
              <w:tl2br w:val="nil"/>
              <w:tr2bl w:val="nil"/>
            </w:tcBorders>
            <w:noWrap w:val="0"/>
            <w:vAlign w:val="center"/>
          </w:tcPr>
          <w:p w14:paraId="6C2555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20C763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Times New Roman" w:cs="Times New Roman"/>
                <w:color w:val="auto"/>
                <w:sz w:val="21"/>
                <w:szCs w:val="21"/>
                <w:highlight w:val="none"/>
                <w:lang w:val="en-US" w:eastAsia="zh-CN" w:bidi="ar-SA"/>
              </w:rPr>
            </w:pPr>
            <w:r>
              <w:rPr>
                <w:rFonts w:hint="default" w:ascii="Times New Roman" w:hAnsi="Times New Roman" w:cs="Times New Roman"/>
                <w:color w:val="auto"/>
                <w:sz w:val="21"/>
                <w:szCs w:val="21"/>
                <w:highlight w:val="none"/>
              </w:rPr>
              <w:t>Na</w:t>
            </w:r>
            <w:r>
              <w:rPr>
                <w:rFonts w:hint="default" w:ascii="Times New Roman" w:hAnsi="Times New Roman" w:cs="Times New Roman"/>
                <w:color w:val="auto"/>
                <w:sz w:val="21"/>
                <w:szCs w:val="21"/>
                <w:highlight w:val="none"/>
                <w:vertAlign w:val="superscript"/>
              </w:rPr>
              <w:t>+</w:t>
            </w:r>
          </w:p>
        </w:tc>
        <w:tc>
          <w:tcPr>
            <w:tcW w:w="1703" w:type="dxa"/>
            <w:tcBorders>
              <w:tl2br w:val="nil"/>
              <w:tr2bl w:val="nil"/>
            </w:tcBorders>
            <w:noWrap w:val="0"/>
            <w:vAlign w:val="center"/>
          </w:tcPr>
          <w:p w14:paraId="3AECC0F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21.5</w:t>
            </w:r>
          </w:p>
        </w:tc>
        <w:tc>
          <w:tcPr>
            <w:tcW w:w="1704" w:type="dxa"/>
            <w:tcBorders>
              <w:tl2br w:val="nil"/>
              <w:tr2bl w:val="nil"/>
            </w:tcBorders>
            <w:noWrap w:val="0"/>
            <w:vAlign w:val="center"/>
          </w:tcPr>
          <w:p w14:paraId="0490070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0.935</w:t>
            </w:r>
          </w:p>
        </w:tc>
        <w:tc>
          <w:tcPr>
            <w:tcW w:w="1705" w:type="dxa"/>
            <w:tcBorders>
              <w:tl2br w:val="nil"/>
              <w:tr2bl w:val="nil"/>
            </w:tcBorders>
            <w:noWrap w:val="0"/>
            <w:vAlign w:val="center"/>
          </w:tcPr>
          <w:p w14:paraId="7F1D463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22.5</w:t>
            </w:r>
          </w:p>
        </w:tc>
      </w:tr>
      <w:tr w14:paraId="6A9416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6C3FA6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59E68D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Ca</w:t>
            </w:r>
            <w:r>
              <w:rPr>
                <w:rFonts w:hint="default" w:ascii="Times New Roman" w:hAnsi="Times New Roman" w:cs="Times New Roman"/>
                <w:color w:val="auto"/>
                <w:sz w:val="21"/>
                <w:szCs w:val="21"/>
                <w:highlight w:val="none"/>
                <w:vertAlign w:val="superscript"/>
              </w:rPr>
              <w:t>2+</w:t>
            </w:r>
          </w:p>
        </w:tc>
        <w:tc>
          <w:tcPr>
            <w:tcW w:w="1703" w:type="dxa"/>
            <w:tcBorders>
              <w:tl2br w:val="nil"/>
              <w:tr2bl w:val="nil"/>
            </w:tcBorders>
            <w:noWrap w:val="0"/>
            <w:vAlign w:val="center"/>
          </w:tcPr>
          <w:p w14:paraId="1F349D7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27.2</w:t>
            </w:r>
          </w:p>
        </w:tc>
        <w:tc>
          <w:tcPr>
            <w:tcW w:w="1704" w:type="dxa"/>
            <w:tcBorders>
              <w:tl2br w:val="nil"/>
              <w:tr2bl w:val="nil"/>
            </w:tcBorders>
            <w:noWrap w:val="0"/>
            <w:vAlign w:val="center"/>
          </w:tcPr>
          <w:p w14:paraId="75A325C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1.360</w:t>
            </w:r>
          </w:p>
        </w:tc>
        <w:tc>
          <w:tcPr>
            <w:tcW w:w="1705" w:type="dxa"/>
            <w:tcBorders>
              <w:tl2br w:val="nil"/>
              <w:tr2bl w:val="nil"/>
            </w:tcBorders>
            <w:noWrap w:val="0"/>
            <w:vAlign w:val="center"/>
          </w:tcPr>
          <w:p w14:paraId="16B560A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32.7</w:t>
            </w:r>
          </w:p>
        </w:tc>
      </w:tr>
      <w:tr w14:paraId="7EDBC8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0DF563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1FF871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Mg</w:t>
            </w:r>
            <w:r>
              <w:rPr>
                <w:rFonts w:hint="default" w:ascii="Times New Roman" w:hAnsi="Times New Roman" w:cs="Times New Roman"/>
                <w:color w:val="auto"/>
                <w:sz w:val="21"/>
                <w:szCs w:val="21"/>
                <w:highlight w:val="none"/>
                <w:vertAlign w:val="superscript"/>
              </w:rPr>
              <w:t>2+</w:t>
            </w:r>
          </w:p>
        </w:tc>
        <w:tc>
          <w:tcPr>
            <w:tcW w:w="1703" w:type="dxa"/>
            <w:tcBorders>
              <w:tl2br w:val="nil"/>
              <w:tr2bl w:val="nil"/>
            </w:tcBorders>
            <w:noWrap w:val="0"/>
            <w:vAlign w:val="center"/>
          </w:tcPr>
          <w:p w14:paraId="54F4CE5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21.3</w:t>
            </w:r>
          </w:p>
        </w:tc>
        <w:tc>
          <w:tcPr>
            <w:tcW w:w="1704" w:type="dxa"/>
            <w:tcBorders>
              <w:tl2br w:val="nil"/>
              <w:tr2bl w:val="nil"/>
            </w:tcBorders>
            <w:noWrap w:val="0"/>
            <w:vAlign w:val="center"/>
          </w:tcPr>
          <w:p w14:paraId="7221E93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1.775 </w:t>
            </w:r>
          </w:p>
        </w:tc>
        <w:tc>
          <w:tcPr>
            <w:tcW w:w="1705" w:type="dxa"/>
            <w:tcBorders>
              <w:tl2br w:val="nil"/>
              <w:tr2bl w:val="nil"/>
            </w:tcBorders>
            <w:noWrap w:val="0"/>
            <w:vAlign w:val="center"/>
          </w:tcPr>
          <w:p w14:paraId="6ADD4BA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42.7</w:t>
            </w:r>
          </w:p>
        </w:tc>
      </w:tr>
      <w:tr w14:paraId="0EB3F3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29AC69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74EA21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总计</w:t>
            </w:r>
          </w:p>
        </w:tc>
        <w:tc>
          <w:tcPr>
            <w:tcW w:w="1703" w:type="dxa"/>
            <w:tcBorders>
              <w:tl2br w:val="nil"/>
              <w:tr2bl w:val="nil"/>
            </w:tcBorders>
            <w:noWrap w:val="0"/>
            <w:vAlign w:val="center"/>
          </w:tcPr>
          <w:p w14:paraId="653A695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1704" w:type="dxa"/>
            <w:tcBorders>
              <w:tl2br w:val="nil"/>
              <w:tr2bl w:val="nil"/>
            </w:tcBorders>
            <w:noWrap w:val="0"/>
            <w:vAlign w:val="center"/>
          </w:tcPr>
          <w:p w14:paraId="5EDF915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4.160</w:t>
            </w:r>
          </w:p>
        </w:tc>
        <w:tc>
          <w:tcPr>
            <w:tcW w:w="1705" w:type="dxa"/>
            <w:tcBorders>
              <w:tl2br w:val="nil"/>
              <w:tr2bl w:val="nil"/>
            </w:tcBorders>
            <w:noWrap w:val="0"/>
            <w:vAlign w:val="center"/>
          </w:tcPr>
          <w:p w14:paraId="633EB44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100%</w:t>
            </w:r>
          </w:p>
        </w:tc>
      </w:tr>
      <w:tr w14:paraId="410476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restart"/>
            <w:tcBorders>
              <w:tl2br w:val="nil"/>
              <w:tr2bl w:val="nil"/>
            </w:tcBorders>
            <w:noWrap w:val="0"/>
            <w:vAlign w:val="center"/>
          </w:tcPr>
          <w:p w14:paraId="12CFBF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阴离子</w:t>
            </w:r>
          </w:p>
        </w:tc>
        <w:tc>
          <w:tcPr>
            <w:tcW w:w="1001" w:type="pct"/>
            <w:tcBorders>
              <w:tl2br w:val="nil"/>
              <w:tr2bl w:val="nil"/>
            </w:tcBorders>
            <w:noWrap w:val="0"/>
            <w:vAlign w:val="center"/>
          </w:tcPr>
          <w:p w14:paraId="48BF28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HCO</w:t>
            </w:r>
            <w:r>
              <w:rPr>
                <w:rFonts w:hint="default" w:ascii="Times New Roman" w:hAnsi="Times New Roman" w:cs="Times New Roman"/>
                <w:color w:val="auto"/>
                <w:sz w:val="21"/>
                <w:szCs w:val="21"/>
                <w:highlight w:val="none"/>
                <w:vertAlign w:val="subscript"/>
              </w:rPr>
              <w:t>3</w:t>
            </w:r>
            <w:r>
              <w:rPr>
                <w:rFonts w:hint="default" w:ascii="Times New Roman" w:hAnsi="Times New Roman" w:cs="Times New Roman"/>
                <w:color w:val="auto"/>
                <w:sz w:val="21"/>
                <w:szCs w:val="21"/>
                <w:highlight w:val="none"/>
                <w:vertAlign w:val="superscript"/>
              </w:rPr>
              <w:t>-</w:t>
            </w:r>
          </w:p>
        </w:tc>
        <w:tc>
          <w:tcPr>
            <w:tcW w:w="1703" w:type="dxa"/>
            <w:tcBorders>
              <w:tl2br w:val="nil"/>
              <w:tr2bl w:val="nil"/>
            </w:tcBorders>
            <w:noWrap w:val="0"/>
            <w:vAlign w:val="center"/>
          </w:tcPr>
          <w:p w14:paraId="5EF1D9F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118</w:t>
            </w:r>
          </w:p>
        </w:tc>
        <w:tc>
          <w:tcPr>
            <w:tcW w:w="1704" w:type="dxa"/>
            <w:tcBorders>
              <w:tl2br w:val="nil"/>
              <w:tr2bl w:val="nil"/>
            </w:tcBorders>
            <w:noWrap w:val="0"/>
            <w:vAlign w:val="center"/>
          </w:tcPr>
          <w:p w14:paraId="1018D8F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1.934</w:t>
            </w:r>
          </w:p>
        </w:tc>
        <w:tc>
          <w:tcPr>
            <w:tcW w:w="1705" w:type="dxa"/>
            <w:tcBorders>
              <w:tl2br w:val="nil"/>
              <w:tr2bl w:val="nil"/>
            </w:tcBorders>
            <w:noWrap w:val="0"/>
            <w:vAlign w:val="center"/>
          </w:tcPr>
          <w:p w14:paraId="5640531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47.0</w:t>
            </w:r>
          </w:p>
        </w:tc>
      </w:tr>
      <w:tr w14:paraId="02A9FC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1E9DFB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7647E0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Cl</w:t>
            </w:r>
            <w:r>
              <w:rPr>
                <w:rFonts w:hint="default" w:ascii="Times New Roman" w:hAnsi="Times New Roman" w:cs="Times New Roman"/>
                <w:color w:val="auto"/>
                <w:sz w:val="21"/>
                <w:szCs w:val="21"/>
                <w:highlight w:val="none"/>
                <w:vertAlign w:val="superscript"/>
              </w:rPr>
              <w:t>-</w:t>
            </w:r>
          </w:p>
        </w:tc>
        <w:tc>
          <w:tcPr>
            <w:tcW w:w="1703" w:type="dxa"/>
            <w:tcBorders>
              <w:tl2br w:val="nil"/>
              <w:tr2bl w:val="nil"/>
            </w:tcBorders>
            <w:noWrap w:val="0"/>
            <w:vAlign w:val="center"/>
          </w:tcPr>
          <w:p w14:paraId="0D80969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46.8</w:t>
            </w:r>
          </w:p>
        </w:tc>
        <w:tc>
          <w:tcPr>
            <w:tcW w:w="1704" w:type="dxa"/>
            <w:tcBorders>
              <w:tl2br w:val="nil"/>
              <w:tr2bl w:val="nil"/>
            </w:tcBorders>
            <w:noWrap w:val="0"/>
            <w:vAlign w:val="center"/>
          </w:tcPr>
          <w:p w14:paraId="4CED94D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1.318</w:t>
            </w:r>
          </w:p>
        </w:tc>
        <w:tc>
          <w:tcPr>
            <w:tcW w:w="1705" w:type="dxa"/>
            <w:tcBorders>
              <w:tl2br w:val="nil"/>
              <w:tr2bl w:val="nil"/>
            </w:tcBorders>
            <w:noWrap w:val="0"/>
            <w:vAlign w:val="center"/>
          </w:tcPr>
          <w:p w14:paraId="1592E7B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32.1</w:t>
            </w:r>
          </w:p>
        </w:tc>
      </w:tr>
      <w:tr w14:paraId="2F7E0D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998" w:type="pct"/>
            <w:vMerge w:val="continue"/>
            <w:tcBorders>
              <w:tl2br w:val="nil"/>
              <w:tr2bl w:val="nil"/>
            </w:tcBorders>
            <w:noWrap w:val="0"/>
            <w:vAlign w:val="center"/>
          </w:tcPr>
          <w:p w14:paraId="6FC58C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033E50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SO</w:t>
            </w:r>
            <w:r>
              <w:rPr>
                <w:rFonts w:hint="default" w:ascii="Times New Roman" w:hAnsi="Times New Roman" w:cs="Times New Roman"/>
                <w:color w:val="auto"/>
                <w:sz w:val="21"/>
                <w:szCs w:val="21"/>
                <w:highlight w:val="none"/>
                <w:vertAlign w:val="subscript"/>
              </w:rPr>
              <w:t>4</w:t>
            </w:r>
            <w:r>
              <w:rPr>
                <w:rFonts w:hint="default" w:ascii="Times New Roman" w:hAnsi="Times New Roman" w:cs="Times New Roman"/>
                <w:color w:val="auto"/>
                <w:sz w:val="21"/>
                <w:szCs w:val="21"/>
                <w:highlight w:val="none"/>
                <w:vertAlign w:val="superscript"/>
              </w:rPr>
              <w:t>2-</w:t>
            </w:r>
          </w:p>
        </w:tc>
        <w:tc>
          <w:tcPr>
            <w:tcW w:w="1703" w:type="dxa"/>
            <w:tcBorders>
              <w:tl2br w:val="nil"/>
              <w:tr2bl w:val="nil"/>
            </w:tcBorders>
            <w:noWrap w:val="0"/>
            <w:vAlign w:val="center"/>
          </w:tcPr>
          <w:p w14:paraId="0FDF4A4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41.3</w:t>
            </w:r>
          </w:p>
        </w:tc>
        <w:tc>
          <w:tcPr>
            <w:tcW w:w="1704" w:type="dxa"/>
            <w:tcBorders>
              <w:tl2br w:val="nil"/>
              <w:tr2bl w:val="nil"/>
            </w:tcBorders>
            <w:noWrap w:val="0"/>
            <w:vAlign w:val="center"/>
          </w:tcPr>
          <w:p w14:paraId="148E115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0.860</w:t>
            </w:r>
          </w:p>
        </w:tc>
        <w:tc>
          <w:tcPr>
            <w:tcW w:w="1705" w:type="dxa"/>
            <w:tcBorders>
              <w:tl2br w:val="nil"/>
              <w:tr2bl w:val="nil"/>
            </w:tcBorders>
            <w:noWrap w:val="0"/>
            <w:vAlign w:val="center"/>
          </w:tcPr>
          <w:p w14:paraId="4C5A8D9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20.92</w:t>
            </w:r>
          </w:p>
        </w:tc>
      </w:tr>
      <w:tr w14:paraId="08F25D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4C3C4D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7E2352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总计</w:t>
            </w:r>
          </w:p>
        </w:tc>
        <w:tc>
          <w:tcPr>
            <w:tcW w:w="1703" w:type="dxa"/>
            <w:tcBorders>
              <w:tl2br w:val="nil"/>
              <w:tr2bl w:val="nil"/>
            </w:tcBorders>
            <w:noWrap w:val="0"/>
            <w:vAlign w:val="center"/>
          </w:tcPr>
          <w:p w14:paraId="0CE7A09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1704" w:type="dxa"/>
            <w:tcBorders>
              <w:tl2br w:val="nil"/>
              <w:tr2bl w:val="nil"/>
            </w:tcBorders>
            <w:noWrap w:val="0"/>
            <w:vAlign w:val="center"/>
          </w:tcPr>
          <w:p w14:paraId="21E3B87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4.113 </w:t>
            </w:r>
          </w:p>
        </w:tc>
        <w:tc>
          <w:tcPr>
            <w:tcW w:w="1705" w:type="dxa"/>
            <w:tcBorders>
              <w:tl2br w:val="nil"/>
              <w:tr2bl w:val="nil"/>
            </w:tcBorders>
            <w:noWrap w:val="0"/>
            <w:vAlign w:val="center"/>
          </w:tcPr>
          <w:p w14:paraId="37B4B52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100%</w:t>
            </w:r>
          </w:p>
        </w:tc>
      </w:tr>
      <w:tr w14:paraId="42C9E4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999" w:type="pct"/>
            <w:gridSpan w:val="2"/>
            <w:tcBorders>
              <w:tl2br w:val="nil"/>
              <w:tr2bl w:val="nil"/>
            </w:tcBorders>
            <w:noWrap w:val="0"/>
            <w:vAlign w:val="center"/>
          </w:tcPr>
          <w:p w14:paraId="4F081C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lang w:val="en-US" w:eastAsia="zh-CN"/>
              </w:rPr>
              <w:t>★</w:t>
            </w:r>
            <w:r>
              <w:rPr>
                <w:rFonts w:hint="default" w:ascii="Times New Roman" w:hAnsi="Times New Roman" w:cs="Times New Roman"/>
                <w:color w:val="auto"/>
                <w:kern w:val="0"/>
                <w:sz w:val="21"/>
                <w:szCs w:val="21"/>
                <w:highlight w:val="none"/>
              </w:rPr>
              <w:t>2#</w:t>
            </w:r>
            <w:r>
              <w:rPr>
                <w:rFonts w:hint="default" w:ascii="Times New Roman" w:hAnsi="Times New Roman" w:cs="Times New Roman"/>
                <w:color w:val="auto"/>
                <w:sz w:val="21"/>
                <w:szCs w:val="21"/>
                <w:highlight w:val="none"/>
              </w:rPr>
              <w:t>离子</w:t>
            </w:r>
          </w:p>
        </w:tc>
        <w:tc>
          <w:tcPr>
            <w:tcW w:w="999" w:type="pct"/>
            <w:tcBorders>
              <w:tl2br w:val="nil"/>
              <w:tr2bl w:val="nil"/>
            </w:tcBorders>
            <w:shd w:val="clear" w:color="auto" w:fill="auto"/>
            <w:noWrap w:val="0"/>
            <w:vAlign w:val="center"/>
          </w:tcPr>
          <w:p w14:paraId="0D3BF5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1000" w:type="pct"/>
            <w:tcBorders>
              <w:tl2br w:val="nil"/>
              <w:tr2bl w:val="nil"/>
            </w:tcBorders>
            <w:shd w:val="clear" w:color="auto" w:fill="auto"/>
            <w:noWrap w:val="0"/>
            <w:vAlign w:val="center"/>
          </w:tcPr>
          <w:p w14:paraId="61A41F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meq/L</w:t>
            </w:r>
          </w:p>
        </w:tc>
        <w:tc>
          <w:tcPr>
            <w:tcW w:w="1000" w:type="pct"/>
            <w:tcBorders>
              <w:tl2br w:val="nil"/>
              <w:tr2bl w:val="nil"/>
            </w:tcBorders>
            <w:shd w:val="clear" w:color="auto" w:fill="auto"/>
            <w:noWrap w:val="0"/>
            <w:vAlign w:val="center"/>
          </w:tcPr>
          <w:p w14:paraId="6BFBCD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meq%</w:t>
            </w:r>
          </w:p>
        </w:tc>
      </w:tr>
      <w:tr w14:paraId="302EE2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998" w:type="pct"/>
            <w:vMerge w:val="restart"/>
            <w:tcBorders>
              <w:tl2br w:val="nil"/>
              <w:tr2bl w:val="nil"/>
            </w:tcBorders>
            <w:noWrap w:val="0"/>
            <w:vAlign w:val="center"/>
          </w:tcPr>
          <w:p w14:paraId="25DB0F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阳离子</w:t>
            </w:r>
          </w:p>
        </w:tc>
        <w:tc>
          <w:tcPr>
            <w:tcW w:w="1001" w:type="pct"/>
            <w:tcBorders>
              <w:tl2br w:val="nil"/>
              <w:tr2bl w:val="nil"/>
            </w:tcBorders>
            <w:noWrap w:val="0"/>
            <w:vAlign w:val="center"/>
          </w:tcPr>
          <w:p w14:paraId="52E133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K</w:t>
            </w:r>
            <w:r>
              <w:rPr>
                <w:rFonts w:hint="default" w:ascii="Times New Roman" w:hAnsi="Times New Roman" w:cs="Times New Roman"/>
                <w:color w:val="auto"/>
                <w:sz w:val="21"/>
                <w:szCs w:val="21"/>
                <w:highlight w:val="none"/>
                <w:vertAlign w:val="superscript"/>
              </w:rPr>
              <w:t>+</w:t>
            </w:r>
          </w:p>
        </w:tc>
        <w:tc>
          <w:tcPr>
            <w:tcW w:w="1703" w:type="dxa"/>
            <w:tcBorders>
              <w:tl2br w:val="nil"/>
              <w:tr2bl w:val="nil"/>
            </w:tcBorders>
            <w:noWrap w:val="0"/>
            <w:vAlign w:val="center"/>
          </w:tcPr>
          <w:p w14:paraId="52C3BC3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3.21</w:t>
            </w:r>
          </w:p>
        </w:tc>
        <w:tc>
          <w:tcPr>
            <w:tcW w:w="1704" w:type="dxa"/>
            <w:tcBorders>
              <w:tl2br w:val="nil"/>
              <w:tr2bl w:val="nil"/>
            </w:tcBorders>
            <w:noWrap w:val="0"/>
            <w:vAlign w:val="center"/>
          </w:tcPr>
          <w:p w14:paraId="20DC3E4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0.082</w:t>
            </w:r>
          </w:p>
        </w:tc>
        <w:tc>
          <w:tcPr>
            <w:tcW w:w="1705" w:type="dxa"/>
            <w:tcBorders>
              <w:tl2br w:val="nil"/>
              <w:tr2bl w:val="nil"/>
            </w:tcBorders>
            <w:noWrap w:val="0"/>
            <w:vAlign w:val="center"/>
          </w:tcPr>
          <w:p w14:paraId="271799F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1.91</w:t>
            </w:r>
          </w:p>
        </w:tc>
      </w:tr>
      <w:tr w14:paraId="6B57AD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998" w:type="pct"/>
            <w:vMerge w:val="continue"/>
            <w:tcBorders>
              <w:tl2br w:val="nil"/>
              <w:tr2bl w:val="nil"/>
            </w:tcBorders>
            <w:noWrap w:val="0"/>
            <w:vAlign w:val="center"/>
          </w:tcPr>
          <w:p w14:paraId="7B0039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5C9623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Times New Roman" w:cs="Times New Roman"/>
                <w:color w:val="auto"/>
                <w:sz w:val="21"/>
                <w:szCs w:val="21"/>
                <w:highlight w:val="none"/>
                <w:lang w:val="en-US" w:eastAsia="zh-CN" w:bidi="ar-SA"/>
              </w:rPr>
            </w:pPr>
            <w:r>
              <w:rPr>
                <w:rFonts w:hint="default" w:ascii="Times New Roman" w:hAnsi="Times New Roman" w:cs="Times New Roman"/>
                <w:color w:val="auto"/>
                <w:sz w:val="21"/>
                <w:szCs w:val="21"/>
                <w:highlight w:val="none"/>
              </w:rPr>
              <w:t>Na</w:t>
            </w:r>
            <w:r>
              <w:rPr>
                <w:rFonts w:hint="default" w:ascii="Times New Roman" w:hAnsi="Times New Roman" w:cs="Times New Roman"/>
                <w:color w:val="auto"/>
                <w:sz w:val="21"/>
                <w:szCs w:val="21"/>
                <w:highlight w:val="none"/>
                <w:vertAlign w:val="superscript"/>
              </w:rPr>
              <w:t>+</w:t>
            </w:r>
          </w:p>
        </w:tc>
        <w:tc>
          <w:tcPr>
            <w:tcW w:w="1703" w:type="dxa"/>
            <w:tcBorders>
              <w:tl2br w:val="nil"/>
              <w:tr2bl w:val="nil"/>
            </w:tcBorders>
            <w:noWrap w:val="0"/>
            <w:vAlign w:val="center"/>
          </w:tcPr>
          <w:p w14:paraId="545E1B3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21.13</w:t>
            </w:r>
          </w:p>
        </w:tc>
        <w:tc>
          <w:tcPr>
            <w:tcW w:w="1704" w:type="dxa"/>
            <w:tcBorders>
              <w:tl2br w:val="nil"/>
              <w:tr2bl w:val="nil"/>
            </w:tcBorders>
            <w:noWrap w:val="0"/>
            <w:vAlign w:val="center"/>
          </w:tcPr>
          <w:p w14:paraId="17BADAA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0.919</w:t>
            </w:r>
          </w:p>
        </w:tc>
        <w:tc>
          <w:tcPr>
            <w:tcW w:w="1705" w:type="dxa"/>
            <w:tcBorders>
              <w:tl2br w:val="nil"/>
              <w:tr2bl w:val="nil"/>
            </w:tcBorders>
            <w:noWrap w:val="0"/>
            <w:vAlign w:val="center"/>
          </w:tcPr>
          <w:p w14:paraId="44B0FEB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21.4</w:t>
            </w:r>
          </w:p>
        </w:tc>
      </w:tr>
      <w:tr w14:paraId="66405A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36BB5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08E2A0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Ca</w:t>
            </w:r>
            <w:r>
              <w:rPr>
                <w:rFonts w:hint="default" w:ascii="Times New Roman" w:hAnsi="Times New Roman" w:cs="Times New Roman"/>
                <w:color w:val="auto"/>
                <w:sz w:val="21"/>
                <w:szCs w:val="21"/>
                <w:highlight w:val="none"/>
                <w:vertAlign w:val="superscript"/>
              </w:rPr>
              <w:t>2+</w:t>
            </w:r>
          </w:p>
        </w:tc>
        <w:tc>
          <w:tcPr>
            <w:tcW w:w="1703" w:type="dxa"/>
            <w:tcBorders>
              <w:tl2br w:val="nil"/>
              <w:tr2bl w:val="nil"/>
            </w:tcBorders>
            <w:noWrap w:val="0"/>
            <w:vAlign w:val="center"/>
          </w:tcPr>
          <w:p w14:paraId="2431E58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28</w:t>
            </w:r>
          </w:p>
        </w:tc>
        <w:tc>
          <w:tcPr>
            <w:tcW w:w="1704" w:type="dxa"/>
            <w:tcBorders>
              <w:tl2br w:val="nil"/>
              <w:tr2bl w:val="nil"/>
            </w:tcBorders>
            <w:noWrap w:val="0"/>
            <w:vAlign w:val="center"/>
          </w:tcPr>
          <w:p w14:paraId="5D4983A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1.400</w:t>
            </w:r>
          </w:p>
        </w:tc>
        <w:tc>
          <w:tcPr>
            <w:tcW w:w="1705" w:type="dxa"/>
            <w:tcBorders>
              <w:tl2br w:val="nil"/>
              <w:tr2bl w:val="nil"/>
            </w:tcBorders>
            <w:noWrap w:val="0"/>
            <w:vAlign w:val="center"/>
          </w:tcPr>
          <w:p w14:paraId="40540CB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32.6</w:t>
            </w:r>
          </w:p>
        </w:tc>
      </w:tr>
      <w:tr w14:paraId="4B52E1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364159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2DB522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Mg</w:t>
            </w:r>
            <w:r>
              <w:rPr>
                <w:rFonts w:hint="default" w:ascii="Times New Roman" w:hAnsi="Times New Roman" w:cs="Times New Roman"/>
                <w:color w:val="auto"/>
                <w:sz w:val="21"/>
                <w:szCs w:val="21"/>
                <w:highlight w:val="none"/>
                <w:vertAlign w:val="superscript"/>
              </w:rPr>
              <w:t>2+</w:t>
            </w:r>
          </w:p>
        </w:tc>
        <w:tc>
          <w:tcPr>
            <w:tcW w:w="1703" w:type="dxa"/>
            <w:tcBorders>
              <w:tl2br w:val="nil"/>
              <w:tr2bl w:val="nil"/>
            </w:tcBorders>
            <w:noWrap w:val="0"/>
            <w:vAlign w:val="center"/>
          </w:tcPr>
          <w:p w14:paraId="2454DA3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22.8</w:t>
            </w:r>
          </w:p>
        </w:tc>
        <w:tc>
          <w:tcPr>
            <w:tcW w:w="1704" w:type="dxa"/>
            <w:tcBorders>
              <w:tl2br w:val="nil"/>
              <w:tr2bl w:val="nil"/>
            </w:tcBorders>
            <w:noWrap w:val="0"/>
            <w:vAlign w:val="center"/>
          </w:tcPr>
          <w:p w14:paraId="120A28F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1.900</w:t>
            </w:r>
          </w:p>
        </w:tc>
        <w:tc>
          <w:tcPr>
            <w:tcW w:w="1705" w:type="dxa"/>
            <w:tcBorders>
              <w:tl2br w:val="nil"/>
              <w:tr2bl w:val="nil"/>
            </w:tcBorders>
            <w:noWrap w:val="0"/>
            <w:vAlign w:val="center"/>
          </w:tcPr>
          <w:p w14:paraId="0788BF9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44.2</w:t>
            </w:r>
          </w:p>
        </w:tc>
      </w:tr>
      <w:tr w14:paraId="514D1D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317670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78F232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总计</w:t>
            </w:r>
          </w:p>
        </w:tc>
        <w:tc>
          <w:tcPr>
            <w:tcW w:w="1703" w:type="dxa"/>
            <w:tcBorders>
              <w:tl2br w:val="nil"/>
              <w:tr2bl w:val="nil"/>
            </w:tcBorders>
            <w:noWrap w:val="0"/>
            <w:vAlign w:val="center"/>
          </w:tcPr>
          <w:p w14:paraId="69A10A9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1704" w:type="dxa"/>
            <w:tcBorders>
              <w:tl2br w:val="nil"/>
              <w:tr2bl w:val="nil"/>
            </w:tcBorders>
            <w:noWrap w:val="0"/>
            <w:vAlign w:val="center"/>
          </w:tcPr>
          <w:p w14:paraId="732D977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4.301</w:t>
            </w:r>
          </w:p>
        </w:tc>
        <w:tc>
          <w:tcPr>
            <w:tcW w:w="1705" w:type="dxa"/>
            <w:tcBorders>
              <w:tl2br w:val="nil"/>
              <w:tr2bl w:val="nil"/>
            </w:tcBorders>
            <w:noWrap w:val="0"/>
            <w:vAlign w:val="center"/>
          </w:tcPr>
          <w:p w14:paraId="7CD7AFC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100%</w:t>
            </w:r>
          </w:p>
        </w:tc>
      </w:tr>
      <w:tr w14:paraId="48CE60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restart"/>
            <w:tcBorders>
              <w:tl2br w:val="nil"/>
              <w:tr2bl w:val="nil"/>
            </w:tcBorders>
            <w:noWrap w:val="0"/>
            <w:vAlign w:val="center"/>
          </w:tcPr>
          <w:p w14:paraId="17EB04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阴离子</w:t>
            </w:r>
          </w:p>
        </w:tc>
        <w:tc>
          <w:tcPr>
            <w:tcW w:w="1001" w:type="pct"/>
            <w:tcBorders>
              <w:tl2br w:val="nil"/>
              <w:tr2bl w:val="nil"/>
            </w:tcBorders>
            <w:noWrap w:val="0"/>
            <w:vAlign w:val="center"/>
          </w:tcPr>
          <w:p w14:paraId="3B0B4A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HCO</w:t>
            </w:r>
            <w:r>
              <w:rPr>
                <w:rFonts w:hint="default" w:ascii="Times New Roman" w:hAnsi="Times New Roman" w:cs="Times New Roman"/>
                <w:color w:val="auto"/>
                <w:sz w:val="21"/>
                <w:szCs w:val="21"/>
                <w:highlight w:val="none"/>
                <w:vertAlign w:val="subscript"/>
              </w:rPr>
              <w:t>3</w:t>
            </w:r>
            <w:r>
              <w:rPr>
                <w:rFonts w:hint="default" w:ascii="Times New Roman" w:hAnsi="Times New Roman" w:cs="Times New Roman"/>
                <w:color w:val="auto"/>
                <w:sz w:val="21"/>
                <w:szCs w:val="21"/>
                <w:highlight w:val="none"/>
                <w:vertAlign w:val="superscript"/>
              </w:rPr>
              <w:t>-</w:t>
            </w:r>
          </w:p>
        </w:tc>
        <w:tc>
          <w:tcPr>
            <w:tcW w:w="1703" w:type="dxa"/>
            <w:tcBorders>
              <w:tl2br w:val="nil"/>
              <w:tr2bl w:val="nil"/>
            </w:tcBorders>
            <w:noWrap w:val="0"/>
            <w:vAlign w:val="center"/>
          </w:tcPr>
          <w:p w14:paraId="4532ED9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115</w:t>
            </w:r>
          </w:p>
        </w:tc>
        <w:tc>
          <w:tcPr>
            <w:tcW w:w="1704" w:type="dxa"/>
            <w:tcBorders>
              <w:tl2br w:val="nil"/>
              <w:tr2bl w:val="nil"/>
            </w:tcBorders>
            <w:noWrap w:val="0"/>
            <w:vAlign w:val="center"/>
          </w:tcPr>
          <w:p w14:paraId="2AE0FC8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1.885</w:t>
            </w:r>
          </w:p>
        </w:tc>
        <w:tc>
          <w:tcPr>
            <w:tcW w:w="1705" w:type="dxa"/>
            <w:tcBorders>
              <w:tl2br w:val="nil"/>
              <w:tr2bl w:val="nil"/>
            </w:tcBorders>
            <w:noWrap w:val="0"/>
            <w:vAlign w:val="center"/>
          </w:tcPr>
          <w:p w14:paraId="068FF6E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43.6</w:t>
            </w:r>
          </w:p>
        </w:tc>
      </w:tr>
      <w:tr w14:paraId="11AC67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316C3F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35D0D3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Cl</w:t>
            </w:r>
            <w:r>
              <w:rPr>
                <w:rFonts w:hint="default" w:ascii="Times New Roman" w:hAnsi="Times New Roman" w:cs="Times New Roman"/>
                <w:color w:val="auto"/>
                <w:sz w:val="21"/>
                <w:szCs w:val="21"/>
                <w:highlight w:val="none"/>
                <w:vertAlign w:val="superscript"/>
              </w:rPr>
              <w:t>-</w:t>
            </w:r>
          </w:p>
        </w:tc>
        <w:tc>
          <w:tcPr>
            <w:tcW w:w="1703" w:type="dxa"/>
            <w:tcBorders>
              <w:tl2br w:val="nil"/>
              <w:tr2bl w:val="nil"/>
            </w:tcBorders>
            <w:noWrap w:val="0"/>
            <w:vAlign w:val="center"/>
          </w:tcPr>
          <w:p w14:paraId="0150BF8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58</w:t>
            </w:r>
          </w:p>
        </w:tc>
        <w:tc>
          <w:tcPr>
            <w:tcW w:w="1704" w:type="dxa"/>
            <w:tcBorders>
              <w:tl2br w:val="nil"/>
              <w:tr2bl w:val="nil"/>
            </w:tcBorders>
            <w:noWrap w:val="0"/>
            <w:vAlign w:val="center"/>
          </w:tcPr>
          <w:p w14:paraId="4CFDF22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1.634</w:t>
            </w:r>
          </w:p>
        </w:tc>
        <w:tc>
          <w:tcPr>
            <w:tcW w:w="1705" w:type="dxa"/>
            <w:tcBorders>
              <w:tl2br w:val="nil"/>
              <w:tr2bl w:val="nil"/>
            </w:tcBorders>
            <w:noWrap w:val="0"/>
            <w:vAlign w:val="center"/>
          </w:tcPr>
          <w:p w14:paraId="6837240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37.8</w:t>
            </w:r>
          </w:p>
        </w:tc>
      </w:tr>
      <w:tr w14:paraId="1DA2B8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7F7E85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6F6B61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SO</w:t>
            </w:r>
            <w:r>
              <w:rPr>
                <w:rFonts w:hint="default" w:ascii="Times New Roman" w:hAnsi="Times New Roman" w:cs="Times New Roman"/>
                <w:color w:val="auto"/>
                <w:sz w:val="21"/>
                <w:szCs w:val="21"/>
                <w:highlight w:val="none"/>
                <w:vertAlign w:val="subscript"/>
              </w:rPr>
              <w:t>4</w:t>
            </w:r>
            <w:r>
              <w:rPr>
                <w:rFonts w:hint="default" w:ascii="Times New Roman" w:hAnsi="Times New Roman" w:cs="Times New Roman"/>
                <w:color w:val="auto"/>
                <w:sz w:val="21"/>
                <w:szCs w:val="21"/>
                <w:highlight w:val="none"/>
                <w:vertAlign w:val="superscript"/>
              </w:rPr>
              <w:t>2-</w:t>
            </w:r>
          </w:p>
        </w:tc>
        <w:tc>
          <w:tcPr>
            <w:tcW w:w="1703" w:type="dxa"/>
            <w:tcBorders>
              <w:tl2br w:val="nil"/>
              <w:tr2bl w:val="nil"/>
            </w:tcBorders>
            <w:noWrap w:val="0"/>
            <w:vAlign w:val="center"/>
          </w:tcPr>
          <w:p w14:paraId="2724BBE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38.5</w:t>
            </w:r>
          </w:p>
        </w:tc>
        <w:tc>
          <w:tcPr>
            <w:tcW w:w="1704" w:type="dxa"/>
            <w:tcBorders>
              <w:tl2br w:val="nil"/>
              <w:tr2bl w:val="nil"/>
            </w:tcBorders>
            <w:noWrap w:val="0"/>
            <w:vAlign w:val="center"/>
          </w:tcPr>
          <w:p w14:paraId="5F3F87A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0.802</w:t>
            </w:r>
          </w:p>
        </w:tc>
        <w:tc>
          <w:tcPr>
            <w:tcW w:w="1705" w:type="dxa"/>
            <w:tcBorders>
              <w:tl2br w:val="nil"/>
              <w:tr2bl w:val="nil"/>
            </w:tcBorders>
            <w:noWrap w:val="0"/>
            <w:vAlign w:val="center"/>
          </w:tcPr>
          <w:p w14:paraId="2BCB51B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18.56</w:t>
            </w:r>
          </w:p>
        </w:tc>
      </w:tr>
      <w:tr w14:paraId="23F4CD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51B2D0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755378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总计</w:t>
            </w:r>
          </w:p>
        </w:tc>
        <w:tc>
          <w:tcPr>
            <w:tcW w:w="1703" w:type="dxa"/>
            <w:tcBorders>
              <w:tl2br w:val="nil"/>
              <w:tr2bl w:val="nil"/>
            </w:tcBorders>
            <w:noWrap w:val="0"/>
            <w:vAlign w:val="center"/>
          </w:tcPr>
          <w:p w14:paraId="506749C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1704" w:type="dxa"/>
            <w:tcBorders>
              <w:tl2br w:val="nil"/>
              <w:tr2bl w:val="nil"/>
            </w:tcBorders>
            <w:noWrap w:val="0"/>
            <w:vAlign w:val="center"/>
          </w:tcPr>
          <w:p w14:paraId="3053320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4.321 </w:t>
            </w:r>
          </w:p>
        </w:tc>
        <w:tc>
          <w:tcPr>
            <w:tcW w:w="1705" w:type="dxa"/>
            <w:tcBorders>
              <w:tl2br w:val="nil"/>
              <w:tr2bl w:val="nil"/>
            </w:tcBorders>
            <w:noWrap w:val="0"/>
            <w:vAlign w:val="center"/>
          </w:tcPr>
          <w:p w14:paraId="216D8CC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100%</w:t>
            </w:r>
          </w:p>
        </w:tc>
      </w:tr>
      <w:tr w14:paraId="7CD902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999" w:type="pct"/>
            <w:gridSpan w:val="2"/>
            <w:tcBorders>
              <w:tl2br w:val="nil"/>
              <w:tr2bl w:val="nil"/>
            </w:tcBorders>
            <w:noWrap w:val="0"/>
            <w:vAlign w:val="center"/>
          </w:tcPr>
          <w:p w14:paraId="2509FA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kern w:val="0"/>
                <w:sz w:val="21"/>
                <w:szCs w:val="21"/>
                <w:highlight w:val="none"/>
                <w:lang w:val="en-US" w:eastAsia="zh-CN"/>
              </w:rPr>
              <w:t>★</w:t>
            </w:r>
            <w:r>
              <w:rPr>
                <w:rFonts w:hint="default" w:ascii="Times New Roman" w:hAnsi="Times New Roman" w:cs="Times New Roman"/>
                <w:color w:val="auto"/>
                <w:kern w:val="0"/>
                <w:sz w:val="21"/>
                <w:szCs w:val="21"/>
                <w:highlight w:val="none"/>
              </w:rPr>
              <w:t>3#</w:t>
            </w:r>
            <w:r>
              <w:rPr>
                <w:rFonts w:hint="default" w:ascii="Times New Roman" w:hAnsi="Times New Roman" w:cs="Times New Roman"/>
                <w:color w:val="auto"/>
                <w:sz w:val="21"/>
                <w:szCs w:val="21"/>
                <w:highlight w:val="none"/>
              </w:rPr>
              <w:t>离子</w:t>
            </w:r>
          </w:p>
        </w:tc>
        <w:tc>
          <w:tcPr>
            <w:tcW w:w="999" w:type="pct"/>
            <w:tcBorders>
              <w:tl2br w:val="nil"/>
              <w:tr2bl w:val="nil"/>
            </w:tcBorders>
            <w:shd w:val="clear" w:color="auto" w:fill="auto"/>
            <w:noWrap w:val="0"/>
            <w:vAlign w:val="center"/>
          </w:tcPr>
          <w:p w14:paraId="59AE6B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mg/L</w:t>
            </w:r>
          </w:p>
        </w:tc>
        <w:tc>
          <w:tcPr>
            <w:tcW w:w="1000" w:type="pct"/>
            <w:tcBorders>
              <w:tl2br w:val="nil"/>
              <w:tr2bl w:val="nil"/>
            </w:tcBorders>
            <w:shd w:val="clear" w:color="auto" w:fill="auto"/>
            <w:noWrap w:val="0"/>
            <w:vAlign w:val="center"/>
          </w:tcPr>
          <w:p w14:paraId="3524BD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meq/L</w:t>
            </w:r>
          </w:p>
        </w:tc>
        <w:tc>
          <w:tcPr>
            <w:tcW w:w="1000" w:type="pct"/>
            <w:tcBorders>
              <w:tl2br w:val="nil"/>
              <w:tr2bl w:val="nil"/>
            </w:tcBorders>
            <w:shd w:val="clear" w:color="auto" w:fill="auto"/>
            <w:noWrap w:val="0"/>
            <w:vAlign w:val="center"/>
          </w:tcPr>
          <w:p w14:paraId="7CACE4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meq%</w:t>
            </w:r>
          </w:p>
        </w:tc>
      </w:tr>
      <w:tr w14:paraId="08D477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98" w:type="pct"/>
            <w:vMerge w:val="restart"/>
            <w:tcBorders>
              <w:tl2br w:val="nil"/>
              <w:tr2bl w:val="nil"/>
            </w:tcBorders>
            <w:noWrap w:val="0"/>
            <w:vAlign w:val="center"/>
          </w:tcPr>
          <w:p w14:paraId="2B3BF0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阳离子</w:t>
            </w:r>
          </w:p>
        </w:tc>
        <w:tc>
          <w:tcPr>
            <w:tcW w:w="1001" w:type="pct"/>
            <w:tcBorders>
              <w:tl2br w:val="nil"/>
              <w:tr2bl w:val="nil"/>
            </w:tcBorders>
            <w:noWrap w:val="0"/>
            <w:vAlign w:val="center"/>
          </w:tcPr>
          <w:p w14:paraId="488EA0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K</w:t>
            </w:r>
            <w:r>
              <w:rPr>
                <w:rFonts w:hint="default" w:ascii="Times New Roman" w:hAnsi="Times New Roman" w:cs="Times New Roman"/>
                <w:color w:val="auto"/>
                <w:sz w:val="21"/>
                <w:szCs w:val="21"/>
                <w:highlight w:val="none"/>
                <w:vertAlign w:val="superscript"/>
              </w:rPr>
              <w:t>+</w:t>
            </w:r>
          </w:p>
        </w:tc>
        <w:tc>
          <w:tcPr>
            <w:tcW w:w="1703" w:type="dxa"/>
            <w:tcBorders>
              <w:tl2br w:val="nil"/>
              <w:tr2bl w:val="nil"/>
            </w:tcBorders>
            <w:noWrap w:val="0"/>
            <w:vAlign w:val="center"/>
          </w:tcPr>
          <w:p w14:paraId="4247D76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3.29</w:t>
            </w:r>
          </w:p>
        </w:tc>
        <w:tc>
          <w:tcPr>
            <w:tcW w:w="1704" w:type="dxa"/>
            <w:tcBorders>
              <w:tl2br w:val="nil"/>
              <w:tr2bl w:val="nil"/>
            </w:tcBorders>
            <w:noWrap w:val="0"/>
            <w:vAlign w:val="center"/>
          </w:tcPr>
          <w:p w14:paraId="0D1020C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0.084</w:t>
            </w:r>
          </w:p>
        </w:tc>
        <w:tc>
          <w:tcPr>
            <w:tcW w:w="1705" w:type="dxa"/>
            <w:tcBorders>
              <w:tl2br w:val="nil"/>
              <w:tr2bl w:val="nil"/>
            </w:tcBorders>
            <w:noWrap w:val="0"/>
            <w:vAlign w:val="center"/>
          </w:tcPr>
          <w:p w14:paraId="099F930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1.99</w:t>
            </w:r>
          </w:p>
        </w:tc>
      </w:tr>
      <w:tr w14:paraId="37E384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6" w:hRule="atLeast"/>
        </w:trPr>
        <w:tc>
          <w:tcPr>
            <w:tcW w:w="998" w:type="pct"/>
            <w:vMerge w:val="continue"/>
            <w:tcBorders>
              <w:tl2br w:val="nil"/>
              <w:tr2bl w:val="nil"/>
            </w:tcBorders>
            <w:noWrap w:val="0"/>
            <w:vAlign w:val="center"/>
          </w:tcPr>
          <w:p w14:paraId="2CFF96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7A17A8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Times New Roman" w:cs="Times New Roman"/>
                <w:color w:val="auto"/>
                <w:sz w:val="21"/>
                <w:szCs w:val="21"/>
                <w:highlight w:val="none"/>
                <w:lang w:val="en-US" w:eastAsia="zh-CN" w:bidi="ar-SA"/>
              </w:rPr>
            </w:pPr>
            <w:r>
              <w:rPr>
                <w:rFonts w:hint="default" w:ascii="Times New Roman" w:hAnsi="Times New Roman" w:cs="Times New Roman"/>
                <w:color w:val="auto"/>
                <w:sz w:val="21"/>
                <w:szCs w:val="21"/>
                <w:highlight w:val="none"/>
              </w:rPr>
              <w:t>Na</w:t>
            </w:r>
            <w:r>
              <w:rPr>
                <w:rFonts w:hint="default" w:ascii="Times New Roman" w:hAnsi="Times New Roman" w:cs="Times New Roman"/>
                <w:color w:val="auto"/>
                <w:sz w:val="21"/>
                <w:szCs w:val="21"/>
                <w:highlight w:val="none"/>
                <w:vertAlign w:val="superscript"/>
              </w:rPr>
              <w:t>+</w:t>
            </w:r>
          </w:p>
        </w:tc>
        <w:tc>
          <w:tcPr>
            <w:tcW w:w="1703" w:type="dxa"/>
            <w:tcBorders>
              <w:tl2br w:val="nil"/>
              <w:tr2bl w:val="nil"/>
            </w:tcBorders>
            <w:noWrap w:val="0"/>
            <w:vAlign w:val="center"/>
          </w:tcPr>
          <w:p w14:paraId="2EB7D6B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20.68</w:t>
            </w:r>
          </w:p>
        </w:tc>
        <w:tc>
          <w:tcPr>
            <w:tcW w:w="1704" w:type="dxa"/>
            <w:tcBorders>
              <w:tl2br w:val="nil"/>
              <w:tr2bl w:val="nil"/>
            </w:tcBorders>
            <w:noWrap w:val="0"/>
            <w:vAlign w:val="center"/>
          </w:tcPr>
          <w:p w14:paraId="4910787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0.899</w:t>
            </w:r>
          </w:p>
        </w:tc>
        <w:tc>
          <w:tcPr>
            <w:tcW w:w="1705" w:type="dxa"/>
            <w:tcBorders>
              <w:tl2br w:val="nil"/>
              <w:tr2bl w:val="nil"/>
            </w:tcBorders>
            <w:noWrap w:val="0"/>
            <w:vAlign w:val="center"/>
          </w:tcPr>
          <w:p w14:paraId="5BF2C00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21.3</w:t>
            </w:r>
          </w:p>
        </w:tc>
      </w:tr>
      <w:tr w14:paraId="35CD18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4699A4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05A3A8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Ca</w:t>
            </w:r>
            <w:r>
              <w:rPr>
                <w:rFonts w:hint="default" w:ascii="Times New Roman" w:hAnsi="Times New Roman" w:cs="Times New Roman"/>
                <w:color w:val="auto"/>
                <w:sz w:val="21"/>
                <w:szCs w:val="21"/>
                <w:highlight w:val="none"/>
                <w:vertAlign w:val="superscript"/>
              </w:rPr>
              <w:t>2+</w:t>
            </w:r>
          </w:p>
        </w:tc>
        <w:tc>
          <w:tcPr>
            <w:tcW w:w="1703" w:type="dxa"/>
            <w:tcBorders>
              <w:tl2br w:val="nil"/>
              <w:tr2bl w:val="nil"/>
            </w:tcBorders>
            <w:noWrap w:val="0"/>
            <w:vAlign w:val="center"/>
          </w:tcPr>
          <w:p w14:paraId="3CA4C67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27.6</w:t>
            </w:r>
          </w:p>
        </w:tc>
        <w:tc>
          <w:tcPr>
            <w:tcW w:w="1704" w:type="dxa"/>
            <w:tcBorders>
              <w:tl2br w:val="nil"/>
              <w:tr2bl w:val="nil"/>
            </w:tcBorders>
            <w:noWrap w:val="0"/>
            <w:vAlign w:val="center"/>
          </w:tcPr>
          <w:p w14:paraId="4B8000C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1.380</w:t>
            </w:r>
          </w:p>
        </w:tc>
        <w:tc>
          <w:tcPr>
            <w:tcW w:w="1705" w:type="dxa"/>
            <w:tcBorders>
              <w:tl2br w:val="nil"/>
              <w:tr2bl w:val="nil"/>
            </w:tcBorders>
            <w:noWrap w:val="0"/>
            <w:vAlign w:val="center"/>
          </w:tcPr>
          <w:p w14:paraId="30788FB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32.6</w:t>
            </w:r>
          </w:p>
        </w:tc>
      </w:tr>
      <w:tr w14:paraId="262073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07B136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247439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Mg</w:t>
            </w:r>
            <w:r>
              <w:rPr>
                <w:rFonts w:hint="default" w:ascii="Times New Roman" w:hAnsi="Times New Roman" w:cs="Times New Roman"/>
                <w:color w:val="auto"/>
                <w:sz w:val="21"/>
                <w:szCs w:val="21"/>
                <w:highlight w:val="none"/>
                <w:vertAlign w:val="superscript"/>
              </w:rPr>
              <w:t>2+</w:t>
            </w:r>
          </w:p>
        </w:tc>
        <w:tc>
          <w:tcPr>
            <w:tcW w:w="1703" w:type="dxa"/>
            <w:tcBorders>
              <w:tl2br w:val="nil"/>
              <w:tr2bl w:val="nil"/>
            </w:tcBorders>
            <w:noWrap w:val="0"/>
            <w:vAlign w:val="center"/>
          </w:tcPr>
          <w:p w14:paraId="40C904C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22.4</w:t>
            </w:r>
          </w:p>
        </w:tc>
        <w:tc>
          <w:tcPr>
            <w:tcW w:w="1704" w:type="dxa"/>
            <w:tcBorders>
              <w:tl2br w:val="nil"/>
              <w:tr2bl w:val="nil"/>
            </w:tcBorders>
            <w:noWrap w:val="0"/>
            <w:vAlign w:val="center"/>
          </w:tcPr>
          <w:p w14:paraId="56BDECC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1.867</w:t>
            </w:r>
          </w:p>
        </w:tc>
        <w:tc>
          <w:tcPr>
            <w:tcW w:w="1705" w:type="dxa"/>
            <w:tcBorders>
              <w:tl2br w:val="nil"/>
              <w:tr2bl w:val="nil"/>
            </w:tcBorders>
            <w:noWrap w:val="0"/>
            <w:vAlign w:val="center"/>
          </w:tcPr>
          <w:p w14:paraId="03E93E4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44.1</w:t>
            </w:r>
          </w:p>
        </w:tc>
      </w:tr>
      <w:tr w14:paraId="7B0739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5DBA1D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308295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总计</w:t>
            </w:r>
          </w:p>
        </w:tc>
        <w:tc>
          <w:tcPr>
            <w:tcW w:w="1703" w:type="dxa"/>
            <w:tcBorders>
              <w:tl2br w:val="nil"/>
              <w:tr2bl w:val="nil"/>
            </w:tcBorders>
            <w:noWrap w:val="0"/>
            <w:vAlign w:val="center"/>
          </w:tcPr>
          <w:p w14:paraId="7684E17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1704" w:type="dxa"/>
            <w:tcBorders>
              <w:tl2br w:val="nil"/>
              <w:tr2bl w:val="nil"/>
            </w:tcBorders>
            <w:noWrap w:val="0"/>
            <w:vAlign w:val="center"/>
          </w:tcPr>
          <w:p w14:paraId="2F2449A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4.230</w:t>
            </w:r>
          </w:p>
        </w:tc>
        <w:tc>
          <w:tcPr>
            <w:tcW w:w="1705" w:type="dxa"/>
            <w:tcBorders>
              <w:tl2br w:val="nil"/>
              <w:tr2bl w:val="nil"/>
            </w:tcBorders>
            <w:noWrap w:val="0"/>
            <w:vAlign w:val="center"/>
          </w:tcPr>
          <w:p w14:paraId="3B6C341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100%</w:t>
            </w:r>
          </w:p>
        </w:tc>
      </w:tr>
      <w:tr w14:paraId="12F611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restart"/>
            <w:tcBorders>
              <w:tl2br w:val="nil"/>
              <w:tr2bl w:val="nil"/>
            </w:tcBorders>
            <w:noWrap w:val="0"/>
            <w:vAlign w:val="center"/>
          </w:tcPr>
          <w:p w14:paraId="18CE46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阴离子</w:t>
            </w:r>
          </w:p>
        </w:tc>
        <w:tc>
          <w:tcPr>
            <w:tcW w:w="1001" w:type="pct"/>
            <w:tcBorders>
              <w:tl2br w:val="nil"/>
              <w:tr2bl w:val="nil"/>
            </w:tcBorders>
            <w:noWrap w:val="0"/>
            <w:vAlign w:val="center"/>
          </w:tcPr>
          <w:p w14:paraId="497814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HCO</w:t>
            </w:r>
            <w:r>
              <w:rPr>
                <w:rFonts w:hint="default" w:ascii="Times New Roman" w:hAnsi="Times New Roman" w:cs="Times New Roman"/>
                <w:color w:val="auto"/>
                <w:sz w:val="21"/>
                <w:szCs w:val="21"/>
                <w:highlight w:val="none"/>
                <w:vertAlign w:val="subscript"/>
              </w:rPr>
              <w:t>3</w:t>
            </w:r>
            <w:r>
              <w:rPr>
                <w:rFonts w:hint="default" w:ascii="Times New Roman" w:hAnsi="Times New Roman" w:cs="Times New Roman"/>
                <w:color w:val="auto"/>
                <w:sz w:val="21"/>
                <w:szCs w:val="21"/>
                <w:highlight w:val="none"/>
                <w:vertAlign w:val="superscript"/>
              </w:rPr>
              <w:t>-</w:t>
            </w:r>
          </w:p>
        </w:tc>
        <w:tc>
          <w:tcPr>
            <w:tcW w:w="1703" w:type="dxa"/>
            <w:tcBorders>
              <w:tl2br w:val="nil"/>
              <w:tr2bl w:val="nil"/>
            </w:tcBorders>
            <w:noWrap w:val="0"/>
            <w:vAlign w:val="center"/>
          </w:tcPr>
          <w:p w14:paraId="1A7376C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124</w:t>
            </w:r>
          </w:p>
        </w:tc>
        <w:tc>
          <w:tcPr>
            <w:tcW w:w="1704" w:type="dxa"/>
            <w:tcBorders>
              <w:tl2br w:val="nil"/>
              <w:tr2bl w:val="nil"/>
            </w:tcBorders>
            <w:noWrap w:val="0"/>
            <w:vAlign w:val="center"/>
          </w:tcPr>
          <w:p w14:paraId="239A1FE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2.033</w:t>
            </w:r>
          </w:p>
        </w:tc>
        <w:tc>
          <w:tcPr>
            <w:tcW w:w="1705" w:type="dxa"/>
            <w:tcBorders>
              <w:tl2br w:val="nil"/>
              <w:tr2bl w:val="nil"/>
            </w:tcBorders>
            <w:noWrap w:val="0"/>
            <w:vAlign w:val="center"/>
          </w:tcPr>
          <w:p w14:paraId="05388F6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47.7</w:t>
            </w:r>
          </w:p>
        </w:tc>
      </w:tr>
      <w:tr w14:paraId="45D15C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11695D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788F0C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Cl</w:t>
            </w:r>
            <w:r>
              <w:rPr>
                <w:rFonts w:hint="default" w:ascii="Times New Roman" w:hAnsi="Times New Roman" w:cs="Times New Roman"/>
                <w:color w:val="auto"/>
                <w:sz w:val="21"/>
                <w:szCs w:val="21"/>
                <w:highlight w:val="none"/>
                <w:vertAlign w:val="superscript"/>
              </w:rPr>
              <w:t>-</w:t>
            </w:r>
          </w:p>
        </w:tc>
        <w:tc>
          <w:tcPr>
            <w:tcW w:w="1703" w:type="dxa"/>
            <w:tcBorders>
              <w:tl2br w:val="nil"/>
              <w:tr2bl w:val="nil"/>
            </w:tcBorders>
            <w:noWrap w:val="0"/>
            <w:vAlign w:val="center"/>
          </w:tcPr>
          <w:p w14:paraId="39B8230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50.4</w:t>
            </w:r>
          </w:p>
        </w:tc>
        <w:tc>
          <w:tcPr>
            <w:tcW w:w="1704" w:type="dxa"/>
            <w:tcBorders>
              <w:tl2br w:val="nil"/>
              <w:tr2bl w:val="nil"/>
            </w:tcBorders>
            <w:noWrap w:val="0"/>
            <w:vAlign w:val="center"/>
          </w:tcPr>
          <w:p w14:paraId="60B249D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1.420</w:t>
            </w:r>
          </w:p>
        </w:tc>
        <w:tc>
          <w:tcPr>
            <w:tcW w:w="1705" w:type="dxa"/>
            <w:tcBorders>
              <w:tl2br w:val="nil"/>
              <w:tr2bl w:val="nil"/>
            </w:tcBorders>
            <w:noWrap w:val="0"/>
            <w:vAlign w:val="center"/>
          </w:tcPr>
          <w:p w14:paraId="50595F6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33.3</w:t>
            </w:r>
          </w:p>
        </w:tc>
      </w:tr>
      <w:tr w14:paraId="025829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7D168F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78D7AA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SO</w:t>
            </w:r>
            <w:r>
              <w:rPr>
                <w:rFonts w:hint="default" w:ascii="Times New Roman" w:hAnsi="Times New Roman" w:cs="Times New Roman"/>
                <w:color w:val="auto"/>
                <w:sz w:val="21"/>
                <w:szCs w:val="21"/>
                <w:highlight w:val="none"/>
                <w:vertAlign w:val="subscript"/>
              </w:rPr>
              <w:t>4</w:t>
            </w:r>
            <w:r>
              <w:rPr>
                <w:rFonts w:hint="default" w:ascii="Times New Roman" w:hAnsi="Times New Roman" w:cs="Times New Roman"/>
                <w:color w:val="auto"/>
                <w:sz w:val="21"/>
                <w:szCs w:val="21"/>
                <w:highlight w:val="none"/>
                <w:vertAlign w:val="superscript"/>
              </w:rPr>
              <w:t>2-</w:t>
            </w:r>
          </w:p>
        </w:tc>
        <w:tc>
          <w:tcPr>
            <w:tcW w:w="1703" w:type="dxa"/>
            <w:tcBorders>
              <w:tl2br w:val="nil"/>
              <w:tr2bl w:val="nil"/>
            </w:tcBorders>
            <w:noWrap w:val="0"/>
            <w:vAlign w:val="center"/>
          </w:tcPr>
          <w:p w14:paraId="2A74209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38.9</w:t>
            </w:r>
          </w:p>
        </w:tc>
        <w:tc>
          <w:tcPr>
            <w:tcW w:w="1704" w:type="dxa"/>
            <w:tcBorders>
              <w:tl2br w:val="nil"/>
              <w:tr2bl w:val="nil"/>
            </w:tcBorders>
            <w:noWrap w:val="0"/>
            <w:vAlign w:val="center"/>
          </w:tcPr>
          <w:p w14:paraId="1FB22FA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0.810</w:t>
            </w:r>
          </w:p>
        </w:tc>
        <w:tc>
          <w:tcPr>
            <w:tcW w:w="1705" w:type="dxa"/>
            <w:tcBorders>
              <w:tl2br w:val="nil"/>
              <w:tr2bl w:val="nil"/>
            </w:tcBorders>
            <w:noWrap w:val="0"/>
            <w:vAlign w:val="center"/>
          </w:tcPr>
          <w:p w14:paraId="0A045E1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19.01</w:t>
            </w:r>
          </w:p>
        </w:tc>
      </w:tr>
      <w:tr w14:paraId="1E5FE7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98" w:type="pct"/>
            <w:vMerge w:val="continue"/>
            <w:tcBorders>
              <w:tl2br w:val="nil"/>
              <w:tr2bl w:val="nil"/>
            </w:tcBorders>
            <w:noWrap w:val="0"/>
            <w:vAlign w:val="center"/>
          </w:tcPr>
          <w:p w14:paraId="134A63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c>
          <w:tcPr>
            <w:tcW w:w="1001" w:type="pct"/>
            <w:tcBorders>
              <w:tl2br w:val="nil"/>
              <w:tr2bl w:val="nil"/>
            </w:tcBorders>
            <w:noWrap w:val="0"/>
            <w:vAlign w:val="center"/>
          </w:tcPr>
          <w:p w14:paraId="0EE42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总计</w:t>
            </w:r>
          </w:p>
        </w:tc>
        <w:tc>
          <w:tcPr>
            <w:tcW w:w="1703" w:type="dxa"/>
            <w:tcBorders>
              <w:tl2br w:val="nil"/>
              <w:tr2bl w:val="nil"/>
            </w:tcBorders>
            <w:noWrap w:val="0"/>
            <w:vAlign w:val="center"/>
          </w:tcPr>
          <w:p w14:paraId="19F2360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c>
          <w:tcPr>
            <w:tcW w:w="1704" w:type="dxa"/>
            <w:tcBorders>
              <w:tl2br w:val="nil"/>
              <w:tr2bl w:val="nil"/>
            </w:tcBorders>
            <w:noWrap w:val="0"/>
            <w:vAlign w:val="center"/>
          </w:tcPr>
          <w:p w14:paraId="266857E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4.263 </w:t>
            </w:r>
          </w:p>
        </w:tc>
        <w:tc>
          <w:tcPr>
            <w:tcW w:w="1705" w:type="dxa"/>
            <w:tcBorders>
              <w:tl2br w:val="nil"/>
              <w:tr2bl w:val="nil"/>
            </w:tcBorders>
            <w:noWrap w:val="0"/>
            <w:vAlign w:val="center"/>
          </w:tcPr>
          <w:p w14:paraId="564F6F4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100%</w:t>
            </w:r>
          </w:p>
        </w:tc>
      </w:tr>
    </w:tbl>
    <w:p w14:paraId="04974F2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根据表</w:t>
      </w:r>
      <w:r>
        <w:rPr>
          <w:rFonts w:hint="eastAsia" w:asciiTheme="minorEastAsia" w:hAnsiTheme="minorEastAsia" w:eastAsiaTheme="minorEastAsia" w:cstheme="minorEastAsia"/>
          <w:color w:val="auto"/>
          <w:sz w:val="24"/>
          <w:szCs w:val="24"/>
          <w:highlight w:val="none"/>
          <w:lang w:val="en-US" w:eastAsia="zh-CN"/>
        </w:rPr>
        <w:t>4.3-12</w:t>
      </w:r>
      <w:r>
        <w:rPr>
          <w:rFonts w:hint="eastAsia" w:asciiTheme="minorEastAsia" w:hAnsiTheme="minorEastAsia" w:eastAsiaTheme="minorEastAsia" w:cstheme="minorEastAsia"/>
          <w:color w:val="auto"/>
          <w:sz w:val="24"/>
          <w:szCs w:val="24"/>
          <w:highlight w:val="none"/>
        </w:rPr>
        <w:t>计算结果，阳离子毫克当量百分比大于25%的是</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Ca</w:t>
      </w:r>
      <w:r>
        <w:rPr>
          <w:rFonts w:hint="eastAsia" w:asciiTheme="minorEastAsia" w:hAnsiTheme="minorEastAsia" w:eastAsiaTheme="minorEastAsia" w:cstheme="minorEastAsia"/>
          <w:i w:val="0"/>
          <w:iCs w:val="0"/>
          <w:color w:val="auto"/>
          <w:kern w:val="0"/>
          <w:sz w:val="24"/>
          <w:szCs w:val="24"/>
          <w:highlight w:val="none"/>
          <w:u w:val="none"/>
          <w:vertAlign w:val="superscript"/>
          <w:lang w:val="en-US" w:eastAsia="zh-CN" w:bidi="ar"/>
        </w:rPr>
        <w:t>2+</w:t>
      </w:r>
      <w:r>
        <w:rPr>
          <w:rFonts w:hint="eastAsia" w:asciiTheme="minorEastAsia" w:hAnsiTheme="minorEastAsia" w:eastAsiaTheme="minorEastAsia" w:cstheme="minorEastAsia"/>
          <w:i w:val="0"/>
          <w:iCs w:val="0"/>
          <w:color w:val="auto"/>
          <w:kern w:val="0"/>
          <w:sz w:val="24"/>
          <w:szCs w:val="24"/>
          <w:highlight w:val="none"/>
          <w:u w:val="none"/>
          <w:vertAlign w:val="baseline"/>
          <w:lang w:val="en-US" w:eastAsia="zh-CN" w:bidi="ar"/>
        </w:rPr>
        <w:t>+</w:t>
      </w:r>
      <w:r>
        <w:rPr>
          <w:rFonts w:hint="default" w:ascii="Times New Roman" w:hAnsi="Times New Roman" w:cs="Times New Roman"/>
          <w:color w:val="auto"/>
          <w:sz w:val="21"/>
          <w:szCs w:val="21"/>
          <w:highlight w:val="none"/>
        </w:rPr>
        <w:t>Mg</w:t>
      </w:r>
      <w:r>
        <w:rPr>
          <w:rFonts w:hint="default" w:ascii="Times New Roman" w:hAnsi="Times New Roman" w:cs="Times New Roman"/>
          <w:color w:val="auto"/>
          <w:sz w:val="21"/>
          <w:szCs w:val="21"/>
          <w:highlight w:val="none"/>
          <w:vertAlign w:val="superscript"/>
        </w:rPr>
        <w:t>2+</w:t>
      </w:r>
      <w:r>
        <w:rPr>
          <w:rFonts w:hint="eastAsia" w:asciiTheme="minorEastAsia" w:hAnsiTheme="minorEastAsia" w:eastAsiaTheme="minorEastAsia" w:cstheme="minorEastAsia"/>
          <w:color w:val="auto"/>
          <w:sz w:val="24"/>
          <w:szCs w:val="24"/>
          <w:highlight w:val="none"/>
        </w:rPr>
        <w:t>，阴离子毫克当量百分比大于25%的是HCO</w:t>
      </w:r>
      <w:r>
        <w:rPr>
          <w:rFonts w:hint="eastAsia" w:asciiTheme="minorEastAsia" w:hAnsiTheme="minorEastAsia" w:eastAsiaTheme="minorEastAsia" w:cstheme="minorEastAsia"/>
          <w:color w:val="auto"/>
          <w:sz w:val="24"/>
          <w:szCs w:val="24"/>
          <w:highlight w:val="none"/>
          <w:vertAlign w:val="superscript"/>
        </w:rPr>
        <w:t>3-</w:t>
      </w:r>
      <w:r>
        <w:rPr>
          <w:rFonts w:hint="eastAsia" w:asciiTheme="minorEastAsia" w:hAnsiTheme="minorEastAsia" w:eastAsiaTheme="minorEastAsia" w:cstheme="minorEastAsia"/>
          <w:color w:val="auto"/>
          <w:sz w:val="24"/>
          <w:szCs w:val="24"/>
          <w:highlight w:val="none"/>
          <w:vertAlign w:val="baseline"/>
          <w:lang w:val="en-US" w:eastAsia="zh-CN"/>
        </w:rPr>
        <w:t>+</w:t>
      </w:r>
      <w:r>
        <w:rPr>
          <w:rFonts w:hint="default" w:ascii="Times New Roman" w:hAnsi="Times New Roman" w:cs="Times New Roman"/>
          <w:color w:val="auto"/>
          <w:sz w:val="21"/>
          <w:szCs w:val="21"/>
          <w:highlight w:val="none"/>
        </w:rPr>
        <w:t>Cl</w:t>
      </w:r>
      <w:r>
        <w:rPr>
          <w:rFonts w:hint="default" w:ascii="Times New Roman" w:hAnsi="Times New Roman" w:cs="Times New Roman"/>
          <w:color w:val="auto"/>
          <w:sz w:val="21"/>
          <w:szCs w:val="21"/>
          <w:highlight w:val="none"/>
          <w:vertAlign w:val="superscript"/>
        </w:rPr>
        <w:t>-</w:t>
      </w:r>
      <w:r>
        <w:rPr>
          <w:rFonts w:hint="eastAsia" w:asciiTheme="minorEastAsia" w:hAnsiTheme="minorEastAsia" w:eastAsiaTheme="minorEastAsia" w:cstheme="minorEastAsia"/>
          <w:color w:val="auto"/>
          <w:sz w:val="24"/>
          <w:szCs w:val="24"/>
          <w:highlight w:val="none"/>
        </w:rPr>
        <w:t>，结合上表，确定评价区地下水化学类型为HCO</w:t>
      </w:r>
      <w:r>
        <w:rPr>
          <w:rFonts w:hint="eastAsia" w:asciiTheme="minorEastAsia" w:hAnsiTheme="minorEastAsia" w:eastAsiaTheme="minorEastAsia" w:cstheme="minorEastAsia"/>
          <w:color w:val="auto"/>
          <w:sz w:val="24"/>
          <w:szCs w:val="24"/>
          <w:highlight w:val="none"/>
          <w:vertAlign w:val="superscript"/>
        </w:rPr>
        <w:t>3-</w:t>
      </w:r>
      <w:r>
        <w:rPr>
          <w:rFonts w:hint="eastAsia" w:asciiTheme="minorEastAsia" w:hAnsiTheme="minorEastAsia" w:eastAsiaTheme="minorEastAsia" w:cstheme="minorEastAsia"/>
          <w:color w:val="auto"/>
          <w:sz w:val="24"/>
          <w:szCs w:val="24"/>
          <w:highlight w:val="none"/>
          <w:vertAlign w:val="baseline"/>
          <w:lang w:val="en-US" w:eastAsia="zh-CN"/>
        </w:rPr>
        <w:t>+</w:t>
      </w:r>
      <w:r>
        <w:rPr>
          <w:rFonts w:hint="default" w:ascii="Times New Roman" w:hAnsi="Times New Roman" w:cs="Times New Roman"/>
          <w:color w:val="auto"/>
          <w:sz w:val="24"/>
          <w:szCs w:val="24"/>
          <w:highlight w:val="none"/>
        </w:rPr>
        <w:t>Cl</w:t>
      </w:r>
      <w:r>
        <w:rPr>
          <w:rFonts w:hint="default" w:ascii="Times New Roman" w:hAnsi="Times New Roman" w:cs="Times New Roman"/>
          <w:color w:val="auto"/>
          <w:sz w:val="24"/>
          <w:szCs w:val="24"/>
          <w:highlight w:val="none"/>
          <w:vertAlign w:val="superscript"/>
        </w:rPr>
        <w:t>-</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Ca</w:t>
      </w:r>
      <w:r>
        <w:rPr>
          <w:rFonts w:hint="eastAsia" w:asciiTheme="minorEastAsia" w:hAnsiTheme="minorEastAsia" w:eastAsiaTheme="minorEastAsia" w:cstheme="minorEastAsia"/>
          <w:i w:val="0"/>
          <w:iCs w:val="0"/>
          <w:color w:val="auto"/>
          <w:kern w:val="0"/>
          <w:sz w:val="24"/>
          <w:szCs w:val="24"/>
          <w:highlight w:val="none"/>
          <w:u w:val="none"/>
          <w:vertAlign w:val="superscript"/>
          <w:lang w:val="en-US" w:eastAsia="zh-CN" w:bidi="ar"/>
        </w:rPr>
        <w:t>2+</w:t>
      </w:r>
      <w:r>
        <w:rPr>
          <w:rFonts w:hint="eastAsia" w:asciiTheme="minorEastAsia" w:hAnsiTheme="minorEastAsia" w:eastAsiaTheme="minorEastAsia" w:cstheme="minorEastAsia"/>
          <w:i w:val="0"/>
          <w:iCs w:val="0"/>
          <w:color w:val="auto"/>
          <w:kern w:val="0"/>
          <w:sz w:val="24"/>
          <w:szCs w:val="24"/>
          <w:highlight w:val="none"/>
          <w:u w:val="none"/>
          <w:vertAlign w:val="baseline"/>
          <w:lang w:val="en-US" w:eastAsia="zh-CN" w:bidi="ar"/>
        </w:rPr>
        <w:t>+</w:t>
      </w:r>
      <w:r>
        <w:rPr>
          <w:rFonts w:hint="default" w:ascii="Times New Roman" w:hAnsi="Times New Roman" w:cs="Times New Roman"/>
          <w:color w:val="auto"/>
          <w:sz w:val="24"/>
          <w:szCs w:val="24"/>
          <w:highlight w:val="none"/>
        </w:rPr>
        <w:t>Mg</w:t>
      </w:r>
      <w:r>
        <w:rPr>
          <w:rFonts w:hint="default" w:ascii="Times New Roman" w:hAnsi="Times New Roman" w:cs="Times New Roman"/>
          <w:color w:val="auto"/>
          <w:sz w:val="24"/>
          <w:szCs w:val="24"/>
          <w:highlight w:val="none"/>
          <w:vertAlign w:val="superscript"/>
        </w:rPr>
        <w:t>2+</w:t>
      </w:r>
      <w:r>
        <w:rPr>
          <w:rFonts w:hint="eastAsia" w:asciiTheme="minorEastAsia" w:hAnsiTheme="minorEastAsia" w:eastAsiaTheme="minorEastAsia" w:cstheme="minorEastAsia"/>
          <w:color w:val="auto"/>
          <w:sz w:val="24"/>
          <w:szCs w:val="24"/>
          <w:highlight w:val="none"/>
        </w:rPr>
        <w:t>型水。</w:t>
      </w:r>
    </w:p>
    <w:bookmarkEnd w:id="530"/>
    <w:bookmarkEnd w:id="531"/>
    <w:bookmarkEnd w:id="532"/>
    <w:bookmarkEnd w:id="533"/>
    <w:bookmarkEnd w:id="534"/>
    <w:bookmarkEnd w:id="535"/>
    <w:bookmarkEnd w:id="536"/>
    <w:bookmarkEnd w:id="537"/>
    <w:bookmarkEnd w:id="538"/>
    <w:bookmarkEnd w:id="539"/>
    <w:bookmarkEnd w:id="540"/>
    <w:bookmarkEnd w:id="541"/>
    <w:p w14:paraId="4CECDCCA">
      <w:pPr>
        <w:pStyle w:val="7"/>
        <w:numPr>
          <w:ilvl w:val="0"/>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4.3.</w:t>
      </w:r>
      <w:r>
        <w:rPr>
          <w:rFonts w:hint="eastAsia" w:asciiTheme="minorEastAsia" w:hAnsiTheme="minorEastAsia" w:eastAsiaTheme="minorEastAsia" w:cstheme="minorEastAsia"/>
          <w:color w:val="auto"/>
          <w:highlight w:val="none"/>
          <w:lang w:val="en-US" w:eastAsia="zh-CN"/>
        </w:rPr>
        <w:t>4声环境</w:t>
      </w:r>
      <w:r>
        <w:rPr>
          <w:rFonts w:hint="eastAsia" w:asciiTheme="minorEastAsia" w:hAnsiTheme="minorEastAsia" w:eastAsiaTheme="minorEastAsia" w:cstheme="minorEastAsia"/>
          <w:color w:val="auto"/>
          <w:highlight w:val="none"/>
        </w:rPr>
        <w:t>质量现状评价</w:t>
      </w:r>
    </w:p>
    <w:p w14:paraId="254EE2D1">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 数据来源</w:t>
      </w:r>
    </w:p>
    <w:p w14:paraId="018B8704">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本</w:t>
      </w:r>
      <w:r>
        <w:rPr>
          <w:rFonts w:hint="eastAsia" w:asciiTheme="minorEastAsia" w:hAnsiTheme="minorEastAsia" w:eastAsiaTheme="minorEastAsia" w:cstheme="minorEastAsia"/>
          <w:color w:val="auto"/>
          <w:sz w:val="24"/>
          <w:szCs w:val="24"/>
          <w:highlight w:val="none"/>
        </w:rPr>
        <w:t>项目声环境质量现状监测单位为</w:t>
      </w:r>
      <w:r>
        <w:rPr>
          <w:rFonts w:hint="eastAsia" w:asciiTheme="minorEastAsia" w:hAnsiTheme="minorEastAsia" w:eastAsiaTheme="minorEastAsia" w:cstheme="minorEastAsia"/>
          <w:bCs/>
          <w:color w:val="auto"/>
          <w:sz w:val="24"/>
          <w:highlight w:val="none"/>
          <w:lang w:eastAsia="zh-CN"/>
        </w:rPr>
        <w:t>黑龙江博仕检验检测有限公司</w:t>
      </w:r>
      <w:r>
        <w:rPr>
          <w:rFonts w:hint="eastAsia" w:asciiTheme="minorEastAsia" w:hAnsiTheme="minorEastAsia" w:eastAsiaTheme="minorEastAsia" w:cstheme="minorEastAsia"/>
          <w:color w:val="auto"/>
          <w:sz w:val="24"/>
          <w:szCs w:val="24"/>
          <w:highlight w:val="none"/>
        </w:rPr>
        <w:t>。</w:t>
      </w:r>
    </w:p>
    <w:p w14:paraId="7B771CBC">
      <w:pPr>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 监测布点</w:t>
      </w:r>
    </w:p>
    <w:p w14:paraId="3DC59D06">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 w:val="24"/>
          <w:szCs w:val="24"/>
          <w:highlight w:val="none"/>
          <w:lang w:val="en-US" w:eastAsia="zh-CN"/>
        </w:rPr>
        <w:t>厂界四周</w:t>
      </w:r>
      <w:r>
        <w:rPr>
          <w:rFonts w:hint="eastAsia" w:asciiTheme="minorEastAsia" w:hAnsiTheme="minorEastAsia" w:eastAsiaTheme="minorEastAsia" w:cstheme="minorEastAsia"/>
          <w:color w:val="auto"/>
          <w:sz w:val="24"/>
          <w:szCs w:val="24"/>
          <w:highlight w:val="none"/>
        </w:rPr>
        <w:t>4个监测点位</w:t>
      </w:r>
      <w:r>
        <w:rPr>
          <w:rFonts w:hint="eastAsia" w:asciiTheme="minorEastAsia" w:hAnsiTheme="minorEastAsia" w:eastAsiaTheme="minorEastAsia" w:cstheme="minorEastAsia"/>
          <w:color w:val="auto"/>
          <w:highlight w:val="none"/>
        </w:rPr>
        <w:t>。</w:t>
      </w:r>
    </w:p>
    <w:p w14:paraId="7EC918AF">
      <w:pPr>
        <w:spacing w:line="240" w:lineRule="auto"/>
        <w:jc w:val="center"/>
        <w:rPr>
          <w:rFonts w:hint="eastAsia" w:asciiTheme="minorEastAsia" w:hAnsiTheme="minorEastAsia" w:eastAsiaTheme="minorEastAsia" w:cstheme="minorEastAsia"/>
          <w:color w:val="auto"/>
          <w:highlight w:val="none"/>
        </w:rPr>
      </w:pPr>
      <w:r>
        <w:rPr>
          <w:color w:val="auto"/>
          <w:highlight w:val="none"/>
        </w:rPr>
        <w:drawing>
          <wp:inline distT="0" distB="0" distL="114300" distR="114300">
            <wp:extent cx="5560695" cy="4620260"/>
            <wp:effectExtent l="0" t="0" r="1905" b="2540"/>
            <wp:docPr id="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pic:cNvPicPr>
                      <a:picLocks noChangeAspect="1"/>
                    </pic:cNvPicPr>
                  </pic:nvPicPr>
                  <pic:blipFill>
                    <a:blip r:embed="rId51"/>
                    <a:stretch>
                      <a:fillRect/>
                    </a:stretch>
                  </pic:blipFill>
                  <pic:spPr>
                    <a:xfrm>
                      <a:off x="0" y="0"/>
                      <a:ext cx="5560695" cy="4620260"/>
                    </a:xfrm>
                    <a:prstGeom prst="rect">
                      <a:avLst/>
                    </a:prstGeom>
                    <a:noFill/>
                    <a:ln>
                      <a:noFill/>
                    </a:ln>
                  </pic:spPr>
                </pic:pic>
              </a:graphicData>
            </a:graphic>
          </wp:inline>
        </w:drawing>
      </w:r>
    </w:p>
    <w:p w14:paraId="4878C02B">
      <w:pPr>
        <w:keepNext w:val="0"/>
        <w:keepLines w:val="0"/>
        <w:pageBreakBefore w:val="0"/>
        <w:widowControl/>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eastAsia="宋体" w:cs="宋体"/>
          <w:b/>
          <w:bCs/>
          <w:color w:val="auto"/>
          <w:kern w:val="0"/>
          <w:sz w:val="24"/>
          <w:highlight w:val="none"/>
          <w:lang w:val="en-US" w:eastAsia="zh-CN" w:bidi="ar"/>
        </w:rPr>
      </w:pPr>
      <w:r>
        <w:rPr>
          <w:rFonts w:hint="eastAsia" w:ascii="宋体" w:hAnsi="宋体" w:eastAsia="宋体" w:cs="宋体"/>
          <w:b/>
          <w:bCs/>
          <w:color w:val="auto"/>
          <w:kern w:val="0"/>
          <w:sz w:val="24"/>
          <w:highlight w:val="none"/>
          <w:lang w:val="en-US" w:eastAsia="zh-CN" w:bidi="ar"/>
        </w:rPr>
        <w:t>图4.3-3  噪声监测点位图</w:t>
      </w:r>
    </w:p>
    <w:p w14:paraId="05C6E069">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2、监测因子和测量方法</w:t>
      </w:r>
    </w:p>
    <w:p w14:paraId="3BAC0F75">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监测因子为等效连续A声级Leq，dB(A</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，测量方法按《声环境质量标准》（GB3096-2008）执行。</w:t>
      </w:r>
    </w:p>
    <w:p w14:paraId="2CF2085F">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3、监测时间与频次</w:t>
      </w:r>
    </w:p>
    <w:p w14:paraId="15723DE8">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监测时间为</w:t>
      </w:r>
      <w:r>
        <w:rPr>
          <w:rFonts w:hint="eastAsia" w:asciiTheme="minorEastAsia" w:hAnsiTheme="minorEastAsia" w:eastAsiaTheme="minorEastAsia" w:cstheme="minorEastAsia"/>
          <w:color w:val="auto"/>
          <w:szCs w:val="21"/>
          <w:highlight w:val="none"/>
        </w:rPr>
        <w:t>20</w:t>
      </w:r>
      <w:r>
        <w:rPr>
          <w:rFonts w:hint="eastAsia" w:asciiTheme="minorEastAsia" w:hAnsiTheme="minorEastAsia" w:eastAsiaTheme="minorEastAsia" w:cstheme="minorEastAsia"/>
          <w:color w:val="auto"/>
          <w:szCs w:val="21"/>
          <w:highlight w:val="none"/>
          <w:lang w:val="en-US" w:eastAsia="zh-CN"/>
        </w:rPr>
        <w:t>26</w:t>
      </w:r>
      <w:r>
        <w:rPr>
          <w:rFonts w:hint="eastAsia" w:asciiTheme="minorEastAsia" w:hAnsiTheme="minorEastAsia" w:eastAsiaTheme="minorEastAsia" w:cstheme="minorEastAsia"/>
          <w:color w:val="auto"/>
          <w:szCs w:val="21"/>
          <w:highlight w:val="none"/>
        </w:rPr>
        <w:t>年</w:t>
      </w:r>
      <w:r>
        <w:rPr>
          <w:rFonts w:hint="eastAsia" w:asciiTheme="minorEastAsia" w:hAnsiTheme="minorEastAsia" w:eastAsiaTheme="minorEastAsia" w:cstheme="minorEastAsia"/>
          <w:color w:val="auto"/>
          <w:szCs w:val="21"/>
          <w:highlight w:val="none"/>
          <w:lang w:val="en-US" w:eastAsia="zh-CN"/>
        </w:rPr>
        <w:t>05</w:t>
      </w:r>
      <w:r>
        <w:rPr>
          <w:rFonts w:hint="eastAsia" w:asciiTheme="minorEastAsia" w:hAnsiTheme="minorEastAsia" w:eastAsiaTheme="minorEastAsia" w:cstheme="minorEastAsia"/>
          <w:color w:val="auto"/>
          <w:szCs w:val="21"/>
          <w:highlight w:val="none"/>
        </w:rPr>
        <w:t>月</w:t>
      </w:r>
      <w:r>
        <w:rPr>
          <w:rFonts w:hint="eastAsia" w:asciiTheme="minorEastAsia" w:hAnsiTheme="minorEastAsia" w:eastAsiaTheme="minorEastAsia" w:cstheme="minorEastAsia"/>
          <w:color w:val="auto"/>
          <w:szCs w:val="21"/>
          <w:highlight w:val="none"/>
          <w:lang w:val="en-US" w:eastAsia="zh-CN"/>
        </w:rPr>
        <w:t>25</w:t>
      </w:r>
      <w:r>
        <w:rPr>
          <w:rFonts w:hint="eastAsia" w:asciiTheme="minorEastAsia" w:hAnsiTheme="minorEastAsia" w:eastAsiaTheme="minorEastAsia" w:cstheme="minorEastAsia"/>
          <w:color w:val="auto"/>
          <w:szCs w:val="21"/>
          <w:highlight w:val="none"/>
        </w:rPr>
        <w:t>日</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szCs w:val="21"/>
          <w:highlight w:val="none"/>
          <w:lang w:val="en-US" w:eastAsia="zh-CN"/>
        </w:rPr>
        <w:t>05</w:t>
      </w:r>
      <w:r>
        <w:rPr>
          <w:rFonts w:hint="eastAsia" w:asciiTheme="minorEastAsia" w:hAnsiTheme="minorEastAsia" w:eastAsiaTheme="minorEastAsia" w:cstheme="minorEastAsia"/>
          <w:color w:val="auto"/>
          <w:szCs w:val="21"/>
          <w:highlight w:val="none"/>
        </w:rPr>
        <w:t>月</w:t>
      </w:r>
      <w:r>
        <w:rPr>
          <w:rFonts w:hint="eastAsia" w:asciiTheme="minorEastAsia" w:hAnsiTheme="minorEastAsia" w:eastAsiaTheme="minorEastAsia" w:cstheme="minorEastAsia"/>
          <w:color w:val="auto"/>
          <w:szCs w:val="21"/>
          <w:highlight w:val="none"/>
          <w:lang w:val="en-US" w:eastAsia="zh-CN"/>
        </w:rPr>
        <w:t>26</w:t>
      </w:r>
      <w:r>
        <w:rPr>
          <w:rFonts w:hint="eastAsia" w:asciiTheme="minorEastAsia" w:hAnsiTheme="minorEastAsia" w:eastAsiaTheme="minorEastAsia" w:cstheme="minorEastAsia"/>
          <w:color w:val="auto"/>
          <w:szCs w:val="21"/>
          <w:highlight w:val="none"/>
        </w:rPr>
        <w:t>日</w:t>
      </w:r>
      <w:r>
        <w:rPr>
          <w:rFonts w:hint="eastAsia" w:asciiTheme="minorEastAsia" w:hAnsiTheme="minorEastAsia" w:eastAsiaTheme="minorEastAsia" w:cstheme="minorEastAsia"/>
          <w:color w:val="auto"/>
          <w:highlight w:val="none"/>
        </w:rPr>
        <w:t>连续监测2天，每天昼间（06</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00-22</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00）、夜间（22</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00-06</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00）各监测</w:t>
      </w:r>
      <w:r>
        <w:rPr>
          <w:rFonts w:hint="eastAsia" w:asciiTheme="minorEastAsia" w:hAnsiTheme="minorEastAsia" w:eastAsiaTheme="minorEastAsia" w:cstheme="minorEastAsia"/>
          <w:color w:val="auto"/>
          <w:highlight w:val="none"/>
          <w:lang w:val="en-US" w:eastAsia="zh-CN"/>
        </w:rPr>
        <w:t>1</w:t>
      </w:r>
      <w:r>
        <w:rPr>
          <w:rFonts w:hint="eastAsia" w:asciiTheme="minorEastAsia" w:hAnsiTheme="minorEastAsia" w:eastAsiaTheme="minorEastAsia" w:cstheme="minorEastAsia"/>
          <w:color w:val="auto"/>
          <w:highlight w:val="none"/>
        </w:rPr>
        <w:t>次。</w:t>
      </w:r>
    </w:p>
    <w:p w14:paraId="1E582146">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4、评价标准</w:t>
      </w:r>
    </w:p>
    <w:p w14:paraId="43DD08E5">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厂界采用《声环境质量标准》（GB3096-2008）</w:t>
      </w:r>
      <w:r>
        <w:rPr>
          <w:rFonts w:hint="eastAsia" w:asciiTheme="minorEastAsia" w:hAnsiTheme="minorEastAsia" w:eastAsiaTheme="minorEastAsia" w:cstheme="minorEastAsia"/>
          <w:color w:val="auto"/>
          <w:highlight w:val="none"/>
          <w:lang w:val="en-US" w:eastAsia="zh-CN"/>
        </w:rPr>
        <w:t>1</w:t>
      </w:r>
      <w:r>
        <w:rPr>
          <w:rFonts w:hint="eastAsia" w:asciiTheme="minorEastAsia" w:hAnsiTheme="minorEastAsia" w:eastAsiaTheme="minorEastAsia" w:cstheme="minorEastAsia"/>
          <w:color w:val="auto"/>
          <w:highlight w:val="none"/>
        </w:rPr>
        <w:t>类标准，即：昼间</w:t>
      </w:r>
      <w:r>
        <w:rPr>
          <w:rFonts w:hint="eastAsia" w:asciiTheme="minorEastAsia" w:hAnsiTheme="minorEastAsia" w:eastAsiaTheme="minorEastAsia" w:cstheme="minorEastAsia"/>
          <w:color w:val="auto"/>
          <w:highlight w:val="none"/>
          <w:lang w:val="en-US" w:eastAsia="zh-CN"/>
        </w:rPr>
        <w:t>55</w:t>
      </w:r>
      <w:r>
        <w:rPr>
          <w:rFonts w:hint="eastAsia" w:asciiTheme="minorEastAsia" w:hAnsiTheme="minorEastAsia" w:eastAsiaTheme="minorEastAsia" w:cstheme="minorEastAsia"/>
          <w:color w:val="auto"/>
          <w:highlight w:val="none"/>
        </w:rPr>
        <w:t>dB</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A</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、夜间</w:t>
      </w:r>
      <w:r>
        <w:rPr>
          <w:rFonts w:hint="eastAsia" w:asciiTheme="minorEastAsia" w:hAnsiTheme="minorEastAsia" w:eastAsiaTheme="minorEastAsia" w:cstheme="minorEastAsia"/>
          <w:color w:val="auto"/>
          <w:highlight w:val="none"/>
          <w:lang w:val="en-US" w:eastAsia="zh-CN"/>
        </w:rPr>
        <w:t>45</w:t>
      </w:r>
      <w:r>
        <w:rPr>
          <w:rFonts w:hint="eastAsia" w:asciiTheme="minorEastAsia" w:hAnsiTheme="minorEastAsia" w:eastAsiaTheme="minorEastAsia" w:cstheme="minorEastAsia"/>
          <w:color w:val="auto"/>
          <w:highlight w:val="none"/>
        </w:rPr>
        <w:t>dB</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A</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w:t>
      </w:r>
    </w:p>
    <w:p w14:paraId="4BEF5468">
      <w:pPr>
        <w:numPr>
          <w:ilvl w:val="0"/>
          <w:numId w:val="18"/>
        </w:num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各监测点噪声监测结果见表</w:t>
      </w:r>
      <w:r>
        <w:rPr>
          <w:rFonts w:hint="eastAsia" w:asciiTheme="minorEastAsia" w:hAnsiTheme="minorEastAsia" w:eastAsiaTheme="minorEastAsia" w:cstheme="minorEastAsia"/>
          <w:color w:val="auto"/>
          <w:highlight w:val="none"/>
          <w:lang w:val="en-US" w:eastAsia="zh-CN"/>
        </w:rPr>
        <w:t>4.3-11</w:t>
      </w:r>
      <w:r>
        <w:rPr>
          <w:rFonts w:hint="eastAsia" w:asciiTheme="minorEastAsia" w:hAnsiTheme="minorEastAsia" w:eastAsiaTheme="minorEastAsia" w:cstheme="minorEastAsia"/>
          <w:color w:val="auto"/>
          <w:highlight w:val="none"/>
        </w:rPr>
        <w:t>。</w:t>
      </w:r>
    </w:p>
    <w:p w14:paraId="7F42B0A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b/>
          <w:bCs/>
          <w:color w:val="auto"/>
          <w:highlight w:val="none"/>
          <w:lang w:val="zh-CN"/>
        </w:rPr>
      </w:pPr>
      <w:r>
        <w:rPr>
          <w:rFonts w:hint="eastAsia" w:asciiTheme="minorEastAsia" w:hAnsiTheme="minorEastAsia" w:eastAsiaTheme="minorEastAsia" w:cstheme="minorEastAsia"/>
          <w:b/>
          <w:bCs/>
          <w:color w:val="auto"/>
          <w:highlight w:val="none"/>
          <w:lang w:val="zh-CN"/>
        </w:rPr>
        <w:t>表4.</w:t>
      </w:r>
      <w:r>
        <w:rPr>
          <w:rFonts w:hint="eastAsia" w:asciiTheme="minorEastAsia" w:hAnsiTheme="minorEastAsia" w:eastAsiaTheme="minorEastAsia" w:cstheme="minorEastAsia"/>
          <w:b/>
          <w:bCs/>
          <w:color w:val="auto"/>
          <w:highlight w:val="none"/>
          <w:lang w:val="en-US" w:eastAsia="zh-CN"/>
        </w:rPr>
        <w:t>3-11</w:t>
      </w:r>
      <w:r>
        <w:rPr>
          <w:rFonts w:hint="eastAsia" w:asciiTheme="minorEastAsia" w:hAnsiTheme="minorEastAsia" w:eastAsiaTheme="minorEastAsia" w:cstheme="minorEastAsia"/>
          <w:b/>
          <w:bCs/>
          <w:color w:val="auto"/>
          <w:highlight w:val="none"/>
          <w:lang w:val="zh-CN"/>
        </w:rPr>
        <w:t xml:space="preserve">  厂界噪声监测结果  单位：dB(A)</w:t>
      </w:r>
    </w:p>
    <w:tbl>
      <w:tblPr>
        <w:tblStyle w:val="85"/>
        <w:tblW w:w="4894" w:type="pct"/>
        <w:tblInd w:w="48"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447"/>
        <w:gridCol w:w="1616"/>
        <w:gridCol w:w="1435"/>
        <w:gridCol w:w="1564"/>
        <w:gridCol w:w="751"/>
        <w:gridCol w:w="751"/>
      </w:tblGrid>
      <w:tr w14:paraId="1DED8A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6" w:hRule="atLeast"/>
          <w:tblHeader/>
        </w:trPr>
        <w:tc>
          <w:tcPr>
            <w:tcW w:w="698" w:type="pct"/>
            <w:vMerge w:val="restart"/>
            <w:tcBorders>
              <w:tl2br w:val="nil"/>
              <w:tr2bl w:val="nil"/>
            </w:tcBorders>
            <w:noWrap w:val="0"/>
            <w:vAlign w:val="center"/>
          </w:tcPr>
          <w:p w14:paraId="122993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cs="Times New Roman"/>
                <w:b w:val="0"/>
                <w:bCs w:val="0"/>
                <w:color w:val="auto"/>
                <w:sz w:val="21"/>
                <w:szCs w:val="21"/>
                <w:highlight w:val="none"/>
                <w:vertAlign w:val="baseline"/>
                <w:lang w:val="en-US" w:eastAsia="zh-CN"/>
              </w:rPr>
              <w:t>监</w:t>
            </w:r>
            <w:r>
              <w:rPr>
                <w:rFonts w:hint="default" w:ascii="Times New Roman" w:hAnsi="Times New Roman" w:eastAsia="宋体" w:cs="Times New Roman"/>
                <w:b w:val="0"/>
                <w:bCs w:val="0"/>
                <w:color w:val="auto"/>
                <w:sz w:val="21"/>
                <w:szCs w:val="21"/>
                <w:highlight w:val="none"/>
                <w:vertAlign w:val="baseline"/>
                <w:lang w:val="en-US" w:eastAsia="zh-CN"/>
              </w:rPr>
              <w:t>测时间</w:t>
            </w:r>
          </w:p>
        </w:tc>
        <w:tc>
          <w:tcPr>
            <w:tcW w:w="822" w:type="pct"/>
            <w:vMerge w:val="restart"/>
            <w:tcBorders>
              <w:tl2br w:val="nil"/>
              <w:tr2bl w:val="nil"/>
            </w:tcBorders>
            <w:noWrap w:val="0"/>
            <w:vAlign w:val="center"/>
          </w:tcPr>
          <w:p w14:paraId="1BD36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cs="Times New Roman"/>
                <w:b w:val="0"/>
                <w:bCs w:val="0"/>
                <w:color w:val="auto"/>
                <w:sz w:val="21"/>
                <w:szCs w:val="21"/>
                <w:highlight w:val="none"/>
                <w:vertAlign w:val="baseline"/>
                <w:lang w:val="en-US" w:eastAsia="zh-CN"/>
              </w:rPr>
              <w:t>监</w:t>
            </w:r>
            <w:r>
              <w:rPr>
                <w:rFonts w:hint="default" w:ascii="Times New Roman" w:hAnsi="Times New Roman" w:eastAsia="宋体" w:cs="Times New Roman"/>
                <w:b w:val="0"/>
                <w:bCs w:val="0"/>
                <w:color w:val="auto"/>
                <w:sz w:val="21"/>
                <w:szCs w:val="21"/>
                <w:highlight w:val="none"/>
                <w:vertAlign w:val="baseline"/>
                <w:lang w:val="en-US" w:eastAsia="zh-CN"/>
              </w:rPr>
              <w:t>测项目</w:t>
            </w:r>
          </w:p>
        </w:tc>
        <w:tc>
          <w:tcPr>
            <w:tcW w:w="918" w:type="pct"/>
            <w:vMerge w:val="restart"/>
            <w:tcBorders>
              <w:tl2br w:val="nil"/>
              <w:tr2bl w:val="nil"/>
            </w:tcBorders>
            <w:noWrap w:val="0"/>
            <w:vAlign w:val="center"/>
          </w:tcPr>
          <w:p w14:paraId="49C1A5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cs="Times New Roman"/>
                <w:b w:val="0"/>
                <w:bCs w:val="0"/>
                <w:color w:val="auto"/>
                <w:sz w:val="21"/>
                <w:szCs w:val="21"/>
                <w:highlight w:val="none"/>
                <w:vertAlign w:val="baseline"/>
                <w:lang w:val="en-US" w:eastAsia="zh-CN"/>
              </w:rPr>
              <w:t>监</w:t>
            </w:r>
            <w:r>
              <w:rPr>
                <w:rFonts w:hint="default" w:ascii="Times New Roman" w:hAnsi="Times New Roman" w:eastAsia="宋体" w:cs="Times New Roman"/>
                <w:b w:val="0"/>
                <w:bCs w:val="0"/>
                <w:color w:val="auto"/>
                <w:sz w:val="21"/>
                <w:szCs w:val="21"/>
                <w:highlight w:val="none"/>
                <w:vertAlign w:val="baseline"/>
                <w:lang w:val="en-US" w:eastAsia="zh-CN"/>
              </w:rPr>
              <w:t>测点</w:t>
            </w:r>
            <w:r>
              <w:rPr>
                <w:rFonts w:hint="default" w:ascii="Times New Roman" w:hAnsi="Times New Roman" w:cs="Times New Roman"/>
                <w:b w:val="0"/>
                <w:bCs w:val="0"/>
                <w:color w:val="auto"/>
                <w:sz w:val="21"/>
                <w:szCs w:val="21"/>
                <w:highlight w:val="none"/>
                <w:vertAlign w:val="baseline"/>
                <w:lang w:val="en-US" w:eastAsia="zh-CN"/>
              </w:rPr>
              <w:t>位</w:t>
            </w:r>
          </w:p>
        </w:tc>
        <w:tc>
          <w:tcPr>
            <w:tcW w:w="1705" w:type="pct"/>
            <w:gridSpan w:val="2"/>
            <w:tcBorders>
              <w:tl2br w:val="nil"/>
              <w:tr2bl w:val="nil"/>
            </w:tcBorders>
            <w:noWrap w:val="0"/>
            <w:vAlign w:val="center"/>
          </w:tcPr>
          <w:p w14:paraId="5FAA33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default" w:ascii="Times New Roman" w:hAnsi="Times New Roman" w:cs="Times New Roman"/>
                <w:b w:val="0"/>
                <w:bCs w:val="0"/>
                <w:color w:val="auto"/>
                <w:sz w:val="21"/>
                <w:szCs w:val="21"/>
                <w:highlight w:val="none"/>
                <w:vertAlign w:val="baseline"/>
                <w:lang w:val="en-US" w:eastAsia="zh-CN"/>
              </w:rPr>
              <w:t>监</w:t>
            </w:r>
            <w:r>
              <w:rPr>
                <w:rFonts w:hint="default" w:ascii="Times New Roman" w:hAnsi="Times New Roman" w:eastAsia="宋体" w:cs="Times New Roman"/>
                <w:b w:val="0"/>
                <w:bCs w:val="0"/>
                <w:color w:val="auto"/>
                <w:sz w:val="21"/>
                <w:szCs w:val="21"/>
                <w:highlight w:val="none"/>
                <w:vertAlign w:val="baseline"/>
                <w:lang w:val="en-US" w:eastAsia="zh-CN"/>
              </w:rPr>
              <w:t>测结果</w:t>
            </w:r>
            <w:r>
              <w:rPr>
                <w:rFonts w:hint="default" w:ascii="Times New Roman" w:hAnsi="Times New Roman" w:eastAsia="宋体" w:cs="Times New Roman"/>
                <w:b w:val="0"/>
                <w:bCs w:val="0"/>
                <w:color w:val="auto"/>
                <w:sz w:val="21"/>
                <w:szCs w:val="21"/>
                <w:highlight w:val="none"/>
              </w:rPr>
              <w:t>dB(A)</w:t>
            </w:r>
          </w:p>
        </w:tc>
        <w:tc>
          <w:tcPr>
            <w:tcW w:w="853" w:type="pct"/>
            <w:gridSpan w:val="2"/>
            <w:tcBorders>
              <w:tl2br w:val="nil"/>
              <w:tr2bl w:val="nil"/>
            </w:tcBorders>
            <w:noWrap w:val="0"/>
            <w:vAlign w:val="center"/>
          </w:tcPr>
          <w:p w14:paraId="0F9626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ascii="Times New Roman" w:hAnsi="Times New Roman" w:cs="Times New Roman"/>
                <w:b w:val="0"/>
                <w:bCs w:val="0"/>
                <w:color w:val="auto"/>
                <w:sz w:val="21"/>
                <w:szCs w:val="21"/>
                <w:highlight w:val="none"/>
                <w:vertAlign w:val="baseline"/>
                <w:lang w:val="en-US" w:eastAsia="zh-CN"/>
              </w:rPr>
              <w:t>限值</w:t>
            </w:r>
            <w:r>
              <w:rPr>
                <w:rFonts w:hint="default" w:ascii="Times New Roman" w:hAnsi="Times New Roman" w:eastAsia="宋体" w:cs="Times New Roman"/>
                <w:b w:val="0"/>
                <w:bCs w:val="0"/>
                <w:color w:val="auto"/>
                <w:sz w:val="21"/>
                <w:szCs w:val="21"/>
                <w:highlight w:val="none"/>
              </w:rPr>
              <w:t>dB(A)</w:t>
            </w:r>
          </w:p>
        </w:tc>
      </w:tr>
      <w:tr w14:paraId="0AFEBB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1" w:hRule="atLeast"/>
          <w:tblHeader/>
        </w:trPr>
        <w:tc>
          <w:tcPr>
            <w:tcW w:w="698" w:type="pct"/>
            <w:vMerge w:val="continue"/>
            <w:tcBorders>
              <w:tl2br w:val="nil"/>
              <w:tr2bl w:val="nil"/>
            </w:tcBorders>
            <w:noWrap w:val="0"/>
            <w:vAlign w:val="center"/>
          </w:tcPr>
          <w:p w14:paraId="0B062C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highlight w:val="none"/>
              </w:rPr>
            </w:pPr>
          </w:p>
        </w:tc>
        <w:tc>
          <w:tcPr>
            <w:tcW w:w="822" w:type="pct"/>
            <w:vMerge w:val="continue"/>
            <w:tcBorders>
              <w:tl2br w:val="nil"/>
              <w:tr2bl w:val="nil"/>
            </w:tcBorders>
            <w:noWrap w:val="0"/>
            <w:vAlign w:val="center"/>
          </w:tcPr>
          <w:p w14:paraId="6F92DF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highlight w:val="none"/>
              </w:rPr>
            </w:pPr>
          </w:p>
        </w:tc>
        <w:tc>
          <w:tcPr>
            <w:tcW w:w="918" w:type="pct"/>
            <w:vMerge w:val="continue"/>
            <w:tcBorders>
              <w:tl2br w:val="nil"/>
              <w:tr2bl w:val="nil"/>
            </w:tcBorders>
            <w:noWrap w:val="0"/>
            <w:vAlign w:val="center"/>
          </w:tcPr>
          <w:p w14:paraId="0D7930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highlight w:val="none"/>
              </w:rPr>
            </w:pPr>
          </w:p>
        </w:tc>
        <w:tc>
          <w:tcPr>
            <w:tcW w:w="816" w:type="pct"/>
            <w:tcBorders>
              <w:tl2br w:val="nil"/>
              <w:tr2bl w:val="nil"/>
            </w:tcBorders>
            <w:noWrap w:val="0"/>
            <w:vAlign w:val="center"/>
          </w:tcPr>
          <w:p w14:paraId="1E71D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cs="Times New Roman"/>
                <w:b w:val="0"/>
                <w:bCs w:val="0"/>
                <w:color w:val="auto"/>
                <w:sz w:val="21"/>
                <w:szCs w:val="21"/>
                <w:highlight w:val="none"/>
                <w:vertAlign w:val="baseline"/>
                <w:lang w:val="en-US" w:eastAsia="zh-CN"/>
              </w:rPr>
              <w:t>昼间</w:t>
            </w:r>
          </w:p>
        </w:tc>
        <w:tc>
          <w:tcPr>
            <w:tcW w:w="889" w:type="pct"/>
            <w:tcBorders>
              <w:tl2br w:val="nil"/>
              <w:tr2bl w:val="nil"/>
            </w:tcBorders>
            <w:noWrap w:val="0"/>
            <w:vAlign w:val="center"/>
          </w:tcPr>
          <w:p w14:paraId="0C9B06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default" w:ascii="Times New Roman" w:hAnsi="Times New Roman" w:cs="Times New Roman"/>
                <w:b w:val="0"/>
                <w:bCs w:val="0"/>
                <w:color w:val="auto"/>
                <w:sz w:val="21"/>
                <w:szCs w:val="21"/>
                <w:highlight w:val="none"/>
                <w:vertAlign w:val="baseline"/>
                <w:lang w:val="en-US" w:eastAsia="zh-CN"/>
              </w:rPr>
              <w:t>夜间</w:t>
            </w:r>
          </w:p>
        </w:tc>
        <w:tc>
          <w:tcPr>
            <w:tcW w:w="426" w:type="pct"/>
            <w:tcBorders>
              <w:tl2br w:val="nil"/>
              <w:tr2bl w:val="nil"/>
            </w:tcBorders>
            <w:noWrap w:val="0"/>
            <w:vAlign w:val="center"/>
          </w:tcPr>
          <w:p w14:paraId="20E325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default" w:ascii="Times New Roman" w:hAnsi="Times New Roman" w:cs="Times New Roman"/>
                <w:b w:val="0"/>
                <w:bCs w:val="0"/>
                <w:color w:val="auto"/>
                <w:sz w:val="21"/>
                <w:szCs w:val="21"/>
                <w:highlight w:val="none"/>
                <w:vertAlign w:val="baseline"/>
                <w:lang w:val="en-US" w:eastAsia="zh-CN"/>
              </w:rPr>
              <w:t>昼间</w:t>
            </w:r>
          </w:p>
        </w:tc>
        <w:tc>
          <w:tcPr>
            <w:tcW w:w="426" w:type="pct"/>
            <w:tcBorders>
              <w:tl2br w:val="nil"/>
              <w:tr2bl w:val="nil"/>
            </w:tcBorders>
            <w:noWrap w:val="0"/>
            <w:vAlign w:val="center"/>
          </w:tcPr>
          <w:p w14:paraId="6E5BBF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default" w:ascii="Times New Roman" w:hAnsi="Times New Roman" w:cs="Times New Roman"/>
                <w:b w:val="0"/>
                <w:bCs w:val="0"/>
                <w:color w:val="auto"/>
                <w:sz w:val="21"/>
                <w:szCs w:val="21"/>
                <w:highlight w:val="none"/>
                <w:vertAlign w:val="baseline"/>
                <w:lang w:val="en-US" w:eastAsia="zh-CN"/>
              </w:rPr>
              <w:t>夜间</w:t>
            </w:r>
          </w:p>
        </w:tc>
      </w:tr>
      <w:tr w14:paraId="6509E2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8" w:type="pct"/>
            <w:vMerge w:val="restart"/>
            <w:tcBorders>
              <w:tl2br w:val="nil"/>
              <w:tr2bl w:val="nil"/>
            </w:tcBorders>
            <w:noWrap w:val="0"/>
            <w:vAlign w:val="center"/>
          </w:tcPr>
          <w:p w14:paraId="1266F2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default" w:ascii="Times New Roman" w:hAnsi="Times New Roman" w:cs="Times New Roman"/>
                <w:iCs/>
                <w:color w:val="auto"/>
                <w:sz w:val="21"/>
                <w:szCs w:val="21"/>
                <w:highlight w:val="none"/>
                <w:lang w:val="en-US" w:eastAsia="zh-CN"/>
              </w:rPr>
              <w:t>2026.</w:t>
            </w:r>
            <w:r>
              <w:rPr>
                <w:rFonts w:hint="eastAsia" w:cs="Times New Roman"/>
                <w:iCs/>
                <w:color w:val="auto"/>
                <w:sz w:val="21"/>
                <w:szCs w:val="21"/>
                <w:highlight w:val="none"/>
                <w:lang w:val="en-US" w:eastAsia="zh-CN"/>
              </w:rPr>
              <w:t>5</w:t>
            </w:r>
            <w:r>
              <w:rPr>
                <w:rFonts w:hint="default" w:ascii="Times New Roman" w:hAnsi="Times New Roman" w:cs="Times New Roman"/>
                <w:iCs/>
                <w:color w:val="auto"/>
                <w:sz w:val="21"/>
                <w:szCs w:val="21"/>
                <w:highlight w:val="none"/>
                <w:lang w:val="en-US" w:eastAsia="zh-CN"/>
              </w:rPr>
              <w:t>.25</w:t>
            </w:r>
          </w:p>
        </w:tc>
        <w:tc>
          <w:tcPr>
            <w:tcW w:w="822" w:type="pct"/>
            <w:vMerge w:val="restart"/>
            <w:tcBorders>
              <w:tl2br w:val="nil"/>
              <w:tr2bl w:val="nil"/>
            </w:tcBorders>
            <w:noWrap w:val="0"/>
            <w:vAlign w:val="center"/>
          </w:tcPr>
          <w:p w14:paraId="5FACAE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jc w:val="center"/>
              <w:textAlignment w:val="auto"/>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ascii="宋体" w:hAnsi="宋体" w:cs="宋体"/>
                <w:color w:val="auto"/>
                <w:kern w:val="0"/>
                <w:sz w:val="21"/>
                <w:szCs w:val="21"/>
                <w:highlight w:val="none"/>
                <w:lang w:bidi="ar"/>
              </w:rPr>
              <w:t>厂界环境噪声</w:t>
            </w:r>
          </w:p>
        </w:tc>
        <w:tc>
          <w:tcPr>
            <w:tcW w:w="918" w:type="pct"/>
            <w:tcBorders>
              <w:tl2br w:val="nil"/>
              <w:tr2bl w:val="nil"/>
            </w:tcBorders>
            <w:noWrap w:val="0"/>
            <w:vAlign w:val="center"/>
          </w:tcPr>
          <w:p w14:paraId="7E44394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lang w:val="en-US" w:eastAsia="zh-CN"/>
              </w:rPr>
            </w:pPr>
            <w:r>
              <w:rPr>
                <w:rFonts w:hint="eastAsia"/>
                <w:color w:val="auto"/>
                <w:sz w:val="21"/>
                <w:szCs w:val="21"/>
                <w:highlight w:val="none"/>
                <w:lang w:val="en-US" w:eastAsia="zh-CN"/>
              </w:rPr>
              <w:t>厂区东侧1#</w:t>
            </w:r>
          </w:p>
        </w:tc>
        <w:tc>
          <w:tcPr>
            <w:tcW w:w="816" w:type="pct"/>
            <w:tcBorders>
              <w:tl2br w:val="nil"/>
              <w:tr2bl w:val="nil"/>
            </w:tcBorders>
            <w:noWrap w:val="0"/>
            <w:vAlign w:val="center"/>
          </w:tcPr>
          <w:p w14:paraId="08096A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49</w:t>
            </w:r>
          </w:p>
        </w:tc>
        <w:tc>
          <w:tcPr>
            <w:tcW w:w="889" w:type="pct"/>
            <w:tcBorders>
              <w:tl2br w:val="nil"/>
              <w:tr2bl w:val="nil"/>
            </w:tcBorders>
            <w:noWrap w:val="0"/>
            <w:vAlign w:val="center"/>
          </w:tcPr>
          <w:p w14:paraId="4D1B1A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43</w:t>
            </w:r>
          </w:p>
        </w:tc>
        <w:tc>
          <w:tcPr>
            <w:tcW w:w="426" w:type="pct"/>
            <w:tcBorders>
              <w:tl2br w:val="nil"/>
              <w:tr2bl w:val="nil"/>
            </w:tcBorders>
            <w:noWrap w:val="0"/>
            <w:vAlign w:val="center"/>
          </w:tcPr>
          <w:p w14:paraId="0F97E9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ascii="Times New Roman" w:hAnsi="Times New Roman" w:cs="Times New Roman"/>
                <w:b w:val="0"/>
                <w:bCs w:val="0"/>
                <w:color w:val="auto"/>
                <w:sz w:val="21"/>
                <w:szCs w:val="21"/>
                <w:highlight w:val="none"/>
                <w:vertAlign w:val="baseline"/>
                <w:lang w:val="en-US" w:eastAsia="zh-CN"/>
              </w:rPr>
              <w:t>55</w:t>
            </w:r>
          </w:p>
        </w:tc>
        <w:tc>
          <w:tcPr>
            <w:tcW w:w="426" w:type="pct"/>
            <w:tcBorders>
              <w:tl2br w:val="nil"/>
              <w:tr2bl w:val="nil"/>
            </w:tcBorders>
            <w:noWrap w:val="0"/>
            <w:vAlign w:val="center"/>
          </w:tcPr>
          <w:p w14:paraId="3B3015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45</w:t>
            </w:r>
          </w:p>
        </w:tc>
      </w:tr>
      <w:tr w14:paraId="5801D6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8" w:type="pct"/>
            <w:vMerge w:val="continue"/>
            <w:tcBorders>
              <w:tl2br w:val="nil"/>
              <w:tr2bl w:val="nil"/>
            </w:tcBorders>
            <w:noWrap w:val="0"/>
            <w:vAlign w:val="center"/>
          </w:tcPr>
          <w:p w14:paraId="42F00B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iCs/>
                <w:color w:val="auto"/>
                <w:sz w:val="21"/>
                <w:szCs w:val="21"/>
                <w:highlight w:val="none"/>
                <w:lang w:val="en-US" w:eastAsia="zh-CN"/>
              </w:rPr>
            </w:pPr>
          </w:p>
        </w:tc>
        <w:tc>
          <w:tcPr>
            <w:tcW w:w="822" w:type="pct"/>
            <w:vMerge w:val="continue"/>
            <w:tcBorders>
              <w:tl2br w:val="nil"/>
              <w:tr2bl w:val="nil"/>
            </w:tcBorders>
            <w:noWrap w:val="0"/>
            <w:vAlign w:val="center"/>
          </w:tcPr>
          <w:p w14:paraId="1C4A2E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jc w:val="center"/>
              <w:textAlignment w:val="auto"/>
              <w:rPr>
                <w:rFonts w:hint="eastAsia" w:ascii="宋体" w:hAnsi="宋体" w:cs="宋体"/>
                <w:color w:val="auto"/>
                <w:kern w:val="0"/>
                <w:sz w:val="21"/>
                <w:szCs w:val="21"/>
                <w:highlight w:val="none"/>
                <w:lang w:bidi="ar"/>
              </w:rPr>
            </w:pPr>
          </w:p>
        </w:tc>
        <w:tc>
          <w:tcPr>
            <w:tcW w:w="918" w:type="pct"/>
            <w:tcBorders>
              <w:tl2br w:val="nil"/>
              <w:tr2bl w:val="nil"/>
            </w:tcBorders>
            <w:noWrap w:val="0"/>
            <w:vAlign w:val="center"/>
          </w:tcPr>
          <w:p w14:paraId="2A5BBA1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lang w:val="en-US" w:eastAsia="zh-CN"/>
              </w:rPr>
            </w:pPr>
            <w:r>
              <w:rPr>
                <w:rFonts w:hint="eastAsia"/>
                <w:color w:val="auto"/>
                <w:sz w:val="21"/>
                <w:szCs w:val="21"/>
                <w:highlight w:val="none"/>
                <w:lang w:val="en-US" w:eastAsia="zh-CN"/>
              </w:rPr>
              <w:t>厂区南侧2#</w:t>
            </w:r>
          </w:p>
        </w:tc>
        <w:tc>
          <w:tcPr>
            <w:tcW w:w="816" w:type="pct"/>
            <w:tcBorders>
              <w:tl2br w:val="nil"/>
              <w:tr2bl w:val="nil"/>
            </w:tcBorders>
            <w:noWrap w:val="0"/>
            <w:vAlign w:val="center"/>
          </w:tcPr>
          <w:p w14:paraId="43A5B7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48</w:t>
            </w:r>
          </w:p>
        </w:tc>
        <w:tc>
          <w:tcPr>
            <w:tcW w:w="889" w:type="pct"/>
            <w:tcBorders>
              <w:tl2br w:val="nil"/>
              <w:tr2bl w:val="nil"/>
            </w:tcBorders>
            <w:noWrap w:val="0"/>
            <w:vAlign w:val="center"/>
          </w:tcPr>
          <w:p w14:paraId="45E9E8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42</w:t>
            </w:r>
          </w:p>
        </w:tc>
        <w:tc>
          <w:tcPr>
            <w:tcW w:w="871" w:type="dxa"/>
            <w:tcBorders>
              <w:tl2br w:val="nil"/>
              <w:tr2bl w:val="nil"/>
            </w:tcBorders>
            <w:noWrap w:val="0"/>
            <w:vAlign w:val="center"/>
          </w:tcPr>
          <w:p w14:paraId="523E94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ascii="Times New Roman" w:hAnsi="Times New Roman" w:cs="Times New Roman"/>
                <w:b w:val="0"/>
                <w:bCs w:val="0"/>
                <w:color w:val="auto"/>
                <w:sz w:val="21"/>
                <w:szCs w:val="21"/>
                <w:highlight w:val="none"/>
                <w:vertAlign w:val="baseline"/>
                <w:lang w:val="en-US" w:eastAsia="zh-CN"/>
              </w:rPr>
              <w:t>55</w:t>
            </w:r>
          </w:p>
        </w:tc>
        <w:tc>
          <w:tcPr>
            <w:tcW w:w="871" w:type="dxa"/>
            <w:tcBorders>
              <w:tl2br w:val="nil"/>
              <w:tr2bl w:val="nil"/>
            </w:tcBorders>
            <w:noWrap w:val="0"/>
            <w:vAlign w:val="center"/>
          </w:tcPr>
          <w:p w14:paraId="4D4E14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45</w:t>
            </w:r>
          </w:p>
        </w:tc>
      </w:tr>
      <w:tr w14:paraId="758CD4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8" w:type="pct"/>
            <w:vMerge w:val="continue"/>
            <w:tcBorders>
              <w:tl2br w:val="nil"/>
              <w:tr2bl w:val="nil"/>
            </w:tcBorders>
            <w:noWrap w:val="0"/>
            <w:vAlign w:val="center"/>
          </w:tcPr>
          <w:p w14:paraId="691CCA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iCs/>
                <w:color w:val="auto"/>
                <w:sz w:val="21"/>
                <w:szCs w:val="21"/>
                <w:highlight w:val="none"/>
                <w:lang w:val="en-US" w:eastAsia="zh-CN"/>
              </w:rPr>
            </w:pPr>
          </w:p>
        </w:tc>
        <w:tc>
          <w:tcPr>
            <w:tcW w:w="822" w:type="pct"/>
            <w:vMerge w:val="continue"/>
            <w:tcBorders>
              <w:tl2br w:val="nil"/>
              <w:tr2bl w:val="nil"/>
            </w:tcBorders>
            <w:noWrap w:val="0"/>
            <w:vAlign w:val="center"/>
          </w:tcPr>
          <w:p w14:paraId="35BB03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jc w:val="center"/>
              <w:textAlignment w:val="auto"/>
              <w:rPr>
                <w:rFonts w:hint="eastAsia" w:ascii="宋体" w:hAnsi="宋体" w:cs="宋体"/>
                <w:color w:val="auto"/>
                <w:kern w:val="0"/>
                <w:sz w:val="21"/>
                <w:szCs w:val="21"/>
                <w:highlight w:val="none"/>
                <w:lang w:bidi="ar"/>
              </w:rPr>
            </w:pPr>
          </w:p>
        </w:tc>
        <w:tc>
          <w:tcPr>
            <w:tcW w:w="918" w:type="pct"/>
            <w:tcBorders>
              <w:tl2br w:val="nil"/>
              <w:tr2bl w:val="nil"/>
            </w:tcBorders>
            <w:noWrap w:val="0"/>
            <w:vAlign w:val="center"/>
          </w:tcPr>
          <w:p w14:paraId="5AAB1A5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lang w:val="en-US" w:eastAsia="zh-CN"/>
              </w:rPr>
            </w:pPr>
            <w:r>
              <w:rPr>
                <w:rFonts w:hint="eastAsia"/>
                <w:color w:val="auto"/>
                <w:sz w:val="21"/>
                <w:szCs w:val="21"/>
                <w:highlight w:val="none"/>
                <w:lang w:val="en-US" w:eastAsia="zh-CN"/>
              </w:rPr>
              <w:t>厂区西侧3#</w:t>
            </w:r>
          </w:p>
        </w:tc>
        <w:tc>
          <w:tcPr>
            <w:tcW w:w="816" w:type="pct"/>
            <w:tcBorders>
              <w:tl2br w:val="nil"/>
              <w:tr2bl w:val="nil"/>
            </w:tcBorders>
            <w:noWrap w:val="0"/>
            <w:vAlign w:val="center"/>
          </w:tcPr>
          <w:p w14:paraId="58C548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46</w:t>
            </w:r>
          </w:p>
        </w:tc>
        <w:tc>
          <w:tcPr>
            <w:tcW w:w="889" w:type="pct"/>
            <w:tcBorders>
              <w:tl2br w:val="nil"/>
              <w:tr2bl w:val="nil"/>
            </w:tcBorders>
            <w:noWrap w:val="0"/>
            <w:vAlign w:val="center"/>
          </w:tcPr>
          <w:p w14:paraId="1CC699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41</w:t>
            </w:r>
          </w:p>
        </w:tc>
        <w:tc>
          <w:tcPr>
            <w:tcW w:w="871" w:type="dxa"/>
            <w:tcBorders>
              <w:tl2br w:val="nil"/>
              <w:tr2bl w:val="nil"/>
            </w:tcBorders>
            <w:noWrap w:val="0"/>
            <w:vAlign w:val="center"/>
          </w:tcPr>
          <w:p w14:paraId="6236A1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ascii="Times New Roman" w:hAnsi="Times New Roman" w:cs="Times New Roman"/>
                <w:b w:val="0"/>
                <w:bCs w:val="0"/>
                <w:color w:val="auto"/>
                <w:sz w:val="21"/>
                <w:szCs w:val="21"/>
                <w:highlight w:val="none"/>
                <w:vertAlign w:val="baseline"/>
                <w:lang w:val="en-US" w:eastAsia="zh-CN"/>
              </w:rPr>
              <w:t>55</w:t>
            </w:r>
          </w:p>
        </w:tc>
        <w:tc>
          <w:tcPr>
            <w:tcW w:w="871" w:type="dxa"/>
            <w:tcBorders>
              <w:tl2br w:val="nil"/>
              <w:tr2bl w:val="nil"/>
            </w:tcBorders>
            <w:noWrap w:val="0"/>
            <w:vAlign w:val="center"/>
          </w:tcPr>
          <w:p w14:paraId="547F8B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45</w:t>
            </w:r>
          </w:p>
        </w:tc>
      </w:tr>
      <w:tr w14:paraId="5E6E66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8" w:type="pct"/>
            <w:vMerge w:val="continue"/>
            <w:tcBorders>
              <w:tl2br w:val="nil"/>
              <w:tr2bl w:val="nil"/>
            </w:tcBorders>
            <w:noWrap w:val="0"/>
            <w:vAlign w:val="center"/>
          </w:tcPr>
          <w:p w14:paraId="6AD2CA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iCs/>
                <w:color w:val="auto"/>
                <w:sz w:val="21"/>
                <w:szCs w:val="21"/>
                <w:highlight w:val="none"/>
                <w:lang w:val="en-US" w:eastAsia="zh-CN"/>
              </w:rPr>
            </w:pPr>
          </w:p>
        </w:tc>
        <w:tc>
          <w:tcPr>
            <w:tcW w:w="822" w:type="pct"/>
            <w:vMerge w:val="continue"/>
            <w:tcBorders>
              <w:tl2br w:val="nil"/>
              <w:tr2bl w:val="nil"/>
            </w:tcBorders>
            <w:noWrap w:val="0"/>
            <w:vAlign w:val="center"/>
          </w:tcPr>
          <w:p w14:paraId="141F0F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jc w:val="center"/>
              <w:textAlignment w:val="auto"/>
              <w:rPr>
                <w:rFonts w:hint="eastAsia" w:ascii="宋体" w:hAnsi="宋体" w:cs="宋体"/>
                <w:color w:val="auto"/>
                <w:kern w:val="0"/>
                <w:sz w:val="21"/>
                <w:szCs w:val="21"/>
                <w:highlight w:val="none"/>
                <w:lang w:bidi="ar"/>
              </w:rPr>
            </w:pPr>
          </w:p>
        </w:tc>
        <w:tc>
          <w:tcPr>
            <w:tcW w:w="918" w:type="pct"/>
            <w:tcBorders>
              <w:tl2br w:val="nil"/>
              <w:tr2bl w:val="nil"/>
            </w:tcBorders>
            <w:noWrap w:val="0"/>
            <w:vAlign w:val="center"/>
          </w:tcPr>
          <w:p w14:paraId="53D65E6D">
            <w:pPr>
              <w:pStyle w:val="49"/>
              <w:keepNext w:val="0"/>
              <w:keepLines w:val="0"/>
              <w:pageBreakBefore w:val="0"/>
              <w:suppressLineNumbers w:val="0"/>
              <w:kinsoku/>
              <w:wordWrap/>
              <w:overflowPunct/>
              <w:topLinePunct w:val="0"/>
              <w:autoSpaceDE/>
              <w:autoSpaceDN/>
              <w:bidi w:val="0"/>
              <w:adjustRightInd/>
              <w:snapToGrid/>
              <w:spacing w:before="0" w:beforeAutospacing="0" w:after="0" w:afterLines="0" w:afterAutospacing="0" w:line="240" w:lineRule="auto"/>
              <w:ind w:left="0" w:leftChars="0" w:righ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color w:val="auto"/>
                <w:sz w:val="21"/>
                <w:szCs w:val="21"/>
                <w:highlight w:val="none"/>
                <w:lang w:val="en-US" w:eastAsia="zh-CN"/>
              </w:rPr>
              <w:t>厂区北侧4#</w:t>
            </w:r>
          </w:p>
        </w:tc>
        <w:tc>
          <w:tcPr>
            <w:tcW w:w="816" w:type="pct"/>
            <w:tcBorders>
              <w:tl2br w:val="nil"/>
              <w:tr2bl w:val="nil"/>
            </w:tcBorders>
            <w:noWrap w:val="0"/>
            <w:vAlign w:val="center"/>
          </w:tcPr>
          <w:p w14:paraId="2735A5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47</w:t>
            </w:r>
          </w:p>
        </w:tc>
        <w:tc>
          <w:tcPr>
            <w:tcW w:w="889" w:type="pct"/>
            <w:tcBorders>
              <w:tl2br w:val="nil"/>
              <w:tr2bl w:val="nil"/>
            </w:tcBorders>
            <w:noWrap w:val="0"/>
            <w:vAlign w:val="center"/>
          </w:tcPr>
          <w:p w14:paraId="19556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41</w:t>
            </w:r>
          </w:p>
        </w:tc>
        <w:tc>
          <w:tcPr>
            <w:tcW w:w="871" w:type="dxa"/>
            <w:tcBorders>
              <w:tl2br w:val="nil"/>
              <w:tr2bl w:val="nil"/>
            </w:tcBorders>
            <w:noWrap w:val="0"/>
            <w:vAlign w:val="center"/>
          </w:tcPr>
          <w:p w14:paraId="1F7BD9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ascii="Times New Roman" w:hAnsi="Times New Roman" w:cs="Times New Roman"/>
                <w:b w:val="0"/>
                <w:bCs w:val="0"/>
                <w:color w:val="auto"/>
                <w:sz w:val="21"/>
                <w:szCs w:val="21"/>
                <w:highlight w:val="none"/>
                <w:vertAlign w:val="baseline"/>
                <w:lang w:val="en-US" w:eastAsia="zh-CN"/>
              </w:rPr>
              <w:t>55</w:t>
            </w:r>
          </w:p>
        </w:tc>
        <w:tc>
          <w:tcPr>
            <w:tcW w:w="871" w:type="dxa"/>
            <w:tcBorders>
              <w:tl2br w:val="nil"/>
              <w:tr2bl w:val="nil"/>
            </w:tcBorders>
            <w:noWrap w:val="0"/>
            <w:vAlign w:val="center"/>
          </w:tcPr>
          <w:p w14:paraId="19FB36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45</w:t>
            </w:r>
          </w:p>
        </w:tc>
      </w:tr>
      <w:tr w14:paraId="55F4F4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8" w:type="pct"/>
            <w:vMerge w:val="restart"/>
            <w:tcBorders>
              <w:tl2br w:val="nil"/>
              <w:tr2bl w:val="nil"/>
            </w:tcBorders>
            <w:noWrap w:val="0"/>
            <w:vAlign w:val="center"/>
          </w:tcPr>
          <w:p w14:paraId="5FAF2A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iCs/>
                <w:color w:val="auto"/>
                <w:sz w:val="21"/>
                <w:szCs w:val="21"/>
                <w:highlight w:val="none"/>
                <w:lang w:val="en-US" w:eastAsia="zh-CN"/>
              </w:rPr>
            </w:pPr>
            <w:r>
              <w:rPr>
                <w:rFonts w:hint="default" w:ascii="Times New Roman" w:hAnsi="Times New Roman" w:cs="Times New Roman"/>
                <w:iCs/>
                <w:color w:val="auto"/>
                <w:sz w:val="21"/>
                <w:szCs w:val="21"/>
                <w:highlight w:val="none"/>
                <w:lang w:val="en-US" w:eastAsia="zh-CN"/>
              </w:rPr>
              <w:t>2026.</w:t>
            </w:r>
            <w:r>
              <w:rPr>
                <w:rFonts w:hint="eastAsia" w:cs="Times New Roman"/>
                <w:iCs/>
                <w:color w:val="auto"/>
                <w:sz w:val="21"/>
                <w:szCs w:val="21"/>
                <w:highlight w:val="none"/>
                <w:lang w:val="en-US" w:eastAsia="zh-CN"/>
              </w:rPr>
              <w:t>5</w:t>
            </w:r>
            <w:r>
              <w:rPr>
                <w:rFonts w:hint="default" w:ascii="Times New Roman" w:hAnsi="Times New Roman" w:cs="Times New Roman"/>
                <w:iCs/>
                <w:color w:val="auto"/>
                <w:sz w:val="21"/>
                <w:szCs w:val="21"/>
                <w:highlight w:val="none"/>
                <w:lang w:val="en-US" w:eastAsia="zh-CN"/>
              </w:rPr>
              <w:t>.2</w:t>
            </w:r>
            <w:r>
              <w:rPr>
                <w:rFonts w:hint="eastAsia" w:cs="Times New Roman"/>
                <w:iCs/>
                <w:color w:val="auto"/>
                <w:sz w:val="21"/>
                <w:szCs w:val="21"/>
                <w:highlight w:val="none"/>
                <w:lang w:val="en-US" w:eastAsia="zh-CN"/>
              </w:rPr>
              <w:t>6</w:t>
            </w:r>
          </w:p>
        </w:tc>
        <w:tc>
          <w:tcPr>
            <w:tcW w:w="822" w:type="pct"/>
            <w:vMerge w:val="restart"/>
            <w:tcBorders>
              <w:tl2br w:val="nil"/>
              <w:tr2bl w:val="nil"/>
            </w:tcBorders>
            <w:noWrap w:val="0"/>
            <w:vAlign w:val="center"/>
          </w:tcPr>
          <w:p w14:paraId="2DE0F1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jc w:val="center"/>
              <w:textAlignment w:val="auto"/>
              <w:rPr>
                <w:rFonts w:hint="eastAsia" w:ascii="宋体" w:hAnsi="宋体" w:cs="宋体"/>
                <w:color w:val="auto"/>
                <w:kern w:val="0"/>
                <w:sz w:val="21"/>
                <w:szCs w:val="21"/>
                <w:highlight w:val="none"/>
                <w:lang w:bidi="ar"/>
              </w:rPr>
            </w:pPr>
            <w:r>
              <w:rPr>
                <w:rFonts w:hint="eastAsia" w:ascii="宋体" w:hAnsi="宋体" w:cs="宋体"/>
                <w:color w:val="auto"/>
                <w:kern w:val="0"/>
                <w:sz w:val="21"/>
                <w:szCs w:val="21"/>
                <w:highlight w:val="none"/>
                <w:lang w:bidi="ar"/>
              </w:rPr>
              <w:t>厂界环境噪声</w:t>
            </w:r>
          </w:p>
        </w:tc>
        <w:tc>
          <w:tcPr>
            <w:tcW w:w="918" w:type="pct"/>
            <w:tcBorders>
              <w:tl2br w:val="nil"/>
              <w:tr2bl w:val="nil"/>
            </w:tcBorders>
            <w:noWrap w:val="0"/>
            <w:vAlign w:val="center"/>
          </w:tcPr>
          <w:p w14:paraId="1CDFC91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厂区东侧1#</w:t>
            </w:r>
          </w:p>
        </w:tc>
        <w:tc>
          <w:tcPr>
            <w:tcW w:w="816" w:type="pct"/>
            <w:tcBorders>
              <w:tl2br w:val="nil"/>
              <w:tr2bl w:val="nil"/>
            </w:tcBorders>
            <w:noWrap w:val="0"/>
            <w:vAlign w:val="center"/>
          </w:tcPr>
          <w:p w14:paraId="4F45F9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48</w:t>
            </w:r>
          </w:p>
        </w:tc>
        <w:tc>
          <w:tcPr>
            <w:tcW w:w="889" w:type="pct"/>
            <w:tcBorders>
              <w:tl2br w:val="nil"/>
              <w:tr2bl w:val="nil"/>
            </w:tcBorders>
            <w:noWrap w:val="0"/>
            <w:vAlign w:val="center"/>
          </w:tcPr>
          <w:p w14:paraId="1CA1A9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42</w:t>
            </w:r>
          </w:p>
        </w:tc>
        <w:tc>
          <w:tcPr>
            <w:tcW w:w="871" w:type="dxa"/>
            <w:tcBorders>
              <w:tl2br w:val="nil"/>
              <w:tr2bl w:val="nil"/>
            </w:tcBorders>
            <w:noWrap w:val="0"/>
            <w:vAlign w:val="center"/>
          </w:tcPr>
          <w:p w14:paraId="30544A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cs="Times New Roman"/>
                <w:b w:val="0"/>
                <w:bCs w:val="0"/>
                <w:color w:val="auto"/>
                <w:sz w:val="21"/>
                <w:szCs w:val="21"/>
                <w:highlight w:val="none"/>
                <w:vertAlign w:val="baseline"/>
                <w:lang w:val="en-US" w:eastAsia="zh-CN"/>
              </w:rPr>
            </w:pPr>
            <w:r>
              <w:rPr>
                <w:rFonts w:hint="eastAsia" w:ascii="Times New Roman" w:hAnsi="Times New Roman" w:cs="Times New Roman"/>
                <w:b w:val="0"/>
                <w:bCs w:val="0"/>
                <w:color w:val="auto"/>
                <w:sz w:val="21"/>
                <w:szCs w:val="21"/>
                <w:highlight w:val="none"/>
                <w:vertAlign w:val="baseline"/>
                <w:lang w:val="en-US" w:eastAsia="zh-CN"/>
              </w:rPr>
              <w:t>55</w:t>
            </w:r>
          </w:p>
        </w:tc>
        <w:tc>
          <w:tcPr>
            <w:tcW w:w="871" w:type="dxa"/>
            <w:tcBorders>
              <w:tl2br w:val="nil"/>
              <w:tr2bl w:val="nil"/>
            </w:tcBorders>
            <w:noWrap w:val="0"/>
            <w:vAlign w:val="center"/>
          </w:tcPr>
          <w:p w14:paraId="2E91BB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45</w:t>
            </w:r>
          </w:p>
        </w:tc>
      </w:tr>
      <w:tr w14:paraId="2F8FB8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8" w:type="pct"/>
            <w:vMerge w:val="continue"/>
            <w:tcBorders>
              <w:tl2br w:val="nil"/>
              <w:tr2bl w:val="nil"/>
            </w:tcBorders>
            <w:noWrap w:val="0"/>
            <w:vAlign w:val="center"/>
          </w:tcPr>
          <w:p w14:paraId="353D25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iCs/>
                <w:color w:val="auto"/>
                <w:sz w:val="21"/>
                <w:szCs w:val="21"/>
                <w:highlight w:val="none"/>
                <w:lang w:val="en-US" w:eastAsia="zh-CN"/>
              </w:rPr>
            </w:pPr>
          </w:p>
        </w:tc>
        <w:tc>
          <w:tcPr>
            <w:tcW w:w="822" w:type="pct"/>
            <w:vMerge w:val="continue"/>
            <w:tcBorders>
              <w:tl2br w:val="nil"/>
              <w:tr2bl w:val="nil"/>
            </w:tcBorders>
            <w:noWrap w:val="0"/>
            <w:vAlign w:val="center"/>
          </w:tcPr>
          <w:p w14:paraId="1D3FFD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jc w:val="center"/>
              <w:textAlignment w:val="auto"/>
              <w:rPr>
                <w:rFonts w:hint="eastAsia" w:ascii="宋体" w:hAnsi="宋体" w:cs="宋体"/>
                <w:color w:val="auto"/>
                <w:kern w:val="0"/>
                <w:sz w:val="21"/>
                <w:szCs w:val="21"/>
                <w:highlight w:val="none"/>
                <w:lang w:bidi="ar"/>
              </w:rPr>
            </w:pPr>
          </w:p>
        </w:tc>
        <w:tc>
          <w:tcPr>
            <w:tcW w:w="918" w:type="pct"/>
            <w:tcBorders>
              <w:tl2br w:val="nil"/>
              <w:tr2bl w:val="nil"/>
            </w:tcBorders>
            <w:noWrap w:val="0"/>
            <w:vAlign w:val="center"/>
          </w:tcPr>
          <w:p w14:paraId="25DA64E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厂区南侧2#</w:t>
            </w:r>
          </w:p>
        </w:tc>
        <w:tc>
          <w:tcPr>
            <w:tcW w:w="816" w:type="pct"/>
            <w:tcBorders>
              <w:tl2br w:val="nil"/>
              <w:tr2bl w:val="nil"/>
            </w:tcBorders>
            <w:noWrap w:val="0"/>
            <w:vAlign w:val="center"/>
          </w:tcPr>
          <w:p w14:paraId="1F968C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47</w:t>
            </w:r>
          </w:p>
        </w:tc>
        <w:tc>
          <w:tcPr>
            <w:tcW w:w="889" w:type="pct"/>
            <w:tcBorders>
              <w:tl2br w:val="nil"/>
              <w:tr2bl w:val="nil"/>
            </w:tcBorders>
            <w:noWrap w:val="0"/>
            <w:vAlign w:val="center"/>
          </w:tcPr>
          <w:p w14:paraId="24EDB9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41</w:t>
            </w:r>
          </w:p>
        </w:tc>
        <w:tc>
          <w:tcPr>
            <w:tcW w:w="871" w:type="dxa"/>
            <w:tcBorders>
              <w:tl2br w:val="nil"/>
              <w:tr2bl w:val="nil"/>
            </w:tcBorders>
            <w:noWrap w:val="0"/>
            <w:vAlign w:val="center"/>
          </w:tcPr>
          <w:p w14:paraId="5A9523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cs="Times New Roman"/>
                <w:b w:val="0"/>
                <w:bCs w:val="0"/>
                <w:color w:val="auto"/>
                <w:sz w:val="21"/>
                <w:szCs w:val="21"/>
                <w:highlight w:val="none"/>
                <w:vertAlign w:val="baseline"/>
                <w:lang w:val="en-US" w:eastAsia="zh-CN"/>
              </w:rPr>
            </w:pPr>
            <w:r>
              <w:rPr>
                <w:rFonts w:hint="eastAsia" w:ascii="Times New Roman" w:hAnsi="Times New Roman" w:cs="Times New Roman"/>
                <w:b w:val="0"/>
                <w:bCs w:val="0"/>
                <w:color w:val="auto"/>
                <w:sz w:val="21"/>
                <w:szCs w:val="21"/>
                <w:highlight w:val="none"/>
                <w:vertAlign w:val="baseline"/>
                <w:lang w:val="en-US" w:eastAsia="zh-CN"/>
              </w:rPr>
              <w:t>55</w:t>
            </w:r>
          </w:p>
        </w:tc>
        <w:tc>
          <w:tcPr>
            <w:tcW w:w="871" w:type="dxa"/>
            <w:tcBorders>
              <w:tl2br w:val="nil"/>
              <w:tr2bl w:val="nil"/>
            </w:tcBorders>
            <w:noWrap w:val="0"/>
            <w:vAlign w:val="center"/>
          </w:tcPr>
          <w:p w14:paraId="4EBFFE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45</w:t>
            </w:r>
          </w:p>
        </w:tc>
      </w:tr>
      <w:tr w14:paraId="4A8564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8" w:type="pct"/>
            <w:vMerge w:val="continue"/>
            <w:tcBorders>
              <w:tl2br w:val="nil"/>
              <w:tr2bl w:val="nil"/>
            </w:tcBorders>
            <w:noWrap w:val="0"/>
            <w:vAlign w:val="center"/>
          </w:tcPr>
          <w:p w14:paraId="356CD6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iCs/>
                <w:color w:val="auto"/>
                <w:sz w:val="21"/>
                <w:szCs w:val="21"/>
                <w:highlight w:val="none"/>
                <w:lang w:val="en-US" w:eastAsia="zh-CN"/>
              </w:rPr>
            </w:pPr>
          </w:p>
        </w:tc>
        <w:tc>
          <w:tcPr>
            <w:tcW w:w="822" w:type="pct"/>
            <w:vMerge w:val="continue"/>
            <w:tcBorders>
              <w:tl2br w:val="nil"/>
              <w:tr2bl w:val="nil"/>
            </w:tcBorders>
            <w:noWrap w:val="0"/>
            <w:vAlign w:val="center"/>
          </w:tcPr>
          <w:p w14:paraId="5A2129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jc w:val="center"/>
              <w:textAlignment w:val="auto"/>
              <w:rPr>
                <w:rFonts w:hint="eastAsia" w:ascii="宋体" w:hAnsi="宋体" w:cs="宋体"/>
                <w:color w:val="auto"/>
                <w:kern w:val="0"/>
                <w:sz w:val="21"/>
                <w:szCs w:val="21"/>
                <w:highlight w:val="none"/>
                <w:lang w:bidi="ar"/>
              </w:rPr>
            </w:pPr>
          </w:p>
        </w:tc>
        <w:tc>
          <w:tcPr>
            <w:tcW w:w="918" w:type="pct"/>
            <w:tcBorders>
              <w:tl2br w:val="nil"/>
              <w:tr2bl w:val="nil"/>
            </w:tcBorders>
            <w:noWrap w:val="0"/>
            <w:vAlign w:val="center"/>
          </w:tcPr>
          <w:p w14:paraId="72FE2D1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厂区西侧3#</w:t>
            </w:r>
          </w:p>
        </w:tc>
        <w:tc>
          <w:tcPr>
            <w:tcW w:w="816" w:type="pct"/>
            <w:tcBorders>
              <w:tl2br w:val="nil"/>
              <w:tr2bl w:val="nil"/>
            </w:tcBorders>
            <w:noWrap w:val="0"/>
            <w:vAlign w:val="center"/>
          </w:tcPr>
          <w:p w14:paraId="7F01AE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48</w:t>
            </w:r>
          </w:p>
        </w:tc>
        <w:tc>
          <w:tcPr>
            <w:tcW w:w="889" w:type="pct"/>
            <w:tcBorders>
              <w:tl2br w:val="nil"/>
              <w:tr2bl w:val="nil"/>
            </w:tcBorders>
            <w:noWrap w:val="0"/>
            <w:vAlign w:val="center"/>
          </w:tcPr>
          <w:p w14:paraId="14A302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41</w:t>
            </w:r>
          </w:p>
        </w:tc>
        <w:tc>
          <w:tcPr>
            <w:tcW w:w="871" w:type="dxa"/>
            <w:tcBorders>
              <w:tl2br w:val="nil"/>
              <w:tr2bl w:val="nil"/>
            </w:tcBorders>
            <w:noWrap w:val="0"/>
            <w:vAlign w:val="center"/>
          </w:tcPr>
          <w:p w14:paraId="226BB9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cs="Times New Roman"/>
                <w:b w:val="0"/>
                <w:bCs w:val="0"/>
                <w:color w:val="auto"/>
                <w:sz w:val="21"/>
                <w:szCs w:val="21"/>
                <w:highlight w:val="none"/>
                <w:vertAlign w:val="baseline"/>
                <w:lang w:val="en-US" w:eastAsia="zh-CN"/>
              </w:rPr>
            </w:pPr>
            <w:r>
              <w:rPr>
                <w:rFonts w:hint="eastAsia" w:ascii="Times New Roman" w:hAnsi="Times New Roman" w:cs="Times New Roman"/>
                <w:b w:val="0"/>
                <w:bCs w:val="0"/>
                <w:color w:val="auto"/>
                <w:sz w:val="21"/>
                <w:szCs w:val="21"/>
                <w:highlight w:val="none"/>
                <w:vertAlign w:val="baseline"/>
                <w:lang w:val="en-US" w:eastAsia="zh-CN"/>
              </w:rPr>
              <w:t>55</w:t>
            </w:r>
          </w:p>
        </w:tc>
        <w:tc>
          <w:tcPr>
            <w:tcW w:w="871" w:type="dxa"/>
            <w:tcBorders>
              <w:tl2br w:val="nil"/>
              <w:tr2bl w:val="nil"/>
            </w:tcBorders>
            <w:noWrap w:val="0"/>
            <w:vAlign w:val="center"/>
          </w:tcPr>
          <w:p w14:paraId="38E93B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45</w:t>
            </w:r>
          </w:p>
        </w:tc>
      </w:tr>
      <w:tr w14:paraId="60B2F0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98" w:type="pct"/>
            <w:vMerge w:val="continue"/>
            <w:tcBorders>
              <w:tl2br w:val="nil"/>
              <w:tr2bl w:val="nil"/>
            </w:tcBorders>
            <w:noWrap w:val="0"/>
            <w:vAlign w:val="center"/>
          </w:tcPr>
          <w:p w14:paraId="36CB7F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iCs/>
                <w:color w:val="auto"/>
                <w:sz w:val="21"/>
                <w:szCs w:val="21"/>
                <w:highlight w:val="none"/>
                <w:lang w:val="en-US" w:eastAsia="zh-CN"/>
              </w:rPr>
            </w:pPr>
          </w:p>
        </w:tc>
        <w:tc>
          <w:tcPr>
            <w:tcW w:w="822" w:type="pct"/>
            <w:vMerge w:val="continue"/>
            <w:tcBorders>
              <w:tl2br w:val="nil"/>
              <w:tr2bl w:val="nil"/>
            </w:tcBorders>
            <w:noWrap w:val="0"/>
            <w:vAlign w:val="center"/>
          </w:tcPr>
          <w:p w14:paraId="240528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120" w:leftChars="-50" w:right="-120" w:rightChars="-50"/>
              <w:jc w:val="center"/>
              <w:textAlignment w:val="auto"/>
              <w:rPr>
                <w:rFonts w:hint="eastAsia" w:ascii="宋体" w:hAnsi="宋体" w:cs="宋体"/>
                <w:color w:val="auto"/>
                <w:kern w:val="0"/>
                <w:sz w:val="21"/>
                <w:szCs w:val="21"/>
                <w:highlight w:val="none"/>
                <w:lang w:bidi="ar"/>
              </w:rPr>
            </w:pPr>
          </w:p>
        </w:tc>
        <w:tc>
          <w:tcPr>
            <w:tcW w:w="918" w:type="pct"/>
            <w:tcBorders>
              <w:tl2br w:val="nil"/>
              <w:tr2bl w:val="nil"/>
            </w:tcBorders>
            <w:noWrap w:val="0"/>
            <w:vAlign w:val="center"/>
          </w:tcPr>
          <w:p w14:paraId="58ACED5D">
            <w:pPr>
              <w:pStyle w:val="49"/>
              <w:keepNext w:val="0"/>
              <w:keepLines w:val="0"/>
              <w:pageBreakBefore w:val="0"/>
              <w:suppressLineNumbers w:val="0"/>
              <w:kinsoku/>
              <w:wordWrap/>
              <w:overflowPunct/>
              <w:topLinePunct w:val="0"/>
              <w:autoSpaceDE/>
              <w:autoSpaceDN/>
              <w:bidi w:val="0"/>
              <w:adjustRightInd/>
              <w:snapToGrid/>
              <w:spacing w:before="0" w:beforeAutospacing="0" w:after="0" w:afterLines="0" w:afterAutospacing="0" w:line="240" w:lineRule="auto"/>
              <w:ind w:left="0" w:leftChars="0" w:right="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厂区北侧4#</w:t>
            </w:r>
          </w:p>
        </w:tc>
        <w:tc>
          <w:tcPr>
            <w:tcW w:w="816" w:type="pct"/>
            <w:tcBorders>
              <w:tl2br w:val="nil"/>
              <w:tr2bl w:val="nil"/>
            </w:tcBorders>
            <w:noWrap w:val="0"/>
            <w:vAlign w:val="center"/>
          </w:tcPr>
          <w:p w14:paraId="37C911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49</w:t>
            </w:r>
          </w:p>
        </w:tc>
        <w:tc>
          <w:tcPr>
            <w:tcW w:w="889" w:type="pct"/>
            <w:tcBorders>
              <w:tl2br w:val="nil"/>
              <w:tr2bl w:val="nil"/>
            </w:tcBorders>
            <w:noWrap w:val="0"/>
            <w:vAlign w:val="center"/>
          </w:tcPr>
          <w:p w14:paraId="68B490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42</w:t>
            </w:r>
          </w:p>
        </w:tc>
        <w:tc>
          <w:tcPr>
            <w:tcW w:w="871" w:type="dxa"/>
            <w:tcBorders>
              <w:tl2br w:val="nil"/>
              <w:tr2bl w:val="nil"/>
            </w:tcBorders>
            <w:noWrap w:val="0"/>
            <w:vAlign w:val="center"/>
          </w:tcPr>
          <w:p w14:paraId="25533D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cs="Times New Roman"/>
                <w:b w:val="0"/>
                <w:bCs w:val="0"/>
                <w:color w:val="auto"/>
                <w:sz w:val="21"/>
                <w:szCs w:val="21"/>
                <w:highlight w:val="none"/>
                <w:vertAlign w:val="baseline"/>
                <w:lang w:val="en-US" w:eastAsia="zh-CN"/>
              </w:rPr>
            </w:pPr>
            <w:r>
              <w:rPr>
                <w:rFonts w:hint="eastAsia" w:ascii="Times New Roman" w:hAnsi="Times New Roman" w:cs="Times New Roman"/>
                <w:b w:val="0"/>
                <w:bCs w:val="0"/>
                <w:color w:val="auto"/>
                <w:sz w:val="21"/>
                <w:szCs w:val="21"/>
                <w:highlight w:val="none"/>
                <w:vertAlign w:val="baseline"/>
                <w:lang w:val="en-US" w:eastAsia="zh-CN"/>
              </w:rPr>
              <w:t>55</w:t>
            </w:r>
          </w:p>
        </w:tc>
        <w:tc>
          <w:tcPr>
            <w:tcW w:w="871" w:type="dxa"/>
            <w:tcBorders>
              <w:tl2br w:val="nil"/>
              <w:tr2bl w:val="nil"/>
            </w:tcBorders>
            <w:noWrap w:val="0"/>
            <w:vAlign w:val="center"/>
          </w:tcPr>
          <w:p w14:paraId="288F24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cs="Times New Roman"/>
                <w:b w:val="0"/>
                <w:bCs w:val="0"/>
                <w:color w:val="auto"/>
                <w:sz w:val="21"/>
                <w:szCs w:val="21"/>
                <w:highlight w:val="none"/>
                <w:vertAlign w:val="baseline"/>
                <w:lang w:val="en-US" w:eastAsia="zh-CN"/>
              </w:rPr>
            </w:pPr>
            <w:r>
              <w:rPr>
                <w:rFonts w:hint="eastAsia" w:cs="Times New Roman"/>
                <w:b w:val="0"/>
                <w:bCs w:val="0"/>
                <w:color w:val="auto"/>
                <w:sz w:val="21"/>
                <w:szCs w:val="21"/>
                <w:highlight w:val="none"/>
                <w:vertAlign w:val="baseline"/>
                <w:lang w:val="en-US" w:eastAsia="zh-CN"/>
              </w:rPr>
              <w:t>45</w:t>
            </w:r>
          </w:p>
        </w:tc>
      </w:tr>
      <w:tr w14:paraId="0D1973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7" w:hRule="atLeast"/>
        </w:trPr>
        <w:tc>
          <w:tcPr>
            <w:tcW w:w="5000" w:type="pct"/>
            <w:gridSpan w:val="7"/>
            <w:tcBorders>
              <w:tl2br w:val="nil"/>
              <w:tr2bl w:val="nil"/>
            </w:tcBorders>
            <w:noWrap w:val="0"/>
            <w:vAlign w:val="center"/>
          </w:tcPr>
          <w:p w14:paraId="5074C0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eastAsia"/>
                <w:color w:val="auto"/>
                <w:sz w:val="21"/>
                <w:szCs w:val="21"/>
                <w:highlight w:val="none"/>
                <w:lang w:val="en-US" w:eastAsia="zh-CN"/>
              </w:rPr>
            </w:pPr>
            <w:r>
              <w:rPr>
                <w:rFonts w:hint="eastAsia"/>
                <w:color w:val="auto"/>
                <w:sz w:val="21"/>
                <w:szCs w:val="21"/>
                <w:highlight w:val="none"/>
                <w:lang w:val="en-US" w:eastAsia="zh-CN"/>
              </w:rPr>
              <w:t>注：1.执行</w:t>
            </w:r>
            <w:r>
              <w:rPr>
                <w:rFonts w:hint="default" w:ascii="Times New Roman" w:hAnsi="Times New Roman" w:eastAsia="宋体" w:cs="Times New Roman"/>
                <w:color w:val="auto"/>
                <w:kern w:val="0"/>
                <w:sz w:val="21"/>
                <w:szCs w:val="21"/>
                <w:highlight w:val="none"/>
              </w:rPr>
              <w:t>《声环境质量标准》</w:t>
            </w:r>
            <w:r>
              <w:rPr>
                <w:rFonts w:hint="eastAsia" w:eastAsia="宋体" w:cs="Times New Roman"/>
                <w:color w:val="auto"/>
                <w:kern w:val="0"/>
                <w:sz w:val="21"/>
                <w:szCs w:val="21"/>
                <w:highlight w:val="none"/>
                <w:lang w:val="en-US" w:eastAsia="zh-CN"/>
              </w:rPr>
              <w:t xml:space="preserve"> </w:t>
            </w:r>
            <w:r>
              <w:rPr>
                <w:rFonts w:hint="default" w:ascii="Times New Roman" w:hAnsi="Times New Roman" w:eastAsia="宋体" w:cs="Times New Roman"/>
                <w:color w:val="auto"/>
                <w:kern w:val="0"/>
                <w:sz w:val="21"/>
                <w:szCs w:val="21"/>
                <w:highlight w:val="none"/>
              </w:rPr>
              <w:t>GB3096-2008</w:t>
            </w:r>
            <w:r>
              <w:rPr>
                <w:rFonts w:hint="eastAsia" w:eastAsia="宋体" w:cs="Times New Roman"/>
                <w:color w:val="auto"/>
                <w:kern w:val="0"/>
                <w:sz w:val="21"/>
                <w:szCs w:val="21"/>
                <w:highlight w:val="none"/>
                <w:lang w:val="en-US" w:eastAsia="zh-CN"/>
              </w:rPr>
              <w:t xml:space="preserve"> 表1中</w:t>
            </w:r>
            <w:r>
              <w:rPr>
                <w:rFonts w:hint="eastAsia" w:cs="Times New Roman"/>
                <w:color w:val="auto"/>
                <w:kern w:val="0"/>
                <w:sz w:val="21"/>
                <w:szCs w:val="21"/>
                <w:highlight w:val="none"/>
                <w:lang w:val="en-US" w:eastAsia="zh-CN"/>
              </w:rPr>
              <w:t>1</w:t>
            </w:r>
            <w:r>
              <w:rPr>
                <w:rFonts w:hint="eastAsia" w:ascii="Times New Roman" w:hAnsi="Times New Roman" w:eastAsia="宋体" w:cs="Times New Roman"/>
                <w:color w:val="auto"/>
                <w:kern w:val="0"/>
                <w:sz w:val="21"/>
                <w:szCs w:val="21"/>
                <w:highlight w:val="none"/>
                <w:lang w:val="en-US" w:eastAsia="zh-CN"/>
              </w:rPr>
              <w:t>类标准</w:t>
            </w:r>
            <w:r>
              <w:rPr>
                <w:rFonts w:hint="eastAsia"/>
                <w:color w:val="auto"/>
                <w:sz w:val="21"/>
                <w:szCs w:val="21"/>
                <w:highlight w:val="none"/>
                <w:lang w:val="en-US" w:eastAsia="zh-CN"/>
              </w:rPr>
              <w:t>。</w:t>
            </w:r>
          </w:p>
          <w:p w14:paraId="53AFF006">
            <w:pPr>
              <w:pStyle w:val="49"/>
              <w:keepNext w:val="0"/>
              <w:keepLines w:val="0"/>
              <w:suppressLineNumbers w:val="0"/>
              <w:spacing w:before="0" w:beforeAutospacing="0" w:afterAutospacing="0" w:line="240" w:lineRule="auto"/>
              <w:ind w:left="0" w:leftChars="0" w:right="0" w:firstLine="0" w:firstLineChars="0"/>
              <w:rPr>
                <w:rFonts w:hint="default"/>
                <w:color w:val="auto"/>
                <w:highlight w:val="none"/>
                <w:lang w:val="en-US" w:eastAsia="zh-CN"/>
              </w:rPr>
            </w:pPr>
            <w:r>
              <w:rPr>
                <w:rFonts w:hint="eastAsia"/>
                <w:color w:val="auto"/>
                <w:sz w:val="21"/>
                <w:szCs w:val="21"/>
                <w:highlight w:val="none"/>
                <w:lang w:val="en-US" w:eastAsia="zh-CN"/>
              </w:rPr>
              <w:t xml:space="preserve">    2.</w:t>
            </w:r>
            <w:r>
              <w:rPr>
                <w:rFonts w:hint="default" w:ascii="Times New Roman" w:hAnsi="Times New Roman" w:eastAsia="宋体" w:cs="Times New Roman"/>
                <w:b w:val="0"/>
                <w:bCs w:val="0"/>
                <w:color w:val="auto"/>
                <w:sz w:val="21"/>
                <w:szCs w:val="21"/>
                <w:highlight w:val="none"/>
                <w:vertAlign w:val="baseline"/>
                <w:lang w:val="en-US" w:eastAsia="zh-CN"/>
              </w:rPr>
              <w:t>天气情况：无雨雪、无雷电，风速5m/s以下</w:t>
            </w:r>
            <w:r>
              <w:rPr>
                <w:rFonts w:hint="eastAsia" w:cs="Times New Roman"/>
                <w:b w:val="0"/>
                <w:bCs w:val="0"/>
                <w:color w:val="auto"/>
                <w:sz w:val="21"/>
                <w:szCs w:val="21"/>
                <w:highlight w:val="none"/>
                <w:vertAlign w:val="baseline"/>
                <w:lang w:val="en-US" w:eastAsia="zh-CN"/>
              </w:rPr>
              <w:t>。</w:t>
            </w:r>
          </w:p>
        </w:tc>
      </w:tr>
    </w:tbl>
    <w:p w14:paraId="3059B70B">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从声环境现状监测统计和评价情况可知，厂界昼间、夜间</w:t>
      </w:r>
      <w:r>
        <w:rPr>
          <w:rFonts w:hint="eastAsia" w:asciiTheme="minorEastAsia" w:hAnsiTheme="minorEastAsia" w:eastAsiaTheme="minorEastAsia" w:cstheme="minorEastAsia"/>
          <w:color w:val="auto"/>
          <w:highlight w:val="none"/>
          <w:lang w:val="en-US" w:eastAsia="zh-CN"/>
        </w:rPr>
        <w:t>声环境质量</w:t>
      </w:r>
      <w:r>
        <w:rPr>
          <w:rFonts w:hint="eastAsia" w:asciiTheme="minorEastAsia" w:hAnsiTheme="minorEastAsia" w:eastAsiaTheme="minorEastAsia" w:cstheme="minorEastAsia"/>
          <w:color w:val="auto"/>
          <w:highlight w:val="none"/>
        </w:rPr>
        <w:t>均满足《声环境质量标准》（GB3096-2008）</w:t>
      </w:r>
      <w:r>
        <w:rPr>
          <w:rFonts w:hint="eastAsia" w:asciiTheme="minorEastAsia" w:hAnsiTheme="minorEastAsia" w:eastAsiaTheme="minorEastAsia" w:cstheme="minorEastAsia"/>
          <w:color w:val="auto"/>
          <w:highlight w:val="none"/>
          <w:lang w:val="en-US" w:eastAsia="zh-CN"/>
        </w:rPr>
        <w:t>1</w:t>
      </w:r>
      <w:r>
        <w:rPr>
          <w:rFonts w:hint="eastAsia" w:asciiTheme="minorEastAsia" w:hAnsiTheme="minorEastAsia" w:eastAsiaTheme="minorEastAsia" w:cstheme="minorEastAsia"/>
          <w:color w:val="auto"/>
          <w:highlight w:val="none"/>
        </w:rPr>
        <w:t>类标准要求。</w:t>
      </w:r>
    </w:p>
    <w:p w14:paraId="12775A67">
      <w:pPr>
        <w:pStyle w:val="7"/>
        <w:numPr>
          <w:ilvl w:val="0"/>
          <w:numId w:val="0"/>
        </w:numPr>
        <w:bidi w:val="0"/>
        <w:ind w:leftChars="0"/>
        <w:rPr>
          <w:rFonts w:hint="eastAsia" w:asciiTheme="minorEastAsia" w:hAnsiTheme="minorEastAsia" w:eastAsiaTheme="minorEastAsia" w:cstheme="minorEastAsia"/>
          <w:color w:val="auto"/>
          <w:highlight w:val="none"/>
        </w:rPr>
      </w:pPr>
      <w:bookmarkStart w:id="542" w:name="_Toc9476"/>
      <w:bookmarkStart w:id="543" w:name="_Toc7273"/>
      <w:bookmarkStart w:id="544" w:name="_Toc24229"/>
      <w:bookmarkStart w:id="545" w:name="_Toc10722"/>
      <w:bookmarkStart w:id="546" w:name="_Toc14210"/>
      <w:bookmarkStart w:id="547" w:name="_Toc13545"/>
      <w:bookmarkStart w:id="548" w:name="_Toc18984"/>
      <w:bookmarkStart w:id="549" w:name="_Toc13816"/>
      <w:bookmarkStart w:id="550" w:name="_Toc32541"/>
      <w:bookmarkStart w:id="551" w:name="_Toc5914"/>
      <w:bookmarkStart w:id="552" w:name="_Toc27887"/>
      <w:bookmarkStart w:id="553" w:name="_Toc25279"/>
      <w:bookmarkStart w:id="554" w:name="_Toc2033"/>
      <w:bookmarkStart w:id="555" w:name="_Toc22357"/>
      <w:r>
        <w:rPr>
          <w:rFonts w:hint="eastAsia" w:asciiTheme="minorEastAsia" w:hAnsiTheme="minorEastAsia" w:eastAsiaTheme="minorEastAsia" w:cstheme="minorEastAsia"/>
          <w:color w:val="auto"/>
          <w:highlight w:val="none"/>
        </w:rPr>
        <w:t>4.3.</w:t>
      </w:r>
      <w:r>
        <w:rPr>
          <w:rFonts w:hint="eastAsia" w:asciiTheme="minorEastAsia" w:hAnsiTheme="minorEastAsia" w:eastAsiaTheme="minorEastAsia" w:cstheme="minorEastAsia"/>
          <w:color w:val="auto"/>
          <w:highlight w:val="none"/>
          <w:lang w:val="en-US" w:eastAsia="zh-CN"/>
        </w:rPr>
        <w:t>5土壤环境</w:t>
      </w:r>
      <w:r>
        <w:rPr>
          <w:rFonts w:hint="eastAsia" w:asciiTheme="minorEastAsia" w:hAnsiTheme="minorEastAsia" w:eastAsiaTheme="minorEastAsia" w:cstheme="minorEastAsia"/>
          <w:color w:val="auto"/>
          <w:highlight w:val="none"/>
        </w:rPr>
        <w:t>质量现状</w:t>
      </w:r>
      <w:r>
        <w:rPr>
          <w:rFonts w:hint="eastAsia" w:asciiTheme="minorEastAsia" w:hAnsiTheme="minorEastAsia" w:eastAsiaTheme="minorEastAsia" w:cstheme="minorEastAsia"/>
          <w:color w:val="auto"/>
          <w:highlight w:val="none"/>
          <w:lang w:val="en-US" w:eastAsia="zh-CN"/>
        </w:rPr>
        <w:t>监测与</w:t>
      </w:r>
      <w:r>
        <w:rPr>
          <w:rFonts w:hint="eastAsia" w:asciiTheme="minorEastAsia" w:hAnsiTheme="minorEastAsia" w:eastAsiaTheme="minorEastAsia" w:cstheme="minorEastAsia"/>
          <w:color w:val="auto"/>
          <w:highlight w:val="none"/>
        </w:rPr>
        <w:t>评价</w:t>
      </w:r>
    </w:p>
    <w:p w14:paraId="1B1DC35D">
      <w:pPr>
        <w:bidi w:val="0"/>
        <w:spacing w:line="360" w:lineRule="auto"/>
        <w:rPr>
          <w:rFonts w:hint="eastAsia" w:asciiTheme="minorEastAsia" w:hAnsiTheme="minorEastAsia" w:eastAsiaTheme="minorEastAsia" w:cstheme="minorEastAsia"/>
          <w:b/>
          <w:bCs/>
          <w:color w:val="auto"/>
          <w:kern w:val="2"/>
          <w:sz w:val="24"/>
          <w:szCs w:val="24"/>
          <w:highlight w:val="none"/>
          <w:lang w:val="en-US" w:eastAsia="zh-CN" w:bidi="ar-SA"/>
        </w:rPr>
      </w:pPr>
      <w:r>
        <w:rPr>
          <w:rFonts w:hint="eastAsia" w:asciiTheme="minorEastAsia" w:hAnsiTheme="minorEastAsia" w:eastAsiaTheme="minorEastAsia" w:cstheme="minorEastAsia"/>
          <w:b/>
          <w:bCs/>
          <w:color w:val="auto"/>
          <w:kern w:val="2"/>
          <w:sz w:val="24"/>
          <w:szCs w:val="24"/>
          <w:highlight w:val="none"/>
          <w:lang w:val="en-US" w:eastAsia="zh-CN" w:bidi="ar-SA"/>
        </w:rPr>
        <w:t>4.3.5.1理化特性调查</w:t>
      </w:r>
    </w:p>
    <w:p w14:paraId="20EFD07E">
      <w:pPr>
        <w:bidi w:val="0"/>
        <w:spacing w:line="360" w:lineRule="auto"/>
        <w:ind w:firstLine="480" w:firstLineChars="200"/>
        <w:rPr>
          <w:color w:val="auto"/>
          <w:highlight w:val="none"/>
        </w:rPr>
      </w:pPr>
      <w:r>
        <w:rPr>
          <w:rFonts w:hint="eastAsia"/>
          <w:color w:val="auto"/>
          <w:highlight w:val="none"/>
          <w:lang w:val="en-US" w:eastAsia="zh-CN"/>
        </w:rPr>
        <w:t>1、</w:t>
      </w:r>
      <w:r>
        <w:rPr>
          <w:color w:val="auto"/>
          <w:highlight w:val="none"/>
        </w:rPr>
        <w:t>理化特性调查</w:t>
      </w:r>
    </w:p>
    <w:p w14:paraId="768F8A9E">
      <w:pPr>
        <w:spacing w:line="360" w:lineRule="auto"/>
        <w:ind w:firstLine="480"/>
        <w:rPr>
          <w:color w:val="auto"/>
          <w:highlight w:val="none"/>
        </w:rPr>
      </w:pPr>
      <w:r>
        <w:rPr>
          <w:rFonts w:ascii="Times New Roman"/>
          <w:color w:val="auto"/>
          <w:highlight w:val="none"/>
        </w:rPr>
        <w:t>在充分收集资料的基础上，根据土壤环境影响类型、建设项目特征与评价需要，有针对性地选择土壤理化特性调查内容，主要包括土体构型、土壤结构、土壤质地、阳离子交换量、氧化还原电位、饱和导水率、土壤容重、孔隙度等，具体土壤理化特性调查见表4</w:t>
      </w:r>
      <w:r>
        <w:rPr>
          <w:rFonts w:hint="eastAsia"/>
          <w:color w:val="auto"/>
          <w:highlight w:val="none"/>
          <w:lang w:val="en-US" w:eastAsia="zh-CN"/>
        </w:rPr>
        <w:t>.3-12</w:t>
      </w:r>
      <w:r>
        <w:rPr>
          <w:rFonts w:ascii="Times New Roman"/>
          <w:color w:val="auto"/>
          <w:highlight w:val="none"/>
        </w:rPr>
        <w:t>。</w:t>
      </w:r>
    </w:p>
    <w:p w14:paraId="7664ABBF">
      <w:pPr>
        <w:pStyle w:val="43"/>
        <w:numPr>
          <w:ilvl w:val="0"/>
          <w:numId w:val="0"/>
        </w:numPr>
        <w:spacing w:line="240" w:lineRule="auto"/>
        <w:jc w:val="center"/>
        <w:rPr>
          <w:rFonts w:hint="default" w:ascii="Times New Roman" w:hAnsi="Times New Roman" w:eastAsia="宋体" w:cs="Times New Roman"/>
          <w:b w:val="0"/>
          <w:bCs w:val="0"/>
          <w:color w:val="auto"/>
          <w:sz w:val="21"/>
          <w:szCs w:val="21"/>
          <w:highlight w:val="none"/>
          <w:lang w:val="en-US" w:eastAsia="zh-CN"/>
        </w:rPr>
      </w:pPr>
      <w:r>
        <w:rPr>
          <w:rFonts w:hint="eastAsia" w:asciiTheme="minorEastAsia" w:hAnsiTheme="minorEastAsia" w:eastAsiaTheme="minorEastAsia" w:cstheme="minorEastAsia"/>
          <w:b/>
          <w:color w:val="auto"/>
          <w:kern w:val="2"/>
          <w:sz w:val="24"/>
          <w:szCs w:val="24"/>
          <w:highlight w:val="none"/>
          <w:lang w:val="en-US" w:eastAsia="zh-CN" w:bidi="ar-SA"/>
        </w:rPr>
        <w:t xml:space="preserve">表4.3-12  </w:t>
      </w:r>
      <w:r>
        <w:rPr>
          <w:rFonts w:hint="default" w:asciiTheme="minorEastAsia" w:hAnsiTheme="minorEastAsia" w:eastAsiaTheme="minorEastAsia" w:cstheme="minorEastAsia"/>
          <w:b/>
          <w:color w:val="auto"/>
          <w:kern w:val="2"/>
          <w:sz w:val="24"/>
          <w:szCs w:val="24"/>
          <w:highlight w:val="none"/>
          <w:lang w:val="en-US" w:eastAsia="zh-CN" w:bidi="ar-SA"/>
        </w:rPr>
        <w:t>土壤理化特性调查一览表</w:t>
      </w:r>
    </w:p>
    <w:tbl>
      <w:tblPr>
        <w:tblStyle w:val="85"/>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83"/>
        <w:gridCol w:w="2691"/>
        <w:gridCol w:w="5285"/>
      </w:tblGrid>
      <w:tr w14:paraId="6451F5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3674" w:type="dxa"/>
            <w:gridSpan w:val="2"/>
            <w:tcBorders>
              <w:tl2br w:val="nil"/>
              <w:tr2bl w:val="nil"/>
            </w:tcBorders>
            <w:vAlign w:val="center"/>
          </w:tcPr>
          <w:p w14:paraId="5B54DA76">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r>
              <w:rPr>
                <w:rFonts w:hint="eastAsia" w:ascii="宋体" w:hAnsi="宋体" w:eastAsia="宋体" w:cs="宋体"/>
                <w:b w:val="0"/>
                <w:bCs w:val="0"/>
                <w:color w:val="auto"/>
                <w:kern w:val="0"/>
                <w:sz w:val="21"/>
                <w:szCs w:val="21"/>
                <w:highlight w:val="none"/>
                <w:lang w:val="en-US" w:eastAsia="zh-CN" w:bidi="ar"/>
              </w:rPr>
              <w:t>点号</w:t>
            </w:r>
          </w:p>
        </w:tc>
        <w:tc>
          <w:tcPr>
            <w:tcW w:w="5285" w:type="dxa"/>
            <w:tcBorders>
              <w:tl2br w:val="nil"/>
              <w:tr2bl w:val="nil"/>
            </w:tcBorders>
            <w:vAlign w:val="center"/>
          </w:tcPr>
          <w:p w14:paraId="6AA0A508">
            <w:pPr>
              <w:keepNext w:val="0"/>
              <w:keepLines w:val="0"/>
              <w:suppressLineNumbers w:val="0"/>
              <w:adjustRightInd w:val="0"/>
              <w:snapToGrid w:val="0"/>
              <w:spacing w:before="0" w:beforeAutospacing="0" w:after="0" w:afterAutospacing="0"/>
              <w:ind w:left="0" w:right="0"/>
              <w:jc w:val="center"/>
              <w:rPr>
                <w:rFonts w:hint="default" w:ascii="宋体" w:hAnsi="宋体" w:eastAsia="宋体" w:cs="宋体"/>
                <w:b w:val="0"/>
                <w:bCs w:val="0"/>
                <w:color w:val="auto"/>
                <w:sz w:val="21"/>
                <w:szCs w:val="21"/>
                <w:highlight w:val="none"/>
                <w:vertAlign w:val="baseline"/>
                <w:lang w:val="en-US" w:eastAsia="zh-CN"/>
              </w:rPr>
            </w:pPr>
            <w:r>
              <w:rPr>
                <w:rFonts w:hint="eastAsia"/>
                <w:color w:val="auto"/>
                <w:kern w:val="0"/>
                <w:sz w:val="21"/>
                <w:szCs w:val="21"/>
                <w:highlight w:val="none"/>
                <w:lang w:val="en-US" w:eastAsia="zh-CN" w:bidi="ar"/>
              </w:rPr>
              <w:t>5#</w:t>
            </w:r>
          </w:p>
        </w:tc>
      </w:tr>
      <w:tr w14:paraId="126325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3674" w:type="dxa"/>
            <w:gridSpan w:val="2"/>
            <w:tcBorders>
              <w:tl2br w:val="nil"/>
              <w:tr2bl w:val="nil"/>
            </w:tcBorders>
            <w:vAlign w:val="center"/>
          </w:tcPr>
          <w:p w14:paraId="2E1E4886">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r>
              <w:rPr>
                <w:rFonts w:hint="eastAsia" w:ascii="宋体" w:hAnsi="宋体" w:eastAsia="宋体" w:cs="宋体"/>
                <w:b w:val="0"/>
                <w:bCs w:val="0"/>
                <w:color w:val="auto"/>
                <w:kern w:val="0"/>
                <w:sz w:val="21"/>
                <w:szCs w:val="21"/>
                <w:highlight w:val="none"/>
                <w:lang w:val="en-US" w:eastAsia="zh-CN" w:bidi="ar"/>
              </w:rPr>
              <w:t>时间</w:t>
            </w:r>
          </w:p>
        </w:tc>
        <w:tc>
          <w:tcPr>
            <w:tcW w:w="5285" w:type="dxa"/>
            <w:tcBorders>
              <w:tl2br w:val="nil"/>
              <w:tr2bl w:val="nil"/>
            </w:tcBorders>
            <w:vAlign w:val="center"/>
          </w:tcPr>
          <w:p w14:paraId="736012C4">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 w:val="0"/>
                <w:bCs w:val="0"/>
                <w:color w:val="auto"/>
                <w:sz w:val="21"/>
                <w:szCs w:val="21"/>
                <w:highlight w:val="none"/>
                <w:vertAlign w:val="baseline"/>
              </w:rPr>
            </w:pPr>
            <w:r>
              <w:rPr>
                <w:rFonts w:hint="default" w:ascii="Times New Roman" w:hAnsi="Times New Roman" w:cs="Times New Roman"/>
                <w:b w:val="0"/>
                <w:bCs w:val="0"/>
                <w:color w:val="auto"/>
                <w:sz w:val="21"/>
                <w:szCs w:val="21"/>
                <w:highlight w:val="none"/>
                <w:vertAlign w:val="baseline"/>
                <w:lang w:val="en-US" w:eastAsia="zh-CN"/>
              </w:rPr>
              <w:t>2026年</w:t>
            </w:r>
            <w:r>
              <w:rPr>
                <w:rFonts w:hint="eastAsia" w:ascii="Times New Roman" w:hAnsi="Times New Roman" w:cs="Times New Roman"/>
                <w:b w:val="0"/>
                <w:bCs w:val="0"/>
                <w:color w:val="auto"/>
                <w:sz w:val="21"/>
                <w:szCs w:val="21"/>
                <w:highlight w:val="none"/>
                <w:vertAlign w:val="baseline"/>
                <w:lang w:val="en-US" w:eastAsia="zh-CN"/>
              </w:rPr>
              <w:t>5</w:t>
            </w:r>
            <w:r>
              <w:rPr>
                <w:rFonts w:hint="default" w:ascii="Times New Roman" w:hAnsi="Times New Roman" w:cs="Times New Roman"/>
                <w:b w:val="0"/>
                <w:bCs w:val="0"/>
                <w:color w:val="auto"/>
                <w:sz w:val="21"/>
                <w:szCs w:val="21"/>
                <w:highlight w:val="none"/>
                <w:vertAlign w:val="baseline"/>
                <w:lang w:val="en-US" w:eastAsia="zh-CN"/>
              </w:rPr>
              <w:t>月</w:t>
            </w:r>
            <w:r>
              <w:rPr>
                <w:rFonts w:hint="eastAsia" w:ascii="Times New Roman" w:hAnsi="Times New Roman" w:cs="Times New Roman"/>
                <w:b w:val="0"/>
                <w:bCs w:val="0"/>
                <w:color w:val="auto"/>
                <w:sz w:val="21"/>
                <w:szCs w:val="21"/>
                <w:highlight w:val="none"/>
                <w:vertAlign w:val="baseline"/>
                <w:lang w:val="en-US" w:eastAsia="zh-CN"/>
              </w:rPr>
              <w:t>25</w:t>
            </w:r>
            <w:r>
              <w:rPr>
                <w:rFonts w:hint="default" w:ascii="Times New Roman" w:hAnsi="Times New Roman" w:cs="Times New Roman"/>
                <w:b w:val="0"/>
                <w:bCs w:val="0"/>
                <w:color w:val="auto"/>
                <w:sz w:val="21"/>
                <w:szCs w:val="21"/>
                <w:highlight w:val="none"/>
                <w:vertAlign w:val="baseline"/>
                <w:lang w:val="en-US" w:eastAsia="zh-CN"/>
              </w:rPr>
              <w:t>日</w:t>
            </w:r>
          </w:p>
        </w:tc>
      </w:tr>
      <w:tr w14:paraId="6AF13F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3674" w:type="dxa"/>
            <w:gridSpan w:val="2"/>
            <w:tcBorders>
              <w:tl2br w:val="nil"/>
              <w:tr2bl w:val="nil"/>
            </w:tcBorders>
            <w:vAlign w:val="center"/>
          </w:tcPr>
          <w:p w14:paraId="51E81914">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kern w:val="0"/>
                <w:sz w:val="21"/>
                <w:szCs w:val="21"/>
                <w:highlight w:val="none"/>
                <w:lang w:val="en-US" w:eastAsia="zh-CN" w:bidi="ar"/>
              </w:rPr>
            </w:pPr>
            <w:r>
              <w:rPr>
                <w:rFonts w:hint="eastAsia" w:ascii="宋体" w:hAnsi="宋体" w:eastAsia="宋体" w:cs="宋体"/>
                <w:b w:val="0"/>
                <w:bCs w:val="0"/>
                <w:color w:val="auto"/>
                <w:kern w:val="0"/>
                <w:sz w:val="21"/>
                <w:szCs w:val="21"/>
                <w:highlight w:val="none"/>
                <w:lang w:val="en-US" w:eastAsia="zh-CN" w:bidi="ar"/>
              </w:rPr>
              <w:t>经度</w:t>
            </w:r>
          </w:p>
        </w:tc>
        <w:tc>
          <w:tcPr>
            <w:tcW w:w="5285" w:type="dxa"/>
            <w:tcBorders>
              <w:tl2br w:val="nil"/>
              <w:tr2bl w:val="nil"/>
            </w:tcBorders>
            <w:vAlign w:val="center"/>
          </w:tcPr>
          <w:p w14:paraId="143E701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 xml:space="preserve">E </w:t>
            </w:r>
            <w:r>
              <w:rPr>
                <w:rFonts w:hint="eastAsia" w:ascii="Times New Roman" w:hAnsi="Times New Roman" w:eastAsia="宋体" w:cs="Times New Roman"/>
                <w:b w:val="0"/>
                <w:bCs w:val="0"/>
                <w:color w:val="auto"/>
                <w:sz w:val="21"/>
                <w:szCs w:val="21"/>
                <w:highlight w:val="none"/>
                <w:lang w:val="en-US" w:eastAsia="zh-CN"/>
              </w:rPr>
              <w:t>128.27109</w:t>
            </w:r>
            <w:r>
              <w:rPr>
                <w:rFonts w:hint="default" w:ascii="Times New Roman" w:hAnsi="Times New Roman" w:eastAsia="宋体" w:cs="Times New Roman"/>
                <w:b w:val="0"/>
                <w:bCs w:val="0"/>
                <w:color w:val="auto"/>
                <w:sz w:val="21"/>
                <w:szCs w:val="21"/>
                <w:highlight w:val="none"/>
                <w:lang w:val="en-US" w:eastAsia="zh-CN"/>
              </w:rPr>
              <w:t>°</w:t>
            </w:r>
          </w:p>
        </w:tc>
      </w:tr>
      <w:tr w14:paraId="283AFA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3674" w:type="dxa"/>
            <w:gridSpan w:val="2"/>
            <w:tcBorders>
              <w:tl2br w:val="nil"/>
              <w:tr2bl w:val="nil"/>
            </w:tcBorders>
            <w:vAlign w:val="center"/>
          </w:tcPr>
          <w:p w14:paraId="43D1577D">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kern w:val="0"/>
                <w:sz w:val="21"/>
                <w:szCs w:val="21"/>
                <w:highlight w:val="none"/>
                <w:lang w:val="en-US" w:eastAsia="zh-CN" w:bidi="ar"/>
              </w:rPr>
            </w:pPr>
            <w:r>
              <w:rPr>
                <w:rFonts w:hint="eastAsia" w:ascii="宋体" w:hAnsi="宋体" w:eastAsia="宋体" w:cs="宋体"/>
                <w:b w:val="0"/>
                <w:bCs w:val="0"/>
                <w:color w:val="auto"/>
                <w:kern w:val="0"/>
                <w:sz w:val="21"/>
                <w:szCs w:val="21"/>
                <w:highlight w:val="none"/>
                <w:lang w:val="en-US" w:eastAsia="zh-CN" w:bidi="ar"/>
              </w:rPr>
              <w:t>纬度</w:t>
            </w:r>
          </w:p>
        </w:tc>
        <w:tc>
          <w:tcPr>
            <w:tcW w:w="5285" w:type="dxa"/>
            <w:tcBorders>
              <w:tl2br w:val="nil"/>
              <w:tr2bl w:val="nil"/>
            </w:tcBorders>
            <w:vAlign w:val="center"/>
          </w:tcPr>
          <w:p w14:paraId="7A577AB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 xml:space="preserve">N </w:t>
            </w:r>
            <w:r>
              <w:rPr>
                <w:rFonts w:hint="eastAsia" w:ascii="Times New Roman" w:hAnsi="Times New Roman" w:eastAsia="宋体" w:cs="Times New Roman"/>
                <w:b w:val="0"/>
                <w:bCs w:val="0"/>
                <w:color w:val="auto"/>
                <w:sz w:val="21"/>
                <w:szCs w:val="21"/>
                <w:highlight w:val="none"/>
                <w:lang w:val="en-US" w:eastAsia="zh-CN"/>
              </w:rPr>
              <w:t>45.269653</w:t>
            </w:r>
            <w:r>
              <w:rPr>
                <w:rFonts w:hint="default" w:ascii="Times New Roman" w:hAnsi="Times New Roman" w:eastAsia="宋体" w:cs="Times New Roman"/>
                <w:b w:val="0"/>
                <w:bCs w:val="0"/>
                <w:color w:val="auto"/>
                <w:sz w:val="21"/>
                <w:szCs w:val="21"/>
                <w:highlight w:val="none"/>
                <w:lang w:val="en-US" w:eastAsia="zh-CN"/>
              </w:rPr>
              <w:t>°</w:t>
            </w:r>
          </w:p>
        </w:tc>
      </w:tr>
      <w:tr w14:paraId="047909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3674" w:type="dxa"/>
            <w:gridSpan w:val="2"/>
            <w:tcBorders>
              <w:tl2br w:val="nil"/>
              <w:tr2bl w:val="nil"/>
            </w:tcBorders>
            <w:vAlign w:val="center"/>
          </w:tcPr>
          <w:p w14:paraId="52F4F42D">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b w:val="0"/>
                <w:bCs w:val="0"/>
                <w:color w:val="auto"/>
                <w:kern w:val="0"/>
                <w:sz w:val="21"/>
                <w:szCs w:val="21"/>
                <w:highlight w:val="none"/>
                <w:lang w:bidi="ar"/>
              </w:rPr>
            </w:pPr>
            <w:r>
              <w:rPr>
                <w:rFonts w:hint="eastAsia" w:ascii="宋体" w:hAnsi="宋体" w:eastAsia="宋体" w:cs="宋体"/>
                <w:b w:val="0"/>
                <w:bCs w:val="0"/>
                <w:color w:val="auto"/>
                <w:kern w:val="0"/>
                <w:sz w:val="21"/>
                <w:szCs w:val="21"/>
                <w:highlight w:val="none"/>
                <w:lang w:val="en-US" w:eastAsia="zh-CN" w:bidi="ar"/>
              </w:rPr>
              <w:t>层次</w:t>
            </w:r>
          </w:p>
        </w:tc>
        <w:tc>
          <w:tcPr>
            <w:tcW w:w="5285" w:type="dxa"/>
            <w:tcBorders>
              <w:tl2br w:val="nil"/>
              <w:tr2bl w:val="nil"/>
            </w:tcBorders>
            <w:vAlign w:val="center"/>
          </w:tcPr>
          <w:p w14:paraId="5508A56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val="0"/>
                <w:bCs w:val="0"/>
                <w:color w:val="auto"/>
                <w:kern w:val="0"/>
                <w:sz w:val="21"/>
                <w:szCs w:val="21"/>
                <w:highlight w:val="none"/>
                <w:lang w:bidi="ar"/>
              </w:rPr>
            </w:pPr>
            <w:r>
              <w:rPr>
                <w:rFonts w:hint="default" w:ascii="Times New Roman" w:hAnsi="Times New Roman" w:eastAsia="宋体" w:cs="Times New Roman"/>
                <w:b w:val="0"/>
                <w:bCs w:val="0"/>
                <w:color w:val="auto"/>
                <w:kern w:val="0"/>
                <w:sz w:val="21"/>
                <w:szCs w:val="21"/>
                <w:highlight w:val="none"/>
                <w:lang w:bidi="ar"/>
              </w:rPr>
              <w:t>0~0.2m</w:t>
            </w:r>
          </w:p>
        </w:tc>
      </w:tr>
      <w:tr w14:paraId="0E0ACB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983" w:type="dxa"/>
            <w:vMerge w:val="restart"/>
            <w:tcBorders>
              <w:tl2br w:val="nil"/>
              <w:tr2bl w:val="nil"/>
            </w:tcBorders>
            <w:vAlign w:val="center"/>
          </w:tcPr>
          <w:p w14:paraId="139DBA53">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kern w:val="0"/>
                <w:sz w:val="21"/>
                <w:szCs w:val="21"/>
                <w:highlight w:val="none"/>
                <w:lang w:val="en-US" w:eastAsia="zh-CN" w:bidi="ar"/>
              </w:rPr>
            </w:pPr>
            <w:r>
              <w:rPr>
                <w:rFonts w:hint="eastAsia" w:ascii="宋体" w:hAnsi="宋体" w:eastAsia="宋体" w:cs="宋体"/>
                <w:b w:val="0"/>
                <w:bCs w:val="0"/>
                <w:color w:val="auto"/>
                <w:kern w:val="0"/>
                <w:sz w:val="21"/>
                <w:szCs w:val="21"/>
                <w:highlight w:val="none"/>
                <w:lang w:val="en-US" w:eastAsia="zh-CN" w:bidi="ar"/>
              </w:rPr>
              <w:t>现场</w:t>
            </w:r>
          </w:p>
          <w:p w14:paraId="31EC84C6">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r>
              <w:rPr>
                <w:rFonts w:hint="eastAsia" w:ascii="宋体" w:hAnsi="宋体" w:eastAsia="宋体" w:cs="宋体"/>
                <w:b w:val="0"/>
                <w:bCs w:val="0"/>
                <w:color w:val="auto"/>
                <w:kern w:val="0"/>
                <w:sz w:val="21"/>
                <w:szCs w:val="21"/>
                <w:highlight w:val="none"/>
                <w:lang w:val="en-US" w:eastAsia="zh-CN" w:bidi="ar"/>
              </w:rPr>
              <w:t>记录</w:t>
            </w:r>
          </w:p>
        </w:tc>
        <w:tc>
          <w:tcPr>
            <w:tcW w:w="2691" w:type="dxa"/>
            <w:tcBorders>
              <w:tl2br w:val="nil"/>
              <w:tr2bl w:val="nil"/>
            </w:tcBorders>
            <w:vAlign w:val="center"/>
          </w:tcPr>
          <w:p w14:paraId="7BD3CF48">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r>
              <w:rPr>
                <w:rFonts w:hint="eastAsia" w:ascii="宋体" w:hAnsi="宋体" w:eastAsia="宋体" w:cs="宋体"/>
                <w:b w:val="0"/>
                <w:bCs w:val="0"/>
                <w:color w:val="auto"/>
                <w:kern w:val="0"/>
                <w:sz w:val="21"/>
                <w:szCs w:val="21"/>
                <w:highlight w:val="none"/>
                <w:lang w:val="en-US" w:eastAsia="zh-CN" w:bidi="ar"/>
              </w:rPr>
              <w:t>颜色</w:t>
            </w:r>
          </w:p>
        </w:tc>
        <w:tc>
          <w:tcPr>
            <w:tcW w:w="5285" w:type="dxa"/>
            <w:tcBorders>
              <w:tl2br w:val="nil"/>
              <w:tr2bl w:val="nil"/>
            </w:tcBorders>
            <w:vAlign w:val="center"/>
          </w:tcPr>
          <w:p w14:paraId="713E2B58">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 w:val="0"/>
                <w:bCs w:val="0"/>
                <w:color w:val="auto"/>
                <w:sz w:val="21"/>
                <w:szCs w:val="21"/>
                <w:highlight w:val="none"/>
                <w:vertAlign w:val="baseline"/>
              </w:rPr>
            </w:pPr>
            <w:r>
              <w:rPr>
                <w:rFonts w:hint="eastAsia" w:ascii="宋体" w:hAnsi="宋体" w:cs="宋体"/>
                <w:b w:val="0"/>
                <w:bCs w:val="0"/>
                <w:color w:val="auto"/>
                <w:sz w:val="21"/>
                <w:szCs w:val="21"/>
                <w:highlight w:val="none"/>
                <w:vertAlign w:val="baseline"/>
                <w:lang w:eastAsia="zh-CN"/>
              </w:rPr>
              <w:t>黑色</w:t>
            </w:r>
          </w:p>
        </w:tc>
      </w:tr>
      <w:tr w14:paraId="59E18C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983" w:type="dxa"/>
            <w:vMerge w:val="continue"/>
            <w:tcBorders>
              <w:tl2br w:val="nil"/>
              <w:tr2bl w:val="nil"/>
            </w:tcBorders>
            <w:vAlign w:val="center"/>
          </w:tcPr>
          <w:p w14:paraId="5A7FD5C0">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p>
        </w:tc>
        <w:tc>
          <w:tcPr>
            <w:tcW w:w="2691" w:type="dxa"/>
            <w:tcBorders>
              <w:tl2br w:val="nil"/>
              <w:tr2bl w:val="nil"/>
            </w:tcBorders>
            <w:vAlign w:val="center"/>
          </w:tcPr>
          <w:p w14:paraId="32ADA9F3">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r>
              <w:rPr>
                <w:rFonts w:hint="eastAsia" w:ascii="宋体" w:hAnsi="宋体" w:eastAsia="宋体" w:cs="宋体"/>
                <w:b w:val="0"/>
                <w:bCs w:val="0"/>
                <w:color w:val="auto"/>
                <w:kern w:val="0"/>
                <w:sz w:val="21"/>
                <w:szCs w:val="21"/>
                <w:highlight w:val="none"/>
                <w:lang w:val="en-US" w:eastAsia="zh-CN" w:bidi="ar"/>
              </w:rPr>
              <w:t>结构</w:t>
            </w:r>
          </w:p>
        </w:tc>
        <w:tc>
          <w:tcPr>
            <w:tcW w:w="5285" w:type="dxa"/>
            <w:tcBorders>
              <w:tl2br w:val="nil"/>
              <w:tr2bl w:val="nil"/>
            </w:tcBorders>
            <w:vAlign w:val="center"/>
          </w:tcPr>
          <w:p w14:paraId="57F26B3C">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 w:val="0"/>
                <w:bCs w:val="0"/>
                <w:color w:val="auto"/>
                <w:sz w:val="21"/>
                <w:szCs w:val="21"/>
                <w:highlight w:val="none"/>
                <w:vertAlign w:val="baseline"/>
              </w:rPr>
            </w:pPr>
            <w:r>
              <w:rPr>
                <w:rFonts w:hint="default" w:ascii="Times New Roman" w:hAnsi="Times New Roman" w:eastAsia="宋体" w:cs="Times New Roman"/>
                <w:color w:val="auto"/>
                <w:sz w:val="21"/>
                <w:szCs w:val="21"/>
                <w:highlight w:val="none"/>
                <w:lang w:eastAsia="zh-CN"/>
              </w:rPr>
              <w:t>团粒</w:t>
            </w:r>
          </w:p>
        </w:tc>
      </w:tr>
      <w:tr w14:paraId="2F2D7C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983" w:type="dxa"/>
            <w:vMerge w:val="continue"/>
            <w:tcBorders>
              <w:tl2br w:val="nil"/>
              <w:tr2bl w:val="nil"/>
            </w:tcBorders>
            <w:vAlign w:val="center"/>
          </w:tcPr>
          <w:p w14:paraId="17216461">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p>
        </w:tc>
        <w:tc>
          <w:tcPr>
            <w:tcW w:w="2691" w:type="dxa"/>
            <w:tcBorders>
              <w:tl2br w:val="nil"/>
              <w:tr2bl w:val="nil"/>
            </w:tcBorders>
            <w:vAlign w:val="center"/>
          </w:tcPr>
          <w:p w14:paraId="42129C62">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r>
              <w:rPr>
                <w:rFonts w:hint="eastAsia" w:ascii="宋体" w:hAnsi="宋体" w:eastAsia="宋体" w:cs="宋体"/>
                <w:b w:val="0"/>
                <w:bCs w:val="0"/>
                <w:color w:val="auto"/>
                <w:kern w:val="0"/>
                <w:sz w:val="21"/>
                <w:szCs w:val="21"/>
                <w:highlight w:val="none"/>
                <w:lang w:val="en-US" w:eastAsia="zh-CN" w:bidi="ar"/>
              </w:rPr>
              <w:t>质地</w:t>
            </w:r>
          </w:p>
        </w:tc>
        <w:tc>
          <w:tcPr>
            <w:tcW w:w="5285" w:type="dxa"/>
            <w:tcBorders>
              <w:tl2br w:val="nil"/>
              <w:tr2bl w:val="nil"/>
            </w:tcBorders>
            <w:vAlign w:val="center"/>
          </w:tcPr>
          <w:p w14:paraId="217A121B">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 w:val="0"/>
                <w:bCs w:val="0"/>
                <w:color w:val="auto"/>
                <w:sz w:val="21"/>
                <w:szCs w:val="21"/>
                <w:highlight w:val="none"/>
                <w:vertAlign w:val="baseline"/>
                <w:lang w:eastAsia="zh-CN"/>
              </w:rPr>
            </w:pPr>
            <w:r>
              <w:rPr>
                <w:rFonts w:hint="eastAsia" w:ascii="宋体" w:hAnsi="宋体" w:eastAsia="宋体" w:cs="宋体"/>
                <w:b w:val="0"/>
                <w:bCs w:val="0"/>
                <w:color w:val="auto"/>
                <w:sz w:val="21"/>
                <w:szCs w:val="21"/>
                <w:highlight w:val="none"/>
                <w:vertAlign w:val="baseline"/>
                <w:lang w:eastAsia="zh-CN"/>
              </w:rPr>
              <w:t>松软</w:t>
            </w:r>
          </w:p>
        </w:tc>
      </w:tr>
      <w:tr w14:paraId="6D9D7D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983" w:type="dxa"/>
            <w:vMerge w:val="continue"/>
            <w:tcBorders>
              <w:tl2br w:val="nil"/>
              <w:tr2bl w:val="nil"/>
            </w:tcBorders>
            <w:vAlign w:val="center"/>
          </w:tcPr>
          <w:p w14:paraId="72E6952F">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p>
        </w:tc>
        <w:tc>
          <w:tcPr>
            <w:tcW w:w="2691" w:type="dxa"/>
            <w:tcBorders>
              <w:tl2br w:val="nil"/>
              <w:tr2bl w:val="nil"/>
            </w:tcBorders>
            <w:vAlign w:val="center"/>
          </w:tcPr>
          <w:p w14:paraId="4567D7F7">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r>
              <w:rPr>
                <w:rFonts w:hint="eastAsia" w:ascii="宋体" w:hAnsi="宋体" w:eastAsia="宋体" w:cs="宋体"/>
                <w:b w:val="0"/>
                <w:bCs w:val="0"/>
                <w:color w:val="auto"/>
                <w:kern w:val="0"/>
                <w:sz w:val="21"/>
                <w:szCs w:val="21"/>
                <w:highlight w:val="none"/>
                <w:lang w:val="en-US" w:eastAsia="zh-CN" w:bidi="ar"/>
              </w:rPr>
              <w:t>砂砾含量</w:t>
            </w:r>
          </w:p>
        </w:tc>
        <w:tc>
          <w:tcPr>
            <w:tcW w:w="5285" w:type="dxa"/>
            <w:tcBorders>
              <w:tl2br w:val="nil"/>
              <w:tr2bl w:val="nil"/>
            </w:tcBorders>
            <w:vAlign w:val="center"/>
          </w:tcPr>
          <w:p w14:paraId="1C672B53">
            <w:pPr>
              <w:keepNext w:val="0"/>
              <w:keepLines w:val="0"/>
              <w:suppressLineNumbers w:val="0"/>
              <w:adjustRightInd w:val="0"/>
              <w:snapToGrid w:val="0"/>
              <w:spacing w:before="0" w:beforeAutospacing="0" w:after="0" w:afterAutospacing="0"/>
              <w:ind w:left="0" w:right="0"/>
              <w:jc w:val="center"/>
              <w:rPr>
                <w:rFonts w:hint="default" w:ascii="宋体" w:hAnsi="宋体" w:eastAsia="宋体" w:cs="宋体"/>
                <w:b w:val="0"/>
                <w:bCs w:val="0"/>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lang w:val="en-US" w:eastAsia="zh-CN"/>
              </w:rPr>
              <w:t>26%</w:t>
            </w:r>
          </w:p>
        </w:tc>
      </w:tr>
      <w:tr w14:paraId="4E5BBE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983" w:type="dxa"/>
            <w:vMerge w:val="continue"/>
            <w:tcBorders>
              <w:tl2br w:val="nil"/>
              <w:tr2bl w:val="nil"/>
            </w:tcBorders>
            <w:vAlign w:val="center"/>
          </w:tcPr>
          <w:p w14:paraId="6B71659B">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p>
        </w:tc>
        <w:tc>
          <w:tcPr>
            <w:tcW w:w="2691" w:type="dxa"/>
            <w:tcBorders>
              <w:tl2br w:val="nil"/>
              <w:tr2bl w:val="nil"/>
            </w:tcBorders>
            <w:vAlign w:val="center"/>
          </w:tcPr>
          <w:p w14:paraId="2C555CB2">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r>
              <w:rPr>
                <w:rFonts w:hint="eastAsia" w:ascii="宋体" w:hAnsi="宋体" w:eastAsia="宋体" w:cs="宋体"/>
                <w:b w:val="0"/>
                <w:bCs w:val="0"/>
                <w:color w:val="auto"/>
                <w:kern w:val="0"/>
                <w:sz w:val="21"/>
                <w:szCs w:val="21"/>
                <w:highlight w:val="none"/>
                <w:lang w:val="en-US" w:eastAsia="zh-CN" w:bidi="ar"/>
              </w:rPr>
              <w:t>其它异物</w:t>
            </w:r>
          </w:p>
        </w:tc>
        <w:tc>
          <w:tcPr>
            <w:tcW w:w="5285" w:type="dxa"/>
            <w:tcBorders>
              <w:tl2br w:val="nil"/>
              <w:tr2bl w:val="nil"/>
            </w:tcBorders>
            <w:vAlign w:val="center"/>
          </w:tcPr>
          <w:p w14:paraId="386BAA2B">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 w:val="0"/>
                <w:bCs w:val="0"/>
                <w:color w:val="auto"/>
                <w:sz w:val="21"/>
                <w:szCs w:val="21"/>
                <w:highlight w:val="none"/>
                <w:vertAlign w:val="baseline"/>
              </w:rPr>
            </w:pPr>
            <w:r>
              <w:rPr>
                <w:rFonts w:hint="eastAsia" w:ascii="Times New Roman" w:hAnsi="Times New Roman" w:eastAsia="宋体" w:cs="Times New Roman"/>
                <w:color w:val="auto"/>
                <w:sz w:val="21"/>
                <w:szCs w:val="21"/>
                <w:highlight w:val="none"/>
                <w:lang w:eastAsia="zh-CN"/>
              </w:rPr>
              <w:t>少许根系</w:t>
            </w:r>
          </w:p>
        </w:tc>
      </w:tr>
      <w:tr w14:paraId="126CDB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983" w:type="dxa"/>
            <w:vMerge w:val="restart"/>
            <w:tcBorders>
              <w:tl2br w:val="nil"/>
              <w:tr2bl w:val="nil"/>
            </w:tcBorders>
            <w:vAlign w:val="center"/>
          </w:tcPr>
          <w:p w14:paraId="26CAF31A">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r>
              <w:rPr>
                <w:rFonts w:hint="eastAsia" w:ascii="宋体" w:hAnsi="宋体" w:eastAsia="宋体" w:cs="宋体"/>
                <w:b w:val="0"/>
                <w:bCs w:val="0"/>
                <w:color w:val="auto"/>
                <w:kern w:val="0"/>
                <w:sz w:val="21"/>
                <w:szCs w:val="21"/>
                <w:highlight w:val="none"/>
                <w:lang w:val="en-US" w:eastAsia="zh-CN" w:bidi="ar"/>
              </w:rPr>
              <w:t>实验室测定</w:t>
            </w:r>
          </w:p>
        </w:tc>
        <w:tc>
          <w:tcPr>
            <w:tcW w:w="2691" w:type="dxa"/>
            <w:tcBorders>
              <w:tl2br w:val="nil"/>
              <w:tr2bl w:val="nil"/>
            </w:tcBorders>
            <w:vAlign w:val="center"/>
          </w:tcPr>
          <w:p w14:paraId="5A4FE21C">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val="0"/>
                <w:bCs w:val="0"/>
                <w:color w:val="auto"/>
                <w:sz w:val="21"/>
                <w:szCs w:val="21"/>
                <w:highlight w:val="none"/>
                <w:vertAlign w:val="baseline"/>
              </w:rPr>
            </w:pPr>
            <w:r>
              <w:rPr>
                <w:rFonts w:hint="default" w:ascii="Times New Roman" w:hAnsi="Times New Roman" w:eastAsia="宋体" w:cs="Times New Roman"/>
                <w:color w:val="auto"/>
                <w:sz w:val="21"/>
                <w:szCs w:val="21"/>
                <w:highlight w:val="none"/>
              </w:rPr>
              <w:t>pH值</w:t>
            </w:r>
            <w:r>
              <w:rPr>
                <w:rFonts w:hint="default" w:ascii="Times New Roman" w:hAnsi="Times New Roman" w:eastAsia="宋体" w:cs="Times New Roman"/>
                <w:color w:val="auto"/>
                <w:sz w:val="21"/>
                <w:szCs w:val="21"/>
                <w:highlight w:val="none"/>
                <w:lang w:eastAsia="zh-CN"/>
              </w:rPr>
              <w:t>（无量纲）</w:t>
            </w:r>
          </w:p>
        </w:tc>
        <w:tc>
          <w:tcPr>
            <w:tcW w:w="5285" w:type="dxa"/>
            <w:tcBorders>
              <w:tl2br w:val="nil"/>
              <w:tr2bl w:val="nil"/>
            </w:tcBorders>
            <w:vAlign w:val="center"/>
          </w:tcPr>
          <w:p w14:paraId="35A2DB85">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宋体" w:hAnsi="宋体" w:eastAsia="宋体" w:cs="宋体"/>
                <w:b w:val="0"/>
                <w:bCs w:val="0"/>
                <w:color w:val="auto"/>
                <w:sz w:val="21"/>
                <w:szCs w:val="21"/>
                <w:highlight w:val="none"/>
                <w:vertAlign w:val="baseline"/>
                <w:lang w:val="en-US"/>
              </w:rPr>
            </w:pPr>
            <w:r>
              <w:rPr>
                <w:rFonts w:hint="eastAsia" w:ascii="Times New Roman" w:hAnsi="Times New Roman" w:eastAsia="宋体"/>
                <w:color w:val="auto"/>
                <w:sz w:val="21"/>
                <w:szCs w:val="21"/>
                <w:highlight w:val="none"/>
                <w:lang w:val="en-US" w:eastAsia="zh-CN" w:bidi="en-US"/>
              </w:rPr>
              <w:t>7.26</w:t>
            </w:r>
          </w:p>
        </w:tc>
      </w:tr>
      <w:tr w14:paraId="607E12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983" w:type="dxa"/>
            <w:vMerge w:val="continue"/>
            <w:tcBorders>
              <w:tl2br w:val="nil"/>
              <w:tr2bl w:val="nil"/>
            </w:tcBorders>
            <w:vAlign w:val="center"/>
          </w:tcPr>
          <w:p w14:paraId="3C669581">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p>
        </w:tc>
        <w:tc>
          <w:tcPr>
            <w:tcW w:w="2691" w:type="dxa"/>
            <w:tcBorders>
              <w:tl2br w:val="nil"/>
              <w:tr2bl w:val="nil"/>
            </w:tcBorders>
            <w:vAlign w:val="center"/>
          </w:tcPr>
          <w:p w14:paraId="32F8C9B6">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val="0"/>
                <w:bCs w:val="0"/>
                <w:color w:val="auto"/>
                <w:sz w:val="21"/>
                <w:szCs w:val="21"/>
                <w:highlight w:val="none"/>
                <w:vertAlign w:val="baseline"/>
              </w:rPr>
            </w:pPr>
            <w:r>
              <w:rPr>
                <w:rFonts w:hint="default" w:ascii="Times New Roman" w:hAnsi="Times New Roman" w:eastAsia="宋体" w:cs="Times New Roman"/>
                <w:color w:val="auto"/>
                <w:sz w:val="21"/>
                <w:szCs w:val="21"/>
                <w:highlight w:val="none"/>
              </w:rPr>
              <w:t>阳离子交换量</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cmol/kg</w:t>
            </w:r>
            <w:r>
              <w:rPr>
                <w:rFonts w:hint="default" w:ascii="Times New Roman" w:hAnsi="Times New Roman" w:eastAsia="宋体" w:cs="Times New Roman"/>
                <w:color w:val="auto"/>
                <w:sz w:val="21"/>
                <w:szCs w:val="21"/>
                <w:highlight w:val="none"/>
                <w:lang w:eastAsia="zh-CN"/>
              </w:rPr>
              <w:t>）</w:t>
            </w:r>
          </w:p>
        </w:tc>
        <w:tc>
          <w:tcPr>
            <w:tcW w:w="5285" w:type="dxa"/>
            <w:tcBorders>
              <w:tl2br w:val="nil"/>
              <w:tr2bl w:val="nil"/>
            </w:tcBorders>
            <w:vAlign w:val="center"/>
          </w:tcPr>
          <w:p w14:paraId="595F34AC">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宋体" w:hAnsi="宋体" w:eastAsia="宋体" w:cs="宋体"/>
                <w:b w:val="0"/>
                <w:bCs w:val="0"/>
                <w:color w:val="auto"/>
                <w:sz w:val="21"/>
                <w:szCs w:val="21"/>
                <w:highlight w:val="none"/>
                <w:vertAlign w:val="baseline"/>
                <w:lang w:val="en-US"/>
              </w:rPr>
            </w:pPr>
            <w:r>
              <w:rPr>
                <w:rFonts w:hint="eastAsia" w:ascii="Times New Roman" w:hAnsi="Times New Roman" w:eastAsia="宋体" w:cs="Times New Roman"/>
                <w:color w:val="auto"/>
                <w:sz w:val="21"/>
                <w:szCs w:val="21"/>
                <w:highlight w:val="none"/>
                <w:lang w:val="en-US" w:eastAsia="zh-CN"/>
              </w:rPr>
              <w:t>21.83</w:t>
            </w:r>
          </w:p>
        </w:tc>
      </w:tr>
      <w:tr w14:paraId="5B550B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983" w:type="dxa"/>
            <w:vMerge w:val="continue"/>
            <w:tcBorders>
              <w:tl2br w:val="nil"/>
              <w:tr2bl w:val="nil"/>
            </w:tcBorders>
            <w:vAlign w:val="center"/>
          </w:tcPr>
          <w:p w14:paraId="22155AD8">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p>
        </w:tc>
        <w:tc>
          <w:tcPr>
            <w:tcW w:w="2691" w:type="dxa"/>
            <w:tcBorders>
              <w:tl2br w:val="nil"/>
              <w:tr2bl w:val="nil"/>
            </w:tcBorders>
            <w:vAlign w:val="center"/>
          </w:tcPr>
          <w:p w14:paraId="7FC00720">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val="0"/>
                <w:bCs w:val="0"/>
                <w:color w:val="auto"/>
                <w:sz w:val="21"/>
                <w:szCs w:val="21"/>
                <w:highlight w:val="none"/>
                <w:vertAlign w:val="baseline"/>
              </w:rPr>
            </w:pPr>
            <w:r>
              <w:rPr>
                <w:rFonts w:hint="default" w:ascii="Times New Roman" w:hAnsi="Times New Roman" w:eastAsia="宋体" w:cs="Times New Roman"/>
                <w:color w:val="auto"/>
                <w:sz w:val="21"/>
                <w:szCs w:val="21"/>
                <w:highlight w:val="none"/>
              </w:rPr>
              <w:t>氧化还原电位</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mv</w:t>
            </w:r>
            <w:r>
              <w:rPr>
                <w:rFonts w:hint="default" w:ascii="Times New Roman" w:hAnsi="Times New Roman" w:eastAsia="宋体" w:cs="Times New Roman"/>
                <w:color w:val="auto"/>
                <w:sz w:val="21"/>
                <w:szCs w:val="21"/>
                <w:highlight w:val="none"/>
                <w:lang w:eastAsia="zh-CN"/>
              </w:rPr>
              <w:t>）</w:t>
            </w:r>
          </w:p>
        </w:tc>
        <w:tc>
          <w:tcPr>
            <w:tcW w:w="5285" w:type="dxa"/>
            <w:tcBorders>
              <w:tl2br w:val="nil"/>
              <w:tr2bl w:val="nil"/>
            </w:tcBorders>
            <w:vAlign w:val="center"/>
          </w:tcPr>
          <w:p w14:paraId="4802C583">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宋体" w:hAnsi="宋体" w:eastAsia="宋体" w:cs="宋体"/>
                <w:b w:val="0"/>
                <w:bCs w:val="0"/>
                <w:color w:val="auto"/>
                <w:sz w:val="21"/>
                <w:szCs w:val="21"/>
                <w:highlight w:val="none"/>
                <w:vertAlign w:val="baseline"/>
                <w:lang w:val="en-US" w:eastAsia="zh-CN"/>
              </w:rPr>
            </w:pPr>
            <w:r>
              <w:rPr>
                <w:rFonts w:hint="default" w:ascii="Times New Roman" w:hAnsi="Times New Roman" w:eastAsia="宋体" w:cs="Times New Roman"/>
                <w:b w:val="0"/>
                <w:bCs w:val="0"/>
                <w:color w:val="auto"/>
                <w:sz w:val="21"/>
                <w:szCs w:val="21"/>
                <w:highlight w:val="none"/>
                <w:vertAlign w:val="baseline"/>
                <w:lang w:val="en-US" w:eastAsia="zh-CN"/>
              </w:rPr>
              <w:t>328</w:t>
            </w:r>
          </w:p>
        </w:tc>
      </w:tr>
      <w:tr w14:paraId="41AE86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983" w:type="dxa"/>
            <w:vMerge w:val="continue"/>
            <w:tcBorders>
              <w:tl2br w:val="nil"/>
              <w:tr2bl w:val="nil"/>
            </w:tcBorders>
            <w:vAlign w:val="center"/>
          </w:tcPr>
          <w:p w14:paraId="3750F2F9">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p>
        </w:tc>
        <w:tc>
          <w:tcPr>
            <w:tcW w:w="2691" w:type="dxa"/>
            <w:tcBorders>
              <w:tl2br w:val="nil"/>
              <w:tr2bl w:val="nil"/>
            </w:tcBorders>
            <w:vAlign w:val="center"/>
          </w:tcPr>
          <w:p w14:paraId="7E3C56AD">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val="0"/>
                <w:bCs w:val="0"/>
                <w:color w:val="auto"/>
                <w:sz w:val="21"/>
                <w:szCs w:val="21"/>
                <w:highlight w:val="none"/>
                <w:vertAlign w:val="baseline"/>
              </w:rPr>
            </w:pPr>
            <w:r>
              <w:rPr>
                <w:rFonts w:hint="default" w:ascii="Times New Roman" w:hAnsi="Times New Roman" w:eastAsia="宋体" w:cs="Times New Roman"/>
                <w:color w:val="auto"/>
                <w:sz w:val="21"/>
                <w:szCs w:val="21"/>
                <w:highlight w:val="none"/>
              </w:rPr>
              <w:t>饱和导水率</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cm/s</w:t>
            </w:r>
            <w:r>
              <w:rPr>
                <w:rFonts w:hint="default" w:ascii="Times New Roman" w:hAnsi="Times New Roman" w:eastAsia="宋体" w:cs="Times New Roman"/>
                <w:color w:val="auto"/>
                <w:sz w:val="21"/>
                <w:szCs w:val="21"/>
                <w:highlight w:val="none"/>
                <w:lang w:eastAsia="zh-CN"/>
              </w:rPr>
              <w:t>）</w:t>
            </w:r>
          </w:p>
        </w:tc>
        <w:tc>
          <w:tcPr>
            <w:tcW w:w="5285" w:type="dxa"/>
            <w:tcBorders>
              <w:tl2br w:val="nil"/>
              <w:tr2bl w:val="nil"/>
            </w:tcBorders>
            <w:vAlign w:val="center"/>
          </w:tcPr>
          <w:p w14:paraId="7519B924">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宋体" w:hAnsi="宋体" w:eastAsia="宋体" w:cs="宋体"/>
                <w:b w:val="0"/>
                <w:bCs w:val="0"/>
                <w:color w:val="auto"/>
                <w:sz w:val="21"/>
                <w:szCs w:val="21"/>
                <w:highlight w:val="none"/>
                <w:vertAlign w:val="baseline"/>
                <w:lang w:val="en-US" w:eastAsia="zh-CN"/>
              </w:rPr>
            </w:pPr>
            <w:r>
              <w:rPr>
                <w:rFonts w:hint="default" w:ascii="Times New Roman" w:hAnsi="Times New Roman" w:eastAsia="宋体" w:cs="Times New Roman"/>
                <w:b w:val="0"/>
                <w:bCs w:val="0"/>
                <w:color w:val="auto"/>
                <w:sz w:val="21"/>
                <w:szCs w:val="21"/>
                <w:highlight w:val="none"/>
                <w:vertAlign w:val="baseline"/>
                <w:lang w:val="en-US" w:eastAsia="zh-CN"/>
              </w:rPr>
              <w:t>0.0012</w:t>
            </w:r>
          </w:p>
        </w:tc>
      </w:tr>
      <w:tr w14:paraId="248100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983" w:type="dxa"/>
            <w:vMerge w:val="continue"/>
            <w:tcBorders>
              <w:tl2br w:val="nil"/>
              <w:tr2bl w:val="nil"/>
            </w:tcBorders>
            <w:vAlign w:val="center"/>
          </w:tcPr>
          <w:p w14:paraId="76DDEF98">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p>
        </w:tc>
        <w:tc>
          <w:tcPr>
            <w:tcW w:w="2691" w:type="dxa"/>
            <w:tcBorders>
              <w:tl2br w:val="nil"/>
              <w:tr2bl w:val="nil"/>
            </w:tcBorders>
            <w:vAlign w:val="center"/>
          </w:tcPr>
          <w:p w14:paraId="4F89B89A">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val="0"/>
                <w:bCs w:val="0"/>
                <w:color w:val="auto"/>
                <w:sz w:val="21"/>
                <w:szCs w:val="21"/>
                <w:highlight w:val="none"/>
                <w:vertAlign w:val="baseline"/>
              </w:rPr>
            </w:pPr>
            <w:r>
              <w:rPr>
                <w:rFonts w:hint="default" w:ascii="Times New Roman" w:hAnsi="Times New Roman" w:eastAsia="宋体" w:cs="Times New Roman"/>
                <w:color w:val="auto"/>
                <w:sz w:val="21"/>
                <w:szCs w:val="21"/>
                <w:highlight w:val="none"/>
              </w:rPr>
              <w:t>土壤容重</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kg/m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eastAsia="zh-CN"/>
              </w:rPr>
              <w:t>）</w:t>
            </w:r>
          </w:p>
        </w:tc>
        <w:tc>
          <w:tcPr>
            <w:tcW w:w="5285" w:type="dxa"/>
            <w:tcBorders>
              <w:tl2br w:val="nil"/>
              <w:tr2bl w:val="nil"/>
            </w:tcBorders>
            <w:vAlign w:val="center"/>
          </w:tcPr>
          <w:p w14:paraId="7428C7C7">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宋体" w:hAnsi="宋体" w:eastAsia="宋体" w:cs="宋体"/>
                <w:b w:val="0"/>
                <w:bCs w:val="0"/>
                <w:color w:val="auto"/>
                <w:sz w:val="21"/>
                <w:szCs w:val="21"/>
                <w:highlight w:val="none"/>
                <w:vertAlign w:val="baseline"/>
                <w:lang w:val="en-US"/>
              </w:rPr>
            </w:pPr>
            <w:r>
              <w:rPr>
                <w:rFonts w:hint="eastAsia" w:ascii="Times New Roman" w:hAnsi="Times New Roman" w:eastAsia="宋体" w:cs="Times New Roman"/>
                <w:color w:val="auto"/>
                <w:sz w:val="21"/>
                <w:szCs w:val="21"/>
                <w:highlight w:val="none"/>
                <w:lang w:val="en-US" w:eastAsia="zh-CN"/>
              </w:rPr>
              <w:t>1.13</w:t>
            </w:r>
          </w:p>
        </w:tc>
      </w:tr>
      <w:tr w14:paraId="020F6C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983" w:type="dxa"/>
            <w:vMerge w:val="continue"/>
            <w:tcBorders>
              <w:tl2br w:val="nil"/>
              <w:tr2bl w:val="nil"/>
            </w:tcBorders>
            <w:vAlign w:val="center"/>
          </w:tcPr>
          <w:p w14:paraId="1CDDB929">
            <w:pPr>
              <w:pStyle w:val="806"/>
              <w:keepNext w:val="0"/>
              <w:keepLines w:val="0"/>
              <w:suppressLineNumbers w:val="0"/>
              <w:spacing w:before="56" w:beforeAutospacing="0" w:after="0" w:afterAutospacing="0"/>
              <w:ind w:left="108" w:leftChars="0" w:right="101" w:rightChars="0"/>
              <w:jc w:val="center"/>
              <w:rPr>
                <w:rFonts w:hint="eastAsia" w:ascii="宋体" w:hAnsi="宋体" w:eastAsia="宋体" w:cs="宋体"/>
                <w:b w:val="0"/>
                <w:bCs w:val="0"/>
                <w:color w:val="auto"/>
                <w:sz w:val="21"/>
                <w:szCs w:val="21"/>
                <w:highlight w:val="none"/>
                <w:vertAlign w:val="baseline"/>
              </w:rPr>
            </w:pPr>
          </w:p>
        </w:tc>
        <w:tc>
          <w:tcPr>
            <w:tcW w:w="2691" w:type="dxa"/>
            <w:tcBorders>
              <w:tl2br w:val="nil"/>
              <w:tr2bl w:val="nil"/>
            </w:tcBorders>
            <w:vAlign w:val="center"/>
          </w:tcPr>
          <w:p w14:paraId="6C37173E">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val="0"/>
                <w:bCs w:val="0"/>
                <w:color w:val="auto"/>
                <w:sz w:val="21"/>
                <w:szCs w:val="21"/>
                <w:highlight w:val="none"/>
                <w:vertAlign w:val="baseline"/>
              </w:rPr>
            </w:pPr>
            <w:r>
              <w:rPr>
                <w:rFonts w:hint="default" w:ascii="Times New Roman" w:hAnsi="Times New Roman" w:eastAsia="宋体" w:cs="Times New Roman"/>
                <w:color w:val="auto"/>
                <w:sz w:val="21"/>
                <w:szCs w:val="21"/>
                <w:highlight w:val="none"/>
              </w:rPr>
              <w:t>孔隙度</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eastAsia="zh-CN"/>
              </w:rPr>
              <w:t>）</w:t>
            </w:r>
          </w:p>
        </w:tc>
        <w:tc>
          <w:tcPr>
            <w:tcW w:w="5285" w:type="dxa"/>
            <w:tcBorders>
              <w:tl2br w:val="nil"/>
              <w:tr2bl w:val="nil"/>
            </w:tcBorders>
            <w:vAlign w:val="center"/>
          </w:tcPr>
          <w:p w14:paraId="3DA35241">
            <w:pPr>
              <w:keepNext w:val="0"/>
              <w:keepLines w:val="0"/>
              <w:pageBreakBefore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宋体" w:hAnsi="宋体" w:eastAsia="宋体" w:cs="宋体"/>
                <w:b w:val="0"/>
                <w:bCs w:val="0"/>
                <w:color w:val="auto"/>
                <w:sz w:val="21"/>
                <w:szCs w:val="21"/>
                <w:highlight w:val="none"/>
                <w:vertAlign w:val="baseline"/>
                <w:lang w:val="en-US"/>
              </w:rPr>
            </w:pPr>
            <w:r>
              <w:rPr>
                <w:rFonts w:hint="eastAsia" w:ascii="Times New Roman" w:hAnsi="Times New Roman" w:eastAsia="宋体" w:cs="Times New Roman"/>
                <w:color w:val="auto"/>
                <w:sz w:val="21"/>
                <w:szCs w:val="21"/>
                <w:highlight w:val="none"/>
                <w:lang w:val="en-US" w:eastAsia="zh-CN"/>
              </w:rPr>
              <w:t>56.0</w:t>
            </w:r>
          </w:p>
        </w:tc>
      </w:tr>
    </w:tbl>
    <w:p w14:paraId="2964D427">
      <w:pPr>
        <w:pStyle w:val="8"/>
        <w:numPr>
          <w:ilvl w:val="0"/>
          <w:numId w:val="0"/>
        </w:numPr>
        <w:bidi w:val="0"/>
        <w:ind w:leftChars="0"/>
        <w:rPr>
          <w:rFonts w:hint="default" w:asciiTheme="minorEastAsia" w:hAnsiTheme="minorEastAsia" w:eastAsiaTheme="minorEastAsia" w:cstheme="minorEastAsia"/>
          <w:color w:val="auto"/>
          <w:spacing w:val="1"/>
          <w:szCs w:val="24"/>
          <w:highlight w:val="none"/>
          <w:lang w:val="en-US"/>
        </w:rPr>
      </w:pPr>
      <w:r>
        <w:rPr>
          <w:rFonts w:hint="eastAsia" w:asciiTheme="minorEastAsia" w:hAnsiTheme="minorEastAsia" w:eastAsiaTheme="minorEastAsia" w:cstheme="minorEastAsia"/>
          <w:color w:val="auto"/>
          <w:highlight w:val="none"/>
          <w:lang w:val="en-US" w:eastAsia="zh-CN"/>
        </w:rPr>
        <w:t>4.3.5.2土壤环境质量现状评价</w:t>
      </w:r>
    </w:p>
    <w:p w14:paraId="38B60954">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1、监测数据的来源</w:t>
      </w:r>
    </w:p>
    <w:p w14:paraId="3BFDCEE8">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本次评价</w:t>
      </w:r>
      <w:r>
        <w:rPr>
          <w:rFonts w:hint="eastAsia" w:asciiTheme="minorEastAsia" w:hAnsiTheme="minorEastAsia" w:eastAsiaTheme="minorEastAsia" w:cstheme="minorEastAsia"/>
          <w:color w:val="auto"/>
          <w:highlight w:val="none"/>
          <w:lang w:val="en-US" w:eastAsia="zh-CN"/>
        </w:rPr>
        <w:t>土壤环境质量</w:t>
      </w:r>
      <w:r>
        <w:rPr>
          <w:rFonts w:hint="eastAsia" w:asciiTheme="minorEastAsia" w:hAnsiTheme="minorEastAsia" w:eastAsiaTheme="minorEastAsia" w:cstheme="minorEastAsia"/>
          <w:color w:val="auto"/>
          <w:highlight w:val="none"/>
        </w:rPr>
        <w:t>现状监测数据</w:t>
      </w:r>
      <w:r>
        <w:rPr>
          <w:rFonts w:hint="eastAsia" w:asciiTheme="minorEastAsia" w:hAnsiTheme="minorEastAsia" w:eastAsiaTheme="minorEastAsia" w:cstheme="minorEastAsia"/>
          <w:color w:val="auto"/>
          <w:highlight w:val="none"/>
          <w:lang w:val="en-US" w:eastAsia="zh-CN"/>
        </w:rPr>
        <w:t>来源</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黑龙江嘉龙环保科技有限公司灰渣回填复垦利用项目现状检测报告</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lang w:val="en-US" w:eastAsia="zh-CN"/>
        </w:rPr>
        <w:t>该厂区</w:t>
      </w:r>
      <w:r>
        <w:rPr>
          <w:rFonts w:hint="eastAsia" w:asciiTheme="minorEastAsia" w:hAnsiTheme="minorEastAsia" w:eastAsiaTheme="minorEastAsia" w:cstheme="minorEastAsia"/>
          <w:color w:val="auto"/>
          <w:highlight w:val="none"/>
        </w:rPr>
        <w:t>委托</w:t>
      </w:r>
      <w:r>
        <w:rPr>
          <w:rFonts w:hint="eastAsia" w:asciiTheme="minorEastAsia" w:hAnsiTheme="minorEastAsia" w:eastAsiaTheme="minorEastAsia" w:cstheme="minorEastAsia"/>
          <w:bCs/>
          <w:color w:val="auto"/>
          <w:sz w:val="24"/>
          <w:highlight w:val="none"/>
          <w:lang w:eastAsia="zh-CN"/>
        </w:rPr>
        <w:t>黑龙江博仕检验检测有限公司</w:t>
      </w:r>
      <w:r>
        <w:rPr>
          <w:rFonts w:hint="eastAsia" w:asciiTheme="minorEastAsia" w:hAnsiTheme="minorEastAsia" w:eastAsiaTheme="minorEastAsia" w:cstheme="minorEastAsia"/>
          <w:color w:val="auto"/>
          <w:highlight w:val="none"/>
        </w:rPr>
        <w:t>进行现场监测。</w:t>
      </w:r>
    </w:p>
    <w:p w14:paraId="6221A8AE">
      <w:pPr>
        <w:numPr>
          <w:ilvl w:val="0"/>
          <w:numId w:val="0"/>
        </w:numPr>
        <w:spacing w:line="360" w:lineRule="auto"/>
        <w:ind w:leftChars="200"/>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rPr>
        <w:t>监测点位</w:t>
      </w:r>
      <w:r>
        <w:rPr>
          <w:rFonts w:hint="eastAsia" w:asciiTheme="minorEastAsia" w:hAnsiTheme="minorEastAsia" w:eastAsiaTheme="minorEastAsia" w:cstheme="minorEastAsia"/>
          <w:color w:val="auto"/>
          <w:highlight w:val="none"/>
          <w:lang w:val="en-US" w:eastAsia="zh-CN"/>
        </w:rPr>
        <w:t>及监测因子</w:t>
      </w:r>
    </w:p>
    <w:p w14:paraId="33CE2405">
      <w:pPr>
        <w:spacing w:line="240" w:lineRule="auto"/>
        <w:jc w:val="center"/>
        <w:rPr>
          <w:rFonts w:hint="eastAsia" w:asciiTheme="minorEastAsia" w:hAnsiTheme="minorEastAsia" w:eastAsiaTheme="minorEastAsia" w:cstheme="minorEastAsia"/>
          <w:b/>
          <w:color w:val="auto"/>
          <w:highlight w:val="none"/>
          <w:lang w:eastAsia="zh-CN"/>
        </w:rPr>
      </w:pPr>
      <w:r>
        <w:rPr>
          <w:rFonts w:hint="eastAsia" w:asciiTheme="minorEastAsia" w:hAnsiTheme="minorEastAsia" w:eastAsiaTheme="minorEastAsia" w:cstheme="minorEastAsia"/>
          <w:b/>
          <w:color w:val="auto"/>
          <w:highlight w:val="none"/>
        </w:rPr>
        <w:t>表4.</w:t>
      </w:r>
      <w:r>
        <w:rPr>
          <w:rFonts w:hint="eastAsia" w:asciiTheme="minorEastAsia" w:hAnsiTheme="minorEastAsia" w:eastAsiaTheme="minorEastAsia" w:cstheme="minorEastAsia"/>
          <w:b/>
          <w:color w:val="auto"/>
          <w:highlight w:val="none"/>
          <w:lang w:val="en-US" w:eastAsia="zh-CN"/>
        </w:rPr>
        <w:t>3-13</w:t>
      </w:r>
      <w:r>
        <w:rPr>
          <w:rFonts w:hint="eastAsia" w:asciiTheme="minorEastAsia" w:hAnsiTheme="minorEastAsia" w:eastAsiaTheme="minorEastAsia" w:cstheme="minorEastAsia"/>
          <w:b/>
          <w:color w:val="auto"/>
          <w:highlight w:val="none"/>
        </w:rPr>
        <w:t xml:space="preserve">  土壤监测点基本情况表</w:t>
      </w:r>
    </w:p>
    <w:tbl>
      <w:tblPr>
        <w:tblStyle w:val="84"/>
        <w:tblW w:w="8957" w:type="dxa"/>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65"/>
        <w:gridCol w:w="1290"/>
        <w:gridCol w:w="930"/>
        <w:gridCol w:w="1245"/>
        <w:gridCol w:w="1873"/>
        <w:gridCol w:w="2854"/>
      </w:tblGrid>
      <w:tr w14:paraId="1A8EA6B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765" w:type="dxa"/>
            <w:tcBorders>
              <w:tl2br w:val="nil"/>
              <w:tr2bl w:val="nil"/>
            </w:tcBorders>
            <w:noWrap w:val="0"/>
            <w:vAlign w:val="center"/>
          </w:tcPr>
          <w:p w14:paraId="1E1BCF7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序号</w:t>
            </w:r>
          </w:p>
        </w:tc>
        <w:tc>
          <w:tcPr>
            <w:tcW w:w="1290" w:type="dxa"/>
            <w:tcBorders>
              <w:tl2br w:val="nil"/>
              <w:tr2bl w:val="nil"/>
            </w:tcBorders>
            <w:noWrap w:val="0"/>
            <w:vAlign w:val="center"/>
          </w:tcPr>
          <w:p w14:paraId="3F700D0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点位</w:t>
            </w:r>
          </w:p>
        </w:tc>
        <w:tc>
          <w:tcPr>
            <w:tcW w:w="930" w:type="dxa"/>
            <w:tcBorders>
              <w:tl2br w:val="nil"/>
              <w:tr2bl w:val="nil"/>
            </w:tcBorders>
            <w:noWrap w:val="0"/>
            <w:vAlign w:val="center"/>
          </w:tcPr>
          <w:p w14:paraId="4F65626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取样</w:t>
            </w:r>
          </w:p>
          <w:p w14:paraId="7F9B72B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位置</w:t>
            </w:r>
          </w:p>
        </w:tc>
        <w:tc>
          <w:tcPr>
            <w:tcW w:w="1245" w:type="dxa"/>
            <w:tcBorders>
              <w:tl2br w:val="nil"/>
              <w:tr2bl w:val="nil"/>
            </w:tcBorders>
            <w:noWrap w:val="0"/>
            <w:vAlign w:val="center"/>
          </w:tcPr>
          <w:p w14:paraId="6820C3F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取样点</w:t>
            </w:r>
          </w:p>
        </w:tc>
        <w:tc>
          <w:tcPr>
            <w:tcW w:w="1873" w:type="dxa"/>
            <w:tcBorders>
              <w:tl2br w:val="nil"/>
              <w:tr2bl w:val="nil"/>
            </w:tcBorders>
            <w:noWrap w:val="0"/>
            <w:vAlign w:val="center"/>
          </w:tcPr>
          <w:p w14:paraId="4C2AD94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经纬度</w:t>
            </w:r>
          </w:p>
        </w:tc>
        <w:tc>
          <w:tcPr>
            <w:tcW w:w="2854" w:type="dxa"/>
            <w:tcBorders>
              <w:tl2br w:val="nil"/>
              <w:tr2bl w:val="nil"/>
            </w:tcBorders>
            <w:noWrap w:val="0"/>
            <w:vAlign w:val="center"/>
          </w:tcPr>
          <w:p w14:paraId="54B9874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cs="Times New Roman"/>
                <w:color w:val="auto"/>
                <w:kern w:val="2"/>
                <w:sz w:val="21"/>
                <w:szCs w:val="21"/>
                <w:highlight w:val="none"/>
                <w:lang w:val="en-US" w:eastAsia="zh-CN"/>
              </w:rPr>
              <w:t>监测因子</w:t>
            </w:r>
          </w:p>
        </w:tc>
      </w:tr>
      <w:tr w14:paraId="48A84A75">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765" w:type="dxa"/>
            <w:tcBorders>
              <w:tl2br w:val="nil"/>
              <w:tr2bl w:val="nil"/>
            </w:tcBorders>
            <w:noWrap w:val="0"/>
            <w:vAlign w:val="center"/>
          </w:tcPr>
          <w:p w14:paraId="0110CF1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rPr>
              <w:t>1#</w:t>
            </w:r>
          </w:p>
        </w:tc>
        <w:tc>
          <w:tcPr>
            <w:tcW w:w="1290" w:type="dxa"/>
            <w:tcBorders>
              <w:tl2br w:val="nil"/>
              <w:tr2bl w:val="nil"/>
            </w:tcBorders>
            <w:noWrap w:val="0"/>
            <w:vAlign w:val="center"/>
          </w:tcPr>
          <w:p w14:paraId="2CE6F49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项目永久占地内</w:t>
            </w:r>
          </w:p>
        </w:tc>
        <w:tc>
          <w:tcPr>
            <w:tcW w:w="930" w:type="dxa"/>
            <w:vMerge w:val="restart"/>
            <w:tcBorders>
              <w:tl2br w:val="nil"/>
              <w:tr2bl w:val="nil"/>
            </w:tcBorders>
            <w:noWrap w:val="0"/>
            <w:vAlign w:val="center"/>
          </w:tcPr>
          <w:p w14:paraId="7017003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占地范围内</w:t>
            </w:r>
          </w:p>
        </w:tc>
        <w:tc>
          <w:tcPr>
            <w:tcW w:w="1245" w:type="dxa"/>
            <w:vMerge w:val="restart"/>
            <w:tcBorders>
              <w:tl2br w:val="nil"/>
              <w:tr2bl w:val="nil"/>
            </w:tcBorders>
            <w:noWrap w:val="0"/>
            <w:vAlign w:val="center"/>
          </w:tcPr>
          <w:p w14:paraId="5DD5FB4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柱状样点0-0.5m（①）、0.5-1.5m（②）、1.5-</w:t>
            </w:r>
            <w:r>
              <w:rPr>
                <w:rFonts w:hint="default" w:ascii="Times New Roman" w:hAnsi="Times New Roman" w:cs="Times New Roman"/>
                <w:color w:val="auto"/>
                <w:kern w:val="2"/>
                <w:sz w:val="21"/>
                <w:szCs w:val="21"/>
                <w:highlight w:val="none"/>
                <w:lang w:val="en-US" w:eastAsia="zh-CN"/>
              </w:rPr>
              <w:t>2.7</w:t>
            </w:r>
            <w:r>
              <w:rPr>
                <w:rFonts w:hint="default" w:ascii="Times New Roman" w:hAnsi="Times New Roman" w:cs="Times New Roman"/>
                <w:color w:val="auto"/>
                <w:kern w:val="2"/>
                <w:sz w:val="21"/>
                <w:szCs w:val="21"/>
                <w:highlight w:val="none"/>
              </w:rPr>
              <w:t>m（③）各取1个样</w:t>
            </w:r>
          </w:p>
        </w:tc>
        <w:tc>
          <w:tcPr>
            <w:tcW w:w="1873" w:type="dxa"/>
            <w:tcBorders>
              <w:tl2br w:val="nil"/>
              <w:tr2bl w:val="nil"/>
            </w:tcBorders>
            <w:noWrap w:val="0"/>
            <w:vAlign w:val="center"/>
          </w:tcPr>
          <w:p w14:paraId="7E75A82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rPr>
              <w:t>128.27735692°</w:t>
            </w:r>
            <w:r>
              <w:rPr>
                <w:rFonts w:hint="default" w:ascii="Times New Roman" w:hAnsi="Times New Roman" w:eastAsia="宋体" w:cs="Times New Roman"/>
                <w:color w:val="auto"/>
                <w:kern w:val="2"/>
                <w:sz w:val="21"/>
                <w:szCs w:val="21"/>
                <w:highlight w:val="none"/>
                <w:lang w:val="en-US" w:eastAsia="zh-CN"/>
              </w:rPr>
              <w:br w:type="textWrapping"/>
            </w:r>
            <w:r>
              <w:rPr>
                <w:rFonts w:hint="default" w:ascii="Times New Roman" w:hAnsi="Times New Roman" w:eastAsia="宋体" w:cs="Times New Roman"/>
                <w:color w:val="auto"/>
                <w:kern w:val="2"/>
                <w:sz w:val="21"/>
                <w:szCs w:val="21"/>
                <w:highlight w:val="none"/>
                <w:lang w:val="en-US" w:eastAsia="zh-CN"/>
              </w:rPr>
              <w:t>45.27222124°</w:t>
            </w:r>
          </w:p>
        </w:tc>
        <w:tc>
          <w:tcPr>
            <w:tcW w:w="2854" w:type="dxa"/>
            <w:vMerge w:val="restart"/>
            <w:tcBorders>
              <w:tl2br w:val="nil"/>
              <w:tr2bl w:val="nil"/>
            </w:tcBorders>
            <w:noWrap w:val="0"/>
            <w:vAlign w:val="center"/>
          </w:tcPr>
          <w:p w14:paraId="223B295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rPr>
            </w:pPr>
            <w:r>
              <w:rPr>
                <w:rFonts w:ascii="Times New Roman"/>
                <w:color w:val="auto"/>
                <w:sz w:val="21"/>
                <w:szCs w:val="21"/>
                <w:highlight w:val="none"/>
              </w:rPr>
              <w:t>pH、砷、镉、铬（六价）、铜、铅、汞、镍；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硝基苯、苯胺、2-氯酚、苯并[a]蒽、苯并[a]芘、苯并[b]荧蒽、苯并[k]荧蒽、䓛、二苯并[a，h]蒽、茚并[1，2，3-cd]芘、萘</w:t>
            </w:r>
          </w:p>
        </w:tc>
      </w:tr>
      <w:tr w14:paraId="55C69E4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765" w:type="dxa"/>
            <w:tcBorders>
              <w:tl2br w:val="nil"/>
              <w:tr2bl w:val="nil"/>
            </w:tcBorders>
            <w:noWrap w:val="0"/>
            <w:vAlign w:val="center"/>
          </w:tcPr>
          <w:p w14:paraId="7DE6ACE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rPr>
              <w:t>2#</w:t>
            </w:r>
          </w:p>
        </w:tc>
        <w:tc>
          <w:tcPr>
            <w:tcW w:w="1290" w:type="dxa"/>
            <w:tcBorders>
              <w:tl2br w:val="nil"/>
              <w:tr2bl w:val="nil"/>
            </w:tcBorders>
            <w:noWrap w:val="0"/>
            <w:vAlign w:val="center"/>
          </w:tcPr>
          <w:p w14:paraId="7CE6DEE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项目永久占地内</w:t>
            </w:r>
          </w:p>
        </w:tc>
        <w:tc>
          <w:tcPr>
            <w:tcW w:w="930" w:type="dxa"/>
            <w:vMerge w:val="continue"/>
            <w:tcBorders>
              <w:tl2br w:val="nil"/>
              <w:tr2bl w:val="nil"/>
            </w:tcBorders>
            <w:noWrap w:val="0"/>
            <w:vAlign w:val="center"/>
          </w:tcPr>
          <w:p w14:paraId="50CFE14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p>
        </w:tc>
        <w:tc>
          <w:tcPr>
            <w:tcW w:w="1245" w:type="dxa"/>
            <w:vMerge w:val="continue"/>
            <w:tcBorders>
              <w:tl2br w:val="nil"/>
              <w:tr2bl w:val="nil"/>
            </w:tcBorders>
            <w:noWrap w:val="0"/>
            <w:vAlign w:val="center"/>
          </w:tcPr>
          <w:p w14:paraId="139D5E1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p>
        </w:tc>
        <w:tc>
          <w:tcPr>
            <w:tcW w:w="1873" w:type="dxa"/>
            <w:tcBorders>
              <w:tl2br w:val="nil"/>
              <w:tr2bl w:val="nil"/>
            </w:tcBorders>
            <w:noWrap w:val="0"/>
            <w:vAlign w:val="center"/>
          </w:tcPr>
          <w:p w14:paraId="4D35A9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rPr>
              <w:t>128.27760637°</w:t>
            </w:r>
          </w:p>
          <w:p w14:paraId="14E15E59">
            <w:pPr>
              <w:pStyle w:val="2"/>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45.27186071</w:t>
            </w:r>
            <w:r>
              <w:rPr>
                <w:rFonts w:hint="default" w:ascii="Times New Roman" w:hAnsi="Times New Roman" w:eastAsia="宋体" w:cs="Times New Roman"/>
                <w:color w:val="auto"/>
                <w:kern w:val="2"/>
                <w:sz w:val="21"/>
                <w:szCs w:val="21"/>
                <w:highlight w:val="none"/>
                <w:lang w:val="en-US" w:eastAsia="zh-CN"/>
              </w:rPr>
              <w:t>°</w:t>
            </w:r>
          </w:p>
        </w:tc>
        <w:tc>
          <w:tcPr>
            <w:tcW w:w="2854" w:type="dxa"/>
            <w:vMerge w:val="continue"/>
            <w:tcBorders>
              <w:tl2br w:val="nil"/>
              <w:tr2bl w:val="nil"/>
            </w:tcBorders>
            <w:noWrap w:val="0"/>
            <w:vAlign w:val="center"/>
          </w:tcPr>
          <w:p w14:paraId="314E343D">
            <w:pPr>
              <w:pStyle w:val="2"/>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lang w:val="en-US" w:eastAsia="zh-CN"/>
              </w:rPr>
            </w:pPr>
          </w:p>
        </w:tc>
      </w:tr>
      <w:tr w14:paraId="63C3004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765" w:type="dxa"/>
            <w:tcBorders>
              <w:tl2br w:val="nil"/>
              <w:tr2bl w:val="nil"/>
            </w:tcBorders>
            <w:noWrap w:val="0"/>
            <w:vAlign w:val="center"/>
          </w:tcPr>
          <w:p w14:paraId="6133537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rPr>
              <w:t>3#</w:t>
            </w:r>
          </w:p>
        </w:tc>
        <w:tc>
          <w:tcPr>
            <w:tcW w:w="1290" w:type="dxa"/>
            <w:tcBorders>
              <w:tl2br w:val="nil"/>
              <w:tr2bl w:val="nil"/>
            </w:tcBorders>
            <w:noWrap w:val="0"/>
            <w:vAlign w:val="center"/>
          </w:tcPr>
          <w:p w14:paraId="602B330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项目永久占地内</w:t>
            </w:r>
          </w:p>
        </w:tc>
        <w:tc>
          <w:tcPr>
            <w:tcW w:w="930" w:type="dxa"/>
            <w:vMerge w:val="continue"/>
            <w:tcBorders>
              <w:tl2br w:val="nil"/>
              <w:tr2bl w:val="nil"/>
            </w:tcBorders>
            <w:noWrap w:val="0"/>
            <w:vAlign w:val="center"/>
          </w:tcPr>
          <w:p w14:paraId="22751B1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p>
        </w:tc>
        <w:tc>
          <w:tcPr>
            <w:tcW w:w="1245" w:type="dxa"/>
            <w:vMerge w:val="continue"/>
            <w:tcBorders>
              <w:tl2br w:val="nil"/>
              <w:tr2bl w:val="nil"/>
            </w:tcBorders>
            <w:noWrap w:val="0"/>
            <w:vAlign w:val="center"/>
          </w:tcPr>
          <w:p w14:paraId="0763093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p>
        </w:tc>
        <w:tc>
          <w:tcPr>
            <w:tcW w:w="1873" w:type="dxa"/>
            <w:tcBorders>
              <w:tl2br w:val="nil"/>
              <w:tr2bl w:val="nil"/>
            </w:tcBorders>
            <w:noWrap w:val="0"/>
            <w:vAlign w:val="center"/>
          </w:tcPr>
          <w:p w14:paraId="64D779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128.27768683</w:t>
            </w:r>
            <w:r>
              <w:rPr>
                <w:rFonts w:hint="default" w:ascii="Times New Roman" w:hAnsi="Times New Roman" w:eastAsia="宋体" w:cs="Times New Roman"/>
                <w:color w:val="auto"/>
                <w:kern w:val="2"/>
                <w:sz w:val="21"/>
                <w:szCs w:val="21"/>
                <w:highlight w:val="none"/>
                <w:lang w:val="en-US" w:eastAsia="zh-CN"/>
              </w:rPr>
              <w:t>°</w:t>
            </w:r>
          </w:p>
          <w:p w14:paraId="7715BE2A">
            <w:pPr>
              <w:pStyle w:val="2"/>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45.27153605</w:t>
            </w:r>
            <w:r>
              <w:rPr>
                <w:rFonts w:hint="default" w:ascii="Times New Roman" w:hAnsi="Times New Roman" w:eastAsia="宋体" w:cs="Times New Roman"/>
                <w:color w:val="auto"/>
                <w:kern w:val="2"/>
                <w:sz w:val="21"/>
                <w:szCs w:val="21"/>
                <w:highlight w:val="none"/>
                <w:lang w:val="en-US" w:eastAsia="zh-CN"/>
              </w:rPr>
              <w:t>°</w:t>
            </w:r>
          </w:p>
        </w:tc>
        <w:tc>
          <w:tcPr>
            <w:tcW w:w="2854" w:type="dxa"/>
            <w:vMerge w:val="continue"/>
            <w:tcBorders>
              <w:tl2br w:val="nil"/>
              <w:tr2bl w:val="nil"/>
            </w:tcBorders>
            <w:noWrap w:val="0"/>
            <w:vAlign w:val="center"/>
          </w:tcPr>
          <w:p w14:paraId="50E30379">
            <w:pPr>
              <w:pStyle w:val="2"/>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lang w:val="en-US" w:eastAsia="zh-CN"/>
              </w:rPr>
            </w:pPr>
          </w:p>
        </w:tc>
      </w:tr>
      <w:tr w14:paraId="14B6121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70" w:hRule="atLeast"/>
          <w:jc w:val="center"/>
        </w:trPr>
        <w:tc>
          <w:tcPr>
            <w:tcW w:w="765" w:type="dxa"/>
            <w:tcBorders>
              <w:tl2br w:val="nil"/>
              <w:tr2bl w:val="nil"/>
            </w:tcBorders>
            <w:noWrap w:val="0"/>
            <w:vAlign w:val="center"/>
          </w:tcPr>
          <w:p w14:paraId="79B539B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rPr>
              <w:t>4#</w:t>
            </w:r>
          </w:p>
        </w:tc>
        <w:tc>
          <w:tcPr>
            <w:tcW w:w="1290" w:type="dxa"/>
            <w:tcBorders>
              <w:tl2br w:val="nil"/>
              <w:tr2bl w:val="nil"/>
            </w:tcBorders>
            <w:noWrap w:val="0"/>
            <w:vAlign w:val="center"/>
          </w:tcPr>
          <w:p w14:paraId="126BBBD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项目永久占地内</w:t>
            </w:r>
          </w:p>
        </w:tc>
        <w:tc>
          <w:tcPr>
            <w:tcW w:w="930" w:type="dxa"/>
            <w:vMerge w:val="continue"/>
            <w:tcBorders>
              <w:tl2br w:val="nil"/>
              <w:tr2bl w:val="nil"/>
            </w:tcBorders>
            <w:noWrap w:val="0"/>
            <w:vAlign w:val="center"/>
          </w:tcPr>
          <w:p w14:paraId="44C070C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p>
        </w:tc>
        <w:tc>
          <w:tcPr>
            <w:tcW w:w="1245" w:type="dxa"/>
            <w:tcBorders>
              <w:tl2br w:val="nil"/>
              <w:tr2bl w:val="nil"/>
            </w:tcBorders>
            <w:noWrap w:val="0"/>
            <w:vAlign w:val="center"/>
          </w:tcPr>
          <w:p w14:paraId="31729D0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表层样点0-0.2m</w:t>
            </w:r>
          </w:p>
        </w:tc>
        <w:tc>
          <w:tcPr>
            <w:tcW w:w="1873" w:type="dxa"/>
            <w:tcBorders>
              <w:tl2br w:val="nil"/>
              <w:tr2bl w:val="nil"/>
            </w:tcBorders>
            <w:noWrap w:val="0"/>
            <w:vAlign w:val="center"/>
          </w:tcPr>
          <w:p w14:paraId="3FC47E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rPr>
              <w:t>128.27811062°</w:t>
            </w:r>
          </w:p>
          <w:p w14:paraId="05CC86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45.27135861</w:t>
            </w:r>
            <w:r>
              <w:rPr>
                <w:rFonts w:hint="default" w:ascii="Times New Roman" w:hAnsi="Times New Roman" w:eastAsia="宋体" w:cs="Times New Roman"/>
                <w:color w:val="auto"/>
                <w:kern w:val="2"/>
                <w:sz w:val="21"/>
                <w:szCs w:val="21"/>
                <w:highlight w:val="none"/>
                <w:lang w:val="en-US" w:eastAsia="zh-CN"/>
              </w:rPr>
              <w:t>°</w:t>
            </w:r>
          </w:p>
        </w:tc>
        <w:tc>
          <w:tcPr>
            <w:tcW w:w="2854" w:type="dxa"/>
            <w:vMerge w:val="continue"/>
            <w:tcBorders>
              <w:tl2br w:val="nil"/>
              <w:tr2bl w:val="nil"/>
            </w:tcBorders>
            <w:noWrap w:val="0"/>
            <w:vAlign w:val="center"/>
          </w:tcPr>
          <w:p w14:paraId="47F91E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highlight w:val="none"/>
                <w:lang w:val="en-US" w:eastAsia="zh-CN"/>
              </w:rPr>
            </w:pPr>
          </w:p>
        </w:tc>
      </w:tr>
      <w:tr w14:paraId="18029A5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765" w:type="dxa"/>
            <w:tcBorders>
              <w:tl2br w:val="nil"/>
              <w:tr2bl w:val="nil"/>
            </w:tcBorders>
            <w:noWrap w:val="0"/>
            <w:vAlign w:val="center"/>
          </w:tcPr>
          <w:p w14:paraId="7FF0F97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rPr>
              <w:t>5#</w:t>
            </w:r>
          </w:p>
        </w:tc>
        <w:tc>
          <w:tcPr>
            <w:tcW w:w="1290" w:type="dxa"/>
            <w:tcBorders>
              <w:tl2br w:val="nil"/>
              <w:tr2bl w:val="nil"/>
            </w:tcBorders>
            <w:noWrap w:val="0"/>
            <w:vAlign w:val="center"/>
          </w:tcPr>
          <w:p w14:paraId="698F7D0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项目永久占地</w:t>
            </w:r>
            <w:r>
              <w:rPr>
                <w:rFonts w:hint="default" w:ascii="Times New Roman" w:hAnsi="Times New Roman" w:cs="Times New Roman"/>
                <w:color w:val="auto"/>
                <w:kern w:val="2"/>
                <w:sz w:val="21"/>
                <w:szCs w:val="21"/>
                <w:highlight w:val="none"/>
                <w:lang w:val="en-US" w:eastAsia="zh-CN"/>
              </w:rPr>
              <w:t>外北</w:t>
            </w:r>
            <w:r>
              <w:rPr>
                <w:rFonts w:hint="default" w:ascii="Times New Roman" w:hAnsi="Times New Roman" w:cs="Times New Roman"/>
                <w:color w:val="auto"/>
                <w:kern w:val="2"/>
                <w:sz w:val="21"/>
                <w:szCs w:val="21"/>
                <w:highlight w:val="none"/>
              </w:rPr>
              <w:t>侧</w:t>
            </w:r>
            <w:r>
              <w:rPr>
                <w:rFonts w:hint="default" w:ascii="Times New Roman" w:hAnsi="Times New Roman" w:cs="Times New Roman"/>
                <w:color w:val="auto"/>
                <w:kern w:val="2"/>
                <w:sz w:val="21"/>
                <w:szCs w:val="21"/>
                <w:highlight w:val="none"/>
                <w:lang w:val="en-US" w:eastAsia="zh-CN"/>
              </w:rPr>
              <w:t>1</w:t>
            </w:r>
            <w:r>
              <w:rPr>
                <w:rFonts w:hint="default" w:ascii="Times New Roman" w:hAnsi="Times New Roman" w:cs="Times New Roman"/>
                <w:color w:val="auto"/>
                <w:kern w:val="2"/>
                <w:sz w:val="21"/>
                <w:szCs w:val="21"/>
                <w:highlight w:val="none"/>
              </w:rPr>
              <w:t>0m处</w:t>
            </w:r>
          </w:p>
        </w:tc>
        <w:tc>
          <w:tcPr>
            <w:tcW w:w="930" w:type="dxa"/>
            <w:vMerge w:val="restart"/>
            <w:tcBorders>
              <w:tl2br w:val="nil"/>
              <w:tr2bl w:val="nil"/>
            </w:tcBorders>
            <w:noWrap w:val="0"/>
            <w:vAlign w:val="center"/>
          </w:tcPr>
          <w:p w14:paraId="71CA254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占地范围外</w:t>
            </w:r>
          </w:p>
        </w:tc>
        <w:tc>
          <w:tcPr>
            <w:tcW w:w="1245" w:type="dxa"/>
            <w:tcBorders>
              <w:tl2br w:val="nil"/>
              <w:tr2bl w:val="nil"/>
            </w:tcBorders>
            <w:noWrap w:val="0"/>
            <w:vAlign w:val="center"/>
          </w:tcPr>
          <w:p w14:paraId="59EF0D1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表层样点0-0.2m</w:t>
            </w:r>
          </w:p>
        </w:tc>
        <w:tc>
          <w:tcPr>
            <w:tcW w:w="1873" w:type="dxa"/>
            <w:tcBorders>
              <w:tl2br w:val="nil"/>
              <w:tr2bl w:val="nil"/>
            </w:tcBorders>
            <w:noWrap w:val="0"/>
            <w:vAlign w:val="center"/>
          </w:tcPr>
          <w:p w14:paraId="1B3E13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128.27715039</w:t>
            </w:r>
            <w:r>
              <w:rPr>
                <w:rFonts w:hint="default" w:ascii="Times New Roman" w:hAnsi="Times New Roman" w:eastAsia="宋体" w:cs="Times New Roman"/>
                <w:color w:val="auto"/>
                <w:kern w:val="2"/>
                <w:sz w:val="21"/>
                <w:szCs w:val="21"/>
                <w:highlight w:val="none"/>
                <w:lang w:val="en-US" w:eastAsia="zh-CN"/>
              </w:rPr>
              <w:t>°</w:t>
            </w:r>
          </w:p>
          <w:p w14:paraId="08486160">
            <w:pPr>
              <w:pStyle w:val="2"/>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128.27715039</w:t>
            </w:r>
            <w:r>
              <w:rPr>
                <w:rFonts w:hint="default" w:ascii="Times New Roman" w:hAnsi="Times New Roman" w:eastAsia="宋体" w:cs="Times New Roman"/>
                <w:color w:val="auto"/>
                <w:kern w:val="2"/>
                <w:sz w:val="21"/>
                <w:szCs w:val="21"/>
                <w:highlight w:val="none"/>
                <w:lang w:val="en-US" w:eastAsia="zh-CN"/>
              </w:rPr>
              <w:t>°</w:t>
            </w:r>
          </w:p>
        </w:tc>
        <w:tc>
          <w:tcPr>
            <w:tcW w:w="2854" w:type="dxa"/>
            <w:vMerge w:val="restart"/>
            <w:tcBorders>
              <w:tl2br w:val="nil"/>
              <w:tr2bl w:val="nil"/>
            </w:tcBorders>
            <w:noWrap w:val="0"/>
            <w:vAlign w:val="center"/>
          </w:tcPr>
          <w:p w14:paraId="76572B9B">
            <w:pPr>
              <w:pStyle w:val="2"/>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lang w:val="en-US"/>
              </w:rPr>
            </w:pPr>
            <w:r>
              <w:rPr>
                <w:rFonts w:ascii="Times New Roman"/>
                <w:color w:val="auto"/>
                <w:sz w:val="21"/>
                <w:szCs w:val="21"/>
                <w:highlight w:val="none"/>
              </w:rPr>
              <w:t>pH</w:t>
            </w:r>
            <w:r>
              <w:rPr>
                <w:rFonts w:hint="eastAsia" w:ascii="Times New Roman"/>
                <w:color w:val="auto"/>
                <w:sz w:val="21"/>
                <w:szCs w:val="21"/>
                <w:highlight w:val="none"/>
                <w:lang w:eastAsia="zh-CN"/>
              </w:rPr>
              <w:t>、</w:t>
            </w:r>
            <w:r>
              <w:rPr>
                <w:rFonts w:hint="eastAsia" w:ascii="Calibri" w:hAnsi="Calibri" w:eastAsia="宋体" w:cs="Times New Roman"/>
                <w:b w:val="0"/>
                <w:bCs w:val="0"/>
                <w:color w:val="auto"/>
                <w:kern w:val="2"/>
                <w:sz w:val="21"/>
                <w:szCs w:val="21"/>
                <w:highlight w:val="none"/>
                <w:lang w:val="en-US" w:eastAsia="zh-CN" w:bidi="ar-SA"/>
              </w:rPr>
              <w:t>镉、汞、砷、铅、总铬、铜、镍、锌</w:t>
            </w:r>
            <w:r>
              <w:rPr>
                <w:rFonts w:hint="eastAsia" w:ascii="Calibri" w:hAnsi="Calibri" w:cs="Times New Roman"/>
                <w:b w:val="0"/>
                <w:bCs w:val="0"/>
                <w:color w:val="auto"/>
                <w:kern w:val="2"/>
                <w:sz w:val="21"/>
                <w:szCs w:val="21"/>
                <w:highlight w:val="none"/>
                <w:lang w:val="en-US" w:eastAsia="zh-CN" w:bidi="ar-SA"/>
              </w:rPr>
              <w:t>、六价铬</w:t>
            </w:r>
          </w:p>
        </w:tc>
      </w:tr>
      <w:tr w14:paraId="0267034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765" w:type="dxa"/>
            <w:tcBorders>
              <w:tl2br w:val="nil"/>
              <w:tr2bl w:val="nil"/>
            </w:tcBorders>
            <w:noWrap w:val="0"/>
            <w:vAlign w:val="center"/>
          </w:tcPr>
          <w:p w14:paraId="2C2E7C5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rPr>
              <w:t>6#</w:t>
            </w:r>
          </w:p>
        </w:tc>
        <w:tc>
          <w:tcPr>
            <w:tcW w:w="1290" w:type="dxa"/>
            <w:tcBorders>
              <w:tl2br w:val="nil"/>
              <w:tr2bl w:val="nil"/>
            </w:tcBorders>
            <w:noWrap w:val="0"/>
            <w:vAlign w:val="center"/>
          </w:tcPr>
          <w:p w14:paraId="4B59B1E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项目永久占地</w:t>
            </w:r>
            <w:r>
              <w:rPr>
                <w:rFonts w:hint="default" w:ascii="Times New Roman" w:hAnsi="Times New Roman" w:cs="Times New Roman"/>
                <w:color w:val="auto"/>
                <w:kern w:val="2"/>
                <w:sz w:val="21"/>
                <w:szCs w:val="21"/>
                <w:highlight w:val="none"/>
                <w:lang w:val="en-US" w:eastAsia="zh-CN"/>
              </w:rPr>
              <w:t>外</w:t>
            </w:r>
            <w:r>
              <w:rPr>
                <w:rFonts w:hint="eastAsia" w:ascii="Times New Roman" w:hAnsi="Times New Roman" w:cs="Times New Roman"/>
                <w:color w:val="auto"/>
                <w:kern w:val="2"/>
                <w:sz w:val="21"/>
                <w:szCs w:val="21"/>
                <w:highlight w:val="none"/>
                <w:lang w:val="en-US" w:eastAsia="zh-CN"/>
              </w:rPr>
              <w:t>东</w:t>
            </w:r>
            <w:r>
              <w:rPr>
                <w:rFonts w:hint="default" w:ascii="Times New Roman" w:hAnsi="Times New Roman" w:cs="Times New Roman"/>
                <w:color w:val="auto"/>
                <w:kern w:val="2"/>
                <w:sz w:val="21"/>
                <w:szCs w:val="21"/>
                <w:highlight w:val="none"/>
              </w:rPr>
              <w:t>侧</w:t>
            </w:r>
            <w:r>
              <w:rPr>
                <w:rFonts w:hint="eastAsia" w:ascii="Times New Roman" w:hAnsi="Times New Roman" w:cs="Times New Roman"/>
                <w:color w:val="auto"/>
                <w:kern w:val="2"/>
                <w:sz w:val="21"/>
                <w:szCs w:val="21"/>
                <w:highlight w:val="none"/>
                <w:lang w:val="en-US" w:eastAsia="zh-CN"/>
              </w:rPr>
              <w:t>40</w:t>
            </w:r>
            <w:r>
              <w:rPr>
                <w:rFonts w:hint="default" w:ascii="Times New Roman" w:hAnsi="Times New Roman" w:cs="Times New Roman"/>
                <w:color w:val="auto"/>
                <w:kern w:val="2"/>
                <w:sz w:val="21"/>
                <w:szCs w:val="21"/>
                <w:highlight w:val="none"/>
              </w:rPr>
              <w:t>m处</w:t>
            </w:r>
          </w:p>
        </w:tc>
        <w:tc>
          <w:tcPr>
            <w:tcW w:w="930" w:type="dxa"/>
            <w:vMerge w:val="continue"/>
            <w:tcBorders>
              <w:tl2br w:val="nil"/>
              <w:tr2bl w:val="nil"/>
            </w:tcBorders>
            <w:noWrap w:val="0"/>
            <w:vAlign w:val="center"/>
          </w:tcPr>
          <w:p w14:paraId="67016D8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p>
        </w:tc>
        <w:tc>
          <w:tcPr>
            <w:tcW w:w="1245" w:type="dxa"/>
            <w:tcBorders>
              <w:tl2br w:val="nil"/>
              <w:tr2bl w:val="nil"/>
            </w:tcBorders>
            <w:noWrap w:val="0"/>
            <w:vAlign w:val="center"/>
          </w:tcPr>
          <w:p w14:paraId="3E1F4A8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表层样点0-0.2m</w:t>
            </w:r>
          </w:p>
        </w:tc>
        <w:tc>
          <w:tcPr>
            <w:tcW w:w="1873" w:type="dxa"/>
            <w:tcBorders>
              <w:tl2br w:val="nil"/>
              <w:tr2bl w:val="nil"/>
            </w:tcBorders>
            <w:noWrap w:val="0"/>
            <w:vAlign w:val="center"/>
          </w:tcPr>
          <w:p w14:paraId="1C99FD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128.27909768</w:t>
            </w:r>
            <w:r>
              <w:rPr>
                <w:rFonts w:hint="default" w:ascii="Times New Roman" w:hAnsi="Times New Roman" w:eastAsia="宋体" w:cs="Times New Roman"/>
                <w:color w:val="auto"/>
                <w:kern w:val="2"/>
                <w:sz w:val="21"/>
                <w:szCs w:val="21"/>
                <w:highlight w:val="none"/>
                <w:lang w:val="en-US" w:eastAsia="zh-CN"/>
              </w:rPr>
              <w:t>°</w:t>
            </w:r>
          </w:p>
          <w:p w14:paraId="06422CB0">
            <w:pPr>
              <w:pStyle w:val="2"/>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45.27157380</w:t>
            </w:r>
            <w:r>
              <w:rPr>
                <w:rFonts w:hint="default" w:ascii="Times New Roman" w:hAnsi="Times New Roman" w:eastAsia="宋体" w:cs="Times New Roman"/>
                <w:color w:val="auto"/>
                <w:kern w:val="2"/>
                <w:sz w:val="21"/>
                <w:szCs w:val="21"/>
                <w:highlight w:val="none"/>
                <w:lang w:val="en-US" w:eastAsia="zh-CN"/>
              </w:rPr>
              <w:t>°</w:t>
            </w:r>
          </w:p>
        </w:tc>
        <w:tc>
          <w:tcPr>
            <w:tcW w:w="2854" w:type="dxa"/>
            <w:vMerge w:val="continue"/>
            <w:tcBorders>
              <w:tl2br w:val="nil"/>
              <w:tr2bl w:val="nil"/>
            </w:tcBorders>
            <w:noWrap w:val="0"/>
            <w:vAlign w:val="center"/>
          </w:tcPr>
          <w:p w14:paraId="532F6E3F">
            <w:pPr>
              <w:pStyle w:val="2"/>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cs="Times New Roman"/>
                <w:color w:val="auto"/>
                <w:sz w:val="21"/>
                <w:szCs w:val="21"/>
                <w:highlight w:val="none"/>
              </w:rPr>
            </w:pPr>
          </w:p>
        </w:tc>
      </w:tr>
    </w:tbl>
    <w:p w14:paraId="758F828A">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rPr>
        <w:t>、监测时间及频次</w:t>
      </w:r>
    </w:p>
    <w:p w14:paraId="1A3010A1">
      <w:pPr>
        <w:spacing w:line="360" w:lineRule="auto"/>
        <w:ind w:firstLine="48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监测1天，每天各监测点采样1次。</w:t>
      </w:r>
    </w:p>
    <w:p w14:paraId="5B580DCA">
      <w:pPr>
        <w:numPr>
          <w:ilvl w:val="0"/>
          <w:numId w:val="0"/>
        </w:numPr>
        <w:spacing w:line="360" w:lineRule="auto"/>
        <w:ind w:firstLine="480" w:firstLineChars="200"/>
        <w:rPr>
          <w:rFonts w:hint="eastAsia" w:asciiTheme="minorEastAsia" w:hAnsiTheme="minorEastAsia" w:eastAsiaTheme="minorEastAsia" w:cstheme="minorEastAsia"/>
          <w:color w:val="auto"/>
          <w:szCs w:val="22"/>
          <w:highlight w:val="none"/>
        </w:rPr>
      </w:pPr>
      <w:r>
        <w:rPr>
          <w:rFonts w:hint="eastAsia" w:asciiTheme="minorEastAsia" w:hAnsiTheme="minorEastAsia" w:eastAsiaTheme="minorEastAsia" w:cstheme="minorEastAsia"/>
          <w:color w:val="auto"/>
          <w:szCs w:val="22"/>
          <w:highlight w:val="none"/>
          <w:lang w:val="en-US" w:eastAsia="zh-CN"/>
        </w:rPr>
        <w:t>4、</w:t>
      </w:r>
      <w:r>
        <w:rPr>
          <w:rFonts w:hint="eastAsia" w:asciiTheme="minorEastAsia" w:hAnsiTheme="minorEastAsia" w:eastAsiaTheme="minorEastAsia" w:cstheme="minorEastAsia"/>
          <w:color w:val="auto"/>
          <w:szCs w:val="22"/>
          <w:highlight w:val="none"/>
        </w:rPr>
        <w:t>监测分析方法</w:t>
      </w:r>
    </w:p>
    <w:p w14:paraId="666B3DCB">
      <w:pPr>
        <w:spacing w:line="240" w:lineRule="auto"/>
        <w:jc w:val="center"/>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b/>
          <w:color w:val="auto"/>
          <w:highlight w:val="none"/>
        </w:rPr>
        <w:t>表4.</w:t>
      </w:r>
      <w:r>
        <w:rPr>
          <w:rFonts w:hint="eastAsia" w:asciiTheme="minorEastAsia" w:hAnsiTheme="minorEastAsia" w:eastAsiaTheme="minorEastAsia" w:cstheme="minorEastAsia"/>
          <w:b/>
          <w:color w:val="auto"/>
          <w:highlight w:val="none"/>
          <w:lang w:val="en-US" w:eastAsia="zh-CN"/>
        </w:rPr>
        <w:t>3-14</w:t>
      </w:r>
      <w:r>
        <w:rPr>
          <w:rFonts w:hint="eastAsia" w:asciiTheme="minorEastAsia" w:hAnsiTheme="minorEastAsia" w:eastAsiaTheme="minorEastAsia" w:cstheme="minorEastAsia"/>
          <w:b/>
          <w:color w:val="auto"/>
          <w:highlight w:val="none"/>
        </w:rPr>
        <w:t xml:space="preserve">  </w:t>
      </w:r>
      <w:r>
        <w:rPr>
          <w:rFonts w:hint="eastAsia" w:asciiTheme="minorEastAsia" w:hAnsiTheme="minorEastAsia" w:eastAsiaTheme="minorEastAsia" w:cstheme="minorEastAsia"/>
          <w:b/>
          <w:color w:val="auto"/>
          <w:highlight w:val="none"/>
          <w:lang w:val="en-US" w:eastAsia="zh-CN"/>
        </w:rPr>
        <w:t>监测分析方法</w:t>
      </w:r>
    </w:p>
    <w:tbl>
      <w:tblPr>
        <w:tblStyle w:val="84"/>
        <w:tblW w:w="484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07"/>
        <w:gridCol w:w="1730"/>
        <w:gridCol w:w="3897"/>
        <w:gridCol w:w="1765"/>
      </w:tblGrid>
      <w:tr w14:paraId="05D661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tblHeader/>
          <w:jc w:val="center"/>
        </w:trPr>
        <w:tc>
          <w:tcPr>
            <w:tcW w:w="751" w:type="pct"/>
            <w:tcBorders>
              <w:tl2br w:val="nil"/>
              <w:tr2bl w:val="nil"/>
            </w:tcBorders>
            <w:noWrap w:val="0"/>
            <w:vAlign w:val="center"/>
          </w:tcPr>
          <w:p w14:paraId="4621A9D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cs="Times New Roman"/>
                <w:b w:val="0"/>
                <w:bCs w:val="0"/>
                <w:color w:val="auto"/>
                <w:sz w:val="21"/>
                <w:szCs w:val="21"/>
                <w:highlight w:val="none"/>
                <w:lang w:val="en-US" w:eastAsia="zh-CN"/>
              </w:rPr>
              <w:t>类别</w:t>
            </w:r>
          </w:p>
        </w:tc>
        <w:tc>
          <w:tcPr>
            <w:tcW w:w="994" w:type="pct"/>
            <w:tcBorders>
              <w:tl2br w:val="nil"/>
              <w:tr2bl w:val="nil"/>
            </w:tcBorders>
            <w:noWrap w:val="0"/>
            <w:vAlign w:val="center"/>
          </w:tcPr>
          <w:p w14:paraId="6BFF9170">
            <w:pPr>
              <w:keepNext w:val="0"/>
              <w:keepLines w:val="0"/>
              <w:suppressLineNumbers w:val="0"/>
              <w:spacing w:before="0" w:beforeAutospacing="0" w:after="0" w:afterAutospacing="0" w:line="240" w:lineRule="auto"/>
              <w:ind w:left="0" w:right="0"/>
              <w:jc w:val="center"/>
              <w:rPr>
                <w:rFonts w:hint="default" w:ascii="Times New Roman" w:hAnsi="Times New Roman" w:cs="Times New Roman"/>
                <w:b w:val="0"/>
                <w:bCs w:val="0"/>
                <w:color w:val="auto"/>
                <w:sz w:val="21"/>
                <w:szCs w:val="21"/>
                <w:highlight w:val="none"/>
              </w:rPr>
            </w:pPr>
            <w:r>
              <w:rPr>
                <w:rFonts w:hint="default" w:ascii="Times New Roman" w:hAnsi="Times New Roman" w:cs="Times New Roman"/>
                <w:b w:val="0"/>
                <w:bCs w:val="0"/>
                <w:color w:val="auto"/>
                <w:sz w:val="21"/>
                <w:szCs w:val="21"/>
                <w:highlight w:val="none"/>
              </w:rPr>
              <w:t>检测项目</w:t>
            </w:r>
          </w:p>
        </w:tc>
        <w:tc>
          <w:tcPr>
            <w:tcW w:w="2239" w:type="pct"/>
            <w:tcBorders>
              <w:tl2br w:val="nil"/>
              <w:tr2bl w:val="nil"/>
            </w:tcBorders>
            <w:noWrap w:val="0"/>
            <w:vAlign w:val="center"/>
          </w:tcPr>
          <w:p w14:paraId="1290DB8D">
            <w:pPr>
              <w:keepNext w:val="0"/>
              <w:keepLines w:val="0"/>
              <w:suppressLineNumbers w:val="0"/>
              <w:spacing w:before="0" w:beforeAutospacing="0" w:after="0" w:afterAutospacing="0" w:line="240" w:lineRule="auto"/>
              <w:ind w:left="0" w:right="0"/>
              <w:jc w:val="center"/>
              <w:rPr>
                <w:rFonts w:hint="default" w:ascii="Times New Roman" w:hAnsi="Times New Roman" w:cs="Times New Roman"/>
                <w:b w:val="0"/>
                <w:bCs w:val="0"/>
                <w:color w:val="auto"/>
                <w:sz w:val="21"/>
                <w:szCs w:val="21"/>
                <w:highlight w:val="none"/>
              </w:rPr>
            </w:pPr>
            <w:r>
              <w:rPr>
                <w:rFonts w:hint="default" w:ascii="Times New Roman" w:hAnsi="Times New Roman" w:cs="Times New Roman"/>
                <w:b w:val="0"/>
                <w:bCs w:val="0"/>
                <w:color w:val="auto"/>
                <w:sz w:val="21"/>
                <w:szCs w:val="21"/>
                <w:highlight w:val="none"/>
              </w:rPr>
              <w:t>检测标准及方法</w:t>
            </w:r>
          </w:p>
        </w:tc>
        <w:tc>
          <w:tcPr>
            <w:tcW w:w="1014" w:type="pct"/>
            <w:tcBorders>
              <w:tl2br w:val="nil"/>
              <w:tr2bl w:val="nil"/>
            </w:tcBorders>
            <w:noWrap w:val="0"/>
            <w:vAlign w:val="center"/>
          </w:tcPr>
          <w:p w14:paraId="276BBE4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val="0"/>
                <w:bCs w:val="0"/>
                <w:color w:val="auto"/>
                <w:sz w:val="21"/>
                <w:szCs w:val="21"/>
                <w:highlight w:val="none"/>
                <w:lang w:eastAsia="zh-CN"/>
              </w:rPr>
            </w:pPr>
            <w:r>
              <w:rPr>
                <w:rFonts w:hint="default" w:ascii="Times New Roman" w:hAnsi="Times New Roman" w:cs="Times New Roman"/>
                <w:b w:val="0"/>
                <w:bCs w:val="0"/>
                <w:color w:val="auto"/>
                <w:sz w:val="21"/>
                <w:szCs w:val="21"/>
                <w:highlight w:val="none"/>
                <w:lang w:eastAsia="zh-CN"/>
              </w:rPr>
              <w:t>方法检出限</w:t>
            </w:r>
          </w:p>
        </w:tc>
      </w:tr>
      <w:tr w14:paraId="57D09A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3" w:hRule="atLeast"/>
          <w:jc w:val="center"/>
        </w:trPr>
        <w:tc>
          <w:tcPr>
            <w:tcW w:w="751" w:type="pct"/>
            <w:vMerge w:val="restart"/>
            <w:tcBorders>
              <w:tl2br w:val="nil"/>
              <w:tr2bl w:val="nil"/>
            </w:tcBorders>
            <w:noWrap w:val="0"/>
            <w:vAlign w:val="center"/>
          </w:tcPr>
          <w:p w14:paraId="2156C847">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土壤</w:t>
            </w:r>
          </w:p>
        </w:tc>
        <w:tc>
          <w:tcPr>
            <w:tcW w:w="994" w:type="pct"/>
            <w:tcBorders>
              <w:tl2br w:val="nil"/>
              <w:tr2bl w:val="nil"/>
            </w:tcBorders>
            <w:shd w:val="clear" w:color="auto" w:fill="auto"/>
            <w:noWrap w:val="0"/>
            <w:vAlign w:val="center"/>
          </w:tcPr>
          <w:p w14:paraId="36182A91">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sz w:val="21"/>
                <w:szCs w:val="21"/>
                <w:highlight w:val="none"/>
                <w:lang w:val="en-US" w:eastAsia="zh-CN"/>
              </w:rPr>
              <w:t>pH</w:t>
            </w:r>
          </w:p>
        </w:tc>
        <w:tc>
          <w:tcPr>
            <w:tcW w:w="2239" w:type="pct"/>
            <w:tcBorders>
              <w:tl2br w:val="nil"/>
              <w:tr2bl w:val="nil"/>
            </w:tcBorders>
            <w:shd w:val="clear" w:color="auto" w:fill="auto"/>
            <w:noWrap w:val="0"/>
            <w:vAlign w:val="center"/>
          </w:tcPr>
          <w:p w14:paraId="16050628">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cs="Times New Roman"/>
                <w:color w:val="auto"/>
                <w:kern w:val="0"/>
                <w:sz w:val="21"/>
                <w:szCs w:val="21"/>
                <w:highlight w:val="none"/>
                <w:lang w:val="en-US" w:eastAsia="zh-CN" w:bidi="ar"/>
              </w:rPr>
            </w:pPr>
            <w:r>
              <w:rPr>
                <w:rFonts w:hint="default" w:ascii="Times New Roman" w:hAnsi="Times New Roman" w:cs="Times New Roman"/>
                <w:color w:val="auto"/>
                <w:kern w:val="0"/>
                <w:sz w:val="21"/>
                <w:szCs w:val="21"/>
                <w:highlight w:val="none"/>
                <w:lang w:bidi="ar"/>
              </w:rPr>
              <w:t>土壤 pH值的测定 电位法</w:t>
            </w:r>
            <w:r>
              <w:rPr>
                <w:rFonts w:hint="default" w:ascii="Times New Roman" w:hAnsi="Times New Roman" w:cs="Times New Roman"/>
                <w:color w:val="auto"/>
                <w:kern w:val="0"/>
                <w:sz w:val="21"/>
                <w:szCs w:val="21"/>
                <w:highlight w:val="none"/>
                <w:lang w:val="en-US" w:eastAsia="zh-CN" w:bidi="ar"/>
              </w:rPr>
              <w:t xml:space="preserve"> </w:t>
            </w:r>
          </w:p>
          <w:p w14:paraId="12F665ED">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cs="Times New Roman"/>
                <w:color w:val="auto"/>
                <w:kern w:val="0"/>
                <w:sz w:val="21"/>
                <w:szCs w:val="21"/>
                <w:highlight w:val="none"/>
                <w:lang w:bidi="ar"/>
              </w:rPr>
              <w:t>HJ 962-2018</w:t>
            </w:r>
          </w:p>
        </w:tc>
        <w:tc>
          <w:tcPr>
            <w:tcW w:w="1014" w:type="pct"/>
            <w:tcBorders>
              <w:tl2br w:val="nil"/>
              <w:tr2bl w:val="nil"/>
            </w:tcBorders>
            <w:shd w:val="clear" w:color="auto" w:fill="auto"/>
            <w:noWrap w:val="0"/>
            <w:vAlign w:val="center"/>
          </w:tcPr>
          <w:p w14:paraId="0A1F0A6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w:t>
            </w:r>
          </w:p>
        </w:tc>
      </w:tr>
      <w:tr w14:paraId="4BBC25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51" w:type="pct"/>
            <w:vMerge w:val="continue"/>
            <w:tcBorders>
              <w:tl2br w:val="nil"/>
              <w:tr2bl w:val="nil"/>
            </w:tcBorders>
            <w:noWrap w:val="0"/>
            <w:vAlign w:val="center"/>
          </w:tcPr>
          <w:p w14:paraId="28BE67EC">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4047EAB6">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砷</w:t>
            </w:r>
          </w:p>
        </w:tc>
        <w:tc>
          <w:tcPr>
            <w:tcW w:w="2239" w:type="pct"/>
            <w:tcBorders>
              <w:tl2br w:val="nil"/>
              <w:tr2bl w:val="nil"/>
            </w:tcBorders>
            <w:shd w:val="clear" w:color="auto" w:fill="auto"/>
            <w:noWrap w:val="0"/>
            <w:vAlign w:val="center"/>
          </w:tcPr>
          <w:p w14:paraId="57C23471">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土壤和沉积物 汞、砷、硒、铋、锑的测定 微波消解/原子荧光法 HJ 680-2013</w:t>
            </w:r>
          </w:p>
        </w:tc>
        <w:tc>
          <w:tcPr>
            <w:tcW w:w="1014" w:type="pct"/>
            <w:tcBorders>
              <w:tl2br w:val="nil"/>
              <w:tr2bl w:val="nil"/>
            </w:tcBorders>
            <w:shd w:val="clear" w:color="auto" w:fill="auto"/>
            <w:noWrap w:val="0"/>
            <w:vAlign w:val="center"/>
          </w:tcPr>
          <w:p w14:paraId="48C8347F">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0.01mg/kg</w:t>
            </w:r>
          </w:p>
        </w:tc>
      </w:tr>
      <w:tr w14:paraId="5E0667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49" w:hRule="atLeast"/>
          <w:jc w:val="center"/>
        </w:trPr>
        <w:tc>
          <w:tcPr>
            <w:tcW w:w="751" w:type="pct"/>
            <w:vMerge w:val="continue"/>
            <w:tcBorders>
              <w:tl2br w:val="nil"/>
              <w:tr2bl w:val="nil"/>
            </w:tcBorders>
            <w:noWrap w:val="0"/>
            <w:vAlign w:val="center"/>
          </w:tcPr>
          <w:p w14:paraId="27306B12">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0FA16EEB">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镉</w:t>
            </w:r>
          </w:p>
        </w:tc>
        <w:tc>
          <w:tcPr>
            <w:tcW w:w="2239" w:type="pct"/>
            <w:tcBorders>
              <w:tl2br w:val="nil"/>
              <w:tr2bl w:val="nil"/>
            </w:tcBorders>
            <w:shd w:val="clear" w:color="auto" w:fill="auto"/>
            <w:noWrap w:val="0"/>
            <w:vAlign w:val="center"/>
          </w:tcPr>
          <w:p w14:paraId="109AC03D">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kern w:val="0"/>
                <w:sz w:val="21"/>
                <w:szCs w:val="21"/>
                <w:highlight w:val="none"/>
                <w:lang w:bidi="ar"/>
              </w:rPr>
              <w:t>土壤质量 铅、镉的测定 石墨炉原子吸收分光光度法</w:t>
            </w:r>
          </w:p>
          <w:p w14:paraId="021EF965">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bidi="ar"/>
              </w:rPr>
              <w:t>GB/T 17141-1997</w:t>
            </w:r>
          </w:p>
        </w:tc>
        <w:tc>
          <w:tcPr>
            <w:tcW w:w="1014" w:type="pct"/>
            <w:tcBorders>
              <w:tl2br w:val="nil"/>
              <w:tr2bl w:val="nil"/>
            </w:tcBorders>
            <w:shd w:val="clear" w:color="auto" w:fill="auto"/>
            <w:noWrap w:val="0"/>
            <w:vAlign w:val="center"/>
          </w:tcPr>
          <w:p w14:paraId="3832BC1E">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0.01mg/kg</w:t>
            </w:r>
          </w:p>
        </w:tc>
      </w:tr>
      <w:tr w14:paraId="12EE1B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90" w:hRule="atLeast"/>
          <w:jc w:val="center"/>
        </w:trPr>
        <w:tc>
          <w:tcPr>
            <w:tcW w:w="751" w:type="pct"/>
            <w:vMerge w:val="continue"/>
            <w:tcBorders>
              <w:tl2br w:val="nil"/>
              <w:tr2bl w:val="nil"/>
            </w:tcBorders>
            <w:noWrap w:val="0"/>
            <w:vAlign w:val="center"/>
          </w:tcPr>
          <w:p w14:paraId="6D1A170A">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6716E2F1">
            <w:pPr>
              <w:pStyle w:val="806"/>
              <w:keepNext w:val="0"/>
              <w:keepLines w:val="0"/>
              <w:suppressLineNumbers w:val="0"/>
              <w:spacing w:before="56" w:beforeAutospacing="0" w:after="0" w:afterAutospacing="0" w:line="240" w:lineRule="auto"/>
              <w:ind w:left="0" w:right="101" w:right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铬（六价）</w:t>
            </w:r>
          </w:p>
        </w:tc>
        <w:tc>
          <w:tcPr>
            <w:tcW w:w="2239" w:type="pct"/>
            <w:tcBorders>
              <w:tl2br w:val="nil"/>
              <w:tr2bl w:val="nil"/>
            </w:tcBorders>
            <w:shd w:val="clear" w:color="auto" w:fill="auto"/>
            <w:noWrap w:val="0"/>
            <w:vAlign w:val="center"/>
          </w:tcPr>
          <w:p w14:paraId="34D4FFE9">
            <w:pPr>
              <w:pStyle w:val="806"/>
              <w:keepNext w:val="0"/>
              <w:keepLines w:val="0"/>
              <w:suppressLineNumbers w:val="0"/>
              <w:spacing w:before="56" w:beforeAutospacing="0" w:after="0" w:afterAutospacing="0" w:line="240" w:lineRule="auto"/>
              <w:ind w:left="108" w:leftChars="0" w:right="101" w:rightChars="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土壤和沉积物 六价铬的测定 碱溶液提取-火焰原子吸收分光光度法</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HJ</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1082-2019</w:t>
            </w:r>
          </w:p>
        </w:tc>
        <w:tc>
          <w:tcPr>
            <w:tcW w:w="1014" w:type="pct"/>
            <w:tcBorders>
              <w:tl2br w:val="nil"/>
              <w:tr2bl w:val="nil"/>
            </w:tcBorders>
            <w:shd w:val="clear" w:color="auto" w:fill="auto"/>
            <w:noWrap w:val="0"/>
            <w:vAlign w:val="center"/>
          </w:tcPr>
          <w:p w14:paraId="64615F99">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0.5mg/kg</w:t>
            </w:r>
          </w:p>
        </w:tc>
      </w:tr>
      <w:tr w14:paraId="298D81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9" w:hRule="atLeast"/>
          <w:jc w:val="center"/>
        </w:trPr>
        <w:tc>
          <w:tcPr>
            <w:tcW w:w="751" w:type="pct"/>
            <w:vMerge w:val="restart"/>
            <w:tcBorders>
              <w:tl2br w:val="nil"/>
              <w:tr2bl w:val="nil"/>
            </w:tcBorders>
            <w:noWrap w:val="0"/>
            <w:vAlign w:val="center"/>
          </w:tcPr>
          <w:p w14:paraId="5C5703ED">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土壤</w:t>
            </w:r>
          </w:p>
        </w:tc>
        <w:tc>
          <w:tcPr>
            <w:tcW w:w="994" w:type="pct"/>
            <w:tcBorders>
              <w:tl2br w:val="nil"/>
              <w:tr2bl w:val="nil"/>
            </w:tcBorders>
            <w:shd w:val="clear" w:color="auto" w:fill="auto"/>
            <w:noWrap w:val="0"/>
            <w:vAlign w:val="center"/>
          </w:tcPr>
          <w:p w14:paraId="75AEA907">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铜</w:t>
            </w:r>
          </w:p>
        </w:tc>
        <w:tc>
          <w:tcPr>
            <w:tcW w:w="2239" w:type="pct"/>
            <w:tcBorders>
              <w:tl2br w:val="nil"/>
              <w:tr2bl w:val="nil"/>
            </w:tcBorders>
            <w:shd w:val="clear" w:color="auto" w:fill="auto"/>
            <w:noWrap w:val="0"/>
            <w:vAlign w:val="center"/>
          </w:tcPr>
          <w:p w14:paraId="58B99743">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bidi="ar"/>
              </w:rPr>
              <w:t>土壤和沉积物 铜、锌、铅、镍、铬的测定 火焰原子吸收分光光度法</w:t>
            </w:r>
            <w:r>
              <w:rPr>
                <w:rFonts w:hint="default"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bidi="ar"/>
              </w:rPr>
              <w:t>HJ 491-2019</w:t>
            </w:r>
          </w:p>
        </w:tc>
        <w:tc>
          <w:tcPr>
            <w:tcW w:w="1014" w:type="pct"/>
            <w:tcBorders>
              <w:tl2br w:val="nil"/>
              <w:tr2bl w:val="nil"/>
            </w:tcBorders>
            <w:shd w:val="clear" w:color="auto" w:fill="auto"/>
            <w:noWrap w:val="0"/>
            <w:vAlign w:val="center"/>
          </w:tcPr>
          <w:p w14:paraId="4A81E95B">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1mg/kg</w:t>
            </w:r>
          </w:p>
        </w:tc>
      </w:tr>
      <w:tr w14:paraId="50AE4D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9" w:hRule="atLeast"/>
          <w:jc w:val="center"/>
        </w:trPr>
        <w:tc>
          <w:tcPr>
            <w:tcW w:w="751" w:type="pct"/>
            <w:vMerge w:val="continue"/>
            <w:tcBorders>
              <w:tl2br w:val="nil"/>
              <w:tr2bl w:val="nil"/>
            </w:tcBorders>
            <w:noWrap w:val="0"/>
            <w:vAlign w:val="center"/>
          </w:tcPr>
          <w:p w14:paraId="6E6205F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bidi="ar"/>
              </w:rPr>
            </w:pPr>
          </w:p>
        </w:tc>
        <w:tc>
          <w:tcPr>
            <w:tcW w:w="994" w:type="pct"/>
            <w:tcBorders>
              <w:tl2br w:val="nil"/>
              <w:tr2bl w:val="nil"/>
            </w:tcBorders>
            <w:shd w:val="clear" w:color="auto" w:fill="auto"/>
            <w:noWrap w:val="0"/>
            <w:vAlign w:val="center"/>
          </w:tcPr>
          <w:p w14:paraId="286E6960">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kern w:val="0"/>
                <w:sz w:val="21"/>
                <w:szCs w:val="21"/>
                <w:highlight w:val="none"/>
                <w:lang w:bidi="ar"/>
              </w:rPr>
              <w:t>铬</w:t>
            </w:r>
          </w:p>
        </w:tc>
        <w:tc>
          <w:tcPr>
            <w:tcW w:w="2239" w:type="pct"/>
            <w:tcBorders>
              <w:tl2br w:val="nil"/>
              <w:tr2bl w:val="nil"/>
            </w:tcBorders>
            <w:shd w:val="clear" w:color="auto" w:fill="auto"/>
            <w:noWrap w:val="0"/>
            <w:vAlign w:val="center"/>
          </w:tcPr>
          <w:p w14:paraId="08269345">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kern w:val="0"/>
                <w:sz w:val="21"/>
                <w:szCs w:val="21"/>
                <w:highlight w:val="none"/>
                <w:lang w:bidi="ar"/>
              </w:rPr>
              <w:t>土壤和沉积物 铜、锌、铅、镍、铬的测定 火焰原子吸收分光光度法</w:t>
            </w:r>
            <w:r>
              <w:rPr>
                <w:rFonts w:hint="default"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bidi="ar"/>
              </w:rPr>
              <w:t>HJ 491-2019</w:t>
            </w:r>
          </w:p>
        </w:tc>
        <w:tc>
          <w:tcPr>
            <w:tcW w:w="1014" w:type="pct"/>
            <w:tcBorders>
              <w:tl2br w:val="nil"/>
              <w:tr2bl w:val="nil"/>
            </w:tcBorders>
            <w:shd w:val="clear" w:color="auto" w:fill="auto"/>
            <w:noWrap w:val="0"/>
            <w:vAlign w:val="center"/>
          </w:tcPr>
          <w:p w14:paraId="6CB5A3D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4</w:t>
            </w: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7A2B79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92" w:hRule="atLeast"/>
          <w:jc w:val="center"/>
        </w:trPr>
        <w:tc>
          <w:tcPr>
            <w:tcW w:w="751" w:type="pct"/>
            <w:vMerge w:val="continue"/>
            <w:tcBorders>
              <w:tl2br w:val="nil"/>
              <w:tr2bl w:val="nil"/>
            </w:tcBorders>
            <w:noWrap w:val="0"/>
            <w:vAlign w:val="center"/>
          </w:tcPr>
          <w:p w14:paraId="51375DB6">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0AAB5718">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铅</w:t>
            </w:r>
          </w:p>
        </w:tc>
        <w:tc>
          <w:tcPr>
            <w:tcW w:w="2239" w:type="pct"/>
            <w:tcBorders>
              <w:tl2br w:val="nil"/>
              <w:tr2bl w:val="nil"/>
            </w:tcBorders>
            <w:shd w:val="clear" w:color="auto" w:fill="auto"/>
            <w:noWrap w:val="0"/>
            <w:vAlign w:val="center"/>
          </w:tcPr>
          <w:p w14:paraId="0BC41BC1">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bidi="ar"/>
              </w:rPr>
              <w:t>土壤和沉积物 铜、锌、铅、镍、铬的测定 火焰原子吸收分光光度法</w:t>
            </w:r>
            <w:r>
              <w:rPr>
                <w:rFonts w:hint="default"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bidi="ar"/>
              </w:rPr>
              <w:t>HJ 491-2019</w:t>
            </w:r>
          </w:p>
        </w:tc>
        <w:tc>
          <w:tcPr>
            <w:tcW w:w="1014" w:type="pct"/>
            <w:tcBorders>
              <w:tl2br w:val="nil"/>
              <w:tr2bl w:val="nil"/>
            </w:tcBorders>
            <w:shd w:val="clear" w:color="auto" w:fill="auto"/>
            <w:noWrap w:val="0"/>
            <w:vAlign w:val="center"/>
          </w:tcPr>
          <w:p w14:paraId="6FD3024B">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cs="Times New Roman"/>
                <w:i w:val="0"/>
                <w:iCs w:val="0"/>
                <w:color w:val="auto"/>
                <w:kern w:val="0"/>
                <w:sz w:val="21"/>
                <w:szCs w:val="21"/>
                <w:highlight w:val="none"/>
                <w:u w:val="none"/>
                <w:lang w:val="en-US" w:eastAsia="zh-CN" w:bidi="ar"/>
              </w:rPr>
              <w:t>10</w:t>
            </w: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207B9F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56" w:hRule="atLeast"/>
          <w:jc w:val="center"/>
        </w:trPr>
        <w:tc>
          <w:tcPr>
            <w:tcW w:w="751" w:type="pct"/>
            <w:vMerge w:val="continue"/>
            <w:tcBorders>
              <w:tl2br w:val="nil"/>
              <w:tr2bl w:val="nil"/>
            </w:tcBorders>
            <w:noWrap w:val="0"/>
            <w:vAlign w:val="center"/>
          </w:tcPr>
          <w:p w14:paraId="4A0427F7">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292E6B0D">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汞</w:t>
            </w:r>
          </w:p>
        </w:tc>
        <w:tc>
          <w:tcPr>
            <w:tcW w:w="2239" w:type="pct"/>
            <w:tcBorders>
              <w:tl2br w:val="nil"/>
              <w:tr2bl w:val="nil"/>
            </w:tcBorders>
            <w:shd w:val="clear" w:color="auto" w:fill="auto"/>
            <w:noWrap w:val="0"/>
            <w:vAlign w:val="center"/>
          </w:tcPr>
          <w:p w14:paraId="107839BD">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土壤和沉积物 汞、砷、硒、铋、锑的测定 微波消解/原子荧光法 HJ 680-2013</w:t>
            </w:r>
          </w:p>
        </w:tc>
        <w:tc>
          <w:tcPr>
            <w:tcW w:w="1014" w:type="pct"/>
            <w:tcBorders>
              <w:tl2br w:val="nil"/>
              <w:tr2bl w:val="nil"/>
            </w:tcBorders>
            <w:shd w:val="clear" w:color="auto" w:fill="auto"/>
            <w:noWrap w:val="0"/>
            <w:vAlign w:val="center"/>
          </w:tcPr>
          <w:p w14:paraId="2C00EA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0.002mg/kg</w:t>
            </w:r>
          </w:p>
        </w:tc>
      </w:tr>
      <w:tr w14:paraId="613D39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90" w:hRule="atLeast"/>
          <w:jc w:val="center"/>
        </w:trPr>
        <w:tc>
          <w:tcPr>
            <w:tcW w:w="751" w:type="pct"/>
            <w:vMerge w:val="continue"/>
            <w:tcBorders>
              <w:tl2br w:val="nil"/>
              <w:tr2bl w:val="nil"/>
            </w:tcBorders>
            <w:noWrap w:val="0"/>
            <w:vAlign w:val="center"/>
          </w:tcPr>
          <w:p w14:paraId="63C1C5C6">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659FAB21">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镍</w:t>
            </w:r>
          </w:p>
        </w:tc>
        <w:tc>
          <w:tcPr>
            <w:tcW w:w="2239" w:type="pct"/>
            <w:tcBorders>
              <w:tl2br w:val="nil"/>
              <w:tr2bl w:val="nil"/>
            </w:tcBorders>
            <w:shd w:val="clear" w:color="auto" w:fill="auto"/>
            <w:noWrap w:val="0"/>
            <w:vAlign w:val="center"/>
          </w:tcPr>
          <w:p w14:paraId="1DFF7BBF">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bidi="ar"/>
              </w:rPr>
              <w:t>土壤和沉积物 铜、锌、铅、镍、铬的测定 火焰原子吸收分光光度法</w:t>
            </w:r>
            <w:r>
              <w:rPr>
                <w:rFonts w:hint="default"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bidi="ar"/>
              </w:rPr>
              <w:t>HJ 491-2019</w:t>
            </w:r>
          </w:p>
        </w:tc>
        <w:tc>
          <w:tcPr>
            <w:tcW w:w="1014" w:type="pct"/>
            <w:tcBorders>
              <w:tl2br w:val="nil"/>
              <w:tr2bl w:val="nil"/>
            </w:tcBorders>
            <w:shd w:val="clear" w:color="auto" w:fill="auto"/>
            <w:noWrap w:val="0"/>
            <w:vAlign w:val="center"/>
          </w:tcPr>
          <w:p w14:paraId="1BC068DB">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3mg/kg</w:t>
            </w:r>
          </w:p>
        </w:tc>
      </w:tr>
      <w:tr w14:paraId="7C5864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40" w:hRule="atLeast"/>
          <w:jc w:val="center"/>
        </w:trPr>
        <w:tc>
          <w:tcPr>
            <w:tcW w:w="751" w:type="pct"/>
            <w:vMerge w:val="continue"/>
            <w:tcBorders>
              <w:tl2br w:val="nil"/>
              <w:tr2bl w:val="nil"/>
            </w:tcBorders>
            <w:noWrap w:val="0"/>
            <w:vAlign w:val="center"/>
          </w:tcPr>
          <w:p w14:paraId="53285CF1">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0B358B8F">
            <w:pPr>
              <w:pStyle w:val="806"/>
              <w:keepNext w:val="0"/>
              <w:keepLines w:val="0"/>
              <w:suppressLineNumbers w:val="0"/>
              <w:spacing w:before="56" w:beforeAutospacing="0" w:after="0" w:afterAutospacing="0" w:line="240" w:lineRule="auto"/>
              <w:ind w:left="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四氯化碳</w:t>
            </w:r>
          </w:p>
        </w:tc>
        <w:tc>
          <w:tcPr>
            <w:tcW w:w="2239" w:type="pct"/>
            <w:tcBorders>
              <w:tl2br w:val="nil"/>
              <w:tr2bl w:val="nil"/>
            </w:tcBorders>
            <w:shd w:val="clear" w:color="auto" w:fill="auto"/>
            <w:noWrap w:val="0"/>
            <w:vAlign w:val="center"/>
          </w:tcPr>
          <w:p w14:paraId="16E81300">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有机物的测定吹扫捕</w:t>
            </w:r>
            <w:r>
              <w:rPr>
                <w:color w:val="auto"/>
                <w:spacing w:val="7"/>
                <w:sz w:val="21"/>
                <w:szCs w:val="21"/>
                <w:highlight w:val="none"/>
              </w:rPr>
              <w:t xml:space="preserve"> </w:t>
            </w:r>
            <w:r>
              <w:rPr>
                <w:color w:val="auto"/>
                <w:spacing w:val="-1"/>
                <w:sz w:val="21"/>
                <w:szCs w:val="21"/>
                <w:highlight w:val="none"/>
              </w:rPr>
              <w:t>集/气相色谱-质谱法</w:t>
            </w:r>
            <w:r>
              <w:rPr>
                <w:rFonts w:hint="default"/>
                <w:color w:val="auto"/>
                <w:spacing w:val="-1"/>
                <w:sz w:val="21"/>
                <w:szCs w:val="21"/>
                <w:highlight w:val="none"/>
                <w:lang w:val="en-US"/>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142F78C7">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1.3</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3C0A36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751" w:type="pct"/>
            <w:vMerge w:val="continue"/>
            <w:tcBorders>
              <w:tl2br w:val="nil"/>
              <w:tr2bl w:val="nil"/>
            </w:tcBorders>
            <w:noWrap w:val="0"/>
            <w:vAlign w:val="center"/>
          </w:tcPr>
          <w:p w14:paraId="52128C6F">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3A57BCED">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氯仿</w:t>
            </w:r>
          </w:p>
        </w:tc>
        <w:tc>
          <w:tcPr>
            <w:tcW w:w="2239" w:type="pct"/>
            <w:tcBorders>
              <w:tl2br w:val="nil"/>
              <w:tr2bl w:val="nil"/>
            </w:tcBorders>
            <w:shd w:val="clear" w:color="auto" w:fill="auto"/>
            <w:noWrap w:val="0"/>
            <w:vAlign w:val="center"/>
          </w:tcPr>
          <w:p w14:paraId="30B4843F">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1"/>
                <w:sz w:val="21"/>
                <w:szCs w:val="21"/>
                <w:highlight w:val="none"/>
              </w:rPr>
              <w:t>土壤和沉积物 挥发性</w:t>
            </w:r>
            <w:r>
              <w:rPr>
                <w:color w:val="auto"/>
                <w:spacing w:val="2"/>
                <w:sz w:val="21"/>
                <w:szCs w:val="21"/>
                <w:highlight w:val="none"/>
              </w:rPr>
              <w:t xml:space="preserve"> </w:t>
            </w:r>
            <w:r>
              <w:rPr>
                <w:color w:val="auto"/>
                <w:sz w:val="21"/>
                <w:szCs w:val="21"/>
                <w:highlight w:val="none"/>
              </w:rPr>
              <w:t>有机物的测定</w:t>
            </w:r>
            <w:r>
              <w:rPr>
                <w:rFonts w:hint="eastAsia"/>
                <w:color w:val="auto"/>
                <w:sz w:val="21"/>
                <w:szCs w:val="21"/>
                <w:highlight w:val="none"/>
                <w:lang w:val="en-US" w:eastAsia="zh-CN"/>
              </w:rPr>
              <w:t xml:space="preserve"> </w:t>
            </w:r>
            <w:r>
              <w:rPr>
                <w:color w:val="auto"/>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37F0771F">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cs="Times New Roman"/>
                <w:b w:val="0"/>
                <w:bCs w:val="0"/>
                <w:color w:val="auto"/>
                <w:sz w:val="21"/>
                <w:szCs w:val="21"/>
                <w:highlight w:val="none"/>
                <w:lang w:val="en-US" w:eastAsia="zh-CN"/>
              </w:rPr>
              <w:t>1.</w:t>
            </w:r>
            <w:r>
              <w:rPr>
                <w:rFonts w:hint="eastAsia" w:cs="Times New Roman"/>
                <w:b w:val="0"/>
                <w:bCs w:val="0"/>
                <w:color w:val="auto"/>
                <w:sz w:val="21"/>
                <w:szCs w:val="21"/>
                <w:highlight w:val="none"/>
                <w:lang w:val="en-US" w:eastAsia="zh-CN"/>
              </w:rPr>
              <w:t>1</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705F2F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32" w:hRule="atLeast"/>
          <w:jc w:val="center"/>
        </w:trPr>
        <w:tc>
          <w:tcPr>
            <w:tcW w:w="751" w:type="pct"/>
            <w:vMerge w:val="continue"/>
            <w:tcBorders>
              <w:tl2br w:val="nil"/>
              <w:tr2bl w:val="nil"/>
            </w:tcBorders>
            <w:noWrap w:val="0"/>
            <w:vAlign w:val="center"/>
          </w:tcPr>
          <w:p w14:paraId="2F872CC0">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5501BAEC">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氯甲烷</w:t>
            </w:r>
          </w:p>
        </w:tc>
        <w:tc>
          <w:tcPr>
            <w:tcW w:w="2239" w:type="pct"/>
            <w:tcBorders>
              <w:tl2br w:val="nil"/>
              <w:tr2bl w:val="nil"/>
            </w:tcBorders>
            <w:shd w:val="clear" w:color="auto" w:fill="auto"/>
            <w:noWrap w:val="0"/>
            <w:vAlign w:val="center"/>
          </w:tcPr>
          <w:p w14:paraId="5050D2D6">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有机物的测定吹扫捕</w:t>
            </w:r>
            <w:r>
              <w:rPr>
                <w:color w:val="auto"/>
                <w:spacing w:val="7"/>
                <w:sz w:val="21"/>
                <w:szCs w:val="21"/>
                <w:highlight w:val="none"/>
              </w:rPr>
              <w:t xml:space="preserve"> </w:t>
            </w:r>
            <w:r>
              <w:rPr>
                <w:color w:val="auto"/>
                <w:spacing w:val="-1"/>
                <w:sz w:val="21"/>
                <w:szCs w:val="21"/>
                <w:highlight w:val="none"/>
              </w:rPr>
              <w:t>集/气相色谱-质谱法</w:t>
            </w:r>
            <w:r>
              <w:rPr>
                <w:rFonts w:hint="default"/>
                <w:color w:val="auto"/>
                <w:spacing w:val="-1"/>
                <w:sz w:val="21"/>
                <w:szCs w:val="21"/>
                <w:highlight w:val="none"/>
                <w:lang w:val="en-US"/>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53BA295B">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1.0</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0AFE06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70" w:hRule="atLeast"/>
          <w:jc w:val="center"/>
        </w:trPr>
        <w:tc>
          <w:tcPr>
            <w:tcW w:w="751" w:type="pct"/>
            <w:vMerge w:val="continue"/>
            <w:tcBorders>
              <w:tl2br w:val="nil"/>
              <w:tr2bl w:val="nil"/>
            </w:tcBorders>
            <w:noWrap w:val="0"/>
            <w:vAlign w:val="center"/>
          </w:tcPr>
          <w:p w14:paraId="2427E17F">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5A376037">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1,1-二氯乙烷</w:t>
            </w:r>
          </w:p>
        </w:tc>
        <w:tc>
          <w:tcPr>
            <w:tcW w:w="2239" w:type="pct"/>
            <w:tcBorders>
              <w:tl2br w:val="nil"/>
              <w:tr2bl w:val="nil"/>
            </w:tcBorders>
            <w:shd w:val="clear" w:color="auto" w:fill="auto"/>
            <w:noWrap w:val="0"/>
            <w:vAlign w:val="center"/>
          </w:tcPr>
          <w:p w14:paraId="550A7F1D">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有机物的测定吹扫捕</w:t>
            </w:r>
            <w:r>
              <w:rPr>
                <w:color w:val="auto"/>
                <w:spacing w:val="7"/>
                <w:sz w:val="21"/>
                <w:szCs w:val="21"/>
                <w:highlight w:val="none"/>
              </w:rPr>
              <w:t xml:space="preserve"> </w:t>
            </w:r>
            <w:r>
              <w:rPr>
                <w:color w:val="auto"/>
                <w:spacing w:val="-1"/>
                <w:sz w:val="21"/>
                <w:szCs w:val="21"/>
                <w:highlight w:val="none"/>
              </w:rPr>
              <w:t>集/气相色谱-质谱法</w:t>
            </w:r>
            <w:r>
              <w:rPr>
                <w:rFonts w:hint="default"/>
                <w:color w:val="auto"/>
                <w:spacing w:val="-1"/>
                <w:sz w:val="21"/>
                <w:szCs w:val="21"/>
                <w:highlight w:val="none"/>
                <w:lang w:val="en-US"/>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6C936176">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2</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62ED1F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751" w:type="pct"/>
            <w:vMerge w:val="continue"/>
            <w:tcBorders>
              <w:tl2br w:val="nil"/>
              <w:tr2bl w:val="nil"/>
            </w:tcBorders>
            <w:noWrap w:val="0"/>
            <w:vAlign w:val="center"/>
          </w:tcPr>
          <w:p w14:paraId="0AA5D252">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1021B21A">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1,2-二氯乙烷</w:t>
            </w:r>
          </w:p>
        </w:tc>
        <w:tc>
          <w:tcPr>
            <w:tcW w:w="2239" w:type="pct"/>
            <w:tcBorders>
              <w:tl2br w:val="nil"/>
              <w:tr2bl w:val="nil"/>
            </w:tcBorders>
            <w:shd w:val="clear" w:color="auto" w:fill="auto"/>
            <w:noWrap w:val="0"/>
            <w:vAlign w:val="center"/>
          </w:tcPr>
          <w:p w14:paraId="71A72F53">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1"/>
                <w:sz w:val="21"/>
                <w:szCs w:val="21"/>
                <w:highlight w:val="none"/>
              </w:rPr>
              <w:t>土壤和沉积物 挥发性</w:t>
            </w:r>
            <w:r>
              <w:rPr>
                <w:color w:val="auto"/>
                <w:spacing w:val="2"/>
                <w:sz w:val="21"/>
                <w:szCs w:val="21"/>
                <w:highlight w:val="none"/>
              </w:rPr>
              <w:t xml:space="preserve"> </w:t>
            </w:r>
            <w:r>
              <w:rPr>
                <w:color w:val="auto"/>
                <w:sz w:val="21"/>
                <w:szCs w:val="21"/>
                <w:highlight w:val="none"/>
              </w:rPr>
              <w:t>有机物的测定</w:t>
            </w:r>
            <w:r>
              <w:rPr>
                <w:rFonts w:hint="eastAsia"/>
                <w:color w:val="auto"/>
                <w:sz w:val="21"/>
                <w:szCs w:val="21"/>
                <w:highlight w:val="none"/>
                <w:lang w:val="en-US" w:eastAsia="zh-CN"/>
              </w:rPr>
              <w:t xml:space="preserve"> </w:t>
            </w:r>
            <w:r>
              <w:rPr>
                <w:color w:val="auto"/>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445CBA6A">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1.3μg/kg</w:t>
            </w:r>
          </w:p>
        </w:tc>
      </w:tr>
      <w:tr w14:paraId="52867C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751" w:type="pct"/>
            <w:vMerge w:val="continue"/>
            <w:tcBorders>
              <w:tl2br w:val="nil"/>
              <w:tr2bl w:val="nil"/>
            </w:tcBorders>
            <w:noWrap w:val="0"/>
            <w:vAlign w:val="center"/>
          </w:tcPr>
          <w:p w14:paraId="383CABB9">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1CAE31E0">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1,1-二氯乙烯</w:t>
            </w:r>
          </w:p>
        </w:tc>
        <w:tc>
          <w:tcPr>
            <w:tcW w:w="2239" w:type="pct"/>
            <w:tcBorders>
              <w:tl2br w:val="nil"/>
              <w:tr2bl w:val="nil"/>
            </w:tcBorders>
            <w:shd w:val="clear" w:color="auto" w:fill="auto"/>
            <w:noWrap w:val="0"/>
            <w:vAlign w:val="center"/>
          </w:tcPr>
          <w:p w14:paraId="59FB6EE0">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有机物的测定吹扫捕</w:t>
            </w:r>
            <w:r>
              <w:rPr>
                <w:color w:val="auto"/>
                <w:spacing w:val="7"/>
                <w:sz w:val="21"/>
                <w:szCs w:val="21"/>
                <w:highlight w:val="none"/>
              </w:rPr>
              <w:t xml:space="preserve"> </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1F0576F6">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1.0</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02285E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69" w:hRule="atLeast"/>
          <w:jc w:val="center"/>
        </w:trPr>
        <w:tc>
          <w:tcPr>
            <w:tcW w:w="751" w:type="pct"/>
            <w:vMerge w:val="continue"/>
            <w:tcBorders>
              <w:tl2br w:val="nil"/>
              <w:tr2bl w:val="nil"/>
            </w:tcBorders>
            <w:noWrap w:val="0"/>
            <w:vAlign w:val="center"/>
          </w:tcPr>
          <w:p w14:paraId="190A172C">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28245795">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顺-1,2-二氯乙烯</w:t>
            </w:r>
          </w:p>
        </w:tc>
        <w:tc>
          <w:tcPr>
            <w:tcW w:w="2239" w:type="pct"/>
            <w:tcBorders>
              <w:tl2br w:val="nil"/>
              <w:tr2bl w:val="nil"/>
            </w:tcBorders>
            <w:shd w:val="clear" w:color="auto" w:fill="auto"/>
            <w:noWrap w:val="0"/>
            <w:vAlign w:val="center"/>
          </w:tcPr>
          <w:p w14:paraId="2CEF9F85">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有机物的测定吹扫捕</w:t>
            </w:r>
            <w:r>
              <w:rPr>
                <w:color w:val="auto"/>
                <w:spacing w:val="7"/>
                <w:sz w:val="21"/>
                <w:szCs w:val="21"/>
                <w:highlight w:val="none"/>
              </w:rPr>
              <w:t xml:space="preserve"> </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75F508F4">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1.3</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7B8845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29" w:hRule="atLeast"/>
          <w:jc w:val="center"/>
        </w:trPr>
        <w:tc>
          <w:tcPr>
            <w:tcW w:w="751" w:type="pct"/>
            <w:vMerge w:val="continue"/>
            <w:tcBorders>
              <w:tl2br w:val="nil"/>
              <w:tr2bl w:val="nil"/>
            </w:tcBorders>
            <w:noWrap w:val="0"/>
            <w:vAlign w:val="center"/>
          </w:tcPr>
          <w:p w14:paraId="44E2F09E">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3DA667D9">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反-1,2-二氯乙烯</w:t>
            </w:r>
          </w:p>
        </w:tc>
        <w:tc>
          <w:tcPr>
            <w:tcW w:w="2239" w:type="pct"/>
            <w:tcBorders>
              <w:tl2br w:val="nil"/>
              <w:tr2bl w:val="nil"/>
            </w:tcBorders>
            <w:shd w:val="clear" w:color="auto" w:fill="auto"/>
            <w:noWrap w:val="0"/>
            <w:vAlign w:val="center"/>
          </w:tcPr>
          <w:p w14:paraId="1534234C">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有机物的测定吹扫捕</w:t>
            </w:r>
            <w:r>
              <w:rPr>
                <w:color w:val="auto"/>
                <w:spacing w:val="7"/>
                <w:sz w:val="21"/>
                <w:szCs w:val="21"/>
                <w:highlight w:val="none"/>
              </w:rPr>
              <w:t xml:space="preserve"> </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254A9F57">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1.4</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1E50D9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29" w:hRule="atLeast"/>
          <w:jc w:val="center"/>
        </w:trPr>
        <w:tc>
          <w:tcPr>
            <w:tcW w:w="751" w:type="pct"/>
            <w:vMerge w:val="continue"/>
            <w:tcBorders>
              <w:tl2br w:val="nil"/>
              <w:tr2bl w:val="nil"/>
            </w:tcBorders>
            <w:noWrap w:val="0"/>
            <w:vAlign w:val="center"/>
          </w:tcPr>
          <w:p w14:paraId="5AB355AC">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72368E0E">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二氯甲烷</w:t>
            </w:r>
          </w:p>
        </w:tc>
        <w:tc>
          <w:tcPr>
            <w:tcW w:w="2239" w:type="pct"/>
            <w:tcBorders>
              <w:tl2br w:val="nil"/>
              <w:tr2bl w:val="nil"/>
            </w:tcBorders>
            <w:shd w:val="clear" w:color="auto" w:fill="auto"/>
            <w:noWrap w:val="0"/>
            <w:vAlign w:val="center"/>
          </w:tcPr>
          <w:p w14:paraId="46EB8697">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3"/>
                <w:sz w:val="21"/>
                <w:szCs w:val="21"/>
                <w:highlight w:val="none"/>
              </w:rPr>
              <w:t>有机物的测定吹扫捕</w:t>
            </w:r>
            <w:r>
              <w:rPr>
                <w:color w:val="auto"/>
                <w:spacing w:val="2"/>
                <w:sz w:val="21"/>
                <w:szCs w:val="21"/>
                <w:highlight w:val="none"/>
              </w:rPr>
              <w:t xml:space="preserve"> </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7CDB8F65">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1.5</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3E0296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11" w:hRule="atLeast"/>
          <w:jc w:val="center"/>
        </w:trPr>
        <w:tc>
          <w:tcPr>
            <w:tcW w:w="751" w:type="pct"/>
            <w:vMerge w:val="continue"/>
            <w:tcBorders>
              <w:tl2br w:val="nil"/>
              <w:tr2bl w:val="nil"/>
            </w:tcBorders>
            <w:noWrap w:val="0"/>
            <w:vAlign w:val="center"/>
          </w:tcPr>
          <w:p w14:paraId="6FB8FB40">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7F3CB827">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1,2-二氯丙烷</w:t>
            </w:r>
          </w:p>
        </w:tc>
        <w:tc>
          <w:tcPr>
            <w:tcW w:w="2239" w:type="pct"/>
            <w:tcBorders>
              <w:tl2br w:val="nil"/>
              <w:tr2bl w:val="nil"/>
            </w:tcBorders>
            <w:shd w:val="clear" w:color="auto" w:fill="auto"/>
            <w:noWrap w:val="0"/>
            <w:vAlign w:val="center"/>
          </w:tcPr>
          <w:p w14:paraId="32F269F6">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0DDFBA07">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1</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63CBF3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14" w:hRule="atLeast"/>
          <w:jc w:val="center"/>
        </w:trPr>
        <w:tc>
          <w:tcPr>
            <w:tcW w:w="751" w:type="pct"/>
            <w:vMerge w:val="continue"/>
            <w:tcBorders>
              <w:tl2br w:val="nil"/>
              <w:tr2bl w:val="nil"/>
            </w:tcBorders>
            <w:noWrap w:val="0"/>
            <w:vAlign w:val="center"/>
          </w:tcPr>
          <w:p w14:paraId="096F38A4">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7A1BDBB7">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1,1,1,2-四氯乙烷</w:t>
            </w:r>
          </w:p>
        </w:tc>
        <w:tc>
          <w:tcPr>
            <w:tcW w:w="2239" w:type="pct"/>
            <w:tcBorders>
              <w:tl2br w:val="nil"/>
              <w:tr2bl w:val="nil"/>
            </w:tcBorders>
            <w:shd w:val="clear" w:color="auto" w:fill="auto"/>
            <w:noWrap w:val="0"/>
            <w:vAlign w:val="center"/>
          </w:tcPr>
          <w:p w14:paraId="3FE46101">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1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1A0BA8D1">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2</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2E3134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751" w:type="pct"/>
            <w:vMerge w:val="restart"/>
            <w:tcBorders>
              <w:tl2br w:val="nil"/>
              <w:tr2bl w:val="nil"/>
            </w:tcBorders>
            <w:noWrap w:val="0"/>
            <w:vAlign w:val="center"/>
          </w:tcPr>
          <w:p w14:paraId="24CF8678">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土壤</w:t>
            </w:r>
          </w:p>
        </w:tc>
        <w:tc>
          <w:tcPr>
            <w:tcW w:w="994" w:type="pct"/>
            <w:tcBorders>
              <w:tl2br w:val="nil"/>
              <w:tr2bl w:val="nil"/>
            </w:tcBorders>
            <w:shd w:val="clear" w:color="auto" w:fill="auto"/>
            <w:noWrap w:val="0"/>
            <w:vAlign w:val="center"/>
          </w:tcPr>
          <w:p w14:paraId="5A6D5575">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1,1,2,2-四氯乙烷</w:t>
            </w:r>
          </w:p>
        </w:tc>
        <w:tc>
          <w:tcPr>
            <w:tcW w:w="2239" w:type="pct"/>
            <w:tcBorders>
              <w:tl2br w:val="nil"/>
              <w:tr2bl w:val="nil"/>
            </w:tcBorders>
            <w:shd w:val="clear" w:color="auto" w:fill="auto"/>
            <w:noWrap w:val="0"/>
            <w:vAlign w:val="center"/>
          </w:tcPr>
          <w:p w14:paraId="7AD6348B">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1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2341FE22">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2</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292385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91" w:hRule="atLeast"/>
          <w:jc w:val="center"/>
        </w:trPr>
        <w:tc>
          <w:tcPr>
            <w:tcW w:w="751" w:type="pct"/>
            <w:vMerge w:val="continue"/>
            <w:tcBorders>
              <w:tl2br w:val="nil"/>
              <w:tr2bl w:val="nil"/>
            </w:tcBorders>
            <w:noWrap w:val="0"/>
            <w:vAlign w:val="center"/>
          </w:tcPr>
          <w:p w14:paraId="1CBF7E9D">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4F59F0AB">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四氯乙烯</w:t>
            </w:r>
          </w:p>
        </w:tc>
        <w:tc>
          <w:tcPr>
            <w:tcW w:w="2239" w:type="pct"/>
            <w:tcBorders>
              <w:tl2br w:val="nil"/>
              <w:tr2bl w:val="nil"/>
            </w:tcBorders>
            <w:shd w:val="clear" w:color="auto" w:fill="auto"/>
            <w:noWrap w:val="0"/>
            <w:vAlign w:val="center"/>
          </w:tcPr>
          <w:p w14:paraId="19BE4212">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778231EB">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1.4</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443E03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22" w:hRule="atLeast"/>
          <w:jc w:val="center"/>
        </w:trPr>
        <w:tc>
          <w:tcPr>
            <w:tcW w:w="751" w:type="pct"/>
            <w:vMerge w:val="continue"/>
            <w:tcBorders>
              <w:tl2br w:val="nil"/>
              <w:tr2bl w:val="nil"/>
            </w:tcBorders>
            <w:noWrap w:val="0"/>
            <w:vAlign w:val="center"/>
          </w:tcPr>
          <w:p w14:paraId="025C9257">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622045CB">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1,1,1-三氯乙烷</w:t>
            </w:r>
          </w:p>
        </w:tc>
        <w:tc>
          <w:tcPr>
            <w:tcW w:w="2239" w:type="pct"/>
            <w:tcBorders>
              <w:tl2br w:val="nil"/>
              <w:tr2bl w:val="nil"/>
            </w:tcBorders>
            <w:shd w:val="clear" w:color="auto" w:fill="auto"/>
            <w:noWrap w:val="0"/>
            <w:vAlign w:val="center"/>
          </w:tcPr>
          <w:p w14:paraId="00B7B656">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1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3361456A">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3</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0C115F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77" w:hRule="atLeast"/>
          <w:jc w:val="center"/>
        </w:trPr>
        <w:tc>
          <w:tcPr>
            <w:tcW w:w="751" w:type="pct"/>
            <w:vMerge w:val="continue"/>
            <w:tcBorders>
              <w:tl2br w:val="nil"/>
              <w:tr2bl w:val="nil"/>
            </w:tcBorders>
            <w:noWrap w:val="0"/>
            <w:vAlign w:val="center"/>
          </w:tcPr>
          <w:p w14:paraId="3D94B8A0">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324C84C5">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1,1,2-三氯乙烷</w:t>
            </w:r>
          </w:p>
        </w:tc>
        <w:tc>
          <w:tcPr>
            <w:tcW w:w="2239" w:type="pct"/>
            <w:tcBorders>
              <w:tl2br w:val="nil"/>
              <w:tr2bl w:val="nil"/>
            </w:tcBorders>
            <w:shd w:val="clear" w:color="auto" w:fill="auto"/>
            <w:noWrap w:val="0"/>
            <w:vAlign w:val="center"/>
          </w:tcPr>
          <w:p w14:paraId="10EC123A">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0C1AE80C">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2</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582979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751" w:type="pct"/>
            <w:vMerge w:val="continue"/>
            <w:tcBorders>
              <w:tl2br w:val="nil"/>
              <w:tr2bl w:val="nil"/>
            </w:tcBorders>
            <w:noWrap w:val="0"/>
            <w:vAlign w:val="center"/>
          </w:tcPr>
          <w:p w14:paraId="34CCC5D6">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416A2A10">
            <w:pPr>
              <w:pStyle w:val="806"/>
              <w:keepNext w:val="0"/>
              <w:keepLines w:val="0"/>
              <w:suppressLineNumbers w:val="0"/>
              <w:spacing w:before="56" w:beforeAutospacing="0" w:after="0" w:afterAutospacing="0" w:line="240" w:lineRule="auto"/>
              <w:ind w:left="0" w:right="101" w:rightChars="0"/>
              <w:jc w:val="left"/>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三氯乙烯</w:t>
            </w:r>
          </w:p>
        </w:tc>
        <w:tc>
          <w:tcPr>
            <w:tcW w:w="2239" w:type="pct"/>
            <w:tcBorders>
              <w:tl2br w:val="nil"/>
              <w:tr2bl w:val="nil"/>
            </w:tcBorders>
            <w:shd w:val="clear" w:color="auto" w:fill="auto"/>
            <w:noWrap w:val="0"/>
            <w:vAlign w:val="center"/>
          </w:tcPr>
          <w:p w14:paraId="7EF7C48A">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7"/>
                <w:sz w:val="21"/>
                <w:szCs w:val="21"/>
                <w:highlight w:val="none"/>
              </w:rPr>
              <w:t xml:space="preserve"> </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1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451248E4">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1.2</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44091A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44" w:hRule="atLeast"/>
          <w:jc w:val="center"/>
        </w:trPr>
        <w:tc>
          <w:tcPr>
            <w:tcW w:w="751" w:type="pct"/>
            <w:vMerge w:val="continue"/>
            <w:tcBorders>
              <w:tl2br w:val="nil"/>
              <w:tr2bl w:val="nil"/>
            </w:tcBorders>
            <w:noWrap w:val="0"/>
            <w:vAlign w:val="center"/>
          </w:tcPr>
          <w:p w14:paraId="1E475CDF">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407C2C42">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1,2,3-三氯丙烷</w:t>
            </w:r>
          </w:p>
        </w:tc>
        <w:tc>
          <w:tcPr>
            <w:tcW w:w="2239" w:type="pct"/>
            <w:tcBorders>
              <w:tl2br w:val="nil"/>
              <w:tr2bl w:val="nil"/>
            </w:tcBorders>
            <w:shd w:val="clear" w:color="auto" w:fill="auto"/>
            <w:noWrap w:val="0"/>
            <w:vAlign w:val="center"/>
          </w:tcPr>
          <w:p w14:paraId="1161D2D0">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33BBA62D">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2</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54B933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751" w:type="pct"/>
            <w:vMerge w:val="continue"/>
            <w:tcBorders>
              <w:tl2br w:val="nil"/>
              <w:tr2bl w:val="nil"/>
            </w:tcBorders>
            <w:noWrap w:val="0"/>
            <w:vAlign w:val="center"/>
          </w:tcPr>
          <w:p w14:paraId="4FB3451C">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70C1D6F9">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氯乙烯</w:t>
            </w:r>
          </w:p>
        </w:tc>
        <w:tc>
          <w:tcPr>
            <w:tcW w:w="2239" w:type="pct"/>
            <w:tcBorders>
              <w:tl2br w:val="nil"/>
              <w:tr2bl w:val="nil"/>
            </w:tcBorders>
            <w:shd w:val="clear" w:color="auto" w:fill="auto"/>
            <w:noWrap w:val="0"/>
            <w:vAlign w:val="center"/>
          </w:tcPr>
          <w:p w14:paraId="3599094D">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1"/>
                <w:sz w:val="21"/>
                <w:szCs w:val="21"/>
                <w:highlight w:val="none"/>
              </w:rPr>
              <w:t>土壤和沉积物 挥发性</w:t>
            </w:r>
            <w:r>
              <w:rPr>
                <w:color w:val="auto"/>
                <w:spacing w:val="2"/>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4"/>
                <w:sz w:val="21"/>
                <w:szCs w:val="21"/>
                <w:highlight w:val="none"/>
              </w:rPr>
              <w:t>集/气相色谱-质谱法</w:t>
            </w:r>
            <w:r>
              <w:rPr>
                <w:rFonts w:hint="eastAsia"/>
                <w:color w:val="auto"/>
                <w:spacing w:val="4"/>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7DBC1D21">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0</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22878D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751" w:type="pct"/>
            <w:vMerge w:val="continue"/>
            <w:tcBorders>
              <w:tl2br w:val="nil"/>
              <w:tr2bl w:val="nil"/>
            </w:tcBorders>
            <w:noWrap w:val="0"/>
            <w:vAlign w:val="center"/>
          </w:tcPr>
          <w:p w14:paraId="59FFBA98">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6C47680A">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苯</w:t>
            </w:r>
          </w:p>
        </w:tc>
        <w:tc>
          <w:tcPr>
            <w:tcW w:w="2239" w:type="pct"/>
            <w:tcBorders>
              <w:tl2br w:val="nil"/>
              <w:tr2bl w:val="nil"/>
            </w:tcBorders>
            <w:shd w:val="clear" w:color="auto" w:fill="auto"/>
            <w:noWrap w:val="0"/>
            <w:vAlign w:val="center"/>
          </w:tcPr>
          <w:p w14:paraId="765EF94C">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1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4A64A9A3">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9</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1E992C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751" w:type="pct"/>
            <w:vMerge w:val="continue"/>
            <w:tcBorders>
              <w:tl2br w:val="nil"/>
              <w:tr2bl w:val="nil"/>
            </w:tcBorders>
            <w:noWrap w:val="0"/>
            <w:vAlign w:val="center"/>
          </w:tcPr>
          <w:p w14:paraId="04015411">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5B21AC1B">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氯苯</w:t>
            </w:r>
          </w:p>
        </w:tc>
        <w:tc>
          <w:tcPr>
            <w:tcW w:w="2239" w:type="pct"/>
            <w:tcBorders>
              <w:tl2br w:val="nil"/>
              <w:tr2bl w:val="nil"/>
            </w:tcBorders>
            <w:shd w:val="clear" w:color="auto" w:fill="auto"/>
            <w:noWrap w:val="0"/>
            <w:vAlign w:val="center"/>
          </w:tcPr>
          <w:p w14:paraId="19207B32">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1"/>
                <w:sz w:val="21"/>
                <w:szCs w:val="21"/>
                <w:highlight w:val="none"/>
              </w:rPr>
              <w:t>土壤和沉积物 挥发性</w:t>
            </w:r>
            <w:r>
              <w:rPr>
                <w:color w:val="auto"/>
                <w:spacing w:val="2"/>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7"/>
                <w:sz w:val="21"/>
                <w:szCs w:val="21"/>
                <w:highlight w:val="none"/>
              </w:rPr>
              <w:t xml:space="preserve"> </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60B0BAEF">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2</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1E9A58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751" w:type="pct"/>
            <w:vMerge w:val="continue"/>
            <w:tcBorders>
              <w:tl2br w:val="nil"/>
              <w:tr2bl w:val="nil"/>
            </w:tcBorders>
            <w:noWrap w:val="0"/>
            <w:vAlign w:val="center"/>
          </w:tcPr>
          <w:p w14:paraId="75A6E398">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75D0DB8A">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1,2-二氯苯</w:t>
            </w:r>
          </w:p>
        </w:tc>
        <w:tc>
          <w:tcPr>
            <w:tcW w:w="2239" w:type="pct"/>
            <w:tcBorders>
              <w:tl2br w:val="nil"/>
              <w:tr2bl w:val="nil"/>
            </w:tcBorders>
            <w:shd w:val="clear" w:color="auto" w:fill="auto"/>
            <w:noWrap w:val="0"/>
            <w:vAlign w:val="center"/>
          </w:tcPr>
          <w:p w14:paraId="18727A4D">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7"/>
                <w:sz w:val="21"/>
                <w:szCs w:val="21"/>
                <w:highlight w:val="none"/>
              </w:rPr>
              <w:t xml:space="preserve"> </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1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2381B7B9">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5</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606A41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751" w:type="pct"/>
            <w:vMerge w:val="continue"/>
            <w:tcBorders>
              <w:tl2br w:val="nil"/>
              <w:tr2bl w:val="nil"/>
            </w:tcBorders>
            <w:noWrap w:val="0"/>
            <w:vAlign w:val="center"/>
          </w:tcPr>
          <w:p w14:paraId="538D9B09">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712ABD37">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1,4-二氯苯</w:t>
            </w:r>
          </w:p>
        </w:tc>
        <w:tc>
          <w:tcPr>
            <w:tcW w:w="2239" w:type="pct"/>
            <w:tcBorders>
              <w:tl2br w:val="nil"/>
              <w:tr2bl w:val="nil"/>
            </w:tcBorders>
            <w:shd w:val="clear" w:color="auto" w:fill="auto"/>
            <w:noWrap w:val="0"/>
            <w:vAlign w:val="center"/>
          </w:tcPr>
          <w:p w14:paraId="0D2C9F7C">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1"/>
                <w:sz w:val="21"/>
                <w:szCs w:val="21"/>
                <w:highlight w:val="none"/>
              </w:rPr>
              <w:t>土壤和沉积物 挥发性</w:t>
            </w:r>
            <w:r>
              <w:rPr>
                <w:color w:val="auto"/>
                <w:spacing w:val="2"/>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4"/>
                <w:sz w:val="21"/>
                <w:szCs w:val="21"/>
                <w:highlight w:val="none"/>
              </w:rPr>
              <w:t>集/气相色谱-质谱法</w:t>
            </w:r>
            <w:r>
              <w:rPr>
                <w:rFonts w:hint="eastAsia"/>
                <w:color w:val="auto"/>
                <w:spacing w:val="4"/>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6F76DDC1">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5</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68FE54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751" w:type="pct"/>
            <w:vMerge w:val="continue"/>
            <w:tcBorders>
              <w:tl2br w:val="nil"/>
              <w:tr2bl w:val="nil"/>
            </w:tcBorders>
            <w:noWrap w:val="0"/>
            <w:vAlign w:val="center"/>
          </w:tcPr>
          <w:p w14:paraId="0AD53733">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2C4DB895">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乙苯</w:t>
            </w:r>
          </w:p>
        </w:tc>
        <w:tc>
          <w:tcPr>
            <w:tcW w:w="2239" w:type="pct"/>
            <w:tcBorders>
              <w:tl2br w:val="nil"/>
              <w:tr2bl w:val="nil"/>
            </w:tcBorders>
            <w:shd w:val="clear" w:color="auto" w:fill="auto"/>
            <w:noWrap w:val="0"/>
            <w:vAlign w:val="center"/>
          </w:tcPr>
          <w:p w14:paraId="7016CD31">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1"/>
                <w:sz w:val="21"/>
                <w:szCs w:val="21"/>
                <w:highlight w:val="none"/>
              </w:rPr>
              <w:t>土壤和沉积物 挥发性</w:t>
            </w:r>
            <w:r>
              <w:rPr>
                <w:color w:val="auto"/>
                <w:spacing w:val="2"/>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4"/>
                <w:sz w:val="21"/>
                <w:szCs w:val="21"/>
                <w:highlight w:val="none"/>
              </w:rPr>
              <w:t>集/气相色谱-质谱法</w:t>
            </w:r>
            <w:r>
              <w:rPr>
                <w:rFonts w:hint="eastAsia"/>
                <w:color w:val="auto"/>
                <w:spacing w:val="4"/>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2BC28EFE">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1.2μg/kg</w:t>
            </w:r>
          </w:p>
        </w:tc>
      </w:tr>
      <w:tr w14:paraId="285D18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751" w:type="pct"/>
            <w:vMerge w:val="continue"/>
            <w:tcBorders>
              <w:tl2br w:val="nil"/>
              <w:tr2bl w:val="nil"/>
            </w:tcBorders>
            <w:noWrap w:val="0"/>
            <w:vAlign w:val="center"/>
          </w:tcPr>
          <w:p w14:paraId="6D9B4BD5">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4578645E">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苯乙烯</w:t>
            </w:r>
          </w:p>
        </w:tc>
        <w:tc>
          <w:tcPr>
            <w:tcW w:w="2239" w:type="pct"/>
            <w:tcBorders>
              <w:tl2br w:val="nil"/>
              <w:tr2bl w:val="nil"/>
            </w:tcBorders>
            <w:shd w:val="clear" w:color="auto" w:fill="auto"/>
            <w:noWrap w:val="0"/>
            <w:vAlign w:val="center"/>
          </w:tcPr>
          <w:p w14:paraId="7EF310F7">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7375764D">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1</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41EB68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30" w:hRule="atLeast"/>
          <w:jc w:val="center"/>
        </w:trPr>
        <w:tc>
          <w:tcPr>
            <w:tcW w:w="751" w:type="pct"/>
            <w:vMerge w:val="continue"/>
            <w:tcBorders>
              <w:tl2br w:val="nil"/>
              <w:tr2bl w:val="nil"/>
            </w:tcBorders>
            <w:noWrap w:val="0"/>
            <w:vAlign w:val="center"/>
          </w:tcPr>
          <w:p w14:paraId="57676670">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14DDF330">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甲苯</w:t>
            </w:r>
          </w:p>
        </w:tc>
        <w:tc>
          <w:tcPr>
            <w:tcW w:w="2239" w:type="pct"/>
            <w:tcBorders>
              <w:tl2br w:val="nil"/>
              <w:tr2bl w:val="nil"/>
            </w:tcBorders>
            <w:shd w:val="clear" w:color="auto" w:fill="auto"/>
            <w:noWrap w:val="0"/>
            <w:vAlign w:val="center"/>
          </w:tcPr>
          <w:p w14:paraId="211FAEFC">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4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3B041C3F">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1.3</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54917B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751" w:type="pct"/>
            <w:vMerge w:val="continue"/>
            <w:tcBorders>
              <w:tl2br w:val="nil"/>
              <w:tr2bl w:val="nil"/>
            </w:tcBorders>
            <w:noWrap w:val="0"/>
            <w:vAlign w:val="center"/>
          </w:tcPr>
          <w:p w14:paraId="17422F1C">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30763E55">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间二甲苯+对二甲苯</w:t>
            </w:r>
          </w:p>
        </w:tc>
        <w:tc>
          <w:tcPr>
            <w:tcW w:w="2239" w:type="pct"/>
            <w:tcBorders>
              <w:tl2br w:val="nil"/>
              <w:tr2bl w:val="nil"/>
            </w:tcBorders>
            <w:shd w:val="clear" w:color="auto" w:fill="auto"/>
            <w:noWrap w:val="0"/>
            <w:vAlign w:val="center"/>
          </w:tcPr>
          <w:p w14:paraId="0254EAA5">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1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400E82A0">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1.2</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223B22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751" w:type="pct"/>
            <w:vMerge w:val="continue"/>
            <w:tcBorders>
              <w:tl2br w:val="nil"/>
              <w:tr2bl w:val="nil"/>
            </w:tcBorders>
            <w:noWrap w:val="0"/>
            <w:vAlign w:val="center"/>
          </w:tcPr>
          <w:p w14:paraId="7C2AA8AF">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0415CA47">
            <w:pPr>
              <w:pStyle w:val="806"/>
              <w:keepNext w:val="0"/>
              <w:keepLines w:val="0"/>
              <w:suppressLineNumbers w:val="0"/>
              <w:spacing w:before="56" w:beforeAutospacing="0" w:after="0" w:afterAutospacing="0" w:line="240" w:lineRule="auto"/>
              <w:ind w:left="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邻二甲苯</w:t>
            </w:r>
          </w:p>
        </w:tc>
        <w:tc>
          <w:tcPr>
            <w:tcW w:w="2239" w:type="pct"/>
            <w:tcBorders>
              <w:tl2br w:val="nil"/>
              <w:tr2bl w:val="nil"/>
            </w:tcBorders>
            <w:shd w:val="clear" w:color="auto" w:fill="auto"/>
            <w:noWrap w:val="0"/>
            <w:vAlign w:val="center"/>
          </w:tcPr>
          <w:p w14:paraId="4DDD24F7">
            <w:pPr>
              <w:pStyle w:val="806"/>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highlight w:val="none"/>
              </w:rPr>
            </w:pPr>
            <w:r>
              <w:rPr>
                <w:color w:val="auto"/>
                <w:spacing w:val="-2"/>
                <w:sz w:val="21"/>
                <w:szCs w:val="21"/>
                <w:highlight w:val="none"/>
              </w:rPr>
              <w:t>土壤和沉积物挥发性</w:t>
            </w:r>
            <w:r>
              <w:rPr>
                <w:color w:val="auto"/>
                <w:spacing w:val="7"/>
                <w:sz w:val="21"/>
                <w:szCs w:val="21"/>
                <w:highlight w:val="none"/>
              </w:rPr>
              <w:t xml:space="preserve"> </w:t>
            </w:r>
            <w:r>
              <w:rPr>
                <w:color w:val="auto"/>
                <w:spacing w:val="-2"/>
                <w:sz w:val="21"/>
                <w:szCs w:val="21"/>
                <w:highlight w:val="none"/>
              </w:rPr>
              <w:t>有机物的测定</w:t>
            </w:r>
            <w:r>
              <w:rPr>
                <w:rFonts w:hint="eastAsia"/>
                <w:color w:val="auto"/>
                <w:spacing w:val="-2"/>
                <w:sz w:val="21"/>
                <w:szCs w:val="21"/>
                <w:highlight w:val="none"/>
                <w:lang w:val="en-US" w:eastAsia="zh-CN"/>
              </w:rPr>
              <w:t xml:space="preserve"> </w:t>
            </w:r>
            <w:r>
              <w:rPr>
                <w:color w:val="auto"/>
                <w:spacing w:val="-2"/>
                <w:sz w:val="21"/>
                <w:szCs w:val="21"/>
                <w:highlight w:val="none"/>
              </w:rPr>
              <w:t>吹扫捕</w:t>
            </w:r>
            <w:r>
              <w:rPr>
                <w:color w:val="auto"/>
                <w:spacing w:val="-1"/>
                <w:sz w:val="21"/>
                <w:szCs w:val="21"/>
                <w:highlight w:val="none"/>
              </w:rPr>
              <w:t>集/气相色谱-质谱法</w:t>
            </w:r>
            <w:r>
              <w:rPr>
                <w:rFonts w:hint="eastAsia"/>
                <w:color w:val="auto"/>
                <w:spacing w:val="-1"/>
                <w:sz w:val="21"/>
                <w:szCs w:val="21"/>
                <w:highlight w:val="none"/>
                <w:lang w:val="en-US" w:eastAsia="zh-CN"/>
              </w:rPr>
              <w:t xml:space="preserve"> </w:t>
            </w:r>
            <w:r>
              <w:rPr>
                <w:color w:val="auto"/>
                <w:spacing w:val="-2"/>
                <w:sz w:val="21"/>
                <w:szCs w:val="21"/>
                <w:highlight w:val="none"/>
              </w:rPr>
              <w:t>HJ</w:t>
            </w:r>
            <w:r>
              <w:rPr>
                <w:color w:val="auto"/>
                <w:spacing w:val="15"/>
                <w:sz w:val="21"/>
                <w:szCs w:val="21"/>
                <w:highlight w:val="none"/>
              </w:rPr>
              <w:t xml:space="preserve"> </w:t>
            </w:r>
            <w:r>
              <w:rPr>
                <w:color w:val="auto"/>
                <w:spacing w:val="-2"/>
                <w:sz w:val="21"/>
                <w:szCs w:val="21"/>
                <w:highlight w:val="none"/>
              </w:rPr>
              <w:t>605-2011</w:t>
            </w:r>
          </w:p>
        </w:tc>
        <w:tc>
          <w:tcPr>
            <w:tcW w:w="1014" w:type="pct"/>
            <w:tcBorders>
              <w:tl2br w:val="nil"/>
              <w:tr2bl w:val="nil"/>
            </w:tcBorders>
            <w:shd w:val="clear" w:color="auto" w:fill="auto"/>
            <w:noWrap w:val="0"/>
            <w:vAlign w:val="center"/>
          </w:tcPr>
          <w:p w14:paraId="37A58B22">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r>
              <w:rPr>
                <w:rFonts w:hint="eastAsia" w:cs="Times New Roman"/>
                <w:i w:val="0"/>
                <w:iCs w:val="0"/>
                <w:color w:val="auto"/>
                <w:kern w:val="0"/>
                <w:sz w:val="21"/>
                <w:szCs w:val="21"/>
                <w:highlight w:val="none"/>
                <w:u w:val="none"/>
                <w:lang w:val="en-US" w:eastAsia="zh-CN" w:bidi="ar"/>
              </w:rPr>
              <w:t>2</w:t>
            </w:r>
            <w:r>
              <w:rPr>
                <w:rFonts w:hint="default" w:ascii="Times New Roman" w:hAnsi="Times New Roman" w:eastAsia="宋体" w:cs="Times New Roman"/>
                <w:i w:val="0"/>
                <w:iCs w:val="0"/>
                <w:color w:val="auto"/>
                <w:kern w:val="0"/>
                <w:sz w:val="21"/>
                <w:szCs w:val="21"/>
                <w:highlight w:val="none"/>
                <w:u w:val="none"/>
                <w:lang w:val="en-US" w:eastAsia="zh-CN" w:bidi="ar"/>
              </w:rPr>
              <w:t>μg/kg</w:t>
            </w:r>
          </w:p>
        </w:tc>
      </w:tr>
      <w:tr w14:paraId="75979B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751" w:type="pct"/>
            <w:vMerge w:val="restart"/>
            <w:tcBorders>
              <w:tl2br w:val="nil"/>
              <w:tr2bl w:val="nil"/>
            </w:tcBorders>
            <w:noWrap w:val="0"/>
            <w:vAlign w:val="center"/>
          </w:tcPr>
          <w:p w14:paraId="199E9178">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土壤</w:t>
            </w:r>
          </w:p>
        </w:tc>
        <w:tc>
          <w:tcPr>
            <w:tcW w:w="994" w:type="pct"/>
            <w:tcBorders>
              <w:tl2br w:val="nil"/>
              <w:tr2bl w:val="nil"/>
            </w:tcBorders>
            <w:shd w:val="clear" w:color="auto" w:fill="auto"/>
            <w:noWrap w:val="0"/>
            <w:vAlign w:val="center"/>
          </w:tcPr>
          <w:p w14:paraId="1135B229">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硝基苯</w:t>
            </w:r>
          </w:p>
        </w:tc>
        <w:tc>
          <w:tcPr>
            <w:tcW w:w="2239" w:type="pct"/>
            <w:tcBorders>
              <w:tl2br w:val="nil"/>
              <w:tr2bl w:val="nil"/>
            </w:tcBorders>
            <w:shd w:val="clear" w:color="auto" w:fill="auto"/>
            <w:noWrap w:val="0"/>
            <w:vAlign w:val="center"/>
          </w:tcPr>
          <w:p w14:paraId="503F69A5">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土壤和沉积物 半挥发性有机物的测定 气相色谱质谱法HJ 834-2017</w:t>
            </w:r>
          </w:p>
        </w:tc>
        <w:tc>
          <w:tcPr>
            <w:tcW w:w="1014" w:type="pct"/>
            <w:tcBorders>
              <w:tl2br w:val="nil"/>
              <w:tr2bl w:val="nil"/>
            </w:tcBorders>
            <w:shd w:val="clear" w:color="auto" w:fill="auto"/>
            <w:noWrap w:val="0"/>
            <w:vAlign w:val="center"/>
          </w:tcPr>
          <w:p w14:paraId="08326C85">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0.09mg/kg</w:t>
            </w:r>
          </w:p>
        </w:tc>
      </w:tr>
      <w:tr w14:paraId="6B937B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751" w:type="pct"/>
            <w:vMerge w:val="continue"/>
            <w:tcBorders>
              <w:tl2br w:val="nil"/>
              <w:tr2bl w:val="nil"/>
            </w:tcBorders>
            <w:noWrap w:val="0"/>
            <w:vAlign w:val="center"/>
          </w:tcPr>
          <w:p w14:paraId="561EB284">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2D40E3E2">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苯胺</w:t>
            </w:r>
          </w:p>
        </w:tc>
        <w:tc>
          <w:tcPr>
            <w:tcW w:w="2239" w:type="pct"/>
            <w:tcBorders>
              <w:tl2br w:val="nil"/>
              <w:tr2bl w:val="nil"/>
            </w:tcBorders>
            <w:shd w:val="clear" w:color="auto" w:fill="auto"/>
            <w:noWrap w:val="0"/>
            <w:vAlign w:val="center"/>
          </w:tcPr>
          <w:p w14:paraId="632DA1E9">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土壤和沉积物 半挥发性有机物的测定 气相色谱质谱法HJ 834-2017</w:t>
            </w:r>
          </w:p>
        </w:tc>
        <w:tc>
          <w:tcPr>
            <w:tcW w:w="1014" w:type="pct"/>
            <w:tcBorders>
              <w:tl2br w:val="nil"/>
              <w:tr2bl w:val="nil"/>
            </w:tcBorders>
            <w:shd w:val="clear" w:color="auto" w:fill="auto"/>
            <w:noWrap w:val="0"/>
            <w:vAlign w:val="center"/>
          </w:tcPr>
          <w:p w14:paraId="34908DA7">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0.0</w:t>
            </w:r>
            <w:r>
              <w:rPr>
                <w:rFonts w:hint="default" w:ascii="Times New Roman" w:hAnsi="Times New Roman" w:cs="Times New Roman"/>
                <w:i w:val="0"/>
                <w:iCs w:val="0"/>
                <w:color w:val="auto"/>
                <w:kern w:val="0"/>
                <w:sz w:val="21"/>
                <w:szCs w:val="21"/>
                <w:highlight w:val="none"/>
                <w:u w:val="none"/>
                <w:lang w:val="en-US" w:eastAsia="zh-CN" w:bidi="ar"/>
              </w:rPr>
              <w:t>8</w:t>
            </w: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536147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11" w:hRule="atLeast"/>
          <w:jc w:val="center"/>
        </w:trPr>
        <w:tc>
          <w:tcPr>
            <w:tcW w:w="751" w:type="pct"/>
            <w:vMerge w:val="continue"/>
            <w:tcBorders>
              <w:tl2br w:val="nil"/>
              <w:tr2bl w:val="nil"/>
            </w:tcBorders>
            <w:noWrap w:val="0"/>
            <w:vAlign w:val="center"/>
          </w:tcPr>
          <w:p w14:paraId="32415C4D">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006918EC">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2-氯酚</w:t>
            </w:r>
          </w:p>
        </w:tc>
        <w:tc>
          <w:tcPr>
            <w:tcW w:w="2239" w:type="pct"/>
            <w:tcBorders>
              <w:tl2br w:val="nil"/>
              <w:tr2bl w:val="nil"/>
            </w:tcBorders>
            <w:shd w:val="clear" w:color="auto" w:fill="auto"/>
            <w:noWrap w:val="0"/>
            <w:vAlign w:val="center"/>
          </w:tcPr>
          <w:p w14:paraId="02209479">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val="en-US" w:eastAsia="zh-CN" w:bidi="ar"/>
              </w:rPr>
              <w:t>土壤和沉积物 半挥发性有机物的测定 气相色谱质谱法</w:t>
            </w:r>
          </w:p>
          <w:p w14:paraId="4563EC91">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HJ 834-2017</w:t>
            </w:r>
          </w:p>
        </w:tc>
        <w:tc>
          <w:tcPr>
            <w:tcW w:w="1014" w:type="pct"/>
            <w:tcBorders>
              <w:tl2br w:val="nil"/>
              <w:tr2bl w:val="nil"/>
            </w:tcBorders>
            <w:shd w:val="clear" w:color="auto" w:fill="auto"/>
            <w:noWrap w:val="0"/>
            <w:vAlign w:val="center"/>
          </w:tcPr>
          <w:p w14:paraId="5D178A4C">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0.0</w:t>
            </w:r>
            <w:r>
              <w:rPr>
                <w:rFonts w:hint="eastAsia" w:cs="Times New Roman"/>
                <w:i w:val="0"/>
                <w:iCs w:val="0"/>
                <w:color w:val="auto"/>
                <w:kern w:val="0"/>
                <w:sz w:val="21"/>
                <w:szCs w:val="21"/>
                <w:highlight w:val="none"/>
                <w:u w:val="none"/>
                <w:lang w:val="en-US" w:eastAsia="zh-CN" w:bidi="ar"/>
              </w:rPr>
              <w:t>6</w:t>
            </w: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641A00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751" w:type="pct"/>
            <w:vMerge w:val="continue"/>
            <w:tcBorders>
              <w:tl2br w:val="nil"/>
              <w:tr2bl w:val="nil"/>
            </w:tcBorders>
            <w:noWrap w:val="0"/>
            <w:vAlign w:val="center"/>
          </w:tcPr>
          <w:p w14:paraId="0162AC99">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730777F8">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苯并[a]蒽</w:t>
            </w:r>
          </w:p>
        </w:tc>
        <w:tc>
          <w:tcPr>
            <w:tcW w:w="2239" w:type="pct"/>
            <w:tcBorders>
              <w:tl2br w:val="nil"/>
              <w:tr2bl w:val="nil"/>
            </w:tcBorders>
            <w:shd w:val="clear" w:color="auto" w:fill="auto"/>
            <w:noWrap w:val="0"/>
            <w:vAlign w:val="center"/>
          </w:tcPr>
          <w:p w14:paraId="6DFC09CE">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土壤和沉积物 半挥发性有机物的测定 气相色谱质谱法HJ 834-2017</w:t>
            </w:r>
          </w:p>
        </w:tc>
        <w:tc>
          <w:tcPr>
            <w:tcW w:w="1014" w:type="pct"/>
            <w:tcBorders>
              <w:tl2br w:val="nil"/>
              <w:tr2bl w:val="nil"/>
            </w:tcBorders>
            <w:shd w:val="clear" w:color="auto" w:fill="auto"/>
            <w:noWrap w:val="0"/>
            <w:vAlign w:val="center"/>
          </w:tcPr>
          <w:p w14:paraId="1AD14F5F">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0.1mg/kg</w:t>
            </w:r>
          </w:p>
        </w:tc>
      </w:tr>
      <w:tr w14:paraId="3CBC7F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01" w:hRule="atLeast"/>
          <w:jc w:val="center"/>
        </w:trPr>
        <w:tc>
          <w:tcPr>
            <w:tcW w:w="751" w:type="pct"/>
            <w:vMerge w:val="continue"/>
            <w:tcBorders>
              <w:tl2br w:val="nil"/>
              <w:tr2bl w:val="nil"/>
            </w:tcBorders>
            <w:noWrap w:val="0"/>
            <w:vAlign w:val="center"/>
          </w:tcPr>
          <w:p w14:paraId="7B2A5C72">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503E1695">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苯并[a]芘</w:t>
            </w:r>
          </w:p>
        </w:tc>
        <w:tc>
          <w:tcPr>
            <w:tcW w:w="2239" w:type="pct"/>
            <w:tcBorders>
              <w:tl2br w:val="nil"/>
              <w:tr2bl w:val="nil"/>
            </w:tcBorders>
            <w:shd w:val="clear" w:color="auto" w:fill="auto"/>
            <w:noWrap w:val="0"/>
            <w:vAlign w:val="center"/>
          </w:tcPr>
          <w:p w14:paraId="07B00B3E">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土壤和沉积物 半挥发性有机物的测定 气相色谱质谱法HJ 834-2017</w:t>
            </w:r>
          </w:p>
        </w:tc>
        <w:tc>
          <w:tcPr>
            <w:tcW w:w="1014" w:type="pct"/>
            <w:tcBorders>
              <w:tl2br w:val="nil"/>
              <w:tr2bl w:val="nil"/>
            </w:tcBorders>
            <w:shd w:val="clear" w:color="auto" w:fill="auto"/>
            <w:noWrap w:val="0"/>
            <w:vAlign w:val="center"/>
          </w:tcPr>
          <w:p w14:paraId="2B9EEFCC">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0.1mg/kg</w:t>
            </w:r>
          </w:p>
        </w:tc>
      </w:tr>
      <w:tr w14:paraId="36F1B3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751" w:type="pct"/>
            <w:vMerge w:val="continue"/>
            <w:tcBorders>
              <w:tl2br w:val="nil"/>
              <w:tr2bl w:val="nil"/>
            </w:tcBorders>
            <w:noWrap w:val="0"/>
            <w:vAlign w:val="center"/>
          </w:tcPr>
          <w:p w14:paraId="0954D12B">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55C6CCDF">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苯并[b]荧蒽</w:t>
            </w:r>
          </w:p>
        </w:tc>
        <w:tc>
          <w:tcPr>
            <w:tcW w:w="2239" w:type="pct"/>
            <w:tcBorders>
              <w:tl2br w:val="nil"/>
              <w:tr2bl w:val="nil"/>
            </w:tcBorders>
            <w:shd w:val="clear" w:color="auto" w:fill="auto"/>
            <w:noWrap w:val="0"/>
            <w:vAlign w:val="center"/>
          </w:tcPr>
          <w:p w14:paraId="348914CC">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土壤和沉积物 半挥发性有机物的测定 气相色谱质谱法HJ 834-2017</w:t>
            </w:r>
          </w:p>
        </w:tc>
        <w:tc>
          <w:tcPr>
            <w:tcW w:w="1014" w:type="pct"/>
            <w:tcBorders>
              <w:tl2br w:val="nil"/>
              <w:tr2bl w:val="nil"/>
            </w:tcBorders>
            <w:shd w:val="clear" w:color="auto" w:fill="auto"/>
            <w:noWrap w:val="0"/>
            <w:vAlign w:val="center"/>
          </w:tcPr>
          <w:p w14:paraId="0F231DDA">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0.2mg/kg</w:t>
            </w:r>
          </w:p>
        </w:tc>
      </w:tr>
      <w:tr w14:paraId="62D736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51" w:hRule="atLeast"/>
          <w:jc w:val="center"/>
        </w:trPr>
        <w:tc>
          <w:tcPr>
            <w:tcW w:w="751" w:type="pct"/>
            <w:vMerge w:val="continue"/>
            <w:tcBorders>
              <w:tl2br w:val="nil"/>
              <w:tr2bl w:val="nil"/>
            </w:tcBorders>
            <w:noWrap w:val="0"/>
            <w:vAlign w:val="center"/>
          </w:tcPr>
          <w:p w14:paraId="78285BBA">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189837AC">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苯并[k]荧蒽</w:t>
            </w:r>
          </w:p>
        </w:tc>
        <w:tc>
          <w:tcPr>
            <w:tcW w:w="2239" w:type="pct"/>
            <w:tcBorders>
              <w:tl2br w:val="nil"/>
              <w:tr2bl w:val="nil"/>
            </w:tcBorders>
            <w:shd w:val="clear" w:color="auto" w:fill="auto"/>
            <w:noWrap w:val="0"/>
            <w:vAlign w:val="center"/>
          </w:tcPr>
          <w:p w14:paraId="2993DB50">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土壤和沉积物 半挥发性有机物的测定 气相色谱质谱法HJ 834-2017</w:t>
            </w:r>
          </w:p>
        </w:tc>
        <w:tc>
          <w:tcPr>
            <w:tcW w:w="1014" w:type="pct"/>
            <w:tcBorders>
              <w:tl2br w:val="nil"/>
              <w:tr2bl w:val="nil"/>
            </w:tcBorders>
            <w:shd w:val="clear" w:color="auto" w:fill="auto"/>
            <w:noWrap w:val="0"/>
            <w:vAlign w:val="center"/>
          </w:tcPr>
          <w:p w14:paraId="042DA6DE">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0.1mg/kg</w:t>
            </w:r>
          </w:p>
        </w:tc>
      </w:tr>
      <w:tr w14:paraId="6BF7D0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61" w:hRule="atLeast"/>
          <w:jc w:val="center"/>
        </w:trPr>
        <w:tc>
          <w:tcPr>
            <w:tcW w:w="751" w:type="pct"/>
            <w:vMerge w:val="continue"/>
            <w:tcBorders>
              <w:tl2br w:val="nil"/>
              <w:tr2bl w:val="nil"/>
            </w:tcBorders>
            <w:noWrap w:val="0"/>
            <w:vAlign w:val="center"/>
          </w:tcPr>
          <w:p w14:paraId="36AC1229">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3EC90E4F">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䓛</w:t>
            </w:r>
          </w:p>
        </w:tc>
        <w:tc>
          <w:tcPr>
            <w:tcW w:w="2239" w:type="pct"/>
            <w:tcBorders>
              <w:tl2br w:val="nil"/>
              <w:tr2bl w:val="nil"/>
            </w:tcBorders>
            <w:shd w:val="clear" w:color="auto" w:fill="auto"/>
            <w:noWrap w:val="0"/>
            <w:vAlign w:val="center"/>
          </w:tcPr>
          <w:p w14:paraId="5F43C5C0">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土壤和沉积物 半挥发性有机物的测定 气相色谱质谱法HJ 834-2017</w:t>
            </w:r>
          </w:p>
        </w:tc>
        <w:tc>
          <w:tcPr>
            <w:tcW w:w="1014" w:type="pct"/>
            <w:tcBorders>
              <w:tl2br w:val="nil"/>
              <w:tr2bl w:val="nil"/>
            </w:tcBorders>
            <w:shd w:val="clear" w:color="auto" w:fill="auto"/>
            <w:noWrap w:val="0"/>
            <w:vAlign w:val="center"/>
          </w:tcPr>
          <w:p w14:paraId="2667026E">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0.1mg/kg</w:t>
            </w:r>
          </w:p>
        </w:tc>
      </w:tr>
      <w:tr w14:paraId="4D13DF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751" w:type="pct"/>
            <w:vMerge w:val="continue"/>
            <w:tcBorders>
              <w:tl2br w:val="nil"/>
              <w:tr2bl w:val="nil"/>
            </w:tcBorders>
            <w:noWrap w:val="0"/>
            <w:vAlign w:val="center"/>
          </w:tcPr>
          <w:p w14:paraId="400957AF">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1798BEDE">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二苯并[a, h]蒽</w:t>
            </w:r>
          </w:p>
        </w:tc>
        <w:tc>
          <w:tcPr>
            <w:tcW w:w="2239" w:type="pct"/>
            <w:tcBorders>
              <w:tl2br w:val="nil"/>
              <w:tr2bl w:val="nil"/>
            </w:tcBorders>
            <w:shd w:val="clear" w:color="auto" w:fill="auto"/>
            <w:noWrap w:val="0"/>
            <w:vAlign w:val="center"/>
          </w:tcPr>
          <w:p w14:paraId="4E46D6B0">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土壤和沉积物 半挥发性有机物的测定 气相色谱质谱法HJ 834-2017</w:t>
            </w:r>
          </w:p>
        </w:tc>
        <w:tc>
          <w:tcPr>
            <w:tcW w:w="1014" w:type="pct"/>
            <w:tcBorders>
              <w:tl2br w:val="nil"/>
              <w:tr2bl w:val="nil"/>
            </w:tcBorders>
            <w:shd w:val="clear" w:color="auto" w:fill="auto"/>
            <w:noWrap w:val="0"/>
            <w:vAlign w:val="center"/>
          </w:tcPr>
          <w:p w14:paraId="58E0B89D">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0.1mg/kg</w:t>
            </w:r>
          </w:p>
        </w:tc>
      </w:tr>
      <w:tr w14:paraId="7651E6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751" w:type="pct"/>
            <w:vMerge w:val="continue"/>
            <w:tcBorders>
              <w:tl2br w:val="nil"/>
              <w:tr2bl w:val="nil"/>
            </w:tcBorders>
            <w:noWrap w:val="0"/>
            <w:vAlign w:val="center"/>
          </w:tcPr>
          <w:p w14:paraId="164346F2">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6650BA5D">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kern w:val="0"/>
                <w:sz w:val="21"/>
                <w:szCs w:val="21"/>
                <w:highlight w:val="none"/>
                <w:lang w:bidi="ar"/>
              </w:rPr>
              <w:t>茚并[1,2,3-cd]芘</w:t>
            </w:r>
          </w:p>
        </w:tc>
        <w:tc>
          <w:tcPr>
            <w:tcW w:w="2239" w:type="pct"/>
            <w:tcBorders>
              <w:tl2br w:val="nil"/>
              <w:tr2bl w:val="nil"/>
            </w:tcBorders>
            <w:shd w:val="clear" w:color="auto" w:fill="auto"/>
            <w:noWrap w:val="0"/>
            <w:vAlign w:val="center"/>
          </w:tcPr>
          <w:p w14:paraId="1E061A95">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土壤和沉积物 半挥发性有机物的测定 气相色谱质谱法HJ 834-2017</w:t>
            </w:r>
          </w:p>
        </w:tc>
        <w:tc>
          <w:tcPr>
            <w:tcW w:w="1014" w:type="pct"/>
            <w:tcBorders>
              <w:tl2br w:val="nil"/>
              <w:tr2bl w:val="nil"/>
            </w:tcBorders>
            <w:shd w:val="clear" w:color="auto" w:fill="auto"/>
            <w:noWrap w:val="0"/>
            <w:vAlign w:val="center"/>
          </w:tcPr>
          <w:p w14:paraId="6BC532F1">
            <w:pPr>
              <w:keepNext w:val="0"/>
              <w:keepLines w:val="0"/>
              <w:suppressLineNumbers w:val="0"/>
              <w:spacing w:before="0" w:beforeAutospacing="0" w:after="0" w:afterAutospacing="0" w:line="240" w:lineRule="auto"/>
              <w:ind w:left="0" w:right="0"/>
              <w:jc w:val="center"/>
              <w:rPr>
                <w:rFonts w:hint="eastAsia" w:cs="Times New Roman"/>
                <w:b w:val="0"/>
                <w:bCs w:val="0"/>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0.1mg/kg</w:t>
            </w:r>
          </w:p>
        </w:tc>
      </w:tr>
      <w:tr w14:paraId="05A1FE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751" w:type="pct"/>
            <w:vMerge w:val="continue"/>
            <w:tcBorders>
              <w:tl2br w:val="nil"/>
              <w:tr2bl w:val="nil"/>
            </w:tcBorders>
            <w:noWrap w:val="0"/>
            <w:vAlign w:val="center"/>
          </w:tcPr>
          <w:p w14:paraId="421963E9">
            <w:pPr>
              <w:keepNext w:val="0"/>
              <w:keepLines w:val="0"/>
              <w:suppressLineNumbers w:val="0"/>
              <w:spacing w:before="0" w:beforeAutospacing="0" w:after="0" w:afterAutospacing="0" w:line="240" w:lineRule="auto"/>
              <w:ind w:left="0" w:right="0"/>
              <w:jc w:val="center"/>
              <w:rPr>
                <w:rFonts w:hint="eastAsia" w:cs="Times New Roman"/>
                <w:color w:val="auto"/>
                <w:sz w:val="21"/>
                <w:szCs w:val="21"/>
                <w:highlight w:val="none"/>
                <w:lang w:val="en-US" w:eastAsia="zh-CN"/>
              </w:rPr>
            </w:pPr>
          </w:p>
        </w:tc>
        <w:tc>
          <w:tcPr>
            <w:tcW w:w="994" w:type="pct"/>
            <w:tcBorders>
              <w:tl2br w:val="nil"/>
              <w:tr2bl w:val="nil"/>
            </w:tcBorders>
            <w:shd w:val="clear" w:color="auto" w:fill="auto"/>
            <w:noWrap w:val="0"/>
            <w:vAlign w:val="center"/>
          </w:tcPr>
          <w:p w14:paraId="26D93B8D">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kern w:val="0"/>
                <w:sz w:val="21"/>
                <w:szCs w:val="21"/>
                <w:highlight w:val="none"/>
                <w:lang w:bidi="ar"/>
              </w:rPr>
              <w:t>萘</w:t>
            </w:r>
          </w:p>
        </w:tc>
        <w:tc>
          <w:tcPr>
            <w:tcW w:w="2239" w:type="pct"/>
            <w:tcBorders>
              <w:tl2br w:val="nil"/>
              <w:tr2bl w:val="nil"/>
            </w:tcBorders>
            <w:shd w:val="clear" w:color="auto" w:fill="auto"/>
            <w:noWrap w:val="0"/>
            <w:vAlign w:val="center"/>
          </w:tcPr>
          <w:p w14:paraId="154DB015">
            <w:pPr>
              <w:pStyle w:val="806"/>
              <w:keepNext w:val="0"/>
              <w:keepLines w:val="0"/>
              <w:suppressLineNumbers w:val="0"/>
              <w:spacing w:before="56" w:beforeAutospacing="0" w:after="0" w:afterAutospacing="0" w:line="240" w:lineRule="auto"/>
              <w:ind w:left="108" w:leftChars="0" w:right="101" w:rightChars="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kern w:val="0"/>
                <w:sz w:val="21"/>
                <w:szCs w:val="21"/>
                <w:highlight w:val="none"/>
                <w:lang w:val="en-US" w:eastAsia="zh-CN" w:bidi="ar"/>
              </w:rPr>
              <w:t>土壤和沉积物 半挥发性有机物的测定 气相色谱质谱法HJ 834-2017</w:t>
            </w:r>
          </w:p>
        </w:tc>
        <w:tc>
          <w:tcPr>
            <w:tcW w:w="1014" w:type="pct"/>
            <w:tcBorders>
              <w:tl2br w:val="nil"/>
              <w:tr2bl w:val="nil"/>
            </w:tcBorders>
            <w:shd w:val="clear" w:color="auto" w:fill="auto"/>
            <w:noWrap w:val="0"/>
            <w:vAlign w:val="center"/>
          </w:tcPr>
          <w:p w14:paraId="121D4F1B">
            <w:pPr>
              <w:keepNext w:val="0"/>
              <w:keepLines w:val="0"/>
              <w:suppressLineNumbers w:val="0"/>
              <w:spacing w:before="0" w:beforeAutospacing="0" w:after="0" w:afterAutospacing="0" w:line="240" w:lineRule="auto"/>
              <w:ind w:left="0" w:right="0"/>
              <w:jc w:val="center"/>
              <w:rPr>
                <w:rFonts w:hint="eastAsia"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0.09mg/kg</w:t>
            </w:r>
          </w:p>
        </w:tc>
      </w:tr>
      <w:bookmarkEnd w:id="542"/>
      <w:bookmarkEnd w:id="543"/>
      <w:bookmarkEnd w:id="544"/>
      <w:bookmarkEnd w:id="545"/>
      <w:bookmarkEnd w:id="546"/>
      <w:bookmarkEnd w:id="547"/>
      <w:bookmarkEnd w:id="548"/>
      <w:bookmarkEnd w:id="549"/>
      <w:bookmarkEnd w:id="550"/>
      <w:bookmarkEnd w:id="551"/>
      <w:bookmarkEnd w:id="552"/>
      <w:bookmarkEnd w:id="553"/>
      <w:bookmarkEnd w:id="554"/>
    </w:tbl>
    <w:p w14:paraId="142879AA">
      <w:pPr>
        <w:keepNext w:val="0"/>
        <w:keepLines w:val="0"/>
        <w:pageBreakBefore w:val="0"/>
        <w:widowControl/>
        <w:numPr>
          <w:ilvl w:val="0"/>
          <w:numId w:val="0"/>
        </w:numPr>
        <w:kinsoku/>
        <w:wordWrap/>
        <w:overflowPunct/>
        <w:topLinePunct w:val="0"/>
        <w:autoSpaceDE/>
        <w:autoSpaceDN/>
        <w:bidi w:val="0"/>
        <w:adjustRightInd/>
        <w:snapToGrid/>
        <w:spacing w:line="240" w:lineRule="auto"/>
        <w:jc w:val="center"/>
        <w:textAlignment w:val="auto"/>
        <w:rPr>
          <w:color w:val="auto"/>
          <w:highlight w:val="none"/>
        </w:rPr>
      </w:pPr>
      <w:r>
        <w:rPr>
          <w:color w:val="auto"/>
          <w:highlight w:val="none"/>
        </w:rPr>
        <w:drawing>
          <wp:inline distT="0" distB="0" distL="114300" distR="114300">
            <wp:extent cx="5560060" cy="4696460"/>
            <wp:effectExtent l="0" t="0" r="2540" b="2540"/>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52"/>
                    <a:stretch>
                      <a:fillRect/>
                    </a:stretch>
                  </pic:blipFill>
                  <pic:spPr>
                    <a:xfrm>
                      <a:off x="0" y="0"/>
                      <a:ext cx="5560060" cy="4696460"/>
                    </a:xfrm>
                    <a:prstGeom prst="rect">
                      <a:avLst/>
                    </a:prstGeom>
                    <a:noFill/>
                    <a:ln>
                      <a:noFill/>
                    </a:ln>
                  </pic:spPr>
                </pic:pic>
              </a:graphicData>
            </a:graphic>
          </wp:inline>
        </w:drawing>
      </w:r>
    </w:p>
    <w:p w14:paraId="593D85D9">
      <w:pPr>
        <w:keepNext w:val="0"/>
        <w:keepLines w:val="0"/>
        <w:pageBreakBefore w:val="0"/>
        <w:widowControl/>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eastAsia="宋体" w:cs="宋体"/>
          <w:b/>
          <w:bCs/>
          <w:color w:val="auto"/>
          <w:kern w:val="0"/>
          <w:sz w:val="24"/>
          <w:highlight w:val="none"/>
          <w:lang w:val="en-US" w:eastAsia="zh-CN" w:bidi="ar"/>
        </w:rPr>
      </w:pPr>
      <w:r>
        <w:rPr>
          <w:rFonts w:hint="eastAsia" w:ascii="宋体" w:hAnsi="宋体" w:eastAsia="宋体" w:cs="宋体"/>
          <w:b/>
          <w:bCs/>
          <w:color w:val="auto"/>
          <w:kern w:val="0"/>
          <w:sz w:val="24"/>
          <w:highlight w:val="none"/>
          <w:lang w:val="en-US" w:eastAsia="zh-CN" w:bidi="ar"/>
        </w:rPr>
        <w:t>图4.3-4  土壤监测点位图</w:t>
      </w:r>
    </w:p>
    <w:p w14:paraId="37B73042">
      <w:pPr>
        <w:pStyle w:val="2"/>
        <w:spacing w:after="0" w:line="480" w:lineRule="exact"/>
        <w:ind w:firstLine="480" w:firstLineChars="200"/>
        <w:rPr>
          <w:rFonts w:hint="eastAsia" w:asciiTheme="minorEastAsia" w:hAnsiTheme="minorEastAsia" w:eastAsiaTheme="minorEastAsia" w:cstheme="minorEastAsia"/>
          <w:color w:val="auto"/>
          <w:highlight w:val="none"/>
        </w:rPr>
      </w:pPr>
    </w:p>
    <w:p w14:paraId="626FF911">
      <w:pPr>
        <w:pStyle w:val="2"/>
        <w:spacing w:after="0" w:line="240" w:lineRule="auto"/>
        <w:ind w:firstLine="0" w:firstLineChars="0"/>
        <w:jc w:val="center"/>
        <w:rPr>
          <w:rFonts w:hint="eastAsia" w:asciiTheme="minorEastAsia" w:hAnsiTheme="minorEastAsia" w:eastAsiaTheme="minorEastAsia" w:cstheme="minorEastAsia"/>
          <w:b/>
          <w:color w:val="auto"/>
          <w:kern w:val="2"/>
          <w:sz w:val="24"/>
          <w:szCs w:val="24"/>
          <w:highlight w:val="none"/>
          <w:lang w:val="en-US" w:eastAsia="zh-CN" w:bidi="ar-SA"/>
        </w:rPr>
      </w:pPr>
      <w:r>
        <w:rPr>
          <w:rFonts w:hint="eastAsia" w:asciiTheme="minorEastAsia" w:hAnsiTheme="minorEastAsia" w:eastAsiaTheme="minorEastAsia" w:cstheme="minorEastAsia"/>
          <w:b/>
          <w:color w:val="auto"/>
          <w:kern w:val="2"/>
          <w:sz w:val="24"/>
          <w:szCs w:val="24"/>
          <w:highlight w:val="none"/>
          <w:lang w:val="en-US" w:eastAsia="zh-CN" w:bidi="ar-SA"/>
        </w:rPr>
        <w:t>表4.3-15  土壤环境质量现状监测结果</w:t>
      </w:r>
    </w:p>
    <w:tbl>
      <w:tblPr>
        <w:tblStyle w:val="84"/>
        <w:tblW w:w="488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24"/>
        <w:gridCol w:w="850"/>
        <w:gridCol w:w="830"/>
        <w:gridCol w:w="701"/>
        <w:gridCol w:w="701"/>
        <w:gridCol w:w="701"/>
        <w:gridCol w:w="701"/>
        <w:gridCol w:w="701"/>
        <w:gridCol w:w="701"/>
        <w:gridCol w:w="701"/>
        <w:gridCol w:w="765"/>
      </w:tblGrid>
      <w:tr w14:paraId="55AB5B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2" w:hRule="atLeast"/>
          <w:tblHeader/>
          <w:jc w:val="center"/>
        </w:trPr>
        <w:tc>
          <w:tcPr>
            <w:tcW w:w="811" w:type="pct"/>
            <w:vMerge w:val="restart"/>
            <w:tcBorders>
              <w:tl2br w:val="nil"/>
              <w:tr2bl w:val="nil"/>
            </w:tcBorders>
            <w:shd w:val="clear" w:color="auto" w:fill="auto"/>
            <w:noWrap w:val="0"/>
            <w:vAlign w:val="center"/>
          </w:tcPr>
          <w:p w14:paraId="2C3224E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eastAsia="宋体" w:cs="Times New Roman"/>
                <w:b w:val="0"/>
                <w:bCs w:val="0"/>
                <w:iCs/>
                <w:color w:val="auto"/>
                <w:kern w:val="0"/>
                <w:sz w:val="21"/>
                <w:szCs w:val="21"/>
                <w:highlight w:val="none"/>
                <w:lang w:val="en-US" w:eastAsia="zh-CN" w:bidi="ar-SA"/>
              </w:rPr>
            </w:pPr>
            <w:r>
              <w:rPr>
                <w:rFonts w:hint="default" w:ascii="Times New Roman" w:hAnsi="Times New Roman" w:cs="Times New Roman"/>
                <w:b w:val="0"/>
                <w:bCs w:val="0"/>
                <w:iCs/>
                <w:color w:val="auto"/>
                <w:kern w:val="0"/>
                <w:sz w:val="21"/>
                <w:szCs w:val="21"/>
                <w:highlight w:val="none"/>
                <w:lang w:eastAsia="zh-CN"/>
              </w:rPr>
              <w:t>检测项目</w:t>
            </w:r>
          </w:p>
        </w:tc>
        <w:tc>
          <w:tcPr>
            <w:tcW w:w="3752" w:type="pct"/>
            <w:gridSpan w:val="9"/>
            <w:tcBorders>
              <w:tl2br w:val="nil"/>
              <w:tr2bl w:val="nil"/>
            </w:tcBorders>
            <w:shd w:val="clear" w:color="auto" w:fill="auto"/>
            <w:noWrap w:val="0"/>
            <w:vAlign w:val="center"/>
          </w:tcPr>
          <w:p w14:paraId="511D644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b w:val="0"/>
                <w:bCs w:val="0"/>
                <w:iCs/>
                <w:color w:val="auto"/>
                <w:kern w:val="0"/>
                <w:sz w:val="21"/>
                <w:szCs w:val="21"/>
                <w:highlight w:val="none"/>
                <w:lang w:val="en-US" w:eastAsia="zh-CN" w:bidi="ar-SA"/>
              </w:rPr>
            </w:pPr>
            <w:r>
              <w:rPr>
                <w:rFonts w:hint="default" w:ascii="Times New Roman" w:hAnsi="Times New Roman" w:cs="Times New Roman"/>
                <w:b w:val="0"/>
                <w:bCs w:val="0"/>
                <w:iCs/>
                <w:color w:val="auto"/>
                <w:kern w:val="0"/>
                <w:sz w:val="21"/>
                <w:szCs w:val="21"/>
                <w:highlight w:val="none"/>
                <w:lang w:val="en-US" w:eastAsia="zh-CN" w:bidi="ar-SA"/>
              </w:rPr>
              <w:t>检测结果</w:t>
            </w:r>
          </w:p>
        </w:tc>
        <w:tc>
          <w:tcPr>
            <w:tcW w:w="435" w:type="pct"/>
            <w:vMerge w:val="restart"/>
            <w:tcBorders>
              <w:tl2br w:val="nil"/>
              <w:tr2bl w:val="nil"/>
            </w:tcBorders>
            <w:shd w:val="clear" w:color="auto" w:fill="auto"/>
            <w:noWrap w:val="0"/>
            <w:vAlign w:val="center"/>
          </w:tcPr>
          <w:p w14:paraId="61D3FC7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eastAsia="宋体" w:cs="Times New Roman"/>
                <w:b w:val="0"/>
                <w:bCs w:val="0"/>
                <w:iCs/>
                <w:color w:val="auto"/>
                <w:kern w:val="0"/>
                <w:sz w:val="21"/>
                <w:szCs w:val="21"/>
                <w:highlight w:val="none"/>
                <w:lang w:eastAsia="zh-CN"/>
              </w:rPr>
            </w:pPr>
            <w:r>
              <w:rPr>
                <w:rFonts w:hint="default" w:ascii="Times New Roman" w:hAnsi="Times New Roman" w:eastAsia="宋体" w:cs="Times New Roman"/>
                <w:b w:val="0"/>
                <w:bCs w:val="0"/>
                <w:iCs/>
                <w:color w:val="auto"/>
                <w:kern w:val="0"/>
                <w:sz w:val="21"/>
                <w:szCs w:val="21"/>
                <w:highlight w:val="none"/>
                <w:lang w:eastAsia="zh-CN"/>
              </w:rPr>
              <w:t>单位</w:t>
            </w:r>
          </w:p>
        </w:tc>
      </w:tr>
      <w:tr w14:paraId="29ECC4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4" w:hRule="atLeast"/>
          <w:tblHeader/>
          <w:jc w:val="center"/>
        </w:trPr>
        <w:tc>
          <w:tcPr>
            <w:tcW w:w="811" w:type="pct"/>
            <w:vMerge w:val="continue"/>
            <w:tcBorders>
              <w:tl2br w:val="nil"/>
              <w:tr2bl w:val="nil"/>
            </w:tcBorders>
            <w:shd w:val="clear" w:color="auto" w:fill="auto"/>
            <w:noWrap w:val="0"/>
            <w:vAlign w:val="center"/>
          </w:tcPr>
          <w:p w14:paraId="434E18E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color w:val="auto"/>
                <w:sz w:val="21"/>
                <w:szCs w:val="21"/>
                <w:highlight w:val="none"/>
              </w:rPr>
            </w:pPr>
          </w:p>
        </w:tc>
        <w:tc>
          <w:tcPr>
            <w:tcW w:w="1356" w:type="pct"/>
            <w:gridSpan w:val="3"/>
            <w:tcBorders>
              <w:tl2br w:val="nil"/>
              <w:tr2bl w:val="nil"/>
            </w:tcBorders>
            <w:shd w:val="clear" w:color="auto" w:fill="auto"/>
            <w:noWrap w:val="0"/>
            <w:vAlign w:val="center"/>
          </w:tcPr>
          <w:p w14:paraId="0B773B1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color w:val="auto"/>
                <w:sz w:val="21"/>
                <w:szCs w:val="21"/>
                <w:highlight w:val="none"/>
              </w:rPr>
            </w:pPr>
            <w:r>
              <w:rPr>
                <w:rFonts w:hint="default" w:ascii="Times New Roman" w:hAnsi="Times New Roman" w:cs="Times New Roman"/>
                <w:color w:val="auto"/>
                <w:kern w:val="2"/>
                <w:sz w:val="21"/>
                <w:szCs w:val="21"/>
                <w:highlight w:val="none"/>
              </w:rPr>
              <w:t>项目永久占地内</w:t>
            </w:r>
            <w:r>
              <w:rPr>
                <w:rFonts w:hint="default" w:ascii="Times New Roman" w:hAnsi="Times New Roman" w:cs="Times New Roman"/>
                <w:color w:val="auto"/>
                <w:kern w:val="2"/>
                <w:sz w:val="21"/>
                <w:szCs w:val="21"/>
                <w:highlight w:val="none"/>
                <w:lang w:val="en-US" w:eastAsia="zh-CN" w:bidi="ar-SA"/>
              </w:rPr>
              <w:t xml:space="preserve"> </w:t>
            </w:r>
            <w:r>
              <w:rPr>
                <w:rFonts w:hint="default" w:ascii="Times New Roman" w:hAnsi="Times New Roman" w:eastAsia="宋体" w:cs="Times New Roman"/>
                <w:color w:val="auto"/>
                <w:kern w:val="2"/>
                <w:sz w:val="21"/>
                <w:szCs w:val="21"/>
                <w:highlight w:val="none"/>
                <w:lang w:val="en-US" w:eastAsia="zh-CN" w:bidi="ar-SA"/>
              </w:rPr>
              <w:t>1#</w:t>
            </w:r>
          </w:p>
        </w:tc>
        <w:tc>
          <w:tcPr>
            <w:tcW w:w="1198" w:type="pct"/>
            <w:gridSpan w:val="3"/>
            <w:tcBorders>
              <w:tl2br w:val="nil"/>
              <w:tr2bl w:val="nil"/>
            </w:tcBorders>
            <w:shd w:val="clear" w:color="auto" w:fill="auto"/>
            <w:noWrap w:val="0"/>
            <w:vAlign w:val="center"/>
          </w:tcPr>
          <w:p w14:paraId="508B502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color w:val="auto"/>
                <w:sz w:val="21"/>
                <w:szCs w:val="21"/>
                <w:highlight w:val="none"/>
              </w:rPr>
            </w:pPr>
            <w:r>
              <w:rPr>
                <w:rFonts w:hint="default" w:ascii="Times New Roman" w:hAnsi="Times New Roman" w:cs="Times New Roman"/>
                <w:color w:val="auto"/>
                <w:kern w:val="2"/>
                <w:sz w:val="21"/>
                <w:szCs w:val="21"/>
                <w:highlight w:val="none"/>
              </w:rPr>
              <w:t>项目永久占地内</w:t>
            </w:r>
            <w:r>
              <w:rPr>
                <w:rFonts w:hint="default" w:ascii="Times New Roman" w:hAnsi="Times New Roman" w:cs="Times New Roman"/>
                <w:color w:val="auto"/>
                <w:kern w:val="2"/>
                <w:sz w:val="21"/>
                <w:szCs w:val="21"/>
                <w:highlight w:val="none"/>
                <w:lang w:val="en-US" w:eastAsia="zh-CN" w:bidi="ar-SA"/>
              </w:rPr>
              <w:t xml:space="preserve"> </w:t>
            </w:r>
            <w:r>
              <w:rPr>
                <w:rFonts w:hint="default" w:ascii="Times New Roman" w:hAnsi="Times New Roman" w:eastAsia="宋体" w:cs="Times New Roman"/>
                <w:color w:val="auto"/>
                <w:kern w:val="2"/>
                <w:sz w:val="21"/>
                <w:szCs w:val="21"/>
                <w:highlight w:val="none"/>
                <w:lang w:val="en-US" w:eastAsia="zh-CN" w:bidi="ar-SA"/>
              </w:rPr>
              <w:t>2#</w:t>
            </w:r>
          </w:p>
        </w:tc>
        <w:tc>
          <w:tcPr>
            <w:tcW w:w="1198" w:type="pct"/>
            <w:gridSpan w:val="3"/>
            <w:tcBorders>
              <w:tl2br w:val="nil"/>
              <w:tr2bl w:val="nil"/>
            </w:tcBorders>
            <w:shd w:val="clear" w:color="auto" w:fill="auto"/>
            <w:noWrap w:val="0"/>
            <w:vAlign w:val="center"/>
          </w:tcPr>
          <w:p w14:paraId="694E57B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color w:val="auto"/>
                <w:sz w:val="21"/>
                <w:szCs w:val="21"/>
                <w:highlight w:val="none"/>
              </w:rPr>
            </w:pPr>
            <w:r>
              <w:rPr>
                <w:rFonts w:hint="default" w:ascii="Times New Roman" w:hAnsi="Times New Roman" w:cs="Times New Roman"/>
                <w:color w:val="auto"/>
                <w:kern w:val="2"/>
                <w:sz w:val="21"/>
                <w:szCs w:val="21"/>
                <w:highlight w:val="none"/>
              </w:rPr>
              <w:t>项目永久占地内</w:t>
            </w:r>
            <w:r>
              <w:rPr>
                <w:rFonts w:hint="default" w:ascii="Times New Roman" w:hAnsi="Times New Roman" w:cs="Times New Roman"/>
                <w:color w:val="auto"/>
                <w:kern w:val="2"/>
                <w:sz w:val="21"/>
                <w:szCs w:val="21"/>
                <w:highlight w:val="none"/>
                <w:lang w:val="en-US" w:eastAsia="zh-CN" w:bidi="ar-SA"/>
              </w:rPr>
              <w:t xml:space="preserve"> </w:t>
            </w:r>
            <w:r>
              <w:rPr>
                <w:rFonts w:hint="default" w:ascii="Times New Roman" w:hAnsi="Times New Roman" w:eastAsia="宋体" w:cs="Times New Roman"/>
                <w:color w:val="auto"/>
                <w:kern w:val="2"/>
                <w:sz w:val="21"/>
                <w:szCs w:val="21"/>
                <w:highlight w:val="none"/>
                <w:lang w:val="en-US" w:eastAsia="zh-CN" w:bidi="ar-SA"/>
              </w:rPr>
              <w:t>3#</w:t>
            </w:r>
          </w:p>
        </w:tc>
        <w:tc>
          <w:tcPr>
            <w:tcW w:w="435" w:type="pct"/>
            <w:vMerge w:val="continue"/>
            <w:tcBorders>
              <w:tl2br w:val="nil"/>
              <w:tr2bl w:val="nil"/>
            </w:tcBorders>
            <w:shd w:val="clear" w:color="auto" w:fill="auto"/>
            <w:noWrap w:val="0"/>
            <w:vAlign w:val="center"/>
          </w:tcPr>
          <w:p w14:paraId="3854FAE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color w:val="auto"/>
                <w:sz w:val="21"/>
                <w:szCs w:val="21"/>
                <w:highlight w:val="none"/>
              </w:rPr>
            </w:pPr>
          </w:p>
        </w:tc>
      </w:tr>
      <w:tr w14:paraId="5DF3FF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3" w:hRule="atLeast"/>
          <w:tblHeader/>
          <w:jc w:val="center"/>
        </w:trPr>
        <w:tc>
          <w:tcPr>
            <w:tcW w:w="811" w:type="pct"/>
            <w:vMerge w:val="continue"/>
            <w:tcBorders>
              <w:tl2br w:val="nil"/>
              <w:tr2bl w:val="nil"/>
            </w:tcBorders>
            <w:shd w:val="clear" w:color="auto" w:fill="auto"/>
            <w:noWrap w:val="0"/>
            <w:vAlign w:val="center"/>
          </w:tcPr>
          <w:p w14:paraId="34570C2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color w:val="auto"/>
                <w:sz w:val="21"/>
                <w:szCs w:val="21"/>
                <w:highlight w:val="none"/>
              </w:rPr>
            </w:pPr>
          </w:p>
        </w:tc>
        <w:tc>
          <w:tcPr>
            <w:tcW w:w="484" w:type="pct"/>
            <w:tcBorders>
              <w:tl2br w:val="nil"/>
              <w:tr2bl w:val="nil"/>
            </w:tcBorders>
            <w:shd w:val="clear" w:color="auto" w:fill="auto"/>
            <w:noWrap w:val="0"/>
            <w:vAlign w:val="center"/>
          </w:tcPr>
          <w:p w14:paraId="47009D9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jc w:val="center"/>
              <w:textAlignment w:val="auto"/>
              <w:outlineLvl w:val="9"/>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cs="Times New Roman"/>
                <w:color w:val="auto"/>
                <w:kern w:val="2"/>
                <w:sz w:val="21"/>
                <w:szCs w:val="21"/>
                <w:highlight w:val="none"/>
                <w:lang w:val="en-US" w:eastAsia="zh-CN"/>
              </w:rPr>
              <w:t>0-0.5</w:t>
            </w:r>
            <w:r>
              <w:rPr>
                <w:rFonts w:hint="default" w:ascii="Times New Roman" w:hAnsi="Times New Roman" w:cs="Times New Roman"/>
                <w:color w:val="auto"/>
                <w:kern w:val="2"/>
                <w:sz w:val="21"/>
                <w:szCs w:val="21"/>
                <w:highlight w:val="none"/>
              </w:rPr>
              <w:t>m</w:t>
            </w:r>
          </w:p>
        </w:tc>
        <w:tc>
          <w:tcPr>
            <w:tcW w:w="472" w:type="pct"/>
            <w:tcBorders>
              <w:tl2br w:val="nil"/>
              <w:tr2bl w:val="nil"/>
            </w:tcBorders>
            <w:shd w:val="clear" w:color="auto" w:fill="auto"/>
            <w:noWrap w:val="0"/>
            <w:vAlign w:val="center"/>
          </w:tcPr>
          <w:p w14:paraId="2CD92A0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0.5-1.5m</w:t>
            </w:r>
          </w:p>
        </w:tc>
        <w:tc>
          <w:tcPr>
            <w:tcW w:w="399" w:type="pct"/>
            <w:tcBorders>
              <w:tl2br w:val="nil"/>
              <w:tr2bl w:val="nil"/>
            </w:tcBorders>
            <w:shd w:val="clear" w:color="auto" w:fill="auto"/>
            <w:noWrap w:val="0"/>
            <w:vAlign w:val="center"/>
          </w:tcPr>
          <w:p w14:paraId="763D89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1.5-</w:t>
            </w:r>
            <w:r>
              <w:rPr>
                <w:rFonts w:hint="default" w:ascii="Times New Roman" w:hAnsi="Times New Roman" w:cs="Times New Roman"/>
                <w:color w:val="auto"/>
                <w:kern w:val="2"/>
                <w:sz w:val="21"/>
                <w:szCs w:val="21"/>
                <w:highlight w:val="none"/>
                <w:lang w:val="en-US" w:eastAsia="zh-CN"/>
              </w:rPr>
              <w:t>2.7</w:t>
            </w:r>
            <w:r>
              <w:rPr>
                <w:rFonts w:hint="default" w:ascii="Times New Roman" w:hAnsi="Times New Roman" w:cs="Times New Roman"/>
                <w:color w:val="auto"/>
                <w:kern w:val="2"/>
                <w:sz w:val="21"/>
                <w:szCs w:val="21"/>
                <w:highlight w:val="none"/>
              </w:rPr>
              <w:t>m</w:t>
            </w:r>
          </w:p>
        </w:tc>
        <w:tc>
          <w:tcPr>
            <w:tcW w:w="399" w:type="pct"/>
            <w:tcBorders>
              <w:tl2br w:val="nil"/>
              <w:tr2bl w:val="nil"/>
            </w:tcBorders>
            <w:shd w:val="clear" w:color="auto" w:fill="auto"/>
            <w:noWrap w:val="0"/>
            <w:vAlign w:val="center"/>
          </w:tcPr>
          <w:p w14:paraId="38BD250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lang w:val="en-US" w:eastAsia="zh-CN"/>
              </w:rPr>
              <w:t>0-0.5</w:t>
            </w:r>
            <w:r>
              <w:rPr>
                <w:rFonts w:hint="default" w:ascii="Times New Roman" w:hAnsi="Times New Roman" w:cs="Times New Roman"/>
                <w:color w:val="auto"/>
                <w:kern w:val="2"/>
                <w:sz w:val="21"/>
                <w:szCs w:val="21"/>
                <w:highlight w:val="none"/>
              </w:rPr>
              <w:t>m</w:t>
            </w:r>
          </w:p>
        </w:tc>
        <w:tc>
          <w:tcPr>
            <w:tcW w:w="399" w:type="pct"/>
            <w:tcBorders>
              <w:tl2br w:val="nil"/>
              <w:tr2bl w:val="nil"/>
            </w:tcBorders>
            <w:shd w:val="clear" w:color="auto" w:fill="auto"/>
            <w:noWrap w:val="0"/>
            <w:vAlign w:val="center"/>
          </w:tcPr>
          <w:p w14:paraId="4D97B46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0.5-1.5m</w:t>
            </w:r>
          </w:p>
        </w:tc>
        <w:tc>
          <w:tcPr>
            <w:tcW w:w="399" w:type="pct"/>
            <w:tcBorders>
              <w:tl2br w:val="nil"/>
              <w:tr2bl w:val="nil"/>
            </w:tcBorders>
            <w:shd w:val="clear" w:color="auto" w:fill="auto"/>
            <w:noWrap w:val="0"/>
            <w:vAlign w:val="center"/>
          </w:tcPr>
          <w:p w14:paraId="5A4D97E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1.5-</w:t>
            </w:r>
            <w:r>
              <w:rPr>
                <w:rFonts w:hint="default" w:ascii="Times New Roman" w:hAnsi="Times New Roman" w:cs="Times New Roman"/>
                <w:color w:val="auto"/>
                <w:kern w:val="2"/>
                <w:sz w:val="21"/>
                <w:szCs w:val="21"/>
                <w:highlight w:val="none"/>
                <w:lang w:val="en-US" w:eastAsia="zh-CN"/>
              </w:rPr>
              <w:t>2.7</w:t>
            </w:r>
            <w:r>
              <w:rPr>
                <w:rFonts w:hint="default" w:ascii="Times New Roman" w:hAnsi="Times New Roman" w:cs="Times New Roman"/>
                <w:color w:val="auto"/>
                <w:kern w:val="2"/>
                <w:sz w:val="21"/>
                <w:szCs w:val="21"/>
                <w:highlight w:val="none"/>
              </w:rPr>
              <w:t>m</w:t>
            </w:r>
          </w:p>
        </w:tc>
        <w:tc>
          <w:tcPr>
            <w:tcW w:w="399" w:type="pct"/>
            <w:tcBorders>
              <w:tl2br w:val="nil"/>
              <w:tr2bl w:val="nil"/>
            </w:tcBorders>
            <w:shd w:val="clear" w:color="auto" w:fill="auto"/>
            <w:noWrap w:val="0"/>
            <w:vAlign w:val="center"/>
          </w:tcPr>
          <w:p w14:paraId="28281F5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lang w:val="en-US" w:eastAsia="zh-CN"/>
              </w:rPr>
              <w:t>0-0.5</w:t>
            </w:r>
            <w:r>
              <w:rPr>
                <w:rFonts w:hint="default" w:ascii="Times New Roman" w:hAnsi="Times New Roman" w:cs="Times New Roman"/>
                <w:color w:val="auto"/>
                <w:kern w:val="2"/>
                <w:sz w:val="21"/>
                <w:szCs w:val="21"/>
                <w:highlight w:val="none"/>
              </w:rPr>
              <w:t>m</w:t>
            </w:r>
          </w:p>
        </w:tc>
        <w:tc>
          <w:tcPr>
            <w:tcW w:w="399" w:type="pct"/>
            <w:tcBorders>
              <w:tl2br w:val="nil"/>
              <w:tr2bl w:val="nil"/>
            </w:tcBorders>
            <w:shd w:val="clear" w:color="auto" w:fill="auto"/>
            <w:noWrap w:val="0"/>
            <w:vAlign w:val="center"/>
          </w:tcPr>
          <w:p w14:paraId="707A862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0.5-1.5m</w:t>
            </w:r>
          </w:p>
        </w:tc>
        <w:tc>
          <w:tcPr>
            <w:tcW w:w="399" w:type="pct"/>
            <w:tcBorders>
              <w:tl2br w:val="nil"/>
              <w:tr2bl w:val="nil"/>
            </w:tcBorders>
            <w:shd w:val="clear" w:color="auto" w:fill="auto"/>
            <w:noWrap w:val="0"/>
            <w:vAlign w:val="center"/>
          </w:tcPr>
          <w:p w14:paraId="320359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1.5-</w:t>
            </w:r>
            <w:r>
              <w:rPr>
                <w:rFonts w:hint="default" w:ascii="Times New Roman" w:hAnsi="Times New Roman" w:cs="Times New Roman"/>
                <w:color w:val="auto"/>
                <w:kern w:val="2"/>
                <w:sz w:val="21"/>
                <w:szCs w:val="21"/>
                <w:highlight w:val="none"/>
                <w:lang w:val="en-US" w:eastAsia="zh-CN"/>
              </w:rPr>
              <w:t>2.7</w:t>
            </w:r>
            <w:r>
              <w:rPr>
                <w:rFonts w:hint="default" w:ascii="Times New Roman" w:hAnsi="Times New Roman" w:cs="Times New Roman"/>
                <w:color w:val="auto"/>
                <w:kern w:val="2"/>
                <w:sz w:val="21"/>
                <w:szCs w:val="21"/>
                <w:highlight w:val="none"/>
              </w:rPr>
              <w:t>m</w:t>
            </w:r>
          </w:p>
        </w:tc>
        <w:tc>
          <w:tcPr>
            <w:tcW w:w="435" w:type="pct"/>
            <w:vMerge w:val="continue"/>
            <w:tcBorders>
              <w:tl2br w:val="nil"/>
              <w:tr2bl w:val="nil"/>
            </w:tcBorders>
            <w:shd w:val="clear" w:color="auto" w:fill="auto"/>
            <w:noWrap w:val="0"/>
            <w:vAlign w:val="center"/>
          </w:tcPr>
          <w:p w14:paraId="0DA1E77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color w:val="auto"/>
                <w:kern w:val="2"/>
                <w:sz w:val="21"/>
                <w:szCs w:val="21"/>
                <w:highlight w:val="none"/>
              </w:rPr>
            </w:pPr>
          </w:p>
        </w:tc>
      </w:tr>
      <w:tr w14:paraId="03FB1A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0FA2F61A">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rPr>
              <w:t>pH</w:t>
            </w:r>
          </w:p>
        </w:tc>
        <w:tc>
          <w:tcPr>
            <w:tcW w:w="484" w:type="pct"/>
            <w:tcBorders>
              <w:tl2br w:val="nil"/>
              <w:tr2bl w:val="nil"/>
            </w:tcBorders>
            <w:shd w:val="clear" w:color="auto" w:fill="auto"/>
            <w:noWrap w:val="0"/>
            <w:vAlign w:val="center"/>
          </w:tcPr>
          <w:p w14:paraId="6B399F3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7.46</w:t>
            </w:r>
          </w:p>
        </w:tc>
        <w:tc>
          <w:tcPr>
            <w:tcW w:w="472" w:type="pct"/>
            <w:tcBorders>
              <w:tl2br w:val="nil"/>
              <w:tr2bl w:val="nil"/>
            </w:tcBorders>
            <w:shd w:val="clear" w:color="auto" w:fill="auto"/>
            <w:noWrap w:val="0"/>
            <w:vAlign w:val="center"/>
          </w:tcPr>
          <w:p w14:paraId="3B7B7AD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7.37</w:t>
            </w:r>
          </w:p>
        </w:tc>
        <w:tc>
          <w:tcPr>
            <w:tcW w:w="399" w:type="pct"/>
            <w:tcBorders>
              <w:tl2br w:val="nil"/>
              <w:tr2bl w:val="nil"/>
            </w:tcBorders>
            <w:shd w:val="clear" w:color="auto" w:fill="auto"/>
            <w:noWrap w:val="0"/>
            <w:vAlign w:val="center"/>
          </w:tcPr>
          <w:p w14:paraId="6680220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7.47</w:t>
            </w:r>
          </w:p>
        </w:tc>
        <w:tc>
          <w:tcPr>
            <w:tcW w:w="399" w:type="pct"/>
            <w:tcBorders>
              <w:tl2br w:val="nil"/>
              <w:tr2bl w:val="nil"/>
            </w:tcBorders>
            <w:shd w:val="clear" w:color="auto" w:fill="auto"/>
            <w:noWrap w:val="0"/>
            <w:vAlign w:val="center"/>
          </w:tcPr>
          <w:p w14:paraId="69E46AA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7.22</w:t>
            </w:r>
          </w:p>
        </w:tc>
        <w:tc>
          <w:tcPr>
            <w:tcW w:w="399" w:type="pct"/>
            <w:tcBorders>
              <w:tl2br w:val="nil"/>
              <w:tr2bl w:val="nil"/>
            </w:tcBorders>
            <w:shd w:val="clear" w:color="auto" w:fill="auto"/>
            <w:noWrap w:val="0"/>
            <w:vAlign w:val="center"/>
          </w:tcPr>
          <w:p w14:paraId="26E9E30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7.52</w:t>
            </w:r>
          </w:p>
        </w:tc>
        <w:tc>
          <w:tcPr>
            <w:tcW w:w="399" w:type="pct"/>
            <w:tcBorders>
              <w:tl2br w:val="nil"/>
              <w:tr2bl w:val="nil"/>
            </w:tcBorders>
            <w:shd w:val="clear" w:color="auto" w:fill="auto"/>
            <w:noWrap w:val="0"/>
            <w:vAlign w:val="center"/>
          </w:tcPr>
          <w:p w14:paraId="3AE6107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7.43</w:t>
            </w:r>
          </w:p>
        </w:tc>
        <w:tc>
          <w:tcPr>
            <w:tcW w:w="399" w:type="pct"/>
            <w:tcBorders>
              <w:tl2br w:val="nil"/>
              <w:tr2bl w:val="nil"/>
            </w:tcBorders>
            <w:shd w:val="clear" w:color="auto" w:fill="auto"/>
            <w:noWrap w:val="0"/>
            <w:vAlign w:val="center"/>
          </w:tcPr>
          <w:p w14:paraId="170383C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7.42</w:t>
            </w:r>
          </w:p>
        </w:tc>
        <w:tc>
          <w:tcPr>
            <w:tcW w:w="399" w:type="pct"/>
            <w:tcBorders>
              <w:tl2br w:val="nil"/>
              <w:tr2bl w:val="nil"/>
            </w:tcBorders>
            <w:shd w:val="clear" w:color="auto" w:fill="auto"/>
            <w:noWrap w:val="0"/>
            <w:vAlign w:val="center"/>
          </w:tcPr>
          <w:p w14:paraId="597E2C7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7.37</w:t>
            </w:r>
          </w:p>
        </w:tc>
        <w:tc>
          <w:tcPr>
            <w:tcW w:w="399" w:type="pct"/>
            <w:tcBorders>
              <w:tl2br w:val="nil"/>
              <w:tr2bl w:val="nil"/>
            </w:tcBorders>
            <w:shd w:val="clear" w:color="auto" w:fill="auto"/>
            <w:noWrap w:val="0"/>
            <w:vAlign w:val="center"/>
          </w:tcPr>
          <w:p w14:paraId="3950271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7.27</w:t>
            </w:r>
          </w:p>
        </w:tc>
        <w:tc>
          <w:tcPr>
            <w:tcW w:w="435" w:type="pct"/>
            <w:tcBorders>
              <w:tl2br w:val="nil"/>
              <w:tr2bl w:val="nil"/>
            </w:tcBorders>
            <w:shd w:val="clear" w:color="auto" w:fill="auto"/>
            <w:noWrap w:val="0"/>
            <w:vAlign w:val="center"/>
          </w:tcPr>
          <w:p w14:paraId="2F2F2450">
            <w:pPr>
              <w:keepNext w:val="0"/>
              <w:keepLines w:val="0"/>
              <w:suppressLineNumbers w:val="0"/>
              <w:spacing w:before="0" w:beforeAutospacing="0" w:after="0" w:afterAutospacing="0" w:line="240" w:lineRule="auto"/>
              <w:ind w:left="0" w:right="0"/>
              <w:jc w:val="center"/>
              <w:outlineLvl w:val="0"/>
              <w:rPr>
                <w:rFonts w:hint="default" w:ascii="Times New Roman" w:hAnsi="Times New Roman" w:eastAsia="宋体" w:cs="Times New Roman"/>
                <w:iCs/>
                <w:color w:val="auto"/>
                <w:kern w:val="0"/>
                <w:sz w:val="21"/>
                <w:szCs w:val="21"/>
                <w:highlight w:val="none"/>
                <w:lang w:val="en-US" w:eastAsia="zh-CN"/>
              </w:rPr>
            </w:pPr>
            <w:r>
              <w:rPr>
                <w:rFonts w:hint="default" w:ascii="Times New Roman" w:hAnsi="Times New Roman" w:cs="Times New Roman"/>
                <w:i w:val="0"/>
                <w:iCs w:val="0"/>
                <w:color w:val="auto"/>
                <w:kern w:val="0"/>
                <w:sz w:val="21"/>
                <w:szCs w:val="21"/>
                <w:highlight w:val="none"/>
                <w:u w:val="none"/>
                <w:lang w:val="en-US" w:eastAsia="zh-CN" w:bidi="ar"/>
              </w:rPr>
              <w:t>无量纲</w:t>
            </w:r>
          </w:p>
        </w:tc>
      </w:tr>
      <w:tr w14:paraId="5753C8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1A7EC7C4">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kern w:val="0"/>
                <w:sz w:val="21"/>
                <w:szCs w:val="21"/>
                <w:highlight w:val="none"/>
                <w:lang w:bidi="ar"/>
              </w:rPr>
              <w:t>砷</w:t>
            </w:r>
          </w:p>
        </w:tc>
        <w:tc>
          <w:tcPr>
            <w:tcW w:w="484" w:type="pct"/>
            <w:tcBorders>
              <w:tl2br w:val="nil"/>
              <w:tr2bl w:val="nil"/>
            </w:tcBorders>
            <w:shd w:val="clear" w:color="auto" w:fill="auto"/>
            <w:noWrap w:val="0"/>
            <w:vAlign w:val="center"/>
          </w:tcPr>
          <w:p w14:paraId="413B572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0.92</w:t>
            </w:r>
          </w:p>
        </w:tc>
        <w:tc>
          <w:tcPr>
            <w:tcW w:w="472" w:type="pct"/>
            <w:tcBorders>
              <w:tl2br w:val="nil"/>
              <w:tr2bl w:val="nil"/>
            </w:tcBorders>
            <w:shd w:val="clear" w:color="auto" w:fill="auto"/>
            <w:noWrap w:val="0"/>
            <w:vAlign w:val="center"/>
          </w:tcPr>
          <w:p w14:paraId="241A609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0.93</w:t>
            </w:r>
          </w:p>
        </w:tc>
        <w:tc>
          <w:tcPr>
            <w:tcW w:w="399" w:type="pct"/>
            <w:tcBorders>
              <w:tl2br w:val="nil"/>
              <w:tr2bl w:val="nil"/>
            </w:tcBorders>
            <w:shd w:val="clear" w:color="auto" w:fill="auto"/>
            <w:noWrap w:val="0"/>
            <w:vAlign w:val="center"/>
          </w:tcPr>
          <w:p w14:paraId="5A97B89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0.93</w:t>
            </w:r>
          </w:p>
        </w:tc>
        <w:tc>
          <w:tcPr>
            <w:tcW w:w="399" w:type="pct"/>
            <w:tcBorders>
              <w:tl2br w:val="nil"/>
              <w:tr2bl w:val="nil"/>
            </w:tcBorders>
            <w:shd w:val="clear" w:color="auto" w:fill="auto"/>
            <w:noWrap w:val="0"/>
            <w:vAlign w:val="center"/>
          </w:tcPr>
          <w:p w14:paraId="6E26CF4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0.95</w:t>
            </w:r>
          </w:p>
        </w:tc>
        <w:tc>
          <w:tcPr>
            <w:tcW w:w="399" w:type="pct"/>
            <w:tcBorders>
              <w:tl2br w:val="nil"/>
              <w:tr2bl w:val="nil"/>
            </w:tcBorders>
            <w:shd w:val="clear" w:color="auto" w:fill="auto"/>
            <w:noWrap w:val="0"/>
            <w:vAlign w:val="center"/>
          </w:tcPr>
          <w:p w14:paraId="01C15B6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0.96</w:t>
            </w:r>
          </w:p>
        </w:tc>
        <w:tc>
          <w:tcPr>
            <w:tcW w:w="399" w:type="pct"/>
            <w:tcBorders>
              <w:tl2br w:val="nil"/>
              <w:tr2bl w:val="nil"/>
            </w:tcBorders>
            <w:shd w:val="clear" w:color="auto" w:fill="auto"/>
            <w:noWrap w:val="0"/>
            <w:vAlign w:val="center"/>
          </w:tcPr>
          <w:p w14:paraId="0CC7643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0.93</w:t>
            </w:r>
          </w:p>
        </w:tc>
        <w:tc>
          <w:tcPr>
            <w:tcW w:w="399" w:type="pct"/>
            <w:tcBorders>
              <w:tl2br w:val="nil"/>
              <w:tr2bl w:val="nil"/>
            </w:tcBorders>
            <w:shd w:val="clear" w:color="auto" w:fill="auto"/>
            <w:noWrap w:val="0"/>
            <w:vAlign w:val="center"/>
          </w:tcPr>
          <w:p w14:paraId="1C32E36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0.92</w:t>
            </w:r>
          </w:p>
        </w:tc>
        <w:tc>
          <w:tcPr>
            <w:tcW w:w="399" w:type="pct"/>
            <w:tcBorders>
              <w:tl2br w:val="nil"/>
              <w:tr2bl w:val="nil"/>
            </w:tcBorders>
            <w:shd w:val="clear" w:color="auto" w:fill="auto"/>
            <w:noWrap w:val="0"/>
            <w:vAlign w:val="center"/>
          </w:tcPr>
          <w:p w14:paraId="63A84C9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0.93</w:t>
            </w:r>
          </w:p>
        </w:tc>
        <w:tc>
          <w:tcPr>
            <w:tcW w:w="399" w:type="pct"/>
            <w:tcBorders>
              <w:tl2br w:val="nil"/>
              <w:tr2bl w:val="nil"/>
            </w:tcBorders>
            <w:shd w:val="clear" w:color="auto" w:fill="auto"/>
            <w:noWrap w:val="0"/>
            <w:vAlign w:val="center"/>
          </w:tcPr>
          <w:p w14:paraId="1CE61C2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0.95</w:t>
            </w:r>
          </w:p>
        </w:tc>
        <w:tc>
          <w:tcPr>
            <w:tcW w:w="435" w:type="pct"/>
            <w:tcBorders>
              <w:tl2br w:val="nil"/>
              <w:tr2bl w:val="nil"/>
            </w:tcBorders>
            <w:shd w:val="clear" w:color="auto" w:fill="auto"/>
            <w:noWrap w:val="0"/>
            <w:vAlign w:val="center"/>
          </w:tcPr>
          <w:p w14:paraId="69A2F47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07AF24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7F9E6473">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镉</w:t>
            </w:r>
          </w:p>
        </w:tc>
        <w:tc>
          <w:tcPr>
            <w:tcW w:w="484" w:type="pct"/>
            <w:tcBorders>
              <w:tl2br w:val="nil"/>
              <w:tr2bl w:val="nil"/>
            </w:tcBorders>
            <w:shd w:val="clear" w:color="auto" w:fill="auto"/>
            <w:noWrap w:val="0"/>
            <w:vAlign w:val="center"/>
          </w:tcPr>
          <w:p w14:paraId="74110A4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0.070</w:t>
            </w:r>
          </w:p>
        </w:tc>
        <w:tc>
          <w:tcPr>
            <w:tcW w:w="472" w:type="pct"/>
            <w:tcBorders>
              <w:tl2br w:val="nil"/>
              <w:tr2bl w:val="nil"/>
            </w:tcBorders>
            <w:shd w:val="clear" w:color="auto" w:fill="auto"/>
            <w:noWrap w:val="0"/>
            <w:vAlign w:val="center"/>
          </w:tcPr>
          <w:p w14:paraId="4E16F18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0.092</w:t>
            </w:r>
          </w:p>
        </w:tc>
        <w:tc>
          <w:tcPr>
            <w:tcW w:w="399" w:type="pct"/>
            <w:tcBorders>
              <w:tl2br w:val="nil"/>
              <w:tr2bl w:val="nil"/>
            </w:tcBorders>
            <w:shd w:val="clear" w:color="auto" w:fill="auto"/>
            <w:noWrap w:val="0"/>
            <w:vAlign w:val="center"/>
          </w:tcPr>
          <w:p w14:paraId="6B0A72C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0.079</w:t>
            </w:r>
          </w:p>
        </w:tc>
        <w:tc>
          <w:tcPr>
            <w:tcW w:w="399" w:type="pct"/>
            <w:tcBorders>
              <w:tl2br w:val="nil"/>
              <w:tr2bl w:val="nil"/>
            </w:tcBorders>
            <w:shd w:val="clear" w:color="auto" w:fill="auto"/>
            <w:noWrap w:val="0"/>
            <w:vAlign w:val="center"/>
          </w:tcPr>
          <w:p w14:paraId="36B3111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0.090</w:t>
            </w:r>
          </w:p>
        </w:tc>
        <w:tc>
          <w:tcPr>
            <w:tcW w:w="399" w:type="pct"/>
            <w:tcBorders>
              <w:tl2br w:val="nil"/>
              <w:tr2bl w:val="nil"/>
            </w:tcBorders>
            <w:shd w:val="clear" w:color="auto" w:fill="auto"/>
            <w:noWrap w:val="0"/>
            <w:vAlign w:val="center"/>
          </w:tcPr>
          <w:p w14:paraId="0172D40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0.070</w:t>
            </w:r>
          </w:p>
        </w:tc>
        <w:tc>
          <w:tcPr>
            <w:tcW w:w="399" w:type="pct"/>
            <w:tcBorders>
              <w:tl2br w:val="nil"/>
              <w:tr2bl w:val="nil"/>
            </w:tcBorders>
            <w:shd w:val="clear" w:color="auto" w:fill="auto"/>
            <w:noWrap w:val="0"/>
            <w:vAlign w:val="center"/>
          </w:tcPr>
          <w:p w14:paraId="4F60061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0.094</w:t>
            </w:r>
          </w:p>
        </w:tc>
        <w:tc>
          <w:tcPr>
            <w:tcW w:w="399" w:type="pct"/>
            <w:tcBorders>
              <w:tl2br w:val="nil"/>
              <w:tr2bl w:val="nil"/>
            </w:tcBorders>
            <w:shd w:val="clear" w:color="auto" w:fill="auto"/>
            <w:noWrap w:val="0"/>
            <w:vAlign w:val="center"/>
          </w:tcPr>
          <w:p w14:paraId="25856E5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0.069</w:t>
            </w:r>
          </w:p>
        </w:tc>
        <w:tc>
          <w:tcPr>
            <w:tcW w:w="399" w:type="pct"/>
            <w:tcBorders>
              <w:tl2br w:val="nil"/>
              <w:tr2bl w:val="nil"/>
            </w:tcBorders>
            <w:shd w:val="clear" w:color="auto" w:fill="auto"/>
            <w:noWrap w:val="0"/>
            <w:vAlign w:val="center"/>
          </w:tcPr>
          <w:p w14:paraId="5A98834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0.096</w:t>
            </w:r>
          </w:p>
        </w:tc>
        <w:tc>
          <w:tcPr>
            <w:tcW w:w="399" w:type="pct"/>
            <w:tcBorders>
              <w:tl2br w:val="nil"/>
              <w:tr2bl w:val="nil"/>
            </w:tcBorders>
            <w:shd w:val="clear" w:color="auto" w:fill="auto"/>
            <w:noWrap w:val="0"/>
            <w:vAlign w:val="center"/>
          </w:tcPr>
          <w:p w14:paraId="7F85203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0.089</w:t>
            </w:r>
          </w:p>
        </w:tc>
        <w:tc>
          <w:tcPr>
            <w:tcW w:w="435" w:type="pct"/>
            <w:tcBorders>
              <w:tl2br w:val="nil"/>
              <w:tr2bl w:val="nil"/>
            </w:tcBorders>
            <w:shd w:val="clear" w:color="auto" w:fill="auto"/>
            <w:noWrap w:val="0"/>
            <w:vAlign w:val="center"/>
          </w:tcPr>
          <w:p w14:paraId="3705AD1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Cs/>
                <w:color w:val="auto"/>
                <w:kern w:val="0"/>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128FFB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3A5D8717">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铬（六价）</w:t>
            </w:r>
          </w:p>
        </w:tc>
        <w:tc>
          <w:tcPr>
            <w:tcW w:w="484" w:type="pct"/>
            <w:tcBorders>
              <w:tl2br w:val="nil"/>
              <w:tr2bl w:val="nil"/>
            </w:tcBorders>
            <w:shd w:val="clear" w:color="auto" w:fill="auto"/>
            <w:noWrap w:val="0"/>
            <w:vAlign w:val="center"/>
          </w:tcPr>
          <w:p w14:paraId="3B0B617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7CF61D2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A7CA7E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CC76AE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663178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276A22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60ECBF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36528A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959A19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5F83817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48F3A8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6433C4F2">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铜</w:t>
            </w:r>
          </w:p>
        </w:tc>
        <w:tc>
          <w:tcPr>
            <w:tcW w:w="484" w:type="pct"/>
            <w:tcBorders>
              <w:tl2br w:val="nil"/>
              <w:tr2bl w:val="nil"/>
            </w:tcBorders>
            <w:shd w:val="clear" w:color="auto" w:fill="auto"/>
            <w:noWrap w:val="0"/>
            <w:vAlign w:val="center"/>
          </w:tcPr>
          <w:p w14:paraId="1B51D1E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28</w:t>
            </w:r>
          </w:p>
        </w:tc>
        <w:tc>
          <w:tcPr>
            <w:tcW w:w="472" w:type="pct"/>
            <w:tcBorders>
              <w:tl2br w:val="nil"/>
              <w:tr2bl w:val="nil"/>
            </w:tcBorders>
            <w:shd w:val="clear" w:color="auto" w:fill="auto"/>
            <w:noWrap w:val="0"/>
            <w:vAlign w:val="center"/>
          </w:tcPr>
          <w:p w14:paraId="1CFB538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31</w:t>
            </w:r>
          </w:p>
        </w:tc>
        <w:tc>
          <w:tcPr>
            <w:tcW w:w="399" w:type="pct"/>
            <w:tcBorders>
              <w:tl2br w:val="nil"/>
              <w:tr2bl w:val="nil"/>
            </w:tcBorders>
            <w:shd w:val="clear" w:color="auto" w:fill="auto"/>
            <w:noWrap w:val="0"/>
            <w:vAlign w:val="center"/>
          </w:tcPr>
          <w:p w14:paraId="2CB36A0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28</w:t>
            </w:r>
          </w:p>
        </w:tc>
        <w:tc>
          <w:tcPr>
            <w:tcW w:w="399" w:type="pct"/>
            <w:tcBorders>
              <w:tl2br w:val="nil"/>
              <w:tr2bl w:val="nil"/>
            </w:tcBorders>
            <w:shd w:val="clear" w:color="auto" w:fill="auto"/>
            <w:noWrap w:val="0"/>
            <w:vAlign w:val="center"/>
          </w:tcPr>
          <w:p w14:paraId="48477F2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36</w:t>
            </w:r>
          </w:p>
        </w:tc>
        <w:tc>
          <w:tcPr>
            <w:tcW w:w="399" w:type="pct"/>
            <w:tcBorders>
              <w:tl2br w:val="nil"/>
              <w:tr2bl w:val="nil"/>
            </w:tcBorders>
            <w:shd w:val="clear" w:color="auto" w:fill="auto"/>
            <w:noWrap w:val="0"/>
            <w:vAlign w:val="center"/>
          </w:tcPr>
          <w:p w14:paraId="0A18C4A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35</w:t>
            </w:r>
          </w:p>
        </w:tc>
        <w:tc>
          <w:tcPr>
            <w:tcW w:w="399" w:type="pct"/>
            <w:tcBorders>
              <w:tl2br w:val="nil"/>
              <w:tr2bl w:val="nil"/>
            </w:tcBorders>
            <w:shd w:val="clear" w:color="auto" w:fill="auto"/>
            <w:noWrap w:val="0"/>
            <w:vAlign w:val="center"/>
          </w:tcPr>
          <w:p w14:paraId="0939A09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32</w:t>
            </w:r>
          </w:p>
        </w:tc>
        <w:tc>
          <w:tcPr>
            <w:tcW w:w="399" w:type="pct"/>
            <w:tcBorders>
              <w:tl2br w:val="nil"/>
              <w:tr2bl w:val="nil"/>
            </w:tcBorders>
            <w:shd w:val="clear" w:color="auto" w:fill="auto"/>
            <w:noWrap w:val="0"/>
            <w:vAlign w:val="center"/>
          </w:tcPr>
          <w:p w14:paraId="543E987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38</w:t>
            </w:r>
          </w:p>
        </w:tc>
        <w:tc>
          <w:tcPr>
            <w:tcW w:w="399" w:type="pct"/>
            <w:tcBorders>
              <w:tl2br w:val="nil"/>
              <w:tr2bl w:val="nil"/>
            </w:tcBorders>
            <w:shd w:val="clear" w:color="auto" w:fill="auto"/>
            <w:noWrap w:val="0"/>
            <w:vAlign w:val="center"/>
          </w:tcPr>
          <w:p w14:paraId="0C621C5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34</w:t>
            </w:r>
          </w:p>
        </w:tc>
        <w:tc>
          <w:tcPr>
            <w:tcW w:w="399" w:type="pct"/>
            <w:tcBorders>
              <w:tl2br w:val="nil"/>
              <w:tr2bl w:val="nil"/>
            </w:tcBorders>
            <w:shd w:val="clear" w:color="auto" w:fill="auto"/>
            <w:noWrap w:val="0"/>
            <w:vAlign w:val="center"/>
          </w:tcPr>
          <w:p w14:paraId="09E9B8F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36</w:t>
            </w:r>
          </w:p>
        </w:tc>
        <w:tc>
          <w:tcPr>
            <w:tcW w:w="435" w:type="pct"/>
            <w:tcBorders>
              <w:tl2br w:val="nil"/>
              <w:tr2bl w:val="nil"/>
            </w:tcBorders>
            <w:shd w:val="clear" w:color="auto" w:fill="auto"/>
            <w:noWrap w:val="0"/>
            <w:vAlign w:val="center"/>
          </w:tcPr>
          <w:p w14:paraId="0677842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5C0529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5D7B4B81">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铅</w:t>
            </w:r>
          </w:p>
        </w:tc>
        <w:tc>
          <w:tcPr>
            <w:tcW w:w="484" w:type="pct"/>
            <w:tcBorders>
              <w:tl2br w:val="nil"/>
              <w:tr2bl w:val="nil"/>
            </w:tcBorders>
            <w:shd w:val="clear" w:color="auto" w:fill="auto"/>
            <w:noWrap w:val="0"/>
            <w:vAlign w:val="center"/>
          </w:tcPr>
          <w:p w14:paraId="3CF74A7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16</w:t>
            </w:r>
          </w:p>
        </w:tc>
        <w:tc>
          <w:tcPr>
            <w:tcW w:w="472" w:type="pct"/>
            <w:tcBorders>
              <w:tl2br w:val="nil"/>
              <w:tr2bl w:val="nil"/>
            </w:tcBorders>
            <w:shd w:val="clear" w:color="auto" w:fill="auto"/>
            <w:noWrap w:val="0"/>
            <w:vAlign w:val="center"/>
          </w:tcPr>
          <w:p w14:paraId="2E71931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17</w:t>
            </w:r>
          </w:p>
        </w:tc>
        <w:tc>
          <w:tcPr>
            <w:tcW w:w="399" w:type="pct"/>
            <w:tcBorders>
              <w:tl2br w:val="nil"/>
              <w:tr2bl w:val="nil"/>
            </w:tcBorders>
            <w:shd w:val="clear" w:color="auto" w:fill="auto"/>
            <w:noWrap w:val="0"/>
            <w:vAlign w:val="center"/>
          </w:tcPr>
          <w:p w14:paraId="49FB730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17</w:t>
            </w:r>
          </w:p>
        </w:tc>
        <w:tc>
          <w:tcPr>
            <w:tcW w:w="399" w:type="pct"/>
            <w:tcBorders>
              <w:tl2br w:val="nil"/>
              <w:tr2bl w:val="nil"/>
            </w:tcBorders>
            <w:shd w:val="clear" w:color="auto" w:fill="auto"/>
            <w:noWrap w:val="0"/>
            <w:vAlign w:val="center"/>
          </w:tcPr>
          <w:p w14:paraId="1A84F61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15</w:t>
            </w:r>
          </w:p>
        </w:tc>
        <w:tc>
          <w:tcPr>
            <w:tcW w:w="399" w:type="pct"/>
            <w:tcBorders>
              <w:tl2br w:val="nil"/>
              <w:tr2bl w:val="nil"/>
            </w:tcBorders>
            <w:shd w:val="clear" w:color="auto" w:fill="auto"/>
            <w:noWrap w:val="0"/>
            <w:vAlign w:val="center"/>
          </w:tcPr>
          <w:p w14:paraId="0E2F8B4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18</w:t>
            </w:r>
          </w:p>
        </w:tc>
        <w:tc>
          <w:tcPr>
            <w:tcW w:w="399" w:type="pct"/>
            <w:tcBorders>
              <w:tl2br w:val="nil"/>
              <w:tr2bl w:val="nil"/>
            </w:tcBorders>
            <w:shd w:val="clear" w:color="auto" w:fill="auto"/>
            <w:noWrap w:val="0"/>
            <w:vAlign w:val="center"/>
          </w:tcPr>
          <w:p w14:paraId="70547A2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17</w:t>
            </w:r>
          </w:p>
        </w:tc>
        <w:tc>
          <w:tcPr>
            <w:tcW w:w="399" w:type="pct"/>
            <w:tcBorders>
              <w:tl2br w:val="nil"/>
              <w:tr2bl w:val="nil"/>
            </w:tcBorders>
            <w:shd w:val="clear" w:color="auto" w:fill="auto"/>
            <w:noWrap w:val="0"/>
            <w:vAlign w:val="center"/>
          </w:tcPr>
          <w:p w14:paraId="044480A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16</w:t>
            </w:r>
          </w:p>
        </w:tc>
        <w:tc>
          <w:tcPr>
            <w:tcW w:w="399" w:type="pct"/>
            <w:tcBorders>
              <w:tl2br w:val="nil"/>
              <w:tr2bl w:val="nil"/>
            </w:tcBorders>
            <w:shd w:val="clear" w:color="auto" w:fill="auto"/>
            <w:noWrap w:val="0"/>
            <w:vAlign w:val="center"/>
          </w:tcPr>
          <w:p w14:paraId="1C6F375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18</w:t>
            </w:r>
          </w:p>
        </w:tc>
        <w:tc>
          <w:tcPr>
            <w:tcW w:w="399" w:type="pct"/>
            <w:tcBorders>
              <w:tl2br w:val="nil"/>
              <w:tr2bl w:val="nil"/>
            </w:tcBorders>
            <w:shd w:val="clear" w:color="auto" w:fill="auto"/>
            <w:noWrap w:val="0"/>
            <w:vAlign w:val="center"/>
          </w:tcPr>
          <w:p w14:paraId="19971E0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16</w:t>
            </w:r>
          </w:p>
        </w:tc>
        <w:tc>
          <w:tcPr>
            <w:tcW w:w="435" w:type="pct"/>
            <w:tcBorders>
              <w:tl2br w:val="nil"/>
              <w:tr2bl w:val="nil"/>
            </w:tcBorders>
            <w:shd w:val="clear" w:color="auto" w:fill="auto"/>
            <w:noWrap w:val="0"/>
            <w:vAlign w:val="center"/>
          </w:tcPr>
          <w:p w14:paraId="60A178E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484E03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4A91F85B">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汞</w:t>
            </w:r>
          </w:p>
        </w:tc>
        <w:tc>
          <w:tcPr>
            <w:tcW w:w="484" w:type="pct"/>
            <w:tcBorders>
              <w:tl2br w:val="nil"/>
              <w:tr2bl w:val="nil"/>
            </w:tcBorders>
            <w:shd w:val="clear" w:color="auto" w:fill="auto"/>
            <w:noWrap w:val="0"/>
            <w:vAlign w:val="center"/>
          </w:tcPr>
          <w:p w14:paraId="4A41352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0.071</w:t>
            </w:r>
          </w:p>
        </w:tc>
        <w:tc>
          <w:tcPr>
            <w:tcW w:w="472" w:type="pct"/>
            <w:tcBorders>
              <w:tl2br w:val="nil"/>
              <w:tr2bl w:val="nil"/>
            </w:tcBorders>
            <w:shd w:val="clear" w:color="auto" w:fill="auto"/>
            <w:noWrap w:val="0"/>
            <w:vAlign w:val="center"/>
          </w:tcPr>
          <w:p w14:paraId="554D854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0.067</w:t>
            </w:r>
          </w:p>
        </w:tc>
        <w:tc>
          <w:tcPr>
            <w:tcW w:w="399" w:type="pct"/>
            <w:tcBorders>
              <w:tl2br w:val="nil"/>
              <w:tr2bl w:val="nil"/>
            </w:tcBorders>
            <w:shd w:val="clear" w:color="auto" w:fill="auto"/>
            <w:noWrap w:val="0"/>
            <w:vAlign w:val="center"/>
          </w:tcPr>
          <w:p w14:paraId="643F761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0.068</w:t>
            </w:r>
          </w:p>
        </w:tc>
        <w:tc>
          <w:tcPr>
            <w:tcW w:w="399" w:type="pct"/>
            <w:tcBorders>
              <w:tl2br w:val="nil"/>
              <w:tr2bl w:val="nil"/>
            </w:tcBorders>
            <w:shd w:val="clear" w:color="auto" w:fill="auto"/>
            <w:noWrap w:val="0"/>
            <w:vAlign w:val="center"/>
          </w:tcPr>
          <w:p w14:paraId="28C2A3E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0.069</w:t>
            </w:r>
          </w:p>
        </w:tc>
        <w:tc>
          <w:tcPr>
            <w:tcW w:w="399" w:type="pct"/>
            <w:tcBorders>
              <w:tl2br w:val="nil"/>
              <w:tr2bl w:val="nil"/>
            </w:tcBorders>
            <w:shd w:val="clear" w:color="auto" w:fill="auto"/>
            <w:noWrap w:val="0"/>
            <w:vAlign w:val="center"/>
          </w:tcPr>
          <w:p w14:paraId="638CE55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0.070</w:t>
            </w:r>
          </w:p>
        </w:tc>
        <w:tc>
          <w:tcPr>
            <w:tcW w:w="399" w:type="pct"/>
            <w:tcBorders>
              <w:tl2br w:val="nil"/>
              <w:tr2bl w:val="nil"/>
            </w:tcBorders>
            <w:shd w:val="clear" w:color="auto" w:fill="auto"/>
            <w:noWrap w:val="0"/>
            <w:vAlign w:val="center"/>
          </w:tcPr>
          <w:p w14:paraId="69BA749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0.072</w:t>
            </w:r>
          </w:p>
        </w:tc>
        <w:tc>
          <w:tcPr>
            <w:tcW w:w="399" w:type="pct"/>
            <w:tcBorders>
              <w:tl2br w:val="nil"/>
              <w:tr2bl w:val="nil"/>
            </w:tcBorders>
            <w:shd w:val="clear" w:color="auto" w:fill="auto"/>
            <w:noWrap w:val="0"/>
            <w:vAlign w:val="center"/>
          </w:tcPr>
          <w:p w14:paraId="19EE990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0.072</w:t>
            </w:r>
          </w:p>
        </w:tc>
        <w:tc>
          <w:tcPr>
            <w:tcW w:w="399" w:type="pct"/>
            <w:tcBorders>
              <w:tl2br w:val="nil"/>
              <w:tr2bl w:val="nil"/>
            </w:tcBorders>
            <w:shd w:val="clear" w:color="auto" w:fill="auto"/>
            <w:noWrap w:val="0"/>
            <w:vAlign w:val="center"/>
          </w:tcPr>
          <w:p w14:paraId="18A13A2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0.070</w:t>
            </w:r>
          </w:p>
        </w:tc>
        <w:tc>
          <w:tcPr>
            <w:tcW w:w="399" w:type="pct"/>
            <w:tcBorders>
              <w:tl2br w:val="nil"/>
              <w:tr2bl w:val="nil"/>
            </w:tcBorders>
            <w:shd w:val="clear" w:color="auto" w:fill="auto"/>
            <w:noWrap w:val="0"/>
            <w:vAlign w:val="center"/>
          </w:tcPr>
          <w:p w14:paraId="19AA45E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0.071</w:t>
            </w:r>
          </w:p>
        </w:tc>
        <w:tc>
          <w:tcPr>
            <w:tcW w:w="435" w:type="pct"/>
            <w:tcBorders>
              <w:tl2br w:val="nil"/>
              <w:tr2bl w:val="nil"/>
            </w:tcBorders>
            <w:shd w:val="clear" w:color="auto" w:fill="auto"/>
            <w:noWrap w:val="0"/>
            <w:vAlign w:val="center"/>
          </w:tcPr>
          <w:p w14:paraId="6655C70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6E1439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5E5F61F1">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镍</w:t>
            </w:r>
          </w:p>
        </w:tc>
        <w:tc>
          <w:tcPr>
            <w:tcW w:w="484" w:type="pct"/>
            <w:tcBorders>
              <w:tl2br w:val="nil"/>
              <w:tr2bl w:val="nil"/>
            </w:tcBorders>
            <w:shd w:val="clear" w:color="auto" w:fill="auto"/>
            <w:noWrap w:val="0"/>
            <w:vAlign w:val="center"/>
          </w:tcPr>
          <w:p w14:paraId="47C1ECC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28</w:t>
            </w:r>
          </w:p>
        </w:tc>
        <w:tc>
          <w:tcPr>
            <w:tcW w:w="472" w:type="pct"/>
            <w:tcBorders>
              <w:tl2br w:val="nil"/>
              <w:tr2bl w:val="nil"/>
            </w:tcBorders>
            <w:shd w:val="clear" w:color="auto" w:fill="auto"/>
            <w:noWrap w:val="0"/>
            <w:vAlign w:val="center"/>
          </w:tcPr>
          <w:p w14:paraId="62A3451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31</w:t>
            </w:r>
          </w:p>
        </w:tc>
        <w:tc>
          <w:tcPr>
            <w:tcW w:w="399" w:type="pct"/>
            <w:tcBorders>
              <w:tl2br w:val="nil"/>
              <w:tr2bl w:val="nil"/>
            </w:tcBorders>
            <w:shd w:val="clear" w:color="auto" w:fill="auto"/>
            <w:noWrap w:val="0"/>
            <w:vAlign w:val="center"/>
          </w:tcPr>
          <w:p w14:paraId="06CCE91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30</w:t>
            </w:r>
          </w:p>
        </w:tc>
        <w:tc>
          <w:tcPr>
            <w:tcW w:w="399" w:type="pct"/>
            <w:tcBorders>
              <w:tl2br w:val="nil"/>
              <w:tr2bl w:val="nil"/>
            </w:tcBorders>
            <w:shd w:val="clear" w:color="auto" w:fill="auto"/>
            <w:noWrap w:val="0"/>
            <w:vAlign w:val="center"/>
          </w:tcPr>
          <w:p w14:paraId="39C73B6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27</w:t>
            </w:r>
          </w:p>
        </w:tc>
        <w:tc>
          <w:tcPr>
            <w:tcW w:w="399" w:type="pct"/>
            <w:tcBorders>
              <w:tl2br w:val="nil"/>
              <w:tr2bl w:val="nil"/>
            </w:tcBorders>
            <w:shd w:val="clear" w:color="auto" w:fill="auto"/>
            <w:noWrap w:val="0"/>
            <w:vAlign w:val="center"/>
          </w:tcPr>
          <w:p w14:paraId="4017559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31</w:t>
            </w:r>
          </w:p>
        </w:tc>
        <w:tc>
          <w:tcPr>
            <w:tcW w:w="399" w:type="pct"/>
            <w:tcBorders>
              <w:tl2br w:val="nil"/>
              <w:tr2bl w:val="nil"/>
            </w:tcBorders>
            <w:shd w:val="clear" w:color="auto" w:fill="auto"/>
            <w:noWrap w:val="0"/>
            <w:vAlign w:val="center"/>
          </w:tcPr>
          <w:p w14:paraId="1DF33D1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29</w:t>
            </w:r>
          </w:p>
        </w:tc>
        <w:tc>
          <w:tcPr>
            <w:tcW w:w="399" w:type="pct"/>
            <w:tcBorders>
              <w:tl2br w:val="nil"/>
              <w:tr2bl w:val="nil"/>
            </w:tcBorders>
            <w:shd w:val="clear" w:color="auto" w:fill="auto"/>
            <w:noWrap w:val="0"/>
            <w:vAlign w:val="center"/>
          </w:tcPr>
          <w:p w14:paraId="15BF1DC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30</w:t>
            </w:r>
          </w:p>
        </w:tc>
        <w:tc>
          <w:tcPr>
            <w:tcW w:w="399" w:type="pct"/>
            <w:tcBorders>
              <w:tl2br w:val="nil"/>
              <w:tr2bl w:val="nil"/>
            </w:tcBorders>
            <w:shd w:val="clear" w:color="auto" w:fill="auto"/>
            <w:noWrap w:val="0"/>
            <w:vAlign w:val="center"/>
          </w:tcPr>
          <w:p w14:paraId="014235F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28</w:t>
            </w:r>
          </w:p>
        </w:tc>
        <w:tc>
          <w:tcPr>
            <w:tcW w:w="399" w:type="pct"/>
            <w:tcBorders>
              <w:tl2br w:val="nil"/>
              <w:tr2bl w:val="nil"/>
            </w:tcBorders>
            <w:shd w:val="clear" w:color="auto" w:fill="auto"/>
            <w:noWrap w:val="0"/>
            <w:vAlign w:val="center"/>
          </w:tcPr>
          <w:p w14:paraId="7DE8012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29</w:t>
            </w:r>
          </w:p>
        </w:tc>
        <w:tc>
          <w:tcPr>
            <w:tcW w:w="435" w:type="pct"/>
            <w:tcBorders>
              <w:tl2br w:val="nil"/>
              <w:tr2bl w:val="nil"/>
            </w:tcBorders>
            <w:shd w:val="clear" w:color="auto" w:fill="auto"/>
            <w:noWrap w:val="0"/>
            <w:vAlign w:val="center"/>
          </w:tcPr>
          <w:p w14:paraId="2962396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1FCBBD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70962D7A">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四氯化碳</w:t>
            </w:r>
          </w:p>
        </w:tc>
        <w:tc>
          <w:tcPr>
            <w:tcW w:w="484" w:type="pct"/>
            <w:tcBorders>
              <w:tl2br w:val="nil"/>
              <w:tr2bl w:val="nil"/>
            </w:tcBorders>
            <w:shd w:val="clear" w:color="auto" w:fill="auto"/>
            <w:noWrap w:val="0"/>
            <w:vAlign w:val="center"/>
          </w:tcPr>
          <w:p w14:paraId="48CBB95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3AE431A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E6B810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20CD5F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310D54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A0034E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CD0A40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F61672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DC2D9A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4EC63DF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5008A6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5EA417FE">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氯仿</w:t>
            </w:r>
          </w:p>
        </w:tc>
        <w:tc>
          <w:tcPr>
            <w:tcW w:w="484" w:type="pct"/>
            <w:tcBorders>
              <w:tl2br w:val="nil"/>
              <w:tr2bl w:val="nil"/>
            </w:tcBorders>
            <w:shd w:val="clear" w:color="auto" w:fill="auto"/>
            <w:noWrap w:val="0"/>
            <w:vAlign w:val="center"/>
          </w:tcPr>
          <w:p w14:paraId="08E88AD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5788DA6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FC1854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6E6FAA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815E1A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BA02FB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398D34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526C9E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BED11E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1E15F3E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18908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1F243485">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氯甲烷</w:t>
            </w:r>
          </w:p>
        </w:tc>
        <w:tc>
          <w:tcPr>
            <w:tcW w:w="484" w:type="pct"/>
            <w:tcBorders>
              <w:tl2br w:val="nil"/>
              <w:tr2bl w:val="nil"/>
            </w:tcBorders>
            <w:shd w:val="clear" w:color="auto" w:fill="auto"/>
            <w:noWrap w:val="0"/>
            <w:vAlign w:val="center"/>
          </w:tcPr>
          <w:p w14:paraId="7C6CF36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704AF73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BAD1E9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B40D96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E4A0A4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4D9EA6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0A0B15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A776F7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50BD25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5511DD9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10BC3E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33F6DF32">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1,1-二氯乙烷</w:t>
            </w:r>
          </w:p>
        </w:tc>
        <w:tc>
          <w:tcPr>
            <w:tcW w:w="484" w:type="pct"/>
            <w:tcBorders>
              <w:tl2br w:val="nil"/>
              <w:tr2bl w:val="nil"/>
            </w:tcBorders>
            <w:shd w:val="clear" w:color="auto" w:fill="auto"/>
            <w:noWrap w:val="0"/>
            <w:vAlign w:val="center"/>
          </w:tcPr>
          <w:p w14:paraId="31EC47A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37B7B9C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2486D6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0828AC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84FBA4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FFB569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6D1464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9EC535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56307D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20C42B4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46792F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469812DF">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1,2-二氯乙烷</w:t>
            </w:r>
          </w:p>
        </w:tc>
        <w:tc>
          <w:tcPr>
            <w:tcW w:w="484" w:type="pct"/>
            <w:tcBorders>
              <w:tl2br w:val="nil"/>
              <w:tr2bl w:val="nil"/>
            </w:tcBorders>
            <w:shd w:val="clear" w:color="auto" w:fill="auto"/>
            <w:noWrap w:val="0"/>
            <w:vAlign w:val="center"/>
          </w:tcPr>
          <w:p w14:paraId="3424956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0FF052F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FAA5A9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885B7C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DBD724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3C506C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15B31D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3EA966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6526AC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58D64E2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4F8374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194419E0">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1,1-二氯乙烯</w:t>
            </w:r>
          </w:p>
        </w:tc>
        <w:tc>
          <w:tcPr>
            <w:tcW w:w="484" w:type="pct"/>
            <w:tcBorders>
              <w:tl2br w:val="nil"/>
              <w:tr2bl w:val="nil"/>
            </w:tcBorders>
            <w:shd w:val="clear" w:color="auto" w:fill="auto"/>
            <w:noWrap w:val="0"/>
            <w:vAlign w:val="center"/>
          </w:tcPr>
          <w:p w14:paraId="02D7390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169F28D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687993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0FE060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7C747D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90EA4F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7F2F94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FB2129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55A077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5087C44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522076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3C8717D2">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顺-1,2-二氯乙烯</w:t>
            </w:r>
          </w:p>
        </w:tc>
        <w:tc>
          <w:tcPr>
            <w:tcW w:w="484" w:type="pct"/>
            <w:tcBorders>
              <w:tl2br w:val="nil"/>
              <w:tr2bl w:val="nil"/>
            </w:tcBorders>
            <w:shd w:val="clear" w:color="auto" w:fill="auto"/>
            <w:noWrap w:val="0"/>
            <w:vAlign w:val="center"/>
          </w:tcPr>
          <w:p w14:paraId="00B7AD1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6018708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8EF118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374873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311361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00E67D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D30411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472411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B15D05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3A93D83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B6A0F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39EECACF">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反-1,2-二氯乙烯</w:t>
            </w:r>
          </w:p>
        </w:tc>
        <w:tc>
          <w:tcPr>
            <w:tcW w:w="484" w:type="pct"/>
            <w:tcBorders>
              <w:tl2br w:val="nil"/>
              <w:tr2bl w:val="nil"/>
            </w:tcBorders>
            <w:shd w:val="clear" w:color="auto" w:fill="auto"/>
            <w:noWrap w:val="0"/>
            <w:vAlign w:val="center"/>
          </w:tcPr>
          <w:p w14:paraId="2009570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7CFD866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2365B4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12C5A7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50076E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BC8C67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15C3AD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3D9182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1DF632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7B5C5D0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1BB874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707D12FD">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二氯甲烷</w:t>
            </w:r>
          </w:p>
        </w:tc>
        <w:tc>
          <w:tcPr>
            <w:tcW w:w="484" w:type="pct"/>
            <w:tcBorders>
              <w:tl2br w:val="nil"/>
              <w:tr2bl w:val="nil"/>
            </w:tcBorders>
            <w:shd w:val="clear" w:color="auto" w:fill="auto"/>
            <w:noWrap w:val="0"/>
            <w:vAlign w:val="center"/>
          </w:tcPr>
          <w:p w14:paraId="20A14F3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6BDFB7A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B593FD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2315AC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C13724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033A07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F6110A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896728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C16890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457EA3F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540F31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19098523">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1,2-二氯丙烷</w:t>
            </w:r>
          </w:p>
        </w:tc>
        <w:tc>
          <w:tcPr>
            <w:tcW w:w="484" w:type="pct"/>
            <w:tcBorders>
              <w:tl2br w:val="nil"/>
              <w:tr2bl w:val="nil"/>
            </w:tcBorders>
            <w:shd w:val="clear" w:color="auto" w:fill="auto"/>
            <w:noWrap w:val="0"/>
            <w:vAlign w:val="center"/>
          </w:tcPr>
          <w:p w14:paraId="7AD9A7A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77F1D72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1BB1D4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88E575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FBFC73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E9F02F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2209FE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0849B6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AA30BE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1707A05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409390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1687BA67">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1,1,1,2-四氯乙烷</w:t>
            </w:r>
          </w:p>
        </w:tc>
        <w:tc>
          <w:tcPr>
            <w:tcW w:w="484" w:type="pct"/>
            <w:tcBorders>
              <w:tl2br w:val="nil"/>
              <w:tr2bl w:val="nil"/>
            </w:tcBorders>
            <w:shd w:val="clear" w:color="auto" w:fill="auto"/>
            <w:noWrap w:val="0"/>
            <w:vAlign w:val="center"/>
          </w:tcPr>
          <w:p w14:paraId="034C2AB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2500CE2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D87AFD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C3E57F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D56FE0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E04E90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46CAF0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5CB7C8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4EA98A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1F9F6AE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5FEB1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646E3B67">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1,1,2,2-四氯乙烷</w:t>
            </w:r>
          </w:p>
        </w:tc>
        <w:tc>
          <w:tcPr>
            <w:tcW w:w="484" w:type="pct"/>
            <w:tcBorders>
              <w:tl2br w:val="nil"/>
              <w:tr2bl w:val="nil"/>
            </w:tcBorders>
            <w:shd w:val="clear" w:color="auto" w:fill="auto"/>
            <w:noWrap w:val="0"/>
            <w:vAlign w:val="center"/>
          </w:tcPr>
          <w:p w14:paraId="23F26A4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314163A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9C53E7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17ED51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246B49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CD7991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6FEAB4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5173BA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F24413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57850A8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0F90E8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18A95E4D">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四氯乙烯</w:t>
            </w:r>
          </w:p>
        </w:tc>
        <w:tc>
          <w:tcPr>
            <w:tcW w:w="484" w:type="pct"/>
            <w:tcBorders>
              <w:tl2br w:val="nil"/>
              <w:tr2bl w:val="nil"/>
            </w:tcBorders>
            <w:shd w:val="clear" w:color="auto" w:fill="auto"/>
            <w:noWrap w:val="0"/>
            <w:vAlign w:val="center"/>
          </w:tcPr>
          <w:p w14:paraId="02A5CE7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28573C9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332183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F1B58E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3A370B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B17387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60C746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2291F1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991879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4239976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49E388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125A879E">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1,1,1-三氯乙烷</w:t>
            </w:r>
          </w:p>
        </w:tc>
        <w:tc>
          <w:tcPr>
            <w:tcW w:w="484" w:type="pct"/>
            <w:tcBorders>
              <w:tl2br w:val="nil"/>
              <w:tr2bl w:val="nil"/>
            </w:tcBorders>
            <w:shd w:val="clear" w:color="auto" w:fill="auto"/>
            <w:noWrap w:val="0"/>
            <w:vAlign w:val="center"/>
          </w:tcPr>
          <w:p w14:paraId="0E401DB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2B6F70E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5DCE12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2E92CC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280DA7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567A33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661CCD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1E6827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37D1B8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596791E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1871DB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5B3EC14A">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1,1,2-三氯乙烷</w:t>
            </w:r>
          </w:p>
        </w:tc>
        <w:tc>
          <w:tcPr>
            <w:tcW w:w="484" w:type="pct"/>
            <w:tcBorders>
              <w:tl2br w:val="nil"/>
              <w:tr2bl w:val="nil"/>
            </w:tcBorders>
            <w:shd w:val="clear" w:color="auto" w:fill="auto"/>
            <w:noWrap w:val="0"/>
            <w:vAlign w:val="center"/>
          </w:tcPr>
          <w:p w14:paraId="3CF6C0F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6053873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7B9DF5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C3A575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3B0899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72F122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617953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09F332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9D327B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3DC5687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25D578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2D7EEDF7">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三氯乙烯</w:t>
            </w:r>
          </w:p>
        </w:tc>
        <w:tc>
          <w:tcPr>
            <w:tcW w:w="484" w:type="pct"/>
            <w:tcBorders>
              <w:tl2br w:val="nil"/>
              <w:tr2bl w:val="nil"/>
            </w:tcBorders>
            <w:shd w:val="clear" w:color="auto" w:fill="auto"/>
            <w:noWrap w:val="0"/>
            <w:vAlign w:val="center"/>
          </w:tcPr>
          <w:p w14:paraId="6E57E9F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10099C6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28BE41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8325F9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D659A3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A6BA26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34C8DC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26516D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A5AE21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22D349D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Cs/>
                <w:color w:val="auto"/>
                <w:kern w:val="0"/>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7B69C1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68B616C5">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1,2,3-三氯丙烷</w:t>
            </w:r>
          </w:p>
        </w:tc>
        <w:tc>
          <w:tcPr>
            <w:tcW w:w="484" w:type="pct"/>
            <w:tcBorders>
              <w:tl2br w:val="nil"/>
              <w:tr2bl w:val="nil"/>
            </w:tcBorders>
            <w:shd w:val="clear" w:color="auto" w:fill="auto"/>
            <w:noWrap w:val="0"/>
            <w:vAlign w:val="center"/>
          </w:tcPr>
          <w:p w14:paraId="235DBE5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08B5199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BC0863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48A9D4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E34F25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E029D5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9490CF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354D48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797A18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19270F8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Cs/>
                <w:color w:val="auto"/>
                <w:kern w:val="0"/>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11FFAF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4D4B55B3">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氯乙烯</w:t>
            </w:r>
          </w:p>
        </w:tc>
        <w:tc>
          <w:tcPr>
            <w:tcW w:w="484" w:type="pct"/>
            <w:tcBorders>
              <w:tl2br w:val="nil"/>
              <w:tr2bl w:val="nil"/>
            </w:tcBorders>
            <w:shd w:val="clear" w:color="auto" w:fill="auto"/>
            <w:noWrap w:val="0"/>
            <w:vAlign w:val="center"/>
          </w:tcPr>
          <w:p w14:paraId="2150042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3DE7BEA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011D94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98B389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A1B1E8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8A9490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A05B55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308708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D07422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7859472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Cs/>
                <w:color w:val="auto"/>
                <w:kern w:val="0"/>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6B784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30763F6F">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苯</w:t>
            </w:r>
          </w:p>
        </w:tc>
        <w:tc>
          <w:tcPr>
            <w:tcW w:w="484" w:type="pct"/>
            <w:tcBorders>
              <w:tl2br w:val="nil"/>
              <w:tr2bl w:val="nil"/>
            </w:tcBorders>
            <w:shd w:val="clear" w:color="auto" w:fill="auto"/>
            <w:noWrap w:val="0"/>
            <w:vAlign w:val="center"/>
          </w:tcPr>
          <w:p w14:paraId="1146976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012ACD6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A1BED7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461B28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0BC786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DC6DC5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580FB4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0A5161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A418F2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7F230C6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Cs/>
                <w:color w:val="auto"/>
                <w:kern w:val="0"/>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466AEA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02F16ADD">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氯苯</w:t>
            </w:r>
          </w:p>
        </w:tc>
        <w:tc>
          <w:tcPr>
            <w:tcW w:w="484" w:type="pct"/>
            <w:tcBorders>
              <w:tl2br w:val="nil"/>
              <w:tr2bl w:val="nil"/>
            </w:tcBorders>
            <w:shd w:val="clear" w:color="auto" w:fill="auto"/>
            <w:noWrap w:val="0"/>
            <w:vAlign w:val="center"/>
          </w:tcPr>
          <w:p w14:paraId="628D5FD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3A47FEB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21C9B9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163D94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9EBB42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D38460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9AE11D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8EDEBF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CBAEA1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62DA2A2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Cs/>
                <w:color w:val="auto"/>
                <w:kern w:val="0"/>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7B2571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04DC8A15">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120" w:rightChars="-5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1,2-二氯苯</w:t>
            </w:r>
          </w:p>
        </w:tc>
        <w:tc>
          <w:tcPr>
            <w:tcW w:w="484" w:type="pct"/>
            <w:tcBorders>
              <w:tl2br w:val="nil"/>
              <w:tr2bl w:val="nil"/>
            </w:tcBorders>
            <w:shd w:val="clear" w:color="auto" w:fill="auto"/>
            <w:noWrap w:val="0"/>
            <w:vAlign w:val="center"/>
          </w:tcPr>
          <w:p w14:paraId="0BD4079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187EB91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AEE2BC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8EC12F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DA8544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1D37CA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6221AB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519B34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ECF20E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1DD229A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Cs/>
                <w:color w:val="auto"/>
                <w:kern w:val="0"/>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6A5BB0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28902453">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120" w:rightChars="-5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1,4-二氯苯</w:t>
            </w:r>
          </w:p>
        </w:tc>
        <w:tc>
          <w:tcPr>
            <w:tcW w:w="484" w:type="pct"/>
            <w:tcBorders>
              <w:tl2br w:val="nil"/>
              <w:tr2bl w:val="nil"/>
            </w:tcBorders>
            <w:shd w:val="clear" w:color="auto" w:fill="auto"/>
            <w:noWrap w:val="0"/>
            <w:vAlign w:val="center"/>
          </w:tcPr>
          <w:p w14:paraId="0E6A9DB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735D237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AEDDB2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464281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23220E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405F9C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1BC2FE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A8671F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4FCBB2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2C36FE8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Cs/>
                <w:color w:val="auto"/>
                <w:kern w:val="0"/>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0AFAD5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35682CF6">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乙苯</w:t>
            </w:r>
          </w:p>
        </w:tc>
        <w:tc>
          <w:tcPr>
            <w:tcW w:w="484" w:type="pct"/>
            <w:tcBorders>
              <w:tl2br w:val="nil"/>
              <w:tr2bl w:val="nil"/>
            </w:tcBorders>
            <w:shd w:val="clear" w:color="auto" w:fill="auto"/>
            <w:noWrap w:val="0"/>
            <w:vAlign w:val="center"/>
          </w:tcPr>
          <w:p w14:paraId="382DEF4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61D7646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CF5CDC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A83ED6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050C32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EDBCB3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6D2A7C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2C5E93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B621C9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3A17E8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797173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22315FB2">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苯乙烯</w:t>
            </w:r>
          </w:p>
        </w:tc>
        <w:tc>
          <w:tcPr>
            <w:tcW w:w="484" w:type="pct"/>
            <w:tcBorders>
              <w:tl2br w:val="nil"/>
              <w:tr2bl w:val="nil"/>
            </w:tcBorders>
            <w:shd w:val="clear" w:color="auto" w:fill="auto"/>
            <w:noWrap w:val="0"/>
            <w:vAlign w:val="center"/>
          </w:tcPr>
          <w:p w14:paraId="2B8BA7A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72AD0A9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5FCFE1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D7799C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ECBB5F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607CEA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C61B8E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232D9D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8EE2EF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16EE3A8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0BFF77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7A859B68">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甲苯</w:t>
            </w:r>
          </w:p>
        </w:tc>
        <w:tc>
          <w:tcPr>
            <w:tcW w:w="484" w:type="pct"/>
            <w:tcBorders>
              <w:tl2br w:val="nil"/>
              <w:tr2bl w:val="nil"/>
            </w:tcBorders>
            <w:shd w:val="clear" w:color="auto" w:fill="auto"/>
            <w:noWrap w:val="0"/>
            <w:vAlign w:val="center"/>
          </w:tcPr>
          <w:p w14:paraId="5B6564F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3FA8718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4B1A65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C3A2F9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8E9FD4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A74F59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0092DF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C78D04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2FD311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3EEC0F6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E0BF3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39D3A1C8">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间二甲苯+对二甲苯</w:t>
            </w:r>
          </w:p>
        </w:tc>
        <w:tc>
          <w:tcPr>
            <w:tcW w:w="484" w:type="pct"/>
            <w:tcBorders>
              <w:tl2br w:val="nil"/>
              <w:tr2bl w:val="nil"/>
            </w:tcBorders>
            <w:shd w:val="clear" w:color="auto" w:fill="auto"/>
            <w:noWrap w:val="0"/>
            <w:vAlign w:val="center"/>
          </w:tcPr>
          <w:p w14:paraId="7CF50AF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6F32E85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386C82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401246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43DC41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31FB83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7EC7B3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6A42B4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E37012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18FE8C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EAB39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5D04F5D5">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邻二甲苯</w:t>
            </w:r>
          </w:p>
        </w:tc>
        <w:tc>
          <w:tcPr>
            <w:tcW w:w="484" w:type="pct"/>
            <w:tcBorders>
              <w:tl2br w:val="nil"/>
              <w:tr2bl w:val="nil"/>
            </w:tcBorders>
            <w:shd w:val="clear" w:color="auto" w:fill="auto"/>
            <w:noWrap w:val="0"/>
            <w:vAlign w:val="center"/>
          </w:tcPr>
          <w:p w14:paraId="28B781D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48C4211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26A0A8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6DEF9C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2C7817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0A84C2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9797DD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B8F990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988CBC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331D975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512102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65D64BD8">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硝基苯</w:t>
            </w:r>
          </w:p>
        </w:tc>
        <w:tc>
          <w:tcPr>
            <w:tcW w:w="484" w:type="pct"/>
            <w:tcBorders>
              <w:tl2br w:val="nil"/>
              <w:tr2bl w:val="nil"/>
            </w:tcBorders>
            <w:shd w:val="clear" w:color="auto" w:fill="auto"/>
            <w:noWrap w:val="0"/>
            <w:vAlign w:val="center"/>
          </w:tcPr>
          <w:p w14:paraId="4B8F9AB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31577F8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70D36C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8D1538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C64C50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4946FB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4D975D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BA1C40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35C864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4E2C4F9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422849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479501BC">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苯胺</w:t>
            </w:r>
          </w:p>
        </w:tc>
        <w:tc>
          <w:tcPr>
            <w:tcW w:w="484" w:type="pct"/>
            <w:tcBorders>
              <w:tl2br w:val="nil"/>
              <w:tr2bl w:val="nil"/>
            </w:tcBorders>
            <w:shd w:val="clear" w:color="auto" w:fill="auto"/>
            <w:noWrap w:val="0"/>
            <w:vAlign w:val="center"/>
          </w:tcPr>
          <w:p w14:paraId="316E63D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3B80347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DBE419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D40A08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6E0EB0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A07996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F17FB6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51D3D8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346680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11DFF0E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67C4B2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57581DCC">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2-氯酚</w:t>
            </w:r>
          </w:p>
        </w:tc>
        <w:tc>
          <w:tcPr>
            <w:tcW w:w="484" w:type="pct"/>
            <w:tcBorders>
              <w:tl2br w:val="nil"/>
              <w:tr2bl w:val="nil"/>
            </w:tcBorders>
            <w:shd w:val="clear" w:color="auto" w:fill="auto"/>
            <w:noWrap w:val="0"/>
            <w:vAlign w:val="center"/>
          </w:tcPr>
          <w:p w14:paraId="67E8274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7EB72B0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418FE0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83112F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31019F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BB6409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F99AB0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3CDC26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9D8E1C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4F80276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920C2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3D1354EA">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苯并[a]蒽</w:t>
            </w:r>
          </w:p>
        </w:tc>
        <w:tc>
          <w:tcPr>
            <w:tcW w:w="484" w:type="pct"/>
            <w:tcBorders>
              <w:tl2br w:val="nil"/>
              <w:tr2bl w:val="nil"/>
            </w:tcBorders>
            <w:shd w:val="clear" w:color="auto" w:fill="auto"/>
            <w:noWrap w:val="0"/>
            <w:vAlign w:val="center"/>
          </w:tcPr>
          <w:p w14:paraId="354BA9E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19F40A6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FCC2BF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89D031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CCFC00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35FDDA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F259A1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72C8F5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E62470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5398CDF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4D7C50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2BE468C0">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苯并[a]芘</w:t>
            </w:r>
          </w:p>
        </w:tc>
        <w:tc>
          <w:tcPr>
            <w:tcW w:w="484" w:type="pct"/>
            <w:tcBorders>
              <w:tl2br w:val="nil"/>
              <w:tr2bl w:val="nil"/>
            </w:tcBorders>
            <w:shd w:val="clear" w:color="auto" w:fill="auto"/>
            <w:noWrap w:val="0"/>
            <w:vAlign w:val="center"/>
          </w:tcPr>
          <w:p w14:paraId="25F3E94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5228A5E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9B4BE0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F7C340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8BDD42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EED651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F6E8E9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1D320E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B9D843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40F75CB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C4309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66419EC9">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苯并[b]荧蒽</w:t>
            </w:r>
          </w:p>
        </w:tc>
        <w:tc>
          <w:tcPr>
            <w:tcW w:w="484" w:type="pct"/>
            <w:tcBorders>
              <w:tl2br w:val="nil"/>
              <w:tr2bl w:val="nil"/>
            </w:tcBorders>
            <w:shd w:val="clear" w:color="auto" w:fill="auto"/>
            <w:noWrap w:val="0"/>
            <w:vAlign w:val="center"/>
          </w:tcPr>
          <w:p w14:paraId="1CAEFE6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6BA42CA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53B5BC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B526CD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39B21E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CFEC51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CC1EC4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E80C1E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908686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1F07393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59DD36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0323807B">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164"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苯并[k]荧蒽</w:t>
            </w:r>
          </w:p>
        </w:tc>
        <w:tc>
          <w:tcPr>
            <w:tcW w:w="484" w:type="pct"/>
            <w:tcBorders>
              <w:tl2br w:val="nil"/>
              <w:tr2bl w:val="nil"/>
            </w:tcBorders>
            <w:shd w:val="clear" w:color="auto" w:fill="auto"/>
            <w:noWrap w:val="0"/>
            <w:vAlign w:val="center"/>
          </w:tcPr>
          <w:p w14:paraId="7C0F949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06ACF3F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9D918F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982C22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06011D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921210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E79934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EB62FA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ED5208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58ED0B5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6D67C8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0E9FED7D">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164"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䓛</w:t>
            </w:r>
          </w:p>
        </w:tc>
        <w:tc>
          <w:tcPr>
            <w:tcW w:w="484" w:type="pct"/>
            <w:tcBorders>
              <w:tl2br w:val="nil"/>
              <w:tr2bl w:val="nil"/>
            </w:tcBorders>
            <w:shd w:val="clear" w:color="auto" w:fill="auto"/>
            <w:noWrap w:val="0"/>
            <w:vAlign w:val="center"/>
          </w:tcPr>
          <w:p w14:paraId="1212234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3BB3DF6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715BEC3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B20E19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118AF5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7AD981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ADF6D2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9F00F5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0CC588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5BED821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96425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0443F75B">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164"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二苯并[a, h]蒽</w:t>
            </w:r>
          </w:p>
        </w:tc>
        <w:tc>
          <w:tcPr>
            <w:tcW w:w="484" w:type="pct"/>
            <w:tcBorders>
              <w:tl2br w:val="nil"/>
              <w:tr2bl w:val="nil"/>
            </w:tcBorders>
            <w:shd w:val="clear" w:color="auto" w:fill="auto"/>
            <w:noWrap w:val="0"/>
            <w:vAlign w:val="center"/>
          </w:tcPr>
          <w:p w14:paraId="5F31803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0FE47A7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FD8EE9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A8DB18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EB832D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CF1548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A11CCA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A7DBC9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406EE0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756729A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17C9D4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3AE5E8B6">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164"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茚并[1,2,3-cd]芘</w:t>
            </w:r>
          </w:p>
        </w:tc>
        <w:tc>
          <w:tcPr>
            <w:tcW w:w="484" w:type="pct"/>
            <w:tcBorders>
              <w:tl2br w:val="nil"/>
              <w:tr2bl w:val="nil"/>
            </w:tcBorders>
            <w:shd w:val="clear" w:color="auto" w:fill="auto"/>
            <w:noWrap w:val="0"/>
            <w:vAlign w:val="center"/>
          </w:tcPr>
          <w:p w14:paraId="478626E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7B1EAAD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043BBC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B7719D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37CEA87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6F3F05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FAAABC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D6DC2A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0BC68CD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36B072E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2FF21D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tcBorders>
              <w:tl2br w:val="nil"/>
              <w:tr2bl w:val="nil"/>
            </w:tcBorders>
            <w:shd w:val="clear" w:color="auto" w:fill="auto"/>
            <w:noWrap w:val="0"/>
            <w:vAlign w:val="center"/>
          </w:tcPr>
          <w:p w14:paraId="7E7E1F48">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164"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萘</w:t>
            </w:r>
          </w:p>
        </w:tc>
        <w:tc>
          <w:tcPr>
            <w:tcW w:w="484" w:type="pct"/>
            <w:tcBorders>
              <w:tl2br w:val="nil"/>
              <w:tr2bl w:val="nil"/>
            </w:tcBorders>
            <w:shd w:val="clear" w:color="auto" w:fill="auto"/>
            <w:noWrap w:val="0"/>
            <w:vAlign w:val="center"/>
          </w:tcPr>
          <w:p w14:paraId="52D3C30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72" w:type="pct"/>
            <w:tcBorders>
              <w:tl2br w:val="nil"/>
              <w:tr2bl w:val="nil"/>
            </w:tcBorders>
            <w:shd w:val="clear" w:color="auto" w:fill="auto"/>
            <w:noWrap w:val="0"/>
            <w:vAlign w:val="center"/>
          </w:tcPr>
          <w:p w14:paraId="3907FC7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4FC17F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629E689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BD29F8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4F9AFB1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582B9CC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1ED248B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399" w:type="pct"/>
            <w:tcBorders>
              <w:tl2br w:val="nil"/>
              <w:tr2bl w:val="nil"/>
            </w:tcBorders>
            <w:shd w:val="clear" w:color="auto" w:fill="auto"/>
            <w:noWrap w:val="0"/>
            <w:vAlign w:val="center"/>
          </w:tcPr>
          <w:p w14:paraId="27D7ADC8">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5" w:type="pct"/>
            <w:tcBorders>
              <w:tl2br w:val="nil"/>
              <w:tr2bl w:val="nil"/>
            </w:tcBorders>
            <w:shd w:val="clear" w:color="auto" w:fill="auto"/>
            <w:noWrap w:val="0"/>
            <w:vAlign w:val="center"/>
          </w:tcPr>
          <w:p w14:paraId="06B0C5A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bl>
    <w:p w14:paraId="16FE3510">
      <w:pPr>
        <w:pStyle w:val="2"/>
        <w:spacing w:after="0" w:line="240" w:lineRule="auto"/>
        <w:ind w:firstLine="0" w:firstLineChars="0"/>
        <w:jc w:val="center"/>
        <w:rPr>
          <w:rFonts w:hint="eastAsia" w:asciiTheme="minorEastAsia" w:hAnsiTheme="minorEastAsia" w:eastAsiaTheme="minorEastAsia" w:cstheme="minorEastAsia"/>
          <w:b/>
          <w:color w:val="auto"/>
          <w:kern w:val="2"/>
          <w:sz w:val="24"/>
          <w:szCs w:val="24"/>
          <w:highlight w:val="none"/>
          <w:lang w:val="en-US" w:eastAsia="zh-CN" w:bidi="ar-SA"/>
        </w:rPr>
      </w:pPr>
    </w:p>
    <w:p w14:paraId="239947A5">
      <w:pPr>
        <w:pStyle w:val="2"/>
        <w:spacing w:after="0" w:line="240" w:lineRule="auto"/>
        <w:ind w:firstLine="0" w:firstLineChars="0"/>
        <w:jc w:val="center"/>
        <w:rPr>
          <w:rFonts w:hint="eastAsia" w:asciiTheme="minorEastAsia" w:hAnsiTheme="minorEastAsia" w:eastAsiaTheme="minorEastAsia" w:cstheme="minorEastAsia"/>
          <w:b/>
          <w:color w:val="auto"/>
          <w:kern w:val="2"/>
          <w:sz w:val="24"/>
          <w:szCs w:val="24"/>
          <w:highlight w:val="none"/>
          <w:lang w:val="en-US" w:eastAsia="zh-CN" w:bidi="ar-SA"/>
        </w:rPr>
      </w:pPr>
    </w:p>
    <w:p w14:paraId="5F3101A6">
      <w:pPr>
        <w:pStyle w:val="2"/>
        <w:spacing w:after="0" w:line="240" w:lineRule="auto"/>
        <w:ind w:firstLine="0" w:firstLineChars="0"/>
        <w:jc w:val="center"/>
        <w:rPr>
          <w:rFonts w:hint="eastAsia" w:asciiTheme="minorEastAsia" w:hAnsiTheme="minorEastAsia" w:eastAsiaTheme="minorEastAsia" w:cstheme="minorEastAsia"/>
          <w:b/>
          <w:color w:val="auto"/>
          <w:kern w:val="2"/>
          <w:sz w:val="24"/>
          <w:szCs w:val="24"/>
          <w:highlight w:val="none"/>
          <w:lang w:val="en-US" w:eastAsia="zh-CN" w:bidi="ar-SA"/>
        </w:rPr>
      </w:pPr>
    </w:p>
    <w:p w14:paraId="706A7F32">
      <w:pPr>
        <w:pStyle w:val="2"/>
        <w:spacing w:after="0" w:line="240" w:lineRule="auto"/>
        <w:ind w:firstLine="0" w:firstLineChars="0"/>
        <w:jc w:val="center"/>
        <w:rPr>
          <w:rFonts w:hint="eastAsia" w:asciiTheme="minorEastAsia" w:hAnsiTheme="minorEastAsia" w:eastAsiaTheme="minorEastAsia" w:cstheme="minorEastAsia"/>
          <w:b/>
          <w:color w:val="auto"/>
          <w:kern w:val="2"/>
          <w:sz w:val="24"/>
          <w:szCs w:val="24"/>
          <w:highlight w:val="none"/>
          <w:lang w:val="en-US" w:eastAsia="zh-CN" w:bidi="ar-SA"/>
        </w:rPr>
      </w:pPr>
    </w:p>
    <w:p w14:paraId="71744B36">
      <w:pPr>
        <w:pStyle w:val="43"/>
        <w:numPr>
          <w:ilvl w:val="0"/>
          <w:numId w:val="0"/>
        </w:numPr>
        <w:spacing w:line="240" w:lineRule="auto"/>
        <w:jc w:val="center"/>
        <w:rPr>
          <w:rFonts w:hint="default" w:ascii="Times New Roman" w:hAnsi="Times New Roman" w:eastAsia="宋体" w:cs="Times New Roman"/>
          <w:b w:val="0"/>
          <w:bCs w:val="0"/>
          <w:color w:val="auto"/>
          <w:sz w:val="21"/>
          <w:szCs w:val="21"/>
          <w:highlight w:val="none"/>
        </w:rPr>
      </w:pPr>
      <w:r>
        <w:rPr>
          <w:rFonts w:hint="eastAsia" w:asciiTheme="minorEastAsia" w:hAnsiTheme="minorEastAsia" w:eastAsiaTheme="minorEastAsia" w:cstheme="minorEastAsia"/>
          <w:b/>
          <w:color w:val="auto"/>
          <w:kern w:val="2"/>
          <w:sz w:val="24"/>
          <w:szCs w:val="24"/>
          <w:highlight w:val="none"/>
          <w:lang w:val="en-US" w:eastAsia="zh-CN" w:bidi="ar-SA"/>
        </w:rPr>
        <w:t>表4.3-16  土壤环境质量现状监测结果</w:t>
      </w:r>
    </w:p>
    <w:tbl>
      <w:tblPr>
        <w:tblStyle w:val="84"/>
        <w:tblW w:w="488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39"/>
        <w:gridCol w:w="1777"/>
        <w:gridCol w:w="2301"/>
        <w:gridCol w:w="2187"/>
        <w:gridCol w:w="765"/>
      </w:tblGrid>
      <w:tr w14:paraId="1B2C9E3F">
        <w:tblPrEx>
          <w:tblCellMar>
            <w:top w:w="0" w:type="dxa"/>
            <w:left w:w="108" w:type="dxa"/>
            <w:bottom w:w="0" w:type="dxa"/>
            <w:right w:w="108" w:type="dxa"/>
          </w:tblCellMar>
        </w:tblPrEx>
        <w:trPr>
          <w:trHeight w:val="432" w:hRule="atLeast"/>
          <w:tblHeader/>
          <w:jc w:val="center"/>
        </w:trPr>
        <w:tc>
          <w:tcPr>
            <w:tcW w:w="4563" w:type="pct"/>
            <w:gridSpan w:val="4"/>
            <w:tcBorders>
              <w:tl2br w:val="nil"/>
              <w:tr2bl w:val="nil"/>
            </w:tcBorders>
            <w:shd w:val="clear" w:color="auto" w:fill="auto"/>
            <w:noWrap w:val="0"/>
            <w:vAlign w:val="center"/>
          </w:tcPr>
          <w:p w14:paraId="5B2B60F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b w:val="0"/>
                <w:bCs w:val="0"/>
                <w:iCs/>
                <w:color w:val="auto"/>
                <w:kern w:val="0"/>
                <w:sz w:val="21"/>
                <w:szCs w:val="21"/>
                <w:highlight w:val="none"/>
                <w:lang w:val="en-US" w:eastAsia="zh-CN" w:bidi="ar-SA"/>
              </w:rPr>
            </w:pPr>
            <w:r>
              <w:rPr>
                <w:rFonts w:hint="default" w:ascii="Times New Roman" w:hAnsi="Times New Roman" w:cs="Times New Roman"/>
                <w:color w:val="auto"/>
                <w:kern w:val="2"/>
                <w:sz w:val="21"/>
                <w:szCs w:val="21"/>
                <w:highlight w:val="none"/>
              </w:rPr>
              <w:t>项目永久占地内</w:t>
            </w:r>
            <w:r>
              <w:rPr>
                <w:rFonts w:hint="eastAsia" w:cs="Times New Roman"/>
                <w:color w:val="auto"/>
                <w:kern w:val="2"/>
                <w:sz w:val="21"/>
                <w:szCs w:val="21"/>
                <w:highlight w:val="none"/>
                <w:lang w:val="en-US" w:eastAsia="zh-CN" w:bidi="ar-SA"/>
              </w:rPr>
              <w:t xml:space="preserve"> </w:t>
            </w:r>
            <w:r>
              <w:rPr>
                <w:rFonts w:hint="eastAsia" w:ascii="Times New Roman" w:hAnsi="Times New Roman" w:eastAsia="宋体" w:cs="Times New Roman"/>
                <w:color w:val="auto"/>
                <w:kern w:val="2"/>
                <w:sz w:val="21"/>
                <w:szCs w:val="21"/>
                <w:highlight w:val="none"/>
                <w:lang w:val="en-US" w:eastAsia="zh-CN" w:bidi="ar-SA"/>
              </w:rPr>
              <w:t>4</w:t>
            </w:r>
            <w:r>
              <w:rPr>
                <w:rFonts w:hint="default" w:ascii="Times New Roman" w:hAnsi="Times New Roman" w:eastAsia="宋体" w:cs="Times New Roman"/>
                <w:color w:val="auto"/>
                <w:kern w:val="2"/>
                <w:sz w:val="21"/>
                <w:szCs w:val="21"/>
                <w:highlight w:val="none"/>
                <w:lang w:val="en-US" w:eastAsia="zh-CN" w:bidi="ar-SA"/>
              </w:rPr>
              <w:t>#</w:t>
            </w:r>
          </w:p>
        </w:tc>
        <w:tc>
          <w:tcPr>
            <w:tcW w:w="436" w:type="pct"/>
            <w:vMerge w:val="restart"/>
            <w:tcBorders>
              <w:tl2br w:val="nil"/>
              <w:tr2bl w:val="nil"/>
            </w:tcBorders>
            <w:shd w:val="clear" w:color="auto" w:fill="auto"/>
            <w:noWrap w:val="0"/>
            <w:vAlign w:val="center"/>
          </w:tcPr>
          <w:p w14:paraId="0D9CF3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eastAsia="宋体" w:cs="Times New Roman"/>
                <w:b w:val="0"/>
                <w:bCs w:val="0"/>
                <w:iCs/>
                <w:color w:val="auto"/>
                <w:kern w:val="0"/>
                <w:sz w:val="21"/>
                <w:szCs w:val="21"/>
                <w:highlight w:val="none"/>
                <w:lang w:eastAsia="zh-CN"/>
              </w:rPr>
            </w:pPr>
            <w:r>
              <w:rPr>
                <w:rFonts w:hint="default" w:ascii="Times New Roman" w:hAnsi="Times New Roman" w:eastAsia="宋体" w:cs="Times New Roman"/>
                <w:b w:val="0"/>
                <w:bCs w:val="0"/>
                <w:iCs/>
                <w:color w:val="auto"/>
                <w:kern w:val="0"/>
                <w:sz w:val="21"/>
                <w:szCs w:val="21"/>
                <w:highlight w:val="none"/>
                <w:lang w:eastAsia="zh-CN"/>
              </w:rPr>
              <w:t>单位</w:t>
            </w:r>
          </w:p>
        </w:tc>
      </w:tr>
      <w:tr w14:paraId="4EA005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4" w:hRule="atLeast"/>
          <w:tblHeader/>
          <w:jc w:val="center"/>
        </w:trPr>
        <w:tc>
          <w:tcPr>
            <w:tcW w:w="4563" w:type="pct"/>
            <w:gridSpan w:val="4"/>
            <w:tcBorders>
              <w:tl2br w:val="nil"/>
              <w:tr2bl w:val="nil"/>
            </w:tcBorders>
            <w:shd w:val="clear" w:color="auto" w:fill="auto"/>
            <w:noWrap w:val="0"/>
            <w:vAlign w:val="center"/>
          </w:tcPr>
          <w:p w14:paraId="045D496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120" w:leftChars="-50" w:right="-120" w:rightChars="-50"/>
              <w:jc w:val="center"/>
              <w:textAlignment w:val="auto"/>
              <w:outlineLvl w:val="9"/>
              <w:rPr>
                <w:color w:val="auto"/>
                <w:sz w:val="21"/>
                <w:szCs w:val="21"/>
                <w:highlight w:val="none"/>
              </w:rPr>
            </w:pPr>
            <w:r>
              <w:rPr>
                <w:rFonts w:hint="default" w:ascii="Times New Roman" w:hAnsi="Times New Roman" w:cs="Times New Roman"/>
                <w:color w:val="auto"/>
                <w:kern w:val="2"/>
                <w:sz w:val="21"/>
                <w:szCs w:val="21"/>
                <w:highlight w:val="none"/>
              </w:rPr>
              <w:t>0-0.2m</w:t>
            </w:r>
          </w:p>
        </w:tc>
        <w:tc>
          <w:tcPr>
            <w:tcW w:w="436" w:type="pct"/>
            <w:vMerge w:val="continue"/>
            <w:tcBorders>
              <w:tl2br w:val="nil"/>
              <w:tr2bl w:val="nil"/>
            </w:tcBorders>
            <w:shd w:val="clear" w:color="auto" w:fill="auto"/>
            <w:noWrap w:val="0"/>
            <w:vAlign w:val="center"/>
          </w:tcPr>
          <w:p w14:paraId="7439139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color w:val="auto"/>
                <w:sz w:val="21"/>
                <w:szCs w:val="21"/>
                <w:highlight w:val="none"/>
              </w:rPr>
            </w:pPr>
          </w:p>
        </w:tc>
      </w:tr>
      <w:tr w14:paraId="6CF43D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3" w:hRule="atLeast"/>
          <w:tblHeader/>
          <w:jc w:val="center"/>
        </w:trPr>
        <w:tc>
          <w:tcPr>
            <w:tcW w:w="991" w:type="pct"/>
            <w:tcBorders>
              <w:tl2br w:val="nil"/>
              <w:tr2bl w:val="nil"/>
            </w:tcBorders>
            <w:shd w:val="clear" w:color="auto" w:fill="auto"/>
            <w:noWrap w:val="0"/>
            <w:vAlign w:val="center"/>
          </w:tcPr>
          <w:p w14:paraId="5EA9C2B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color w:val="auto"/>
                <w:sz w:val="21"/>
                <w:szCs w:val="21"/>
                <w:highlight w:val="none"/>
              </w:rPr>
            </w:pPr>
            <w:r>
              <w:rPr>
                <w:rFonts w:hint="default" w:ascii="Times New Roman" w:hAnsi="Times New Roman" w:cs="Times New Roman"/>
                <w:b w:val="0"/>
                <w:bCs w:val="0"/>
                <w:iCs/>
                <w:color w:val="auto"/>
                <w:kern w:val="0"/>
                <w:sz w:val="21"/>
                <w:szCs w:val="21"/>
                <w:highlight w:val="none"/>
                <w:lang w:eastAsia="zh-CN"/>
              </w:rPr>
              <w:t>检测项目</w:t>
            </w:r>
          </w:p>
        </w:tc>
        <w:tc>
          <w:tcPr>
            <w:tcW w:w="1013" w:type="pct"/>
            <w:tcBorders>
              <w:tl2br w:val="nil"/>
              <w:tr2bl w:val="nil"/>
            </w:tcBorders>
            <w:shd w:val="clear" w:color="auto" w:fill="auto"/>
            <w:noWrap w:val="0"/>
            <w:vAlign w:val="center"/>
          </w:tcPr>
          <w:p w14:paraId="5C1A8C91">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firstLine="210" w:firstLineChars="100"/>
              <w:jc w:val="center"/>
              <w:textAlignment w:val="auto"/>
              <w:outlineLvl w:val="9"/>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cs="Times New Roman"/>
                <w:b w:val="0"/>
                <w:bCs w:val="0"/>
                <w:iCs/>
                <w:color w:val="auto"/>
                <w:kern w:val="0"/>
                <w:sz w:val="21"/>
                <w:szCs w:val="21"/>
                <w:highlight w:val="none"/>
                <w:lang w:val="en-US" w:eastAsia="zh-CN" w:bidi="ar-SA"/>
              </w:rPr>
              <w:t>检测结果</w:t>
            </w:r>
          </w:p>
        </w:tc>
        <w:tc>
          <w:tcPr>
            <w:tcW w:w="1311" w:type="pct"/>
            <w:tcBorders>
              <w:tl2br w:val="nil"/>
              <w:tr2bl w:val="nil"/>
            </w:tcBorders>
            <w:shd w:val="clear" w:color="auto" w:fill="auto"/>
            <w:noWrap w:val="0"/>
            <w:vAlign w:val="center"/>
          </w:tcPr>
          <w:p w14:paraId="67C15BB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b w:val="0"/>
                <w:bCs w:val="0"/>
                <w:iCs/>
                <w:color w:val="auto"/>
                <w:kern w:val="0"/>
                <w:sz w:val="21"/>
                <w:szCs w:val="21"/>
                <w:highlight w:val="none"/>
                <w:lang w:eastAsia="zh-CN"/>
              </w:rPr>
              <w:t>检测项目</w:t>
            </w:r>
          </w:p>
        </w:tc>
        <w:tc>
          <w:tcPr>
            <w:tcW w:w="1247" w:type="pct"/>
            <w:tcBorders>
              <w:tl2br w:val="nil"/>
              <w:tr2bl w:val="nil"/>
            </w:tcBorders>
            <w:shd w:val="clear" w:color="auto" w:fill="auto"/>
            <w:noWrap w:val="0"/>
            <w:vAlign w:val="center"/>
          </w:tcPr>
          <w:p w14:paraId="5DB74EDE">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firstLine="210" w:firstLineChars="10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b w:val="0"/>
                <w:bCs w:val="0"/>
                <w:iCs/>
                <w:color w:val="auto"/>
                <w:kern w:val="0"/>
                <w:sz w:val="21"/>
                <w:szCs w:val="21"/>
                <w:highlight w:val="none"/>
                <w:lang w:val="en-US" w:eastAsia="zh-CN" w:bidi="ar-SA"/>
              </w:rPr>
              <w:t>检测结果</w:t>
            </w:r>
          </w:p>
        </w:tc>
        <w:tc>
          <w:tcPr>
            <w:tcW w:w="436" w:type="pct"/>
            <w:vMerge w:val="continue"/>
            <w:tcBorders>
              <w:tl2br w:val="nil"/>
              <w:tr2bl w:val="nil"/>
            </w:tcBorders>
            <w:shd w:val="clear" w:color="auto" w:fill="auto"/>
            <w:noWrap w:val="0"/>
            <w:vAlign w:val="center"/>
          </w:tcPr>
          <w:p w14:paraId="4BDE453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color w:val="auto"/>
                <w:kern w:val="2"/>
                <w:sz w:val="21"/>
                <w:szCs w:val="21"/>
                <w:highlight w:val="none"/>
              </w:rPr>
            </w:pPr>
          </w:p>
        </w:tc>
      </w:tr>
      <w:tr w14:paraId="27592E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7D473FD4">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sz w:val="21"/>
                <w:szCs w:val="21"/>
                <w:highlight w:val="none"/>
                <w:lang w:val="en-US" w:eastAsia="zh-CN"/>
              </w:rPr>
              <w:t>pH</w:t>
            </w:r>
          </w:p>
        </w:tc>
        <w:tc>
          <w:tcPr>
            <w:tcW w:w="1013" w:type="pct"/>
            <w:tcBorders>
              <w:tl2br w:val="nil"/>
              <w:tr2bl w:val="nil"/>
            </w:tcBorders>
            <w:shd w:val="clear" w:color="auto" w:fill="auto"/>
            <w:noWrap w:val="0"/>
            <w:vAlign w:val="center"/>
          </w:tcPr>
          <w:p w14:paraId="774843F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7.18</w:t>
            </w:r>
          </w:p>
        </w:tc>
        <w:tc>
          <w:tcPr>
            <w:tcW w:w="1311" w:type="pct"/>
            <w:tcBorders>
              <w:tl2br w:val="nil"/>
              <w:tr2bl w:val="nil"/>
            </w:tcBorders>
            <w:shd w:val="clear" w:color="auto" w:fill="auto"/>
            <w:noWrap w:val="0"/>
            <w:vAlign w:val="center"/>
          </w:tcPr>
          <w:p w14:paraId="441F0ED0">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三氯乙烯</w:t>
            </w:r>
          </w:p>
        </w:tc>
        <w:tc>
          <w:tcPr>
            <w:tcW w:w="1247" w:type="pct"/>
            <w:tcBorders>
              <w:tl2br w:val="nil"/>
              <w:tr2bl w:val="nil"/>
            </w:tcBorders>
            <w:shd w:val="clear" w:color="auto" w:fill="auto"/>
            <w:noWrap w:val="0"/>
            <w:vAlign w:val="center"/>
          </w:tcPr>
          <w:p w14:paraId="56E1F8A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178AEC0C">
            <w:pPr>
              <w:keepNext w:val="0"/>
              <w:keepLines w:val="0"/>
              <w:suppressLineNumbers w:val="0"/>
              <w:spacing w:before="0" w:beforeAutospacing="0" w:after="0" w:afterAutospacing="0" w:line="240" w:lineRule="auto"/>
              <w:ind w:left="0" w:right="0"/>
              <w:jc w:val="center"/>
              <w:outlineLvl w:val="0"/>
              <w:rPr>
                <w:rFonts w:hint="default" w:ascii="Times New Roman" w:hAnsi="Times New Roman" w:eastAsia="宋体" w:cs="Times New Roman"/>
                <w:iCs/>
                <w:color w:val="auto"/>
                <w:kern w:val="0"/>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无量纲</w:t>
            </w:r>
          </w:p>
        </w:tc>
      </w:tr>
      <w:tr w14:paraId="280AE7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4BC9DC48">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kern w:val="0"/>
                <w:sz w:val="21"/>
                <w:szCs w:val="21"/>
                <w:highlight w:val="none"/>
                <w:lang w:bidi="ar"/>
              </w:rPr>
              <w:t>砷</w:t>
            </w:r>
          </w:p>
        </w:tc>
        <w:tc>
          <w:tcPr>
            <w:tcW w:w="1013" w:type="pct"/>
            <w:tcBorders>
              <w:tl2br w:val="nil"/>
              <w:tr2bl w:val="nil"/>
            </w:tcBorders>
            <w:shd w:val="clear" w:color="auto" w:fill="auto"/>
            <w:noWrap w:val="0"/>
            <w:vAlign w:val="center"/>
          </w:tcPr>
          <w:p w14:paraId="593846E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0.96</w:t>
            </w:r>
          </w:p>
        </w:tc>
        <w:tc>
          <w:tcPr>
            <w:tcW w:w="1311" w:type="pct"/>
            <w:tcBorders>
              <w:tl2br w:val="nil"/>
              <w:tr2bl w:val="nil"/>
            </w:tcBorders>
            <w:shd w:val="clear" w:color="auto" w:fill="auto"/>
            <w:noWrap w:val="0"/>
            <w:vAlign w:val="center"/>
          </w:tcPr>
          <w:p w14:paraId="5F040E9A">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1,2,3-三氯丙烷</w:t>
            </w:r>
          </w:p>
        </w:tc>
        <w:tc>
          <w:tcPr>
            <w:tcW w:w="1247" w:type="pct"/>
            <w:tcBorders>
              <w:tl2br w:val="nil"/>
              <w:tr2bl w:val="nil"/>
            </w:tcBorders>
            <w:shd w:val="clear" w:color="auto" w:fill="auto"/>
            <w:noWrap w:val="0"/>
            <w:vAlign w:val="center"/>
          </w:tcPr>
          <w:p w14:paraId="40F3EAA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398A978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0F3B43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1ADF41CC">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镉</w:t>
            </w:r>
          </w:p>
        </w:tc>
        <w:tc>
          <w:tcPr>
            <w:tcW w:w="1013" w:type="pct"/>
            <w:tcBorders>
              <w:tl2br w:val="nil"/>
              <w:tr2bl w:val="nil"/>
            </w:tcBorders>
            <w:shd w:val="clear" w:color="auto" w:fill="auto"/>
            <w:noWrap w:val="0"/>
            <w:vAlign w:val="center"/>
          </w:tcPr>
          <w:p w14:paraId="34C0B037">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0.088</w:t>
            </w:r>
          </w:p>
        </w:tc>
        <w:tc>
          <w:tcPr>
            <w:tcW w:w="1311" w:type="pct"/>
            <w:tcBorders>
              <w:tl2br w:val="nil"/>
              <w:tr2bl w:val="nil"/>
            </w:tcBorders>
            <w:shd w:val="clear" w:color="auto" w:fill="auto"/>
            <w:noWrap w:val="0"/>
            <w:vAlign w:val="center"/>
          </w:tcPr>
          <w:p w14:paraId="72F6CDCE">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氯乙烯</w:t>
            </w:r>
          </w:p>
        </w:tc>
        <w:tc>
          <w:tcPr>
            <w:tcW w:w="1247" w:type="pct"/>
            <w:tcBorders>
              <w:tl2br w:val="nil"/>
              <w:tr2bl w:val="nil"/>
            </w:tcBorders>
            <w:shd w:val="clear" w:color="auto" w:fill="auto"/>
            <w:noWrap w:val="0"/>
            <w:vAlign w:val="center"/>
          </w:tcPr>
          <w:p w14:paraId="27F5696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5D5236D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Cs/>
                <w:color w:val="auto"/>
                <w:kern w:val="0"/>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82161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1046B3F2">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铬（六价）</w:t>
            </w:r>
          </w:p>
        </w:tc>
        <w:tc>
          <w:tcPr>
            <w:tcW w:w="1013" w:type="pct"/>
            <w:tcBorders>
              <w:tl2br w:val="nil"/>
              <w:tr2bl w:val="nil"/>
            </w:tcBorders>
            <w:shd w:val="clear" w:color="auto" w:fill="auto"/>
            <w:noWrap w:val="0"/>
            <w:vAlign w:val="center"/>
          </w:tcPr>
          <w:p w14:paraId="301831F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3C7AEC42">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苯</w:t>
            </w:r>
          </w:p>
        </w:tc>
        <w:tc>
          <w:tcPr>
            <w:tcW w:w="1247" w:type="pct"/>
            <w:tcBorders>
              <w:tl2br w:val="nil"/>
              <w:tr2bl w:val="nil"/>
            </w:tcBorders>
            <w:shd w:val="clear" w:color="auto" w:fill="auto"/>
            <w:noWrap w:val="0"/>
            <w:vAlign w:val="center"/>
          </w:tcPr>
          <w:p w14:paraId="1A6B41A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07DE16E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5D413A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541FE650">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铜</w:t>
            </w:r>
          </w:p>
        </w:tc>
        <w:tc>
          <w:tcPr>
            <w:tcW w:w="1013" w:type="pct"/>
            <w:tcBorders>
              <w:tl2br w:val="nil"/>
              <w:tr2bl w:val="nil"/>
            </w:tcBorders>
            <w:shd w:val="clear" w:color="auto" w:fill="auto"/>
            <w:noWrap w:val="0"/>
            <w:vAlign w:val="center"/>
          </w:tcPr>
          <w:p w14:paraId="29005F9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30</w:t>
            </w:r>
          </w:p>
        </w:tc>
        <w:tc>
          <w:tcPr>
            <w:tcW w:w="1311" w:type="pct"/>
            <w:tcBorders>
              <w:tl2br w:val="nil"/>
              <w:tr2bl w:val="nil"/>
            </w:tcBorders>
            <w:shd w:val="clear" w:color="auto" w:fill="auto"/>
            <w:noWrap w:val="0"/>
            <w:vAlign w:val="center"/>
          </w:tcPr>
          <w:p w14:paraId="3B41CD1B">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氯苯</w:t>
            </w:r>
          </w:p>
        </w:tc>
        <w:tc>
          <w:tcPr>
            <w:tcW w:w="1247" w:type="pct"/>
            <w:tcBorders>
              <w:tl2br w:val="nil"/>
              <w:tr2bl w:val="nil"/>
            </w:tcBorders>
            <w:shd w:val="clear" w:color="auto" w:fill="auto"/>
            <w:noWrap w:val="0"/>
            <w:vAlign w:val="center"/>
          </w:tcPr>
          <w:p w14:paraId="131332E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312D81E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547999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48CFCF35">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铅</w:t>
            </w:r>
          </w:p>
        </w:tc>
        <w:tc>
          <w:tcPr>
            <w:tcW w:w="1013" w:type="pct"/>
            <w:tcBorders>
              <w:tl2br w:val="nil"/>
              <w:tr2bl w:val="nil"/>
            </w:tcBorders>
            <w:shd w:val="clear" w:color="auto" w:fill="auto"/>
            <w:noWrap w:val="0"/>
            <w:vAlign w:val="center"/>
          </w:tcPr>
          <w:p w14:paraId="7DC1EE5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16</w:t>
            </w:r>
          </w:p>
        </w:tc>
        <w:tc>
          <w:tcPr>
            <w:tcW w:w="1311" w:type="pct"/>
            <w:tcBorders>
              <w:tl2br w:val="nil"/>
              <w:tr2bl w:val="nil"/>
            </w:tcBorders>
            <w:shd w:val="clear" w:color="auto" w:fill="auto"/>
            <w:noWrap w:val="0"/>
            <w:vAlign w:val="center"/>
          </w:tcPr>
          <w:p w14:paraId="200FB08E">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1,2-二氯苯</w:t>
            </w:r>
          </w:p>
        </w:tc>
        <w:tc>
          <w:tcPr>
            <w:tcW w:w="1247" w:type="pct"/>
            <w:tcBorders>
              <w:tl2br w:val="nil"/>
              <w:tr2bl w:val="nil"/>
            </w:tcBorders>
            <w:shd w:val="clear" w:color="auto" w:fill="auto"/>
            <w:noWrap w:val="0"/>
            <w:vAlign w:val="center"/>
          </w:tcPr>
          <w:p w14:paraId="26784BB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7FE0E9E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80BAE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402A64EA">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汞</w:t>
            </w:r>
          </w:p>
        </w:tc>
        <w:tc>
          <w:tcPr>
            <w:tcW w:w="1013" w:type="pct"/>
            <w:tcBorders>
              <w:tl2br w:val="nil"/>
              <w:tr2bl w:val="nil"/>
            </w:tcBorders>
            <w:shd w:val="clear" w:color="auto" w:fill="auto"/>
            <w:noWrap w:val="0"/>
            <w:vAlign w:val="center"/>
          </w:tcPr>
          <w:p w14:paraId="2586138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0.072</w:t>
            </w:r>
          </w:p>
        </w:tc>
        <w:tc>
          <w:tcPr>
            <w:tcW w:w="1311" w:type="pct"/>
            <w:tcBorders>
              <w:tl2br w:val="nil"/>
              <w:tr2bl w:val="nil"/>
            </w:tcBorders>
            <w:shd w:val="clear" w:color="auto" w:fill="auto"/>
            <w:noWrap w:val="0"/>
            <w:vAlign w:val="center"/>
          </w:tcPr>
          <w:p w14:paraId="25C77782">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1,4-二氯苯</w:t>
            </w:r>
          </w:p>
        </w:tc>
        <w:tc>
          <w:tcPr>
            <w:tcW w:w="1247" w:type="pct"/>
            <w:tcBorders>
              <w:tl2br w:val="nil"/>
              <w:tr2bl w:val="nil"/>
            </w:tcBorders>
            <w:shd w:val="clear" w:color="auto" w:fill="auto"/>
            <w:noWrap w:val="0"/>
            <w:vAlign w:val="center"/>
          </w:tcPr>
          <w:p w14:paraId="3339D67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5E7484D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23E6CB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15106613">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镍</w:t>
            </w:r>
          </w:p>
        </w:tc>
        <w:tc>
          <w:tcPr>
            <w:tcW w:w="1013" w:type="pct"/>
            <w:tcBorders>
              <w:tl2br w:val="nil"/>
              <w:tr2bl w:val="nil"/>
            </w:tcBorders>
            <w:shd w:val="clear" w:color="auto" w:fill="auto"/>
            <w:noWrap w:val="0"/>
            <w:vAlign w:val="center"/>
          </w:tcPr>
          <w:p w14:paraId="3F910E7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27</w:t>
            </w:r>
          </w:p>
        </w:tc>
        <w:tc>
          <w:tcPr>
            <w:tcW w:w="1311" w:type="pct"/>
            <w:tcBorders>
              <w:tl2br w:val="nil"/>
              <w:tr2bl w:val="nil"/>
            </w:tcBorders>
            <w:shd w:val="clear" w:color="auto" w:fill="auto"/>
            <w:noWrap w:val="0"/>
            <w:vAlign w:val="center"/>
          </w:tcPr>
          <w:p w14:paraId="640A5BCC">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乙苯</w:t>
            </w:r>
          </w:p>
        </w:tc>
        <w:tc>
          <w:tcPr>
            <w:tcW w:w="1247" w:type="pct"/>
            <w:tcBorders>
              <w:tl2br w:val="nil"/>
              <w:tr2bl w:val="nil"/>
            </w:tcBorders>
            <w:shd w:val="clear" w:color="auto" w:fill="auto"/>
            <w:noWrap w:val="0"/>
            <w:vAlign w:val="center"/>
          </w:tcPr>
          <w:p w14:paraId="75009D8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66AD428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A6B99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6F1A073B">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283" w:leftChars="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四氯化碳</w:t>
            </w:r>
          </w:p>
        </w:tc>
        <w:tc>
          <w:tcPr>
            <w:tcW w:w="1013" w:type="pct"/>
            <w:tcBorders>
              <w:tl2br w:val="nil"/>
              <w:tr2bl w:val="nil"/>
            </w:tcBorders>
            <w:shd w:val="clear" w:color="auto" w:fill="auto"/>
            <w:noWrap w:val="0"/>
            <w:vAlign w:val="center"/>
          </w:tcPr>
          <w:p w14:paraId="4CE099A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0B927065">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苯乙烯</w:t>
            </w:r>
          </w:p>
        </w:tc>
        <w:tc>
          <w:tcPr>
            <w:tcW w:w="1247" w:type="pct"/>
            <w:tcBorders>
              <w:tl2br w:val="nil"/>
              <w:tr2bl w:val="nil"/>
            </w:tcBorders>
            <w:shd w:val="clear" w:color="auto" w:fill="auto"/>
            <w:noWrap w:val="0"/>
            <w:vAlign w:val="center"/>
          </w:tcPr>
          <w:p w14:paraId="69F8EEA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1FEA385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422008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73938E94">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氯仿</w:t>
            </w:r>
          </w:p>
        </w:tc>
        <w:tc>
          <w:tcPr>
            <w:tcW w:w="1013" w:type="pct"/>
            <w:tcBorders>
              <w:tl2br w:val="nil"/>
              <w:tr2bl w:val="nil"/>
            </w:tcBorders>
            <w:shd w:val="clear" w:color="auto" w:fill="auto"/>
            <w:noWrap w:val="0"/>
            <w:vAlign w:val="center"/>
          </w:tcPr>
          <w:p w14:paraId="182306A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1A2908C0">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甲苯</w:t>
            </w:r>
          </w:p>
        </w:tc>
        <w:tc>
          <w:tcPr>
            <w:tcW w:w="1247" w:type="pct"/>
            <w:tcBorders>
              <w:tl2br w:val="nil"/>
              <w:tr2bl w:val="nil"/>
            </w:tcBorders>
            <w:shd w:val="clear" w:color="auto" w:fill="auto"/>
            <w:noWrap w:val="0"/>
            <w:vAlign w:val="center"/>
          </w:tcPr>
          <w:p w14:paraId="4285D55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6701C1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566FA7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2A144E12">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氯甲烷</w:t>
            </w:r>
          </w:p>
        </w:tc>
        <w:tc>
          <w:tcPr>
            <w:tcW w:w="1013" w:type="pct"/>
            <w:tcBorders>
              <w:tl2br w:val="nil"/>
              <w:tr2bl w:val="nil"/>
            </w:tcBorders>
            <w:shd w:val="clear" w:color="auto" w:fill="auto"/>
            <w:noWrap w:val="0"/>
            <w:vAlign w:val="center"/>
          </w:tcPr>
          <w:p w14:paraId="32B586B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2E241B7B">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both"/>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间二甲苯+对二甲苯</w:t>
            </w:r>
          </w:p>
        </w:tc>
        <w:tc>
          <w:tcPr>
            <w:tcW w:w="1247" w:type="pct"/>
            <w:tcBorders>
              <w:tl2br w:val="nil"/>
              <w:tr2bl w:val="nil"/>
            </w:tcBorders>
            <w:shd w:val="clear" w:color="auto" w:fill="auto"/>
            <w:noWrap w:val="0"/>
            <w:vAlign w:val="center"/>
          </w:tcPr>
          <w:p w14:paraId="1056FE73">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5A2EED3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731F5D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1F05288F">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1,1-二氯乙烷</w:t>
            </w:r>
          </w:p>
        </w:tc>
        <w:tc>
          <w:tcPr>
            <w:tcW w:w="1013" w:type="pct"/>
            <w:tcBorders>
              <w:tl2br w:val="nil"/>
              <w:tr2bl w:val="nil"/>
            </w:tcBorders>
            <w:shd w:val="clear" w:color="auto" w:fill="auto"/>
            <w:noWrap w:val="0"/>
            <w:vAlign w:val="center"/>
          </w:tcPr>
          <w:p w14:paraId="3FDE821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251CAAE1">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邻二甲苯</w:t>
            </w:r>
          </w:p>
        </w:tc>
        <w:tc>
          <w:tcPr>
            <w:tcW w:w="1247" w:type="pct"/>
            <w:tcBorders>
              <w:tl2br w:val="nil"/>
              <w:tr2bl w:val="nil"/>
            </w:tcBorders>
            <w:shd w:val="clear" w:color="auto" w:fill="auto"/>
            <w:noWrap w:val="0"/>
            <w:vAlign w:val="center"/>
          </w:tcPr>
          <w:p w14:paraId="30F8366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0E832AF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1F1D18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37BDA5E7">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1,2-二氯乙烷</w:t>
            </w:r>
          </w:p>
        </w:tc>
        <w:tc>
          <w:tcPr>
            <w:tcW w:w="1013" w:type="pct"/>
            <w:tcBorders>
              <w:tl2br w:val="nil"/>
              <w:tr2bl w:val="nil"/>
            </w:tcBorders>
            <w:shd w:val="clear" w:color="auto" w:fill="auto"/>
            <w:noWrap w:val="0"/>
            <w:vAlign w:val="center"/>
          </w:tcPr>
          <w:p w14:paraId="7D404B0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63C13086">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硝基苯</w:t>
            </w:r>
          </w:p>
        </w:tc>
        <w:tc>
          <w:tcPr>
            <w:tcW w:w="1247" w:type="pct"/>
            <w:tcBorders>
              <w:tl2br w:val="nil"/>
              <w:tr2bl w:val="nil"/>
            </w:tcBorders>
            <w:shd w:val="clear" w:color="auto" w:fill="auto"/>
            <w:noWrap w:val="0"/>
            <w:vAlign w:val="center"/>
          </w:tcPr>
          <w:p w14:paraId="20E7715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4C2E836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5EE830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2F407609">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1,1-二氯乙烯</w:t>
            </w:r>
          </w:p>
        </w:tc>
        <w:tc>
          <w:tcPr>
            <w:tcW w:w="1013" w:type="pct"/>
            <w:tcBorders>
              <w:tl2br w:val="nil"/>
              <w:tr2bl w:val="nil"/>
            </w:tcBorders>
            <w:shd w:val="clear" w:color="auto" w:fill="auto"/>
            <w:noWrap w:val="0"/>
            <w:vAlign w:val="center"/>
          </w:tcPr>
          <w:p w14:paraId="2C427F6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65A66C24">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苯胺</w:t>
            </w:r>
          </w:p>
        </w:tc>
        <w:tc>
          <w:tcPr>
            <w:tcW w:w="1247" w:type="pct"/>
            <w:tcBorders>
              <w:tl2br w:val="nil"/>
              <w:tr2bl w:val="nil"/>
            </w:tcBorders>
            <w:shd w:val="clear" w:color="auto" w:fill="auto"/>
            <w:noWrap w:val="0"/>
            <w:vAlign w:val="center"/>
          </w:tcPr>
          <w:p w14:paraId="026817F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0D55F1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27F154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4F9FFFB1">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顺-1,2-二氯乙烯</w:t>
            </w:r>
          </w:p>
        </w:tc>
        <w:tc>
          <w:tcPr>
            <w:tcW w:w="1013" w:type="pct"/>
            <w:tcBorders>
              <w:tl2br w:val="nil"/>
              <w:tr2bl w:val="nil"/>
            </w:tcBorders>
            <w:shd w:val="clear" w:color="auto" w:fill="auto"/>
            <w:noWrap w:val="0"/>
            <w:vAlign w:val="center"/>
          </w:tcPr>
          <w:p w14:paraId="7C2EDD0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4C77D7DC">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2-氯酚</w:t>
            </w:r>
          </w:p>
        </w:tc>
        <w:tc>
          <w:tcPr>
            <w:tcW w:w="1247" w:type="pct"/>
            <w:tcBorders>
              <w:tl2br w:val="nil"/>
              <w:tr2bl w:val="nil"/>
            </w:tcBorders>
            <w:shd w:val="clear" w:color="auto" w:fill="auto"/>
            <w:noWrap w:val="0"/>
            <w:vAlign w:val="center"/>
          </w:tcPr>
          <w:p w14:paraId="34804BB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3175641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77BEE7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326D6262">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反-1,2-二氯乙烯</w:t>
            </w:r>
          </w:p>
        </w:tc>
        <w:tc>
          <w:tcPr>
            <w:tcW w:w="1013" w:type="pct"/>
            <w:tcBorders>
              <w:tl2br w:val="nil"/>
              <w:tr2bl w:val="nil"/>
            </w:tcBorders>
            <w:shd w:val="clear" w:color="auto" w:fill="auto"/>
            <w:noWrap w:val="0"/>
            <w:vAlign w:val="center"/>
          </w:tcPr>
          <w:p w14:paraId="37A52EC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0EBFC774">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苯并[a]蒽</w:t>
            </w:r>
          </w:p>
        </w:tc>
        <w:tc>
          <w:tcPr>
            <w:tcW w:w="1247" w:type="pct"/>
            <w:tcBorders>
              <w:tl2br w:val="nil"/>
              <w:tr2bl w:val="nil"/>
            </w:tcBorders>
            <w:shd w:val="clear" w:color="auto" w:fill="auto"/>
            <w:noWrap w:val="0"/>
            <w:vAlign w:val="center"/>
          </w:tcPr>
          <w:p w14:paraId="6F58CF46">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1425A35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0BE25E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6B91747E">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二氯甲烷</w:t>
            </w:r>
          </w:p>
        </w:tc>
        <w:tc>
          <w:tcPr>
            <w:tcW w:w="1013" w:type="pct"/>
            <w:tcBorders>
              <w:tl2br w:val="nil"/>
              <w:tr2bl w:val="nil"/>
            </w:tcBorders>
            <w:shd w:val="clear" w:color="auto" w:fill="auto"/>
            <w:noWrap w:val="0"/>
            <w:vAlign w:val="center"/>
          </w:tcPr>
          <w:p w14:paraId="6C59F9E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78F4B9DF">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苯并[a]芘</w:t>
            </w:r>
          </w:p>
        </w:tc>
        <w:tc>
          <w:tcPr>
            <w:tcW w:w="1247" w:type="pct"/>
            <w:tcBorders>
              <w:tl2br w:val="nil"/>
              <w:tr2bl w:val="nil"/>
            </w:tcBorders>
            <w:shd w:val="clear" w:color="auto" w:fill="auto"/>
            <w:noWrap w:val="0"/>
            <w:vAlign w:val="center"/>
          </w:tcPr>
          <w:p w14:paraId="20CADB4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7B5162C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4F3769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6935BA89">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1,2-二氯丙烷</w:t>
            </w:r>
          </w:p>
        </w:tc>
        <w:tc>
          <w:tcPr>
            <w:tcW w:w="1013" w:type="pct"/>
            <w:tcBorders>
              <w:tl2br w:val="nil"/>
              <w:tr2bl w:val="nil"/>
            </w:tcBorders>
            <w:shd w:val="clear" w:color="auto" w:fill="auto"/>
            <w:noWrap w:val="0"/>
            <w:vAlign w:val="center"/>
          </w:tcPr>
          <w:p w14:paraId="73D4058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1C5FB43F">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苯并[b]荧蒽</w:t>
            </w:r>
          </w:p>
        </w:tc>
        <w:tc>
          <w:tcPr>
            <w:tcW w:w="1247" w:type="pct"/>
            <w:tcBorders>
              <w:tl2br w:val="nil"/>
              <w:tr2bl w:val="nil"/>
            </w:tcBorders>
            <w:shd w:val="clear" w:color="auto" w:fill="auto"/>
            <w:noWrap w:val="0"/>
            <w:vAlign w:val="center"/>
          </w:tcPr>
          <w:p w14:paraId="51873E7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73A7A65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22FB1B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629D0018">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1,1,1,2-四氯乙烷</w:t>
            </w:r>
          </w:p>
        </w:tc>
        <w:tc>
          <w:tcPr>
            <w:tcW w:w="1013" w:type="pct"/>
            <w:tcBorders>
              <w:tl2br w:val="nil"/>
              <w:tr2bl w:val="nil"/>
            </w:tcBorders>
            <w:shd w:val="clear" w:color="auto" w:fill="auto"/>
            <w:noWrap w:val="0"/>
            <w:vAlign w:val="center"/>
          </w:tcPr>
          <w:p w14:paraId="42BDDF4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7A62DAA3">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苯并[k]荧蒽</w:t>
            </w:r>
          </w:p>
        </w:tc>
        <w:tc>
          <w:tcPr>
            <w:tcW w:w="1247" w:type="pct"/>
            <w:tcBorders>
              <w:tl2br w:val="nil"/>
              <w:tr2bl w:val="nil"/>
            </w:tcBorders>
            <w:shd w:val="clear" w:color="auto" w:fill="auto"/>
            <w:noWrap w:val="0"/>
            <w:vAlign w:val="center"/>
          </w:tcPr>
          <w:p w14:paraId="5D2D9B00">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57E0DF2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6034CF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114F48B3">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1,1,2,2-四氯乙烷</w:t>
            </w:r>
          </w:p>
        </w:tc>
        <w:tc>
          <w:tcPr>
            <w:tcW w:w="1013" w:type="pct"/>
            <w:tcBorders>
              <w:tl2br w:val="nil"/>
              <w:tr2bl w:val="nil"/>
            </w:tcBorders>
            <w:shd w:val="clear" w:color="auto" w:fill="auto"/>
            <w:noWrap w:val="0"/>
            <w:vAlign w:val="center"/>
          </w:tcPr>
          <w:p w14:paraId="04700FB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27061D88">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䓛</w:t>
            </w:r>
          </w:p>
        </w:tc>
        <w:tc>
          <w:tcPr>
            <w:tcW w:w="1247" w:type="pct"/>
            <w:tcBorders>
              <w:tl2br w:val="nil"/>
              <w:tr2bl w:val="nil"/>
            </w:tcBorders>
            <w:shd w:val="clear" w:color="auto" w:fill="auto"/>
            <w:noWrap w:val="0"/>
            <w:vAlign w:val="center"/>
          </w:tcPr>
          <w:p w14:paraId="664E75C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05D1940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63AB7D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5D9A7524">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四氯乙烯</w:t>
            </w:r>
          </w:p>
        </w:tc>
        <w:tc>
          <w:tcPr>
            <w:tcW w:w="1013" w:type="pct"/>
            <w:tcBorders>
              <w:tl2br w:val="nil"/>
              <w:tr2bl w:val="nil"/>
            </w:tcBorders>
            <w:shd w:val="clear" w:color="auto" w:fill="auto"/>
            <w:noWrap w:val="0"/>
            <w:vAlign w:val="center"/>
          </w:tcPr>
          <w:p w14:paraId="4E987A3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1B49B32D">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二苯并[a, h]蒽</w:t>
            </w:r>
          </w:p>
        </w:tc>
        <w:tc>
          <w:tcPr>
            <w:tcW w:w="1247" w:type="pct"/>
            <w:tcBorders>
              <w:tl2br w:val="nil"/>
              <w:tr2bl w:val="nil"/>
            </w:tcBorders>
            <w:shd w:val="clear" w:color="auto" w:fill="auto"/>
            <w:noWrap w:val="0"/>
            <w:vAlign w:val="center"/>
          </w:tcPr>
          <w:p w14:paraId="0E0FF3F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1247434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6D44E0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49FED6F5">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1,1,1-三氯乙烷</w:t>
            </w:r>
          </w:p>
        </w:tc>
        <w:tc>
          <w:tcPr>
            <w:tcW w:w="1013" w:type="pct"/>
            <w:tcBorders>
              <w:tl2br w:val="nil"/>
              <w:tr2bl w:val="nil"/>
            </w:tcBorders>
            <w:shd w:val="clear" w:color="auto" w:fill="auto"/>
            <w:noWrap w:val="0"/>
            <w:vAlign w:val="center"/>
          </w:tcPr>
          <w:p w14:paraId="07E7C31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615237EC">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0" w:leftChars="0" w:right="0" w:right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茚并[1,2,3-cd]芘</w:t>
            </w:r>
          </w:p>
        </w:tc>
        <w:tc>
          <w:tcPr>
            <w:tcW w:w="1247" w:type="pct"/>
            <w:tcBorders>
              <w:tl2br w:val="nil"/>
              <w:tr2bl w:val="nil"/>
            </w:tcBorders>
            <w:shd w:val="clear" w:color="auto" w:fill="auto"/>
            <w:noWrap w:val="0"/>
            <w:vAlign w:val="center"/>
          </w:tcPr>
          <w:p w14:paraId="63A7BCD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22FF3E5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233157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1" w:type="pct"/>
            <w:tcBorders>
              <w:tl2br w:val="nil"/>
              <w:tr2bl w:val="nil"/>
            </w:tcBorders>
            <w:shd w:val="clear" w:color="auto" w:fill="auto"/>
            <w:noWrap w:val="0"/>
            <w:vAlign w:val="center"/>
          </w:tcPr>
          <w:p w14:paraId="0A317D13">
            <w:pPr>
              <w:pStyle w:val="806"/>
              <w:keepNext w:val="0"/>
              <w:keepLines w:val="0"/>
              <w:pageBreakBefore w:val="0"/>
              <w:widowControl w:val="0"/>
              <w:suppressLineNumbers w:val="0"/>
              <w:kinsoku/>
              <w:wordWrap/>
              <w:overflowPunct/>
              <w:topLinePunct w:val="0"/>
              <w:autoSpaceDE/>
              <w:autoSpaceDN/>
              <w:bidi w:val="0"/>
              <w:adjustRightInd/>
              <w:snapToGrid/>
              <w:spacing w:before="56" w:beforeAutospacing="0" w:after="0" w:afterAutospacing="0"/>
              <w:ind w:left="-120" w:leftChars="-50" w:right="-283" w:rightChars="0"/>
              <w:jc w:val="center"/>
              <w:textAlignment w:val="auto"/>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1,1,2-三氯乙烷</w:t>
            </w:r>
          </w:p>
        </w:tc>
        <w:tc>
          <w:tcPr>
            <w:tcW w:w="1013" w:type="pct"/>
            <w:tcBorders>
              <w:tl2br w:val="nil"/>
              <w:tr2bl w:val="nil"/>
            </w:tcBorders>
            <w:shd w:val="clear" w:color="auto" w:fill="auto"/>
            <w:noWrap w:val="0"/>
            <w:vAlign w:val="center"/>
          </w:tcPr>
          <w:p w14:paraId="583B798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311" w:type="pct"/>
            <w:tcBorders>
              <w:tl2br w:val="nil"/>
              <w:tr2bl w:val="nil"/>
            </w:tcBorders>
            <w:shd w:val="clear" w:color="auto" w:fill="auto"/>
            <w:noWrap w:val="0"/>
            <w:vAlign w:val="center"/>
          </w:tcPr>
          <w:p w14:paraId="243DF591">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bidi="ar"/>
              </w:rPr>
              <w:t>萘</w:t>
            </w:r>
          </w:p>
        </w:tc>
        <w:tc>
          <w:tcPr>
            <w:tcW w:w="1247" w:type="pct"/>
            <w:tcBorders>
              <w:tl2br w:val="nil"/>
              <w:tr2bl w:val="nil"/>
            </w:tcBorders>
            <w:shd w:val="clear" w:color="auto" w:fill="auto"/>
            <w:noWrap w:val="0"/>
            <w:vAlign w:val="center"/>
          </w:tcPr>
          <w:p w14:paraId="392B6F1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7BE0004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bl>
    <w:p w14:paraId="3C1D363A">
      <w:pPr>
        <w:pStyle w:val="43"/>
        <w:numPr>
          <w:ilvl w:val="0"/>
          <w:numId w:val="0"/>
        </w:numPr>
        <w:spacing w:line="240" w:lineRule="auto"/>
        <w:jc w:val="center"/>
        <w:rPr>
          <w:rFonts w:hint="eastAsia" w:asciiTheme="minorEastAsia" w:hAnsiTheme="minorEastAsia" w:eastAsiaTheme="minorEastAsia" w:cstheme="minorEastAsia"/>
          <w:b/>
          <w:color w:val="auto"/>
          <w:kern w:val="2"/>
          <w:sz w:val="24"/>
          <w:szCs w:val="24"/>
          <w:highlight w:val="none"/>
          <w:lang w:val="en-US" w:eastAsia="zh-CN" w:bidi="ar-SA"/>
        </w:rPr>
      </w:pPr>
    </w:p>
    <w:p w14:paraId="67882A4B">
      <w:pPr>
        <w:pStyle w:val="43"/>
        <w:numPr>
          <w:ilvl w:val="0"/>
          <w:numId w:val="0"/>
        </w:numPr>
        <w:spacing w:line="240" w:lineRule="auto"/>
        <w:jc w:val="center"/>
        <w:rPr>
          <w:rFonts w:hint="eastAsia" w:asciiTheme="minorEastAsia" w:hAnsiTheme="minorEastAsia" w:eastAsiaTheme="minorEastAsia" w:cstheme="minorEastAsia"/>
          <w:b/>
          <w:color w:val="auto"/>
          <w:kern w:val="2"/>
          <w:sz w:val="24"/>
          <w:szCs w:val="24"/>
          <w:highlight w:val="none"/>
          <w:lang w:val="en-US" w:eastAsia="zh-CN" w:bidi="ar-SA"/>
        </w:rPr>
      </w:pPr>
    </w:p>
    <w:p w14:paraId="689D5ECB">
      <w:pPr>
        <w:pStyle w:val="43"/>
        <w:numPr>
          <w:ilvl w:val="0"/>
          <w:numId w:val="0"/>
        </w:numPr>
        <w:spacing w:line="240" w:lineRule="auto"/>
        <w:jc w:val="center"/>
        <w:rPr>
          <w:rFonts w:hint="eastAsia" w:asciiTheme="minorEastAsia" w:hAnsiTheme="minorEastAsia" w:eastAsiaTheme="minorEastAsia" w:cstheme="minorEastAsia"/>
          <w:b/>
          <w:color w:val="auto"/>
          <w:kern w:val="2"/>
          <w:sz w:val="24"/>
          <w:szCs w:val="24"/>
          <w:highlight w:val="none"/>
          <w:lang w:val="en-US" w:eastAsia="zh-CN" w:bidi="ar-SA"/>
        </w:rPr>
      </w:pPr>
    </w:p>
    <w:p w14:paraId="036BEDBF">
      <w:pPr>
        <w:pStyle w:val="43"/>
        <w:numPr>
          <w:ilvl w:val="0"/>
          <w:numId w:val="0"/>
        </w:numPr>
        <w:spacing w:line="240" w:lineRule="auto"/>
        <w:jc w:val="center"/>
        <w:rPr>
          <w:rFonts w:hint="eastAsia" w:asciiTheme="minorEastAsia" w:hAnsiTheme="minorEastAsia" w:eastAsiaTheme="minorEastAsia" w:cstheme="minorEastAsia"/>
          <w:b/>
          <w:color w:val="auto"/>
          <w:kern w:val="2"/>
          <w:sz w:val="24"/>
          <w:szCs w:val="24"/>
          <w:highlight w:val="none"/>
          <w:lang w:val="en-US" w:eastAsia="zh-CN" w:bidi="ar-SA"/>
        </w:rPr>
      </w:pPr>
    </w:p>
    <w:p w14:paraId="571D5E9F">
      <w:pPr>
        <w:pStyle w:val="43"/>
        <w:numPr>
          <w:ilvl w:val="0"/>
          <w:numId w:val="0"/>
        </w:numPr>
        <w:spacing w:line="240" w:lineRule="auto"/>
        <w:jc w:val="center"/>
        <w:rPr>
          <w:rFonts w:hint="eastAsia" w:ascii="Times New Roman" w:hAnsi="Times New Roman" w:eastAsia="宋体" w:cs="Times New Roman"/>
          <w:b w:val="0"/>
          <w:bCs w:val="0"/>
          <w:color w:val="auto"/>
          <w:sz w:val="21"/>
          <w:szCs w:val="21"/>
          <w:highlight w:val="none"/>
          <w:lang w:val="en-US" w:eastAsia="zh-CN"/>
        </w:rPr>
      </w:pPr>
      <w:r>
        <w:rPr>
          <w:rFonts w:hint="eastAsia" w:asciiTheme="minorEastAsia" w:hAnsiTheme="minorEastAsia" w:eastAsiaTheme="minorEastAsia" w:cstheme="minorEastAsia"/>
          <w:b/>
          <w:color w:val="auto"/>
          <w:kern w:val="2"/>
          <w:sz w:val="24"/>
          <w:szCs w:val="24"/>
          <w:highlight w:val="none"/>
          <w:lang w:val="en-US" w:eastAsia="zh-CN" w:bidi="ar-SA"/>
        </w:rPr>
        <w:t>表4.3-17  土壤环境质量现状监测结果</w:t>
      </w:r>
    </w:p>
    <w:tbl>
      <w:tblPr>
        <w:tblStyle w:val="84"/>
        <w:tblW w:w="488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39"/>
        <w:gridCol w:w="3417"/>
        <w:gridCol w:w="2848"/>
        <w:gridCol w:w="765"/>
      </w:tblGrid>
      <w:tr w14:paraId="097E0E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0" w:hRule="atLeast"/>
          <w:tblHeader/>
          <w:jc w:val="center"/>
        </w:trPr>
        <w:tc>
          <w:tcPr>
            <w:tcW w:w="991" w:type="pct"/>
            <w:vMerge w:val="restart"/>
            <w:tcBorders>
              <w:tl2br w:val="nil"/>
              <w:tr2bl w:val="nil"/>
            </w:tcBorders>
            <w:shd w:val="clear" w:color="auto" w:fill="auto"/>
            <w:noWrap w:val="0"/>
            <w:vAlign w:val="center"/>
          </w:tcPr>
          <w:p w14:paraId="1E4C8D6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eastAsia="宋体" w:cs="Times New Roman"/>
                <w:b w:val="0"/>
                <w:bCs w:val="0"/>
                <w:iCs/>
                <w:color w:val="auto"/>
                <w:kern w:val="0"/>
                <w:sz w:val="21"/>
                <w:szCs w:val="21"/>
                <w:highlight w:val="none"/>
                <w:lang w:val="en-US" w:eastAsia="zh-CN" w:bidi="ar-SA"/>
              </w:rPr>
            </w:pPr>
            <w:r>
              <w:rPr>
                <w:rFonts w:hint="default" w:ascii="Times New Roman" w:hAnsi="Times New Roman" w:cs="Times New Roman"/>
                <w:b w:val="0"/>
                <w:bCs w:val="0"/>
                <w:iCs/>
                <w:color w:val="auto"/>
                <w:kern w:val="0"/>
                <w:sz w:val="21"/>
                <w:szCs w:val="21"/>
                <w:highlight w:val="none"/>
                <w:lang w:eastAsia="zh-CN"/>
              </w:rPr>
              <w:t>检测项目</w:t>
            </w:r>
          </w:p>
        </w:tc>
        <w:tc>
          <w:tcPr>
            <w:tcW w:w="3572" w:type="pct"/>
            <w:gridSpan w:val="2"/>
            <w:tcBorders>
              <w:tl2br w:val="nil"/>
              <w:tr2bl w:val="nil"/>
            </w:tcBorders>
            <w:shd w:val="clear" w:color="auto" w:fill="auto"/>
            <w:noWrap w:val="0"/>
            <w:vAlign w:val="center"/>
          </w:tcPr>
          <w:p w14:paraId="361BC98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b w:val="0"/>
                <w:bCs w:val="0"/>
                <w:iCs/>
                <w:color w:val="auto"/>
                <w:kern w:val="0"/>
                <w:sz w:val="21"/>
                <w:szCs w:val="21"/>
                <w:highlight w:val="none"/>
                <w:lang w:val="en-US" w:eastAsia="zh-CN" w:bidi="ar-SA"/>
              </w:rPr>
            </w:pPr>
            <w:r>
              <w:rPr>
                <w:rFonts w:hint="default" w:ascii="Times New Roman" w:hAnsi="Times New Roman" w:cs="Times New Roman"/>
                <w:b w:val="0"/>
                <w:bCs w:val="0"/>
                <w:iCs/>
                <w:color w:val="auto"/>
                <w:kern w:val="0"/>
                <w:sz w:val="21"/>
                <w:szCs w:val="21"/>
                <w:highlight w:val="none"/>
                <w:lang w:val="en-US" w:eastAsia="zh-CN" w:bidi="ar-SA"/>
              </w:rPr>
              <w:t>检测结果</w:t>
            </w:r>
          </w:p>
        </w:tc>
        <w:tc>
          <w:tcPr>
            <w:tcW w:w="436" w:type="pct"/>
            <w:vMerge w:val="restart"/>
            <w:tcBorders>
              <w:tl2br w:val="nil"/>
              <w:tr2bl w:val="nil"/>
            </w:tcBorders>
            <w:shd w:val="clear" w:color="auto" w:fill="auto"/>
            <w:noWrap w:val="0"/>
            <w:vAlign w:val="center"/>
          </w:tcPr>
          <w:p w14:paraId="3360EC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eastAsia="宋体" w:cs="Times New Roman"/>
                <w:b w:val="0"/>
                <w:bCs w:val="0"/>
                <w:iCs/>
                <w:color w:val="auto"/>
                <w:kern w:val="0"/>
                <w:sz w:val="21"/>
                <w:szCs w:val="21"/>
                <w:highlight w:val="none"/>
                <w:lang w:eastAsia="zh-CN"/>
              </w:rPr>
            </w:pPr>
            <w:r>
              <w:rPr>
                <w:rFonts w:hint="default" w:ascii="Times New Roman" w:hAnsi="Times New Roman" w:eastAsia="宋体" w:cs="Times New Roman"/>
                <w:b w:val="0"/>
                <w:bCs w:val="0"/>
                <w:iCs/>
                <w:color w:val="auto"/>
                <w:kern w:val="0"/>
                <w:sz w:val="21"/>
                <w:szCs w:val="21"/>
                <w:highlight w:val="none"/>
                <w:lang w:eastAsia="zh-CN"/>
              </w:rPr>
              <w:t>单位</w:t>
            </w:r>
          </w:p>
        </w:tc>
      </w:tr>
      <w:tr w14:paraId="0F4DB3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4" w:hRule="atLeast"/>
          <w:tblHeader/>
          <w:jc w:val="center"/>
        </w:trPr>
        <w:tc>
          <w:tcPr>
            <w:tcW w:w="991" w:type="pct"/>
            <w:vMerge w:val="continue"/>
            <w:tcBorders>
              <w:tl2br w:val="nil"/>
              <w:tr2bl w:val="nil"/>
            </w:tcBorders>
            <w:shd w:val="clear" w:color="auto" w:fill="auto"/>
            <w:noWrap w:val="0"/>
            <w:vAlign w:val="center"/>
          </w:tcPr>
          <w:p w14:paraId="5857EA6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color w:val="auto"/>
                <w:sz w:val="21"/>
                <w:szCs w:val="21"/>
                <w:highlight w:val="none"/>
              </w:rPr>
            </w:pPr>
          </w:p>
        </w:tc>
        <w:tc>
          <w:tcPr>
            <w:tcW w:w="1948" w:type="pct"/>
            <w:tcBorders>
              <w:tl2br w:val="nil"/>
              <w:tr2bl w:val="nil"/>
            </w:tcBorders>
            <w:shd w:val="clear" w:color="auto" w:fill="auto"/>
            <w:noWrap w:val="0"/>
            <w:vAlign w:val="center"/>
          </w:tcPr>
          <w:p w14:paraId="1B53872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120" w:leftChars="-50" w:right="-120" w:rightChars="-5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项目永久占地</w:t>
            </w:r>
            <w:r>
              <w:rPr>
                <w:rFonts w:hint="default" w:ascii="Times New Roman" w:hAnsi="Times New Roman" w:cs="Times New Roman"/>
                <w:color w:val="auto"/>
                <w:kern w:val="2"/>
                <w:sz w:val="21"/>
                <w:szCs w:val="21"/>
                <w:highlight w:val="none"/>
                <w:lang w:val="en-US" w:eastAsia="zh-CN"/>
              </w:rPr>
              <w:t>外北</w:t>
            </w:r>
            <w:r>
              <w:rPr>
                <w:rFonts w:hint="default" w:ascii="Times New Roman" w:hAnsi="Times New Roman" w:cs="Times New Roman"/>
                <w:color w:val="auto"/>
                <w:kern w:val="2"/>
                <w:sz w:val="21"/>
                <w:szCs w:val="21"/>
                <w:highlight w:val="none"/>
              </w:rPr>
              <w:t>侧</w:t>
            </w:r>
            <w:r>
              <w:rPr>
                <w:rFonts w:hint="default" w:ascii="Times New Roman" w:hAnsi="Times New Roman" w:cs="Times New Roman"/>
                <w:color w:val="auto"/>
                <w:kern w:val="2"/>
                <w:sz w:val="21"/>
                <w:szCs w:val="21"/>
                <w:highlight w:val="none"/>
                <w:lang w:val="en-US" w:eastAsia="zh-CN"/>
              </w:rPr>
              <w:t>1</w:t>
            </w:r>
            <w:r>
              <w:rPr>
                <w:rFonts w:hint="default" w:ascii="Times New Roman" w:hAnsi="Times New Roman" w:cs="Times New Roman"/>
                <w:color w:val="auto"/>
                <w:kern w:val="2"/>
                <w:sz w:val="21"/>
                <w:szCs w:val="21"/>
                <w:highlight w:val="none"/>
              </w:rPr>
              <w:t>0m</w:t>
            </w:r>
            <w:r>
              <w:rPr>
                <w:rFonts w:hint="eastAsia" w:cs="Times New Roman"/>
                <w:color w:val="auto"/>
                <w:kern w:val="2"/>
                <w:sz w:val="21"/>
                <w:szCs w:val="21"/>
                <w:highlight w:val="none"/>
                <w:lang w:val="en-US" w:eastAsia="zh-CN" w:bidi="ar-SA"/>
              </w:rPr>
              <w:t xml:space="preserve"> </w:t>
            </w:r>
            <w:r>
              <w:rPr>
                <w:rFonts w:hint="default" w:ascii="Times New Roman" w:hAnsi="Times New Roman" w:cs="Times New Roman"/>
                <w:color w:val="auto"/>
                <w:kern w:val="2"/>
                <w:sz w:val="21"/>
                <w:szCs w:val="21"/>
                <w:highlight w:val="none"/>
              </w:rPr>
              <w:t>处</w:t>
            </w:r>
          </w:p>
          <w:p w14:paraId="73B21A5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120" w:leftChars="-50" w:right="-120" w:rightChars="-50"/>
              <w:jc w:val="center"/>
              <w:textAlignment w:val="auto"/>
              <w:outlineLvl w:val="9"/>
              <w:rPr>
                <w:color w:val="auto"/>
                <w:sz w:val="21"/>
                <w:szCs w:val="21"/>
                <w:highlight w:val="none"/>
              </w:rPr>
            </w:pPr>
            <w:r>
              <w:rPr>
                <w:rFonts w:hint="eastAsia" w:ascii="Times New Roman" w:hAnsi="Times New Roman" w:eastAsia="宋体" w:cs="Times New Roman"/>
                <w:color w:val="auto"/>
                <w:kern w:val="2"/>
                <w:sz w:val="21"/>
                <w:szCs w:val="21"/>
                <w:highlight w:val="none"/>
                <w:lang w:val="en-US" w:eastAsia="zh-CN" w:bidi="ar-SA"/>
              </w:rPr>
              <w:t>5</w:t>
            </w:r>
            <w:r>
              <w:rPr>
                <w:rFonts w:hint="default" w:ascii="Times New Roman" w:hAnsi="Times New Roman" w:eastAsia="宋体" w:cs="Times New Roman"/>
                <w:color w:val="auto"/>
                <w:kern w:val="2"/>
                <w:sz w:val="21"/>
                <w:szCs w:val="21"/>
                <w:highlight w:val="none"/>
                <w:lang w:val="en-US" w:eastAsia="zh-CN" w:bidi="ar-SA"/>
              </w:rPr>
              <w:t>#</w:t>
            </w:r>
          </w:p>
        </w:tc>
        <w:tc>
          <w:tcPr>
            <w:tcW w:w="1623" w:type="pct"/>
            <w:tcBorders>
              <w:tl2br w:val="nil"/>
              <w:tr2bl w:val="nil"/>
            </w:tcBorders>
            <w:shd w:val="clear" w:color="auto" w:fill="auto"/>
            <w:noWrap w:val="0"/>
            <w:vAlign w:val="center"/>
          </w:tcPr>
          <w:p w14:paraId="5F443D1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120" w:leftChars="-50" w:right="-120" w:rightChars="-5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项目永久占地</w:t>
            </w:r>
            <w:r>
              <w:rPr>
                <w:rFonts w:hint="default" w:ascii="Times New Roman" w:hAnsi="Times New Roman" w:cs="Times New Roman"/>
                <w:color w:val="auto"/>
                <w:kern w:val="2"/>
                <w:sz w:val="21"/>
                <w:szCs w:val="21"/>
                <w:highlight w:val="none"/>
                <w:lang w:val="en-US" w:eastAsia="zh-CN"/>
              </w:rPr>
              <w:t>外南</w:t>
            </w:r>
            <w:r>
              <w:rPr>
                <w:rFonts w:hint="default" w:ascii="Times New Roman" w:hAnsi="Times New Roman" w:cs="Times New Roman"/>
                <w:color w:val="auto"/>
                <w:kern w:val="2"/>
                <w:sz w:val="21"/>
                <w:szCs w:val="21"/>
                <w:highlight w:val="none"/>
              </w:rPr>
              <w:t>侧10m处</w:t>
            </w:r>
          </w:p>
          <w:p w14:paraId="40EB855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120" w:leftChars="-50" w:right="-120" w:rightChars="-50"/>
              <w:jc w:val="center"/>
              <w:textAlignment w:val="auto"/>
              <w:outlineLvl w:val="9"/>
              <w:rPr>
                <w:color w:val="auto"/>
                <w:sz w:val="21"/>
                <w:szCs w:val="21"/>
                <w:highlight w:val="none"/>
              </w:rPr>
            </w:pPr>
            <w:r>
              <w:rPr>
                <w:rFonts w:hint="eastAsia" w:cs="Times New Roman"/>
                <w:color w:val="auto"/>
                <w:kern w:val="2"/>
                <w:sz w:val="21"/>
                <w:szCs w:val="21"/>
                <w:highlight w:val="none"/>
                <w:lang w:val="en-US" w:eastAsia="zh-CN" w:bidi="ar-SA"/>
              </w:rPr>
              <w:t xml:space="preserve"> </w:t>
            </w:r>
            <w:r>
              <w:rPr>
                <w:rFonts w:hint="eastAsia" w:ascii="Times New Roman" w:hAnsi="Times New Roman" w:eastAsia="宋体" w:cs="Times New Roman"/>
                <w:color w:val="auto"/>
                <w:kern w:val="2"/>
                <w:sz w:val="21"/>
                <w:szCs w:val="21"/>
                <w:highlight w:val="none"/>
                <w:lang w:val="en-US" w:eastAsia="zh-CN" w:bidi="ar-SA"/>
              </w:rPr>
              <w:t>6#</w:t>
            </w:r>
          </w:p>
        </w:tc>
        <w:tc>
          <w:tcPr>
            <w:tcW w:w="436" w:type="pct"/>
            <w:vMerge w:val="continue"/>
            <w:tcBorders>
              <w:tl2br w:val="nil"/>
              <w:tr2bl w:val="nil"/>
            </w:tcBorders>
            <w:shd w:val="clear" w:color="auto" w:fill="auto"/>
            <w:noWrap w:val="0"/>
            <w:vAlign w:val="center"/>
          </w:tcPr>
          <w:p w14:paraId="72A3FE2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color w:val="auto"/>
                <w:sz w:val="21"/>
                <w:szCs w:val="21"/>
                <w:highlight w:val="none"/>
              </w:rPr>
            </w:pPr>
          </w:p>
        </w:tc>
      </w:tr>
      <w:tr w14:paraId="495D81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3" w:hRule="atLeast"/>
          <w:tblHeader/>
          <w:jc w:val="center"/>
        </w:trPr>
        <w:tc>
          <w:tcPr>
            <w:tcW w:w="991" w:type="pct"/>
            <w:vMerge w:val="continue"/>
            <w:tcBorders>
              <w:tl2br w:val="nil"/>
              <w:tr2bl w:val="nil"/>
            </w:tcBorders>
            <w:shd w:val="clear" w:color="auto" w:fill="auto"/>
            <w:noWrap w:val="0"/>
            <w:vAlign w:val="center"/>
          </w:tcPr>
          <w:p w14:paraId="76DA0F0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color w:val="auto"/>
                <w:sz w:val="21"/>
                <w:szCs w:val="21"/>
                <w:highlight w:val="none"/>
              </w:rPr>
            </w:pPr>
          </w:p>
        </w:tc>
        <w:tc>
          <w:tcPr>
            <w:tcW w:w="1948" w:type="pct"/>
            <w:tcBorders>
              <w:tl2br w:val="nil"/>
              <w:tr2bl w:val="nil"/>
            </w:tcBorders>
            <w:shd w:val="clear" w:color="auto" w:fill="auto"/>
            <w:noWrap w:val="0"/>
            <w:vAlign w:val="center"/>
          </w:tcPr>
          <w:p w14:paraId="7324CCEB">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firstLine="210" w:firstLineChars="10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0-0.2m</w:t>
            </w:r>
          </w:p>
        </w:tc>
        <w:tc>
          <w:tcPr>
            <w:tcW w:w="1623" w:type="pct"/>
            <w:tcBorders>
              <w:tl2br w:val="nil"/>
              <w:tr2bl w:val="nil"/>
            </w:tcBorders>
            <w:shd w:val="clear" w:color="auto" w:fill="auto"/>
            <w:noWrap w:val="0"/>
            <w:vAlign w:val="center"/>
          </w:tcPr>
          <w:p w14:paraId="115A925D">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240" w:leftChars="-100" w:right="-240" w:rightChars="-100" w:firstLine="210" w:firstLineChars="100"/>
              <w:jc w:val="center"/>
              <w:textAlignment w:val="auto"/>
              <w:outlineLvl w:val="9"/>
              <w:rPr>
                <w:rFonts w:hint="default" w:ascii="Times New Roman" w:hAnsi="Times New Roman" w:cs="Times New Roman"/>
                <w:color w:val="auto"/>
                <w:kern w:val="2"/>
                <w:sz w:val="21"/>
                <w:szCs w:val="21"/>
                <w:highlight w:val="none"/>
              </w:rPr>
            </w:pPr>
            <w:r>
              <w:rPr>
                <w:rFonts w:hint="default" w:ascii="Times New Roman" w:hAnsi="Times New Roman" w:cs="Times New Roman"/>
                <w:color w:val="auto"/>
                <w:kern w:val="2"/>
                <w:sz w:val="21"/>
                <w:szCs w:val="21"/>
                <w:highlight w:val="none"/>
              </w:rPr>
              <w:t>0-0.2m</w:t>
            </w:r>
          </w:p>
        </w:tc>
        <w:tc>
          <w:tcPr>
            <w:tcW w:w="436" w:type="pct"/>
            <w:vMerge w:val="continue"/>
            <w:tcBorders>
              <w:tl2br w:val="nil"/>
              <w:tr2bl w:val="nil"/>
            </w:tcBorders>
            <w:shd w:val="clear" w:color="auto" w:fill="auto"/>
            <w:noWrap w:val="0"/>
            <w:vAlign w:val="center"/>
          </w:tcPr>
          <w:p w14:paraId="7937504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auto"/>
              <w:outlineLvl w:val="9"/>
              <w:rPr>
                <w:rFonts w:hint="default" w:ascii="Times New Roman" w:hAnsi="Times New Roman" w:cs="Times New Roman"/>
                <w:color w:val="auto"/>
                <w:kern w:val="2"/>
                <w:sz w:val="21"/>
                <w:szCs w:val="21"/>
                <w:highlight w:val="none"/>
              </w:rPr>
            </w:pPr>
          </w:p>
        </w:tc>
      </w:tr>
      <w:tr w14:paraId="11B132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991" w:type="pct"/>
            <w:tcBorders>
              <w:tl2br w:val="nil"/>
              <w:tr2bl w:val="nil"/>
            </w:tcBorders>
            <w:shd w:val="clear" w:color="auto" w:fill="auto"/>
            <w:noWrap w:val="0"/>
            <w:vAlign w:val="center"/>
          </w:tcPr>
          <w:p w14:paraId="72698E1A">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sz w:val="21"/>
                <w:szCs w:val="21"/>
                <w:highlight w:val="none"/>
                <w:lang w:val="en-US" w:eastAsia="zh-CN"/>
              </w:rPr>
              <w:t>pH</w:t>
            </w:r>
          </w:p>
        </w:tc>
        <w:tc>
          <w:tcPr>
            <w:tcW w:w="1948" w:type="pct"/>
            <w:tcBorders>
              <w:tl2br w:val="nil"/>
              <w:tr2bl w:val="nil"/>
            </w:tcBorders>
            <w:shd w:val="clear" w:color="auto" w:fill="auto"/>
            <w:noWrap w:val="0"/>
            <w:vAlign w:val="center"/>
          </w:tcPr>
          <w:p w14:paraId="0315F7E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7.26</w:t>
            </w:r>
          </w:p>
        </w:tc>
        <w:tc>
          <w:tcPr>
            <w:tcW w:w="1623" w:type="pct"/>
            <w:tcBorders>
              <w:tl2br w:val="nil"/>
              <w:tr2bl w:val="nil"/>
            </w:tcBorders>
            <w:shd w:val="clear" w:color="auto" w:fill="auto"/>
            <w:noWrap w:val="0"/>
            <w:vAlign w:val="center"/>
          </w:tcPr>
          <w:p w14:paraId="2E3CB97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7.27</w:t>
            </w:r>
          </w:p>
        </w:tc>
        <w:tc>
          <w:tcPr>
            <w:tcW w:w="436" w:type="pct"/>
            <w:tcBorders>
              <w:tl2br w:val="nil"/>
              <w:tr2bl w:val="nil"/>
            </w:tcBorders>
            <w:shd w:val="clear" w:color="auto" w:fill="auto"/>
            <w:noWrap w:val="0"/>
            <w:vAlign w:val="center"/>
          </w:tcPr>
          <w:p w14:paraId="285862FB">
            <w:pPr>
              <w:keepNext w:val="0"/>
              <w:keepLines w:val="0"/>
              <w:suppressLineNumbers w:val="0"/>
              <w:spacing w:before="0" w:beforeAutospacing="0" w:after="0" w:afterAutospacing="0" w:line="240" w:lineRule="auto"/>
              <w:ind w:left="0" w:right="0"/>
              <w:jc w:val="center"/>
              <w:outlineLvl w:val="0"/>
              <w:rPr>
                <w:rFonts w:hint="default" w:ascii="Times New Roman" w:hAnsi="Times New Roman" w:eastAsia="宋体" w:cs="Times New Roman"/>
                <w:iCs/>
                <w:color w:val="auto"/>
                <w:kern w:val="0"/>
                <w:sz w:val="21"/>
                <w:szCs w:val="21"/>
                <w:highlight w:val="none"/>
                <w:lang w:val="en-US" w:eastAsia="zh-CN"/>
              </w:rPr>
            </w:pPr>
            <w:r>
              <w:rPr>
                <w:rFonts w:hint="eastAsia" w:cs="Times New Roman"/>
                <w:i w:val="0"/>
                <w:iCs w:val="0"/>
                <w:color w:val="auto"/>
                <w:kern w:val="0"/>
                <w:sz w:val="21"/>
                <w:szCs w:val="21"/>
                <w:highlight w:val="none"/>
                <w:u w:val="none"/>
                <w:lang w:val="en-US" w:eastAsia="zh-CN" w:bidi="ar"/>
              </w:rPr>
              <w:t>无量纲</w:t>
            </w:r>
          </w:p>
        </w:tc>
      </w:tr>
      <w:tr w14:paraId="52D7B8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991" w:type="pct"/>
            <w:tcBorders>
              <w:tl2br w:val="nil"/>
              <w:tr2bl w:val="nil"/>
            </w:tcBorders>
            <w:shd w:val="clear" w:color="auto" w:fill="auto"/>
            <w:noWrap w:val="0"/>
            <w:vAlign w:val="center"/>
          </w:tcPr>
          <w:p w14:paraId="4EDCF3F4">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bidi="ar"/>
              </w:rPr>
            </w:pPr>
            <w:r>
              <w:rPr>
                <w:rFonts w:hint="default" w:ascii="Times New Roman" w:hAnsi="Times New Roman" w:eastAsia="宋体" w:cs="Times New Roman"/>
                <w:color w:val="auto"/>
                <w:kern w:val="0"/>
                <w:sz w:val="21"/>
                <w:szCs w:val="21"/>
                <w:highlight w:val="none"/>
                <w:lang w:bidi="ar"/>
              </w:rPr>
              <w:t>砷</w:t>
            </w:r>
          </w:p>
        </w:tc>
        <w:tc>
          <w:tcPr>
            <w:tcW w:w="1948" w:type="pct"/>
            <w:tcBorders>
              <w:tl2br w:val="nil"/>
              <w:tr2bl w:val="nil"/>
            </w:tcBorders>
            <w:shd w:val="clear" w:color="auto" w:fill="auto"/>
            <w:noWrap w:val="0"/>
            <w:vAlign w:val="center"/>
          </w:tcPr>
          <w:p w14:paraId="0DFD0F5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0.93</w:t>
            </w:r>
          </w:p>
        </w:tc>
        <w:tc>
          <w:tcPr>
            <w:tcW w:w="1623" w:type="pct"/>
            <w:tcBorders>
              <w:tl2br w:val="nil"/>
              <w:tr2bl w:val="nil"/>
            </w:tcBorders>
            <w:shd w:val="clear" w:color="auto" w:fill="auto"/>
            <w:noWrap w:val="0"/>
            <w:vAlign w:val="center"/>
          </w:tcPr>
          <w:p w14:paraId="5A7B468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0.95</w:t>
            </w:r>
          </w:p>
        </w:tc>
        <w:tc>
          <w:tcPr>
            <w:tcW w:w="436" w:type="pct"/>
            <w:tcBorders>
              <w:tl2br w:val="nil"/>
              <w:tr2bl w:val="nil"/>
            </w:tcBorders>
            <w:shd w:val="clear" w:color="auto" w:fill="auto"/>
            <w:noWrap w:val="0"/>
            <w:vAlign w:val="center"/>
          </w:tcPr>
          <w:p w14:paraId="765219B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66A8FD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991" w:type="pct"/>
            <w:tcBorders>
              <w:tl2br w:val="nil"/>
              <w:tr2bl w:val="nil"/>
            </w:tcBorders>
            <w:shd w:val="clear" w:color="auto" w:fill="auto"/>
            <w:noWrap w:val="0"/>
            <w:vAlign w:val="center"/>
          </w:tcPr>
          <w:p w14:paraId="6BEF60BC">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镉</w:t>
            </w:r>
          </w:p>
        </w:tc>
        <w:tc>
          <w:tcPr>
            <w:tcW w:w="1948" w:type="pct"/>
            <w:tcBorders>
              <w:tl2br w:val="nil"/>
              <w:tr2bl w:val="nil"/>
            </w:tcBorders>
            <w:shd w:val="clear" w:color="auto" w:fill="auto"/>
            <w:noWrap w:val="0"/>
            <w:vAlign w:val="center"/>
          </w:tcPr>
          <w:p w14:paraId="4B616E5A">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0.076</w:t>
            </w:r>
          </w:p>
        </w:tc>
        <w:tc>
          <w:tcPr>
            <w:tcW w:w="1623" w:type="pct"/>
            <w:tcBorders>
              <w:tl2br w:val="nil"/>
              <w:tr2bl w:val="nil"/>
            </w:tcBorders>
            <w:shd w:val="clear" w:color="auto" w:fill="auto"/>
            <w:noWrap w:val="0"/>
            <w:vAlign w:val="center"/>
          </w:tcPr>
          <w:p w14:paraId="157EF95D">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0.084</w:t>
            </w:r>
          </w:p>
        </w:tc>
        <w:tc>
          <w:tcPr>
            <w:tcW w:w="436" w:type="pct"/>
            <w:tcBorders>
              <w:tl2br w:val="nil"/>
              <w:tr2bl w:val="nil"/>
            </w:tcBorders>
            <w:shd w:val="clear" w:color="auto" w:fill="auto"/>
            <w:noWrap w:val="0"/>
            <w:vAlign w:val="center"/>
          </w:tcPr>
          <w:p w14:paraId="0F3A105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Cs/>
                <w:color w:val="auto"/>
                <w:kern w:val="0"/>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2F9A05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991" w:type="pct"/>
            <w:tcBorders>
              <w:tl2br w:val="nil"/>
              <w:tr2bl w:val="nil"/>
            </w:tcBorders>
            <w:shd w:val="clear" w:color="auto" w:fill="auto"/>
            <w:noWrap w:val="0"/>
            <w:vAlign w:val="center"/>
          </w:tcPr>
          <w:p w14:paraId="65D57AFC">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铬（六价）</w:t>
            </w:r>
          </w:p>
        </w:tc>
        <w:tc>
          <w:tcPr>
            <w:tcW w:w="1948" w:type="pct"/>
            <w:tcBorders>
              <w:tl2br w:val="nil"/>
              <w:tr2bl w:val="nil"/>
            </w:tcBorders>
            <w:shd w:val="clear" w:color="auto" w:fill="auto"/>
            <w:noWrap w:val="0"/>
            <w:vAlign w:val="center"/>
          </w:tcPr>
          <w:p w14:paraId="1456B11F">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1623" w:type="pct"/>
            <w:tcBorders>
              <w:tl2br w:val="nil"/>
              <w:tr2bl w:val="nil"/>
            </w:tcBorders>
            <w:shd w:val="clear" w:color="auto" w:fill="auto"/>
            <w:noWrap w:val="0"/>
            <w:vAlign w:val="center"/>
          </w:tcPr>
          <w:p w14:paraId="506D721B">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ND</w:t>
            </w:r>
          </w:p>
        </w:tc>
        <w:tc>
          <w:tcPr>
            <w:tcW w:w="436" w:type="pct"/>
            <w:tcBorders>
              <w:tl2br w:val="nil"/>
              <w:tr2bl w:val="nil"/>
            </w:tcBorders>
            <w:shd w:val="clear" w:color="auto" w:fill="auto"/>
            <w:noWrap w:val="0"/>
            <w:vAlign w:val="center"/>
          </w:tcPr>
          <w:p w14:paraId="58A042D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6472B1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991" w:type="pct"/>
            <w:tcBorders>
              <w:tl2br w:val="nil"/>
              <w:tr2bl w:val="nil"/>
            </w:tcBorders>
            <w:shd w:val="clear" w:color="auto" w:fill="auto"/>
            <w:noWrap w:val="0"/>
            <w:vAlign w:val="center"/>
          </w:tcPr>
          <w:p w14:paraId="3EA214EE">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铜</w:t>
            </w:r>
          </w:p>
        </w:tc>
        <w:tc>
          <w:tcPr>
            <w:tcW w:w="1948" w:type="pct"/>
            <w:tcBorders>
              <w:tl2br w:val="nil"/>
              <w:tr2bl w:val="nil"/>
            </w:tcBorders>
            <w:shd w:val="clear" w:color="auto" w:fill="auto"/>
            <w:noWrap w:val="0"/>
            <w:vAlign w:val="center"/>
          </w:tcPr>
          <w:p w14:paraId="3D3B5FC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29</w:t>
            </w:r>
          </w:p>
        </w:tc>
        <w:tc>
          <w:tcPr>
            <w:tcW w:w="1623" w:type="pct"/>
            <w:tcBorders>
              <w:tl2br w:val="nil"/>
              <w:tr2bl w:val="nil"/>
            </w:tcBorders>
            <w:shd w:val="clear" w:color="auto" w:fill="auto"/>
            <w:noWrap w:val="0"/>
            <w:vAlign w:val="center"/>
          </w:tcPr>
          <w:p w14:paraId="75312891">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28</w:t>
            </w:r>
          </w:p>
        </w:tc>
        <w:tc>
          <w:tcPr>
            <w:tcW w:w="436" w:type="pct"/>
            <w:tcBorders>
              <w:tl2br w:val="nil"/>
              <w:tr2bl w:val="nil"/>
            </w:tcBorders>
            <w:shd w:val="clear" w:color="auto" w:fill="auto"/>
            <w:noWrap w:val="0"/>
            <w:vAlign w:val="center"/>
          </w:tcPr>
          <w:p w14:paraId="5F5424D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06CC81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991" w:type="pct"/>
            <w:tcBorders>
              <w:tl2br w:val="nil"/>
              <w:tr2bl w:val="nil"/>
            </w:tcBorders>
            <w:shd w:val="clear" w:color="auto" w:fill="auto"/>
            <w:noWrap w:val="0"/>
            <w:vAlign w:val="center"/>
          </w:tcPr>
          <w:p w14:paraId="568E4BD8">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铅</w:t>
            </w:r>
          </w:p>
        </w:tc>
        <w:tc>
          <w:tcPr>
            <w:tcW w:w="1948" w:type="pct"/>
            <w:tcBorders>
              <w:tl2br w:val="nil"/>
              <w:tr2bl w:val="nil"/>
            </w:tcBorders>
            <w:shd w:val="clear" w:color="auto" w:fill="auto"/>
            <w:noWrap w:val="0"/>
            <w:vAlign w:val="center"/>
          </w:tcPr>
          <w:p w14:paraId="5189C895">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15</w:t>
            </w:r>
          </w:p>
        </w:tc>
        <w:tc>
          <w:tcPr>
            <w:tcW w:w="1623" w:type="pct"/>
            <w:tcBorders>
              <w:tl2br w:val="nil"/>
              <w:tr2bl w:val="nil"/>
            </w:tcBorders>
            <w:shd w:val="clear" w:color="auto" w:fill="auto"/>
            <w:noWrap w:val="0"/>
            <w:vAlign w:val="center"/>
          </w:tcPr>
          <w:p w14:paraId="62ED3809">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17</w:t>
            </w:r>
          </w:p>
        </w:tc>
        <w:tc>
          <w:tcPr>
            <w:tcW w:w="436" w:type="pct"/>
            <w:tcBorders>
              <w:tl2br w:val="nil"/>
              <w:tr2bl w:val="nil"/>
            </w:tcBorders>
            <w:shd w:val="clear" w:color="auto" w:fill="auto"/>
            <w:noWrap w:val="0"/>
            <w:vAlign w:val="center"/>
          </w:tcPr>
          <w:p w14:paraId="48683C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386379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991" w:type="pct"/>
            <w:tcBorders>
              <w:tl2br w:val="nil"/>
              <w:tr2bl w:val="nil"/>
            </w:tcBorders>
            <w:shd w:val="clear" w:color="auto" w:fill="auto"/>
            <w:noWrap w:val="0"/>
            <w:vAlign w:val="center"/>
          </w:tcPr>
          <w:p w14:paraId="58C52998">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汞</w:t>
            </w:r>
          </w:p>
        </w:tc>
        <w:tc>
          <w:tcPr>
            <w:tcW w:w="1948" w:type="pct"/>
            <w:tcBorders>
              <w:tl2br w:val="nil"/>
              <w:tr2bl w:val="nil"/>
            </w:tcBorders>
            <w:shd w:val="clear" w:color="auto" w:fill="auto"/>
            <w:noWrap w:val="0"/>
            <w:vAlign w:val="center"/>
          </w:tcPr>
          <w:p w14:paraId="22F3903E">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0.071</w:t>
            </w:r>
          </w:p>
        </w:tc>
        <w:tc>
          <w:tcPr>
            <w:tcW w:w="1623" w:type="pct"/>
            <w:tcBorders>
              <w:tl2br w:val="nil"/>
              <w:tr2bl w:val="nil"/>
            </w:tcBorders>
            <w:shd w:val="clear" w:color="auto" w:fill="auto"/>
            <w:noWrap w:val="0"/>
            <w:vAlign w:val="center"/>
          </w:tcPr>
          <w:p w14:paraId="1E46F382">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0.072</w:t>
            </w:r>
          </w:p>
        </w:tc>
        <w:tc>
          <w:tcPr>
            <w:tcW w:w="436" w:type="pct"/>
            <w:tcBorders>
              <w:tl2br w:val="nil"/>
              <w:tr2bl w:val="nil"/>
            </w:tcBorders>
            <w:shd w:val="clear" w:color="auto" w:fill="auto"/>
            <w:noWrap w:val="0"/>
            <w:vAlign w:val="center"/>
          </w:tcPr>
          <w:p w14:paraId="6AEFDE5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2821A4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991" w:type="pct"/>
            <w:tcBorders>
              <w:tl2br w:val="nil"/>
              <w:tr2bl w:val="nil"/>
            </w:tcBorders>
            <w:shd w:val="clear" w:color="auto" w:fill="auto"/>
            <w:noWrap w:val="0"/>
            <w:vAlign w:val="center"/>
          </w:tcPr>
          <w:p w14:paraId="4663ABD4">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kern w:val="0"/>
                <w:sz w:val="21"/>
                <w:szCs w:val="21"/>
                <w:highlight w:val="none"/>
                <w:lang w:bidi="ar"/>
              </w:rPr>
              <w:t>镍</w:t>
            </w:r>
          </w:p>
        </w:tc>
        <w:tc>
          <w:tcPr>
            <w:tcW w:w="1948" w:type="pct"/>
            <w:tcBorders>
              <w:tl2br w:val="nil"/>
              <w:tr2bl w:val="nil"/>
            </w:tcBorders>
            <w:shd w:val="clear" w:color="auto" w:fill="auto"/>
            <w:noWrap w:val="0"/>
            <w:vAlign w:val="center"/>
          </w:tcPr>
          <w:p w14:paraId="2A99BA7C">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30</w:t>
            </w:r>
          </w:p>
        </w:tc>
        <w:tc>
          <w:tcPr>
            <w:tcW w:w="1623" w:type="pct"/>
            <w:tcBorders>
              <w:tl2br w:val="nil"/>
              <w:tr2bl w:val="nil"/>
            </w:tcBorders>
            <w:shd w:val="clear" w:color="auto" w:fill="auto"/>
            <w:noWrap w:val="0"/>
            <w:vAlign w:val="center"/>
          </w:tcPr>
          <w:p w14:paraId="54BB6164">
            <w:pPr>
              <w:keepNext w:val="0"/>
              <w:keepLines w:val="0"/>
              <w:suppressLineNumbers w:val="0"/>
              <w:bidi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26</w:t>
            </w:r>
          </w:p>
        </w:tc>
        <w:tc>
          <w:tcPr>
            <w:tcW w:w="436" w:type="pct"/>
            <w:tcBorders>
              <w:tl2br w:val="nil"/>
              <w:tr2bl w:val="nil"/>
            </w:tcBorders>
            <w:shd w:val="clear" w:color="auto" w:fill="auto"/>
            <w:noWrap w:val="0"/>
            <w:vAlign w:val="center"/>
          </w:tcPr>
          <w:p w14:paraId="704B509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r w14:paraId="766A2E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991" w:type="pct"/>
            <w:tcBorders>
              <w:tl2br w:val="nil"/>
              <w:tr2bl w:val="nil"/>
            </w:tcBorders>
            <w:shd w:val="clear" w:color="auto" w:fill="auto"/>
            <w:noWrap w:val="0"/>
            <w:vAlign w:val="center"/>
          </w:tcPr>
          <w:p w14:paraId="6DA6988D">
            <w:pPr>
              <w:pStyle w:val="806"/>
              <w:keepNext w:val="0"/>
              <w:keepLines w:val="0"/>
              <w:suppressLineNumbers w:val="0"/>
              <w:spacing w:before="56" w:beforeAutospacing="0" w:after="0" w:afterAutospacing="0"/>
              <w:ind w:left="108" w:leftChars="0" w:right="101" w:rightChars="0"/>
              <w:jc w:val="center"/>
              <w:rPr>
                <w:rFonts w:hint="default" w:ascii="Times New Roman" w:hAnsi="Times New Roman" w:eastAsia="宋体" w:cs="Times New Roman"/>
                <w:color w:val="auto"/>
                <w:kern w:val="0"/>
                <w:sz w:val="21"/>
                <w:szCs w:val="21"/>
                <w:highlight w:val="none"/>
                <w:lang w:bidi="ar"/>
              </w:rPr>
            </w:pPr>
            <w:r>
              <w:rPr>
                <w:rFonts w:hint="eastAsia" w:cs="Times New Roman"/>
                <w:color w:val="auto"/>
                <w:kern w:val="2"/>
                <w:sz w:val="21"/>
                <w:szCs w:val="21"/>
                <w:highlight w:val="none"/>
                <w:lang w:val="en-US" w:eastAsia="zh-CN" w:bidi="ar-SA"/>
              </w:rPr>
              <w:t>总铬</w:t>
            </w:r>
          </w:p>
        </w:tc>
        <w:tc>
          <w:tcPr>
            <w:tcW w:w="1948" w:type="pct"/>
            <w:tcBorders>
              <w:tl2br w:val="nil"/>
              <w:tr2bl w:val="nil"/>
            </w:tcBorders>
            <w:shd w:val="clear" w:color="auto" w:fill="auto"/>
            <w:noWrap w:val="0"/>
            <w:vAlign w:val="center"/>
          </w:tcPr>
          <w:p w14:paraId="73A66E18">
            <w:pPr>
              <w:keepNext w:val="0"/>
              <w:keepLines w:val="0"/>
              <w:suppressLineNumbers w:val="0"/>
              <w:bidi w:val="0"/>
              <w:spacing w:before="0" w:beforeAutospacing="0" w:after="0" w:afterAutospacing="0"/>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61</w:t>
            </w:r>
          </w:p>
        </w:tc>
        <w:tc>
          <w:tcPr>
            <w:tcW w:w="1623" w:type="pct"/>
            <w:tcBorders>
              <w:tl2br w:val="nil"/>
              <w:tr2bl w:val="nil"/>
            </w:tcBorders>
            <w:shd w:val="clear" w:color="auto" w:fill="auto"/>
            <w:noWrap w:val="0"/>
            <w:vAlign w:val="center"/>
          </w:tcPr>
          <w:p w14:paraId="10064CC6">
            <w:pPr>
              <w:keepNext w:val="0"/>
              <w:keepLines w:val="0"/>
              <w:suppressLineNumbers w:val="0"/>
              <w:bidi w:val="0"/>
              <w:spacing w:before="0" w:beforeAutospacing="0" w:after="0" w:afterAutospacing="0"/>
              <w:ind w:left="0" w:right="0"/>
              <w:jc w:val="center"/>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58</w:t>
            </w:r>
          </w:p>
        </w:tc>
        <w:tc>
          <w:tcPr>
            <w:tcW w:w="436" w:type="pct"/>
            <w:tcBorders>
              <w:tl2br w:val="nil"/>
              <w:tr2bl w:val="nil"/>
            </w:tcBorders>
            <w:shd w:val="clear" w:color="auto" w:fill="auto"/>
            <w:noWrap w:val="0"/>
            <w:vAlign w:val="center"/>
          </w:tcPr>
          <w:p w14:paraId="7247795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leftChars="0" w:right="0" w:rightChars="0" w:firstLine="0" w:firstLineChars="0"/>
              <w:jc w:val="center"/>
              <w:textAlignment w:val="auto"/>
              <w:outlineLvl w:val="9"/>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mg/kg</w:t>
            </w:r>
          </w:p>
        </w:tc>
      </w:tr>
    </w:tbl>
    <w:p w14:paraId="24E1E09F">
      <w:pPr>
        <w:pStyle w:val="2"/>
        <w:spacing w:after="0" w:line="240" w:lineRule="auto"/>
        <w:ind w:firstLine="0" w:firstLineChars="0"/>
        <w:jc w:val="center"/>
        <w:rPr>
          <w:rFonts w:hint="eastAsia" w:asciiTheme="minorEastAsia" w:hAnsiTheme="minorEastAsia" w:eastAsiaTheme="minorEastAsia" w:cstheme="minorEastAsia"/>
          <w:b/>
          <w:color w:val="auto"/>
          <w:kern w:val="2"/>
          <w:sz w:val="24"/>
          <w:szCs w:val="24"/>
          <w:highlight w:val="none"/>
          <w:lang w:val="en-US" w:eastAsia="zh-CN" w:bidi="ar-SA"/>
        </w:rPr>
      </w:pPr>
    </w:p>
    <w:p w14:paraId="179A3158">
      <w:pPr>
        <w:pStyle w:val="8"/>
        <w:numPr>
          <w:ilvl w:val="0"/>
          <w:numId w:val="0"/>
        </w:numPr>
        <w:bidi w:val="0"/>
        <w:ind w:leftChars="0"/>
        <w:rPr>
          <w:rFonts w:hint="eastAsia" w:asciiTheme="minorEastAsia" w:hAnsiTheme="minorEastAsia" w:eastAsiaTheme="minorEastAsia" w:cstheme="minorEastAsia"/>
          <w:b/>
          <w:color w:val="auto"/>
          <w:kern w:val="2"/>
          <w:sz w:val="24"/>
          <w:szCs w:val="24"/>
          <w:highlight w:val="none"/>
          <w:lang w:val="en-US" w:eastAsia="zh-CN" w:bidi="ar-SA"/>
        </w:rPr>
      </w:pPr>
      <w:r>
        <w:rPr>
          <w:rFonts w:hint="eastAsia" w:asciiTheme="minorEastAsia" w:hAnsiTheme="minorEastAsia" w:eastAsiaTheme="minorEastAsia" w:cstheme="minorEastAsia"/>
          <w:color w:val="auto"/>
          <w:highlight w:val="none"/>
          <w:lang w:val="en-US" w:eastAsia="zh-CN"/>
        </w:rPr>
        <w:t>4.3.5.3土壤环境质量现状评价</w:t>
      </w:r>
    </w:p>
    <w:p w14:paraId="23814D51">
      <w:pPr>
        <w:pStyle w:val="217"/>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Cs w:val="32"/>
          <w:highlight w:val="none"/>
        </w:rPr>
        <w:t>监测结果表明，</w:t>
      </w:r>
      <w:r>
        <w:rPr>
          <w:rFonts w:hint="eastAsia" w:ascii="宋体" w:hAnsi="宋体" w:eastAsia="宋体" w:cs="宋体"/>
          <w:color w:val="auto"/>
          <w:kern w:val="0"/>
          <w:sz w:val="24"/>
          <w:highlight w:val="none"/>
          <w:lang w:val="en-US" w:eastAsia="zh-CN" w:bidi="ar"/>
        </w:rPr>
        <w:t>占地范围内各监测点位各监测因子监测结果均未超过《建设用地土壤污染风险管控标准（试行）》（GB36600-2018）中第二类用地筛选值标准限值</w:t>
      </w:r>
      <w:r>
        <w:rPr>
          <w:rFonts w:hint="eastAsia" w:ascii="宋体" w:hAnsi="宋体" w:eastAsia="宋体" w:cs="宋体"/>
          <w:color w:val="auto"/>
          <w:kern w:val="0"/>
          <w:sz w:val="24"/>
          <w:highlight w:val="none"/>
          <w:lang w:bidi="ar"/>
        </w:rPr>
        <w:t>，</w:t>
      </w:r>
      <w:r>
        <w:rPr>
          <w:rFonts w:hint="eastAsia" w:ascii="宋体" w:hAnsi="宋体" w:eastAsia="宋体" w:cs="宋体"/>
          <w:color w:val="auto"/>
          <w:kern w:val="0"/>
          <w:sz w:val="24"/>
          <w:highlight w:val="none"/>
          <w:lang w:val="en-US" w:eastAsia="zh-CN" w:bidi="ar"/>
        </w:rPr>
        <w:t>占地范围外各监测点位各监测因子监测结果均未超过</w:t>
      </w:r>
      <w:r>
        <w:rPr>
          <w:rFonts w:hint="eastAsia" w:ascii="宋体" w:hAnsi="宋体" w:eastAsia="宋体" w:cs="宋体"/>
          <w:color w:val="auto"/>
          <w:kern w:val="0"/>
          <w:sz w:val="24"/>
          <w:highlight w:val="none"/>
          <w:lang w:bidi="ar"/>
        </w:rPr>
        <w:t>《土壤环境质量 农用地土壤污染风险管控标准（试行）》（GB15618-2018）表1 农用地土壤污染风险筛选值，</w:t>
      </w:r>
      <w:r>
        <w:rPr>
          <w:rFonts w:hint="eastAsia" w:ascii="宋体" w:hAnsi="宋体" w:eastAsia="宋体" w:cs="宋体"/>
          <w:color w:val="auto"/>
          <w:kern w:val="0"/>
          <w:sz w:val="24"/>
          <w:highlight w:val="none"/>
          <w:lang w:val="en-US" w:eastAsia="zh-CN" w:bidi="ar"/>
        </w:rPr>
        <w:t>因此，</w:t>
      </w:r>
      <w:r>
        <w:rPr>
          <w:rFonts w:hint="eastAsia" w:ascii="宋体" w:hAnsi="宋体" w:eastAsia="宋体" w:cs="宋体"/>
          <w:color w:val="auto"/>
          <w:kern w:val="0"/>
          <w:sz w:val="24"/>
          <w:highlight w:val="none"/>
          <w:lang w:bidi="ar"/>
        </w:rPr>
        <w:t>评价区整体及各样点土壤中各监测因子含量基本</w:t>
      </w:r>
      <w:r>
        <w:rPr>
          <w:rFonts w:hint="eastAsia" w:ascii="宋体" w:hAnsi="宋体" w:eastAsia="宋体" w:cs="宋体"/>
          <w:color w:val="auto"/>
          <w:kern w:val="0"/>
          <w:sz w:val="24"/>
          <w:highlight w:val="none"/>
          <w:lang w:eastAsia="zh-CN" w:bidi="ar"/>
        </w:rPr>
        <w:t>属于</w:t>
      </w:r>
      <w:r>
        <w:rPr>
          <w:rFonts w:hint="eastAsia" w:ascii="宋体" w:hAnsi="宋体" w:eastAsia="宋体" w:cs="宋体"/>
          <w:color w:val="auto"/>
          <w:kern w:val="0"/>
          <w:sz w:val="24"/>
          <w:highlight w:val="none"/>
          <w:lang w:bidi="ar"/>
        </w:rPr>
        <w:t>自然本底状态，没有受到人为活动污染</w:t>
      </w:r>
      <w:r>
        <w:rPr>
          <w:rFonts w:hint="eastAsia" w:asciiTheme="minorEastAsia" w:hAnsiTheme="minorEastAsia" w:eastAsiaTheme="minorEastAsia" w:cstheme="minorEastAsia"/>
          <w:color w:val="auto"/>
          <w:sz w:val="21"/>
          <w:highlight w:val="none"/>
        </w:rPr>
        <w:t>。</w:t>
      </w:r>
    </w:p>
    <w:p w14:paraId="635C28F4">
      <w:pPr>
        <w:pStyle w:val="7"/>
        <w:numPr>
          <w:ilvl w:val="0"/>
          <w:numId w:val="0"/>
        </w:numPr>
        <w:bidi w:val="0"/>
        <w:ind w:leftChars="0"/>
        <w:rPr>
          <w:rFonts w:hint="eastAsia" w:asciiTheme="minorEastAsia" w:hAnsiTheme="minorEastAsia" w:eastAsiaTheme="minorEastAsia" w:cstheme="minorEastAsia"/>
          <w:color w:val="auto"/>
          <w:highlight w:val="none"/>
        </w:rPr>
      </w:pPr>
      <w:bookmarkStart w:id="556" w:name="_Toc12725"/>
      <w:bookmarkStart w:id="557" w:name="_Toc28869"/>
      <w:bookmarkStart w:id="558" w:name="_Toc32081"/>
      <w:bookmarkStart w:id="559" w:name="_Toc15422"/>
      <w:bookmarkStart w:id="560" w:name="_Toc14391"/>
      <w:bookmarkStart w:id="561" w:name="_Toc28571"/>
      <w:bookmarkStart w:id="562" w:name="_Toc8221"/>
      <w:bookmarkStart w:id="563" w:name="_Toc11745"/>
      <w:bookmarkStart w:id="564" w:name="_Toc22935"/>
      <w:bookmarkStart w:id="565" w:name="_Toc28172"/>
      <w:bookmarkStart w:id="566" w:name="_Toc30296"/>
      <w:bookmarkStart w:id="567" w:name="_Toc30786"/>
      <w:bookmarkStart w:id="568" w:name="_Toc9926"/>
      <w:r>
        <w:rPr>
          <w:rFonts w:hint="eastAsia" w:asciiTheme="minorEastAsia" w:hAnsiTheme="minorEastAsia" w:eastAsiaTheme="minorEastAsia" w:cstheme="minorEastAsia"/>
          <w:color w:val="auto"/>
          <w:highlight w:val="none"/>
        </w:rPr>
        <w:t>4.3.</w:t>
      </w:r>
      <w:r>
        <w:rPr>
          <w:rFonts w:hint="eastAsia" w:asciiTheme="minorEastAsia" w:hAnsiTheme="minorEastAsia" w:eastAsiaTheme="minorEastAsia" w:cstheme="minorEastAsia"/>
          <w:color w:val="auto"/>
          <w:highlight w:val="none"/>
          <w:lang w:val="en-US" w:eastAsia="zh-CN"/>
        </w:rPr>
        <w:t>6生态环境现状</w:t>
      </w:r>
      <w:r>
        <w:rPr>
          <w:rFonts w:hint="eastAsia" w:asciiTheme="minorEastAsia" w:hAnsiTheme="minorEastAsia" w:eastAsiaTheme="minorEastAsia" w:cstheme="minorEastAsia"/>
          <w:color w:val="auto"/>
          <w:highlight w:val="none"/>
        </w:rPr>
        <w:t>评价</w:t>
      </w:r>
    </w:p>
    <w:bookmarkEnd w:id="556"/>
    <w:bookmarkEnd w:id="557"/>
    <w:bookmarkEnd w:id="558"/>
    <w:bookmarkEnd w:id="559"/>
    <w:bookmarkEnd w:id="560"/>
    <w:bookmarkEnd w:id="561"/>
    <w:p w14:paraId="31DA99C3">
      <w:pPr>
        <w:pStyle w:val="8"/>
        <w:numPr>
          <w:ilvl w:val="0"/>
          <w:numId w:val="0"/>
        </w:numPr>
        <w:bidi w:val="0"/>
        <w:ind w:leftChars="0"/>
        <w:rPr>
          <w:rFonts w:hint="default" w:asciiTheme="minorEastAsia" w:hAnsiTheme="minorEastAsia" w:eastAsiaTheme="minorEastAsia" w:cstheme="minorEastAsia"/>
          <w:color w:val="auto"/>
          <w:spacing w:val="1"/>
          <w:szCs w:val="24"/>
          <w:highlight w:val="none"/>
          <w:lang w:val="en-US"/>
        </w:rPr>
      </w:pPr>
      <w:r>
        <w:rPr>
          <w:rFonts w:hint="eastAsia" w:asciiTheme="minorEastAsia" w:hAnsiTheme="minorEastAsia" w:eastAsiaTheme="minorEastAsia" w:cstheme="minorEastAsia"/>
          <w:color w:val="auto"/>
          <w:highlight w:val="none"/>
          <w:lang w:val="en-US" w:eastAsia="zh-CN"/>
        </w:rPr>
        <w:t>4.3.6.1调查范围</w:t>
      </w:r>
    </w:p>
    <w:p w14:paraId="0930BA45">
      <w:pPr>
        <w:spacing w:line="360" w:lineRule="auto"/>
        <w:ind w:firstLine="480"/>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rPr>
        <w:t>根据《环境影响评价技术导则 生态影响》（HJ19-2022）及项目所在区域环境特征，本项目生态环境调查范围为回填复垦区外200m</w:t>
      </w:r>
      <w:r>
        <w:rPr>
          <w:rFonts w:hint="eastAsia" w:asciiTheme="minorEastAsia" w:hAnsiTheme="minorEastAsia" w:eastAsiaTheme="minorEastAsia" w:cstheme="minorEastAsia"/>
          <w:color w:val="auto"/>
          <w:sz w:val="24"/>
          <w:szCs w:val="24"/>
          <w:highlight w:val="none"/>
          <w:lang w:val="en-US" w:eastAsia="zh-CN"/>
        </w:rPr>
        <w:t>内。</w:t>
      </w:r>
    </w:p>
    <w:p w14:paraId="47F084F6">
      <w:pPr>
        <w:pStyle w:val="8"/>
        <w:numPr>
          <w:ilvl w:val="0"/>
          <w:numId w:val="0"/>
        </w:numPr>
        <w:bidi w:val="0"/>
        <w:ind w:leftChars="0"/>
        <w:rPr>
          <w:rFonts w:hint="default" w:asciiTheme="minorEastAsia" w:hAnsiTheme="minorEastAsia" w:eastAsiaTheme="minorEastAsia" w:cstheme="minorEastAsia"/>
          <w:color w:val="auto"/>
          <w:spacing w:val="1"/>
          <w:szCs w:val="24"/>
          <w:highlight w:val="none"/>
          <w:lang w:val="en-US"/>
        </w:rPr>
      </w:pPr>
      <w:r>
        <w:rPr>
          <w:rFonts w:hint="eastAsia" w:asciiTheme="minorEastAsia" w:hAnsiTheme="minorEastAsia" w:eastAsiaTheme="minorEastAsia" w:cstheme="minorEastAsia"/>
          <w:color w:val="auto"/>
          <w:highlight w:val="none"/>
          <w:lang w:val="en-US" w:eastAsia="zh-CN"/>
        </w:rPr>
        <w:t>4.3.6.2调查方法</w:t>
      </w:r>
    </w:p>
    <w:p w14:paraId="6F90E40E">
      <w:pPr>
        <w:spacing w:line="360" w:lineRule="auto"/>
        <w:ind w:firstLine="480"/>
        <w:rPr>
          <w:rFonts w:hint="eastAsia" w:asciiTheme="minorEastAsia" w:hAnsiTheme="minorEastAsia" w:eastAsiaTheme="minorEastAsia" w:cstheme="minorEastAsia"/>
          <w:color w:val="auto"/>
          <w:sz w:val="24"/>
          <w:szCs w:val="24"/>
          <w:highlight w:val="none"/>
          <w:lang w:val="en-US"/>
        </w:rPr>
      </w:pPr>
      <w:r>
        <w:rPr>
          <w:rFonts w:hint="eastAsia"/>
          <w:color w:val="auto"/>
          <w:highlight w:val="none"/>
        </w:rPr>
        <w:t>根据项目所在区域特征，本项目调查方法主要采用资料收集和现场调查。</w:t>
      </w:r>
    </w:p>
    <w:p w14:paraId="2C56F9B8">
      <w:pPr>
        <w:pStyle w:val="8"/>
        <w:numPr>
          <w:ilvl w:val="0"/>
          <w:numId w:val="0"/>
        </w:numPr>
        <w:bidi w:val="0"/>
        <w:ind w:leftChars="0"/>
        <w:rPr>
          <w:rFonts w:hint="default" w:asciiTheme="minorEastAsia" w:hAnsiTheme="minorEastAsia" w:eastAsiaTheme="minorEastAsia" w:cstheme="minorEastAsia"/>
          <w:color w:val="auto"/>
          <w:spacing w:val="1"/>
          <w:szCs w:val="24"/>
          <w:highlight w:val="none"/>
          <w:lang w:val="en-US"/>
        </w:rPr>
      </w:pPr>
      <w:r>
        <w:rPr>
          <w:rFonts w:hint="eastAsia" w:asciiTheme="minorEastAsia" w:hAnsiTheme="minorEastAsia" w:eastAsiaTheme="minorEastAsia" w:cstheme="minorEastAsia"/>
          <w:color w:val="auto"/>
          <w:highlight w:val="none"/>
          <w:lang w:val="en-US" w:eastAsia="zh-CN"/>
        </w:rPr>
        <w:t>4.3.6.3生态功能区</w:t>
      </w:r>
    </w:p>
    <w:p w14:paraId="7FC8F085">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根据《黑龙江省生态功能区划》中划分，本项目所在地Ⅰ—4—2—4蚂蜒河上游水源涵养与土壤保持生态功能区。</w:t>
      </w:r>
    </w:p>
    <w:p w14:paraId="78CF1809">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Cs w:val="24"/>
          <w:highlight w:val="none"/>
        </w:rPr>
        <w:t>主要生态环境问题：</w:t>
      </w:r>
      <w:r>
        <w:rPr>
          <w:rFonts w:hint="eastAsia" w:asciiTheme="minorEastAsia" w:hAnsiTheme="minorEastAsia" w:eastAsiaTheme="minorEastAsia" w:cstheme="minorEastAsia"/>
          <w:color w:val="auto"/>
          <w:highlight w:val="none"/>
        </w:rPr>
        <w:t>地形较为复杂；森林质量下降；水源涵养能力降低；水土流失现象比较突出；部分地区在雨季易形成水患涝灾。</w:t>
      </w:r>
    </w:p>
    <w:p w14:paraId="47600D41">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生态环境敏感性：大部分地区生物多样性敏感性为高度敏感；尚志市周围土壤侵蚀敏感性为高度敏感。</w:t>
      </w:r>
    </w:p>
    <w:p w14:paraId="0D8DC205">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主要生态系统服务功能：水源涵养、土壤保持及生物多样性保护。</w:t>
      </w:r>
    </w:p>
    <w:p w14:paraId="44FBFCF0">
      <w:pPr>
        <w:widowControl w:val="0"/>
        <w:adjustRightInd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保护措施与发展方向：加强天然林的保护，加强植被的恢复与保护，加大生态农业建设，防止水土流失</w:t>
      </w:r>
      <w:r>
        <w:rPr>
          <w:rFonts w:hint="eastAsia" w:asciiTheme="minorEastAsia" w:hAnsiTheme="minorEastAsia" w:eastAsiaTheme="minorEastAsia" w:cstheme="minorEastAsia"/>
          <w:color w:val="auto"/>
          <w:highlight w:val="none"/>
          <w:lang w:eastAsia="zh-CN"/>
        </w:rPr>
        <w:t>。</w:t>
      </w:r>
    </w:p>
    <w:p w14:paraId="66266137">
      <w:pPr>
        <w:pStyle w:val="8"/>
        <w:numPr>
          <w:ilvl w:val="0"/>
          <w:numId w:val="0"/>
        </w:numPr>
        <w:bidi w:val="0"/>
        <w:ind w:leftChars="0"/>
        <w:rPr>
          <w:rFonts w:hint="default" w:asciiTheme="minorEastAsia" w:hAnsiTheme="minorEastAsia" w:eastAsiaTheme="minorEastAsia" w:cstheme="minorEastAsia"/>
          <w:color w:val="auto"/>
          <w:spacing w:val="1"/>
          <w:szCs w:val="24"/>
          <w:highlight w:val="none"/>
          <w:lang w:val="en-US"/>
        </w:rPr>
      </w:pPr>
      <w:bookmarkStart w:id="569" w:name="_Toc22095"/>
      <w:bookmarkStart w:id="570" w:name="_Toc28878"/>
      <w:bookmarkStart w:id="571" w:name="_Toc11580"/>
      <w:bookmarkStart w:id="572" w:name="_Toc2339"/>
      <w:bookmarkStart w:id="573" w:name="_Toc4637"/>
      <w:bookmarkStart w:id="574" w:name="_Toc3720"/>
      <w:r>
        <w:rPr>
          <w:rFonts w:hint="eastAsia" w:asciiTheme="minorEastAsia" w:hAnsiTheme="minorEastAsia" w:eastAsiaTheme="minorEastAsia" w:cstheme="minorEastAsia"/>
          <w:color w:val="auto"/>
          <w:highlight w:val="none"/>
          <w:lang w:val="en-US" w:eastAsia="zh-CN"/>
        </w:rPr>
        <w:t>4.3.6.4土地利用现状调查</w:t>
      </w:r>
    </w:p>
    <w:p w14:paraId="4F8851C6">
      <w:pPr>
        <w:keepNext w:val="0"/>
        <w:keepLines w:val="0"/>
        <w:pageBreakBefore w:val="0"/>
        <w:widowControl w:val="0"/>
        <w:kinsoku/>
        <w:wordWrap/>
        <w:overflowPunct/>
        <w:topLinePunct w:val="0"/>
        <w:autoSpaceDE/>
        <w:autoSpaceDN/>
        <w:bidi w:val="0"/>
        <w:adjustRightInd/>
        <w:snapToGrid/>
        <w:spacing w:line="360" w:lineRule="auto"/>
        <w:ind w:firstLine="468" w:firstLineChars="200"/>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spacing w:val="-3"/>
          <w:szCs w:val="24"/>
          <w:highlight w:val="none"/>
          <w:lang w:val="en-US" w:eastAsia="zh-CN"/>
        </w:rPr>
        <w:t>通</w:t>
      </w:r>
      <w:r>
        <w:rPr>
          <w:rFonts w:hint="eastAsia" w:asciiTheme="minorEastAsia" w:hAnsiTheme="minorEastAsia" w:eastAsiaTheme="minorEastAsia" w:cstheme="minorEastAsia"/>
          <w:color w:val="auto"/>
          <w:spacing w:val="-3"/>
          <w:szCs w:val="24"/>
          <w:highlight w:val="none"/>
        </w:rPr>
        <w:t>过现场踏查，</w:t>
      </w:r>
      <w:r>
        <w:rPr>
          <w:rFonts w:hint="eastAsia" w:asciiTheme="minorEastAsia" w:hAnsiTheme="minorEastAsia" w:eastAsiaTheme="minorEastAsia" w:cstheme="minorEastAsia"/>
          <w:color w:val="auto"/>
          <w:highlight w:val="none"/>
          <w:lang w:val="en-US" w:eastAsia="zh-CN"/>
        </w:rPr>
        <w:t>废</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lang w:val="en-US" w:eastAsia="zh-CN"/>
        </w:rPr>
        <w:t>土地性质为裸土地，</w:t>
      </w:r>
      <w:r>
        <w:rPr>
          <w:rFonts w:hint="eastAsia" w:asciiTheme="minorEastAsia" w:hAnsiTheme="minorEastAsia" w:eastAsiaTheme="minorEastAsia" w:cstheme="minorEastAsia"/>
          <w:color w:val="auto"/>
          <w:sz w:val="24"/>
          <w:szCs w:val="24"/>
          <w:highlight w:val="none"/>
        </w:rPr>
        <w:t>采坑面积约</w:t>
      </w:r>
      <w:r>
        <w:rPr>
          <w:rFonts w:hint="eastAsia" w:ascii="Times New Roman" w:hAnsi="宋体" w:eastAsia="宋体" w:cs="Times New Roman"/>
          <w:color w:val="auto"/>
          <w:kern w:val="0"/>
          <w:sz w:val="24"/>
          <w:szCs w:val="24"/>
          <w:highlight w:val="none"/>
          <w:lang w:val="en-US" w:eastAsia="zh-CN"/>
        </w:rPr>
        <w:t>11296.10</w:t>
      </w:r>
      <w:r>
        <w:rPr>
          <w:rFonts w:hint="eastAsia" w:asciiTheme="minorEastAsia" w:hAnsiTheme="minorEastAsia" w:eastAsiaTheme="minorEastAsia" w:cstheme="minorEastAsia"/>
          <w:color w:val="auto"/>
          <w:sz w:val="24"/>
          <w:szCs w:val="24"/>
          <w:highlight w:val="none"/>
        </w:rPr>
        <w:t>m</w:t>
      </w:r>
      <w:r>
        <w:rPr>
          <w:rFonts w:hint="eastAsia" w:asciiTheme="minorEastAsia" w:hAnsiTheme="minorEastAsia" w:eastAsiaTheme="minorEastAsia" w:cstheme="minorEastAsia"/>
          <w:color w:val="auto"/>
          <w:sz w:val="24"/>
          <w:szCs w:val="24"/>
          <w:highlight w:val="none"/>
          <w:vertAlign w:val="superscript"/>
        </w:rPr>
        <w:t>2</w:t>
      </w:r>
      <w:r>
        <w:rPr>
          <w:rFonts w:hint="eastAsia" w:asciiTheme="minorEastAsia" w:hAnsiTheme="minorEastAsia" w:eastAsiaTheme="minorEastAsia" w:cstheme="minorEastAsia"/>
          <w:color w:val="auto"/>
          <w:sz w:val="24"/>
          <w:szCs w:val="24"/>
          <w:highlight w:val="none"/>
        </w:rPr>
        <w:t>，采坑深约</w:t>
      </w:r>
      <w:r>
        <w:rPr>
          <w:rFonts w:hint="eastAsia" w:asciiTheme="minorEastAsia" w:hAnsiTheme="minorEastAsia" w:eastAsiaTheme="minorEastAsia" w:cstheme="minorEastAsia"/>
          <w:color w:val="auto"/>
          <w:sz w:val="24"/>
          <w:szCs w:val="24"/>
          <w:highlight w:val="none"/>
          <w:lang w:eastAsia="zh-CN"/>
        </w:rPr>
        <w:t>0.5-8.5</w:t>
      </w:r>
      <w:r>
        <w:rPr>
          <w:rFonts w:hint="eastAsia" w:asciiTheme="minorEastAsia" w:hAnsiTheme="minorEastAsia" w:eastAsiaTheme="minorEastAsia" w:cstheme="minorEastAsia"/>
          <w:color w:val="auto"/>
          <w:sz w:val="24"/>
          <w:szCs w:val="24"/>
          <w:highlight w:val="none"/>
        </w:rPr>
        <w:t>m不等，</w:t>
      </w:r>
      <w:r>
        <w:rPr>
          <w:rFonts w:hint="eastAsia" w:asciiTheme="minorEastAsia" w:hAnsiTheme="minorEastAsia" w:eastAsiaTheme="minorEastAsia" w:cstheme="minorEastAsia"/>
          <w:color w:val="auto"/>
          <w:kern w:val="0"/>
          <w:sz w:val="24"/>
          <w:szCs w:val="24"/>
          <w:highlight w:val="none"/>
          <w:lang w:val="en-US" w:eastAsia="zh-CN" w:bidi="ar"/>
        </w:rPr>
        <w:t>长期以来处于无法利用的废弃状态，</w:t>
      </w:r>
      <w:r>
        <w:rPr>
          <w:rFonts w:hint="eastAsia" w:asciiTheme="minorEastAsia" w:hAnsiTheme="minorEastAsia" w:eastAsiaTheme="minorEastAsia" w:cstheme="minorEastAsia"/>
          <w:color w:val="auto"/>
          <w:sz w:val="24"/>
          <w:szCs w:val="24"/>
          <w:highlight w:val="none"/>
        </w:rPr>
        <w:t>目前坑内主要为杂草，无积水</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没有形成开采台阶</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Cs w:val="24"/>
          <w:highlight w:val="none"/>
        </w:rPr>
        <w:t>采坑部分土地裸露</w:t>
      </w:r>
      <w:r>
        <w:rPr>
          <w:rFonts w:hint="eastAsia" w:asciiTheme="minorEastAsia" w:hAnsiTheme="minorEastAsia" w:eastAsiaTheme="minorEastAsia" w:cstheme="minorEastAsia"/>
          <w:color w:val="auto"/>
          <w:szCs w:val="24"/>
          <w:highlight w:val="none"/>
          <w:lang w:eastAsia="zh-CN"/>
        </w:rPr>
        <w:t>。</w:t>
      </w:r>
    </w:p>
    <w:p w14:paraId="26671BA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生态评价范围内主要用地现状为裸土地、林地和旱地。具体见下图。</w:t>
      </w:r>
    </w:p>
    <w:p w14:paraId="50711EB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color w:val="auto"/>
          <w:highlight w:val="none"/>
          <w:lang w:val="en-US" w:eastAsia="zh-CN"/>
        </w:rPr>
      </w:pPr>
      <w:r>
        <w:rPr>
          <w:color w:val="auto"/>
          <w:highlight w:val="none"/>
        </w:rPr>
        <w:drawing>
          <wp:inline distT="0" distB="0" distL="114300" distR="114300">
            <wp:extent cx="5566410" cy="3715385"/>
            <wp:effectExtent l="0" t="0" r="8890" b="5715"/>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pic:cNvPicPr>
                  </pic:nvPicPr>
                  <pic:blipFill>
                    <a:blip r:embed="rId53"/>
                    <a:stretch>
                      <a:fillRect/>
                    </a:stretch>
                  </pic:blipFill>
                  <pic:spPr>
                    <a:xfrm>
                      <a:off x="0" y="0"/>
                      <a:ext cx="5566410" cy="3715385"/>
                    </a:xfrm>
                    <a:prstGeom prst="rect">
                      <a:avLst/>
                    </a:prstGeom>
                    <a:noFill/>
                    <a:ln>
                      <a:noFill/>
                    </a:ln>
                  </pic:spPr>
                </pic:pic>
              </a:graphicData>
            </a:graphic>
          </wp:inline>
        </w:drawing>
      </w:r>
    </w:p>
    <w:p w14:paraId="2F05394E">
      <w:pPr>
        <w:pStyle w:val="1175"/>
        <w:spacing w:line="240" w:lineRule="auto"/>
        <w:rPr>
          <w:rFonts w:hint="eastAsia" w:ascii="宋体" w:hAnsi="宋体" w:eastAsia="宋体" w:cs="宋体"/>
          <w:b/>
          <w:bCs/>
          <w:color w:val="auto"/>
          <w:kern w:val="0"/>
          <w:sz w:val="24"/>
          <w:szCs w:val="24"/>
          <w:highlight w:val="none"/>
          <w:lang w:val="en-US" w:eastAsia="zh-CN" w:bidi="ar"/>
        </w:rPr>
      </w:pPr>
      <w:r>
        <w:rPr>
          <w:rFonts w:hint="eastAsia" w:ascii="宋体" w:hAnsi="宋体" w:eastAsia="宋体" w:cs="宋体"/>
          <w:b/>
          <w:bCs/>
          <w:color w:val="auto"/>
          <w:kern w:val="0"/>
          <w:sz w:val="24"/>
          <w:szCs w:val="24"/>
          <w:highlight w:val="none"/>
          <w:lang w:val="en-US" w:eastAsia="zh-CN" w:bidi="ar"/>
        </w:rPr>
        <w:t>图4</w:t>
      </w:r>
      <w:r>
        <w:rPr>
          <w:rFonts w:hint="eastAsia" w:hAnsi="宋体" w:eastAsia="宋体" w:cs="宋体"/>
          <w:b/>
          <w:bCs/>
          <w:color w:val="auto"/>
          <w:kern w:val="0"/>
          <w:sz w:val="24"/>
          <w:szCs w:val="24"/>
          <w:highlight w:val="none"/>
          <w:lang w:val="en-US" w:eastAsia="zh-CN" w:bidi="ar"/>
        </w:rPr>
        <w:t xml:space="preserve">.3-5  </w:t>
      </w:r>
      <w:r>
        <w:rPr>
          <w:rFonts w:hint="eastAsia" w:ascii="宋体" w:hAnsi="宋体" w:eastAsia="宋体" w:cs="宋体"/>
          <w:b/>
          <w:bCs/>
          <w:color w:val="auto"/>
          <w:kern w:val="0"/>
          <w:sz w:val="24"/>
          <w:szCs w:val="24"/>
          <w:highlight w:val="none"/>
          <w:lang w:val="en-US" w:eastAsia="zh-CN" w:bidi="ar"/>
        </w:rPr>
        <w:t>土地利用现状图</w:t>
      </w:r>
    </w:p>
    <w:p w14:paraId="0DB447BF">
      <w:pPr>
        <w:pStyle w:val="8"/>
        <w:numPr>
          <w:ilvl w:val="0"/>
          <w:numId w:val="0"/>
        </w:numPr>
        <w:bidi w:val="0"/>
        <w:ind w:leftChars="0"/>
        <w:rPr>
          <w:rFonts w:hint="default" w:asciiTheme="minorEastAsia" w:hAnsiTheme="minorEastAsia" w:eastAsiaTheme="minorEastAsia" w:cstheme="minorEastAsia"/>
          <w:color w:val="auto"/>
          <w:spacing w:val="1"/>
          <w:szCs w:val="24"/>
          <w:highlight w:val="none"/>
          <w:lang w:val="en-US"/>
        </w:rPr>
      </w:pPr>
      <w:r>
        <w:rPr>
          <w:rFonts w:hint="eastAsia" w:asciiTheme="minorEastAsia" w:hAnsiTheme="minorEastAsia" w:eastAsiaTheme="minorEastAsia" w:cstheme="minorEastAsia"/>
          <w:color w:val="auto"/>
          <w:highlight w:val="none"/>
          <w:lang w:val="en-US" w:eastAsia="zh-CN"/>
        </w:rPr>
        <w:t>4.3.6.5植被现状调查</w:t>
      </w:r>
    </w:p>
    <w:p w14:paraId="2EDA600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根据现场踏勘及查阅资料，项目场地未发现有国家和地方重点保护的植物种类和珍稀物种，无国家公园、自然保护区、自然公园等自然保护地、世界自然遗产、生态保护红线等区域，无重要物种的天然集中分布区、栖息地，迁徙鸟类的重要繁殖地、停歇地、 越冬地以及野生动物迁徙通道等，未发现受影响的重要物种、生态敏感区以及其他需要保护的物种、种群、生物群落及生态空间等生态保护目标。</w:t>
      </w:r>
    </w:p>
    <w:p w14:paraId="4D13CC34">
      <w:pPr>
        <w:spacing w:line="360" w:lineRule="auto"/>
        <w:ind w:firstLine="480"/>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回填复垦区内植被：主要为生长一些杂草，主要为狗尾巴草、猪尾巴草、星星草等杂草。</w:t>
      </w:r>
    </w:p>
    <w:p w14:paraId="02EE08C5">
      <w:pPr>
        <w:spacing w:line="360" w:lineRule="auto"/>
        <w:ind w:firstLine="480"/>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回填复垦区外植被：</w:t>
      </w:r>
      <w:r>
        <w:rPr>
          <w:rFonts w:hint="eastAsia" w:asciiTheme="minorEastAsia" w:hAnsiTheme="minorEastAsia" w:eastAsiaTheme="minorEastAsia" w:cstheme="minorEastAsia"/>
          <w:color w:val="auto"/>
          <w:sz w:val="24"/>
          <w:szCs w:val="24"/>
          <w:highlight w:val="none"/>
        </w:rPr>
        <w:t>主要为</w:t>
      </w:r>
      <w:r>
        <w:rPr>
          <w:rFonts w:hint="eastAsia" w:asciiTheme="minorEastAsia" w:hAnsiTheme="minorEastAsia" w:eastAsiaTheme="minorEastAsia" w:cstheme="minorEastAsia"/>
          <w:color w:val="auto"/>
          <w:sz w:val="24"/>
          <w:szCs w:val="24"/>
          <w:highlight w:val="none"/>
          <w:lang w:val="en-US" w:eastAsia="zh-CN"/>
        </w:rPr>
        <w:t>栽培植被（</w:t>
      </w:r>
      <w:r>
        <w:rPr>
          <w:rFonts w:hint="eastAsia" w:asciiTheme="minorEastAsia" w:hAnsiTheme="minorEastAsia" w:eastAsiaTheme="minorEastAsia" w:cstheme="minorEastAsia"/>
          <w:color w:val="auto"/>
          <w:sz w:val="24"/>
          <w:szCs w:val="24"/>
          <w:highlight w:val="none"/>
        </w:rPr>
        <w:t>玉米、大豆）和</w:t>
      </w:r>
      <w:r>
        <w:rPr>
          <w:rFonts w:hint="eastAsia" w:asciiTheme="minorEastAsia" w:hAnsiTheme="minorEastAsia" w:eastAsiaTheme="minorEastAsia" w:cstheme="minorEastAsia"/>
          <w:color w:val="auto"/>
          <w:sz w:val="24"/>
          <w:szCs w:val="24"/>
          <w:highlight w:val="none"/>
          <w:lang w:val="en-US" w:eastAsia="zh-CN"/>
        </w:rPr>
        <w:t>针叶林、阔叶林（</w:t>
      </w:r>
      <w:r>
        <w:rPr>
          <w:rFonts w:hint="eastAsia" w:asciiTheme="minorEastAsia" w:hAnsiTheme="minorEastAsia" w:eastAsiaTheme="minorEastAsia" w:cstheme="minorEastAsia"/>
          <w:color w:val="auto"/>
          <w:sz w:val="24"/>
          <w:szCs w:val="24"/>
          <w:highlight w:val="none"/>
        </w:rPr>
        <w:t>人工种植的杨树、榆树</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樟子松</w:t>
      </w:r>
      <w:r>
        <w:rPr>
          <w:rFonts w:hint="eastAsia" w:asciiTheme="minorEastAsia" w:hAnsiTheme="minorEastAsia" w:eastAsiaTheme="minorEastAsia" w:cstheme="minorEastAsia"/>
          <w:color w:val="auto"/>
          <w:sz w:val="24"/>
          <w:szCs w:val="24"/>
          <w:highlight w:val="none"/>
        </w:rPr>
        <w:t>等植被</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 w:val="24"/>
          <w:szCs w:val="24"/>
          <w:highlight w:val="none"/>
        </w:rPr>
        <w:t>，自然植被较少，植物种类较为单一</w:t>
      </w:r>
      <w:r>
        <w:rPr>
          <w:rFonts w:hint="eastAsia" w:asciiTheme="minorEastAsia" w:hAnsiTheme="minorEastAsia" w:eastAsiaTheme="minorEastAsia" w:cstheme="minorEastAsia"/>
          <w:color w:val="auto"/>
          <w:sz w:val="24"/>
          <w:szCs w:val="24"/>
          <w:highlight w:val="none"/>
          <w:lang w:eastAsia="zh-CN"/>
        </w:rPr>
        <w:t>。</w:t>
      </w:r>
    </w:p>
    <w:p w14:paraId="7AA57071">
      <w:pPr>
        <w:bidi w:val="0"/>
        <w:jc w:val="center"/>
        <w:rPr>
          <w:rFonts w:hint="eastAsia" w:asciiTheme="minorEastAsia" w:hAnsiTheme="minorEastAsia" w:eastAsiaTheme="minorEastAsia" w:cstheme="minorEastAsia"/>
          <w:color w:val="auto"/>
          <w:highlight w:val="none"/>
          <w:lang w:val="zh-CN" w:eastAsia="zh-CN"/>
        </w:rPr>
      </w:pPr>
      <w:r>
        <w:rPr>
          <w:color w:val="auto"/>
          <w:highlight w:val="none"/>
        </w:rPr>
        <w:drawing>
          <wp:inline distT="0" distB="0" distL="114300" distR="114300">
            <wp:extent cx="5562600" cy="3350260"/>
            <wp:effectExtent l="0" t="0" r="0" b="254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54"/>
                    <a:stretch>
                      <a:fillRect/>
                    </a:stretch>
                  </pic:blipFill>
                  <pic:spPr>
                    <a:xfrm>
                      <a:off x="0" y="0"/>
                      <a:ext cx="5562600" cy="3350260"/>
                    </a:xfrm>
                    <a:prstGeom prst="rect">
                      <a:avLst/>
                    </a:prstGeom>
                    <a:noFill/>
                    <a:ln>
                      <a:noFill/>
                    </a:ln>
                  </pic:spPr>
                </pic:pic>
              </a:graphicData>
            </a:graphic>
          </wp:inline>
        </w:drawing>
      </w:r>
    </w:p>
    <w:p w14:paraId="4AC35FC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highlight w:val="none"/>
          <w:lang w:val="en-US" w:eastAsia="zh-CN"/>
        </w:rPr>
        <w:t>图4.3-6  植被类型分布图</w:t>
      </w:r>
    </w:p>
    <w:p w14:paraId="44350CCD">
      <w:pPr>
        <w:pStyle w:val="8"/>
        <w:numPr>
          <w:ilvl w:val="0"/>
          <w:numId w:val="0"/>
        </w:numPr>
        <w:bidi w:val="0"/>
        <w:ind w:leftChars="0"/>
        <w:rPr>
          <w:rFonts w:hint="default" w:asciiTheme="minorEastAsia" w:hAnsiTheme="minorEastAsia" w:eastAsiaTheme="minorEastAsia" w:cstheme="minorEastAsia"/>
          <w:color w:val="auto"/>
          <w:spacing w:val="1"/>
          <w:szCs w:val="24"/>
          <w:highlight w:val="none"/>
          <w:lang w:val="en-US"/>
        </w:rPr>
      </w:pPr>
      <w:r>
        <w:rPr>
          <w:rFonts w:hint="eastAsia" w:asciiTheme="minorEastAsia" w:hAnsiTheme="minorEastAsia" w:eastAsiaTheme="minorEastAsia" w:cstheme="minorEastAsia"/>
          <w:color w:val="auto"/>
          <w:highlight w:val="none"/>
          <w:lang w:val="en-US" w:eastAsia="zh-CN"/>
        </w:rPr>
        <w:t>4.3.6.6野生动物</w:t>
      </w:r>
    </w:p>
    <w:p w14:paraId="6B90DBD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项目地处农村区域，</w:t>
      </w:r>
      <w:r>
        <w:rPr>
          <w:rFonts w:hint="eastAsia" w:asciiTheme="minorEastAsia" w:hAnsiTheme="minorEastAsia" w:eastAsiaTheme="minorEastAsia" w:cstheme="minorEastAsia"/>
          <w:color w:val="auto"/>
          <w:highlight w:val="none"/>
        </w:rPr>
        <w:t>根据现场调查，项目评价范围内主要为</w:t>
      </w:r>
      <w:r>
        <w:rPr>
          <w:rFonts w:hint="eastAsia" w:asciiTheme="minorEastAsia" w:hAnsiTheme="minorEastAsia" w:eastAsiaTheme="minorEastAsia" w:cstheme="minorEastAsia"/>
          <w:color w:val="auto"/>
          <w:highlight w:val="none"/>
          <w:lang w:val="en-US" w:eastAsia="zh-CN"/>
        </w:rPr>
        <w:t>乔木林、</w:t>
      </w:r>
      <w:r>
        <w:rPr>
          <w:rFonts w:hint="eastAsia" w:asciiTheme="minorEastAsia" w:hAnsiTheme="minorEastAsia" w:eastAsiaTheme="minorEastAsia" w:cstheme="minorEastAsia"/>
          <w:color w:val="auto"/>
          <w:highlight w:val="none"/>
        </w:rPr>
        <w:t>低矮灌木丛、杂草区和农林业种植区，受人类活动的长期影响，经常出没的动物主要有常见</w:t>
      </w:r>
      <w:r>
        <w:rPr>
          <w:rFonts w:hint="eastAsia" w:asciiTheme="minorEastAsia" w:hAnsiTheme="minorEastAsia" w:eastAsiaTheme="minorEastAsia" w:cstheme="minorEastAsia"/>
          <w:color w:val="auto"/>
          <w:highlight w:val="none"/>
          <w:lang w:val="en-US" w:eastAsia="zh-CN"/>
        </w:rPr>
        <w:t>的有</w:t>
      </w:r>
      <w:r>
        <w:rPr>
          <w:rFonts w:hint="eastAsia" w:asciiTheme="minorEastAsia" w:hAnsiTheme="minorEastAsia" w:eastAsiaTheme="minorEastAsia" w:cstheme="minorEastAsia"/>
          <w:color w:val="auto"/>
          <w:highlight w:val="none"/>
        </w:rPr>
        <w:t>家燕、麻雀、蟾蜍、蚂蚁、蜘蛛、蚯蚓</w:t>
      </w:r>
      <w:r>
        <w:rPr>
          <w:rFonts w:hint="eastAsia" w:asciiTheme="minorEastAsia" w:hAnsiTheme="minorEastAsia" w:eastAsiaTheme="minorEastAsia" w:cstheme="minorEastAsia"/>
          <w:color w:val="auto"/>
          <w:highlight w:val="none"/>
          <w:lang w:val="en-US" w:eastAsia="zh-CN"/>
        </w:rPr>
        <w:t>等</w:t>
      </w:r>
      <w:r>
        <w:rPr>
          <w:rFonts w:hint="eastAsia" w:asciiTheme="minorEastAsia" w:hAnsiTheme="minorEastAsia" w:eastAsiaTheme="minorEastAsia" w:cstheme="minorEastAsia"/>
          <w:color w:val="auto"/>
          <w:highlight w:val="none"/>
        </w:rPr>
        <w:t>。项目评价区域野生动物数量较少，且未发现需要特别保护的珍稀野生动物。</w:t>
      </w:r>
    </w:p>
    <w:bookmarkEnd w:id="555"/>
    <w:bookmarkEnd w:id="562"/>
    <w:bookmarkEnd w:id="563"/>
    <w:bookmarkEnd w:id="564"/>
    <w:bookmarkEnd w:id="565"/>
    <w:bookmarkEnd w:id="566"/>
    <w:bookmarkEnd w:id="567"/>
    <w:bookmarkEnd w:id="568"/>
    <w:bookmarkEnd w:id="569"/>
    <w:bookmarkEnd w:id="570"/>
    <w:bookmarkEnd w:id="571"/>
    <w:bookmarkEnd w:id="572"/>
    <w:bookmarkEnd w:id="573"/>
    <w:bookmarkEnd w:id="574"/>
    <w:p w14:paraId="19FC94A4">
      <w:pPr>
        <w:pStyle w:val="8"/>
        <w:numPr>
          <w:ilvl w:val="0"/>
          <w:numId w:val="0"/>
        </w:numPr>
        <w:bidi w:val="0"/>
        <w:ind w:leftChars="0"/>
        <w:rPr>
          <w:rFonts w:hint="default" w:asciiTheme="minorEastAsia" w:hAnsiTheme="minorEastAsia" w:eastAsiaTheme="minorEastAsia" w:cstheme="minorEastAsia"/>
          <w:color w:val="auto"/>
          <w:spacing w:val="1"/>
          <w:szCs w:val="24"/>
          <w:highlight w:val="none"/>
          <w:lang w:val="en-US"/>
        </w:rPr>
      </w:pPr>
      <w:r>
        <w:rPr>
          <w:rFonts w:hint="eastAsia" w:asciiTheme="minorEastAsia" w:hAnsiTheme="minorEastAsia" w:eastAsiaTheme="minorEastAsia" w:cstheme="minorEastAsia"/>
          <w:color w:val="auto"/>
          <w:highlight w:val="none"/>
          <w:lang w:val="en-US" w:eastAsia="zh-CN"/>
        </w:rPr>
        <w:t>4.3.6.7水土流失现状</w:t>
      </w:r>
    </w:p>
    <w:p w14:paraId="5FA6062B">
      <w:pPr>
        <w:widowControl w:val="0"/>
        <w:snapToGrid w:val="0"/>
        <w:spacing w:line="360" w:lineRule="auto"/>
        <w:ind w:firstLine="480" w:firstLineChars="200"/>
        <w:jc w:val="both"/>
        <w:rPr>
          <w:rFonts w:hint="eastAsia" w:asciiTheme="minorEastAsia" w:hAnsiTheme="minorEastAsia" w:eastAsiaTheme="minorEastAsia" w:cstheme="minorEastAsia"/>
          <w:color w:val="auto"/>
          <w:szCs w:val="24"/>
          <w:highlight w:val="none"/>
          <w:lang w:bidi="ar"/>
        </w:rPr>
      </w:pPr>
      <w:r>
        <w:rPr>
          <w:rFonts w:hint="eastAsia" w:asciiTheme="minorEastAsia" w:hAnsiTheme="minorEastAsia" w:eastAsiaTheme="minorEastAsia" w:cstheme="minorEastAsia"/>
          <w:color w:val="auto"/>
          <w:szCs w:val="24"/>
          <w:highlight w:val="none"/>
          <w:lang w:val="en-US" w:eastAsia="zh-CN" w:bidi="ar"/>
        </w:rPr>
        <w:t>对照</w:t>
      </w:r>
      <w:r>
        <w:rPr>
          <w:rFonts w:hint="eastAsia" w:asciiTheme="minorEastAsia" w:hAnsiTheme="minorEastAsia" w:eastAsiaTheme="minorEastAsia" w:cstheme="minorEastAsia"/>
          <w:color w:val="auto"/>
          <w:szCs w:val="24"/>
          <w:highlight w:val="none"/>
          <w:lang w:bidi="ar"/>
        </w:rPr>
        <w:t>《黑龙江省水土保持规划（2015—2030年）》，本项目所属的</w:t>
      </w:r>
      <w:r>
        <w:rPr>
          <w:rFonts w:hint="eastAsia" w:asciiTheme="minorEastAsia" w:hAnsiTheme="minorEastAsia" w:eastAsiaTheme="minorEastAsia" w:cstheme="minorEastAsia"/>
          <w:color w:val="auto"/>
          <w:szCs w:val="24"/>
          <w:highlight w:val="none"/>
          <w:lang w:val="en-US" w:eastAsia="zh-CN" w:bidi="ar"/>
        </w:rPr>
        <w:t>尚志市</w:t>
      </w:r>
      <w:r>
        <w:rPr>
          <w:rFonts w:hint="eastAsia" w:asciiTheme="minorEastAsia" w:hAnsiTheme="minorEastAsia" w:eastAsiaTheme="minorEastAsia" w:cstheme="minorEastAsia"/>
          <w:color w:val="auto"/>
          <w:szCs w:val="24"/>
          <w:highlight w:val="none"/>
          <w:lang w:bidi="ar"/>
        </w:rPr>
        <w:t>属于</w:t>
      </w:r>
      <w:r>
        <w:rPr>
          <w:rFonts w:hint="eastAsia" w:asciiTheme="minorEastAsia" w:hAnsiTheme="minorEastAsia" w:eastAsiaTheme="minorEastAsia" w:cstheme="minorEastAsia"/>
          <w:color w:val="auto"/>
          <w:szCs w:val="24"/>
          <w:highlight w:val="none"/>
          <w:lang w:val="en-US" w:eastAsia="zh-CN" w:bidi="ar"/>
        </w:rPr>
        <w:t>国家区划中的</w:t>
      </w:r>
      <w:r>
        <w:rPr>
          <w:rFonts w:hint="eastAsia" w:asciiTheme="minorEastAsia" w:hAnsiTheme="minorEastAsia" w:eastAsiaTheme="minorEastAsia" w:cstheme="minorEastAsia"/>
          <w:color w:val="auto"/>
          <w:szCs w:val="24"/>
          <w:highlight w:val="none"/>
          <w:lang w:bidi="ar"/>
        </w:rPr>
        <w:t>I-</w:t>
      </w:r>
      <w:r>
        <w:rPr>
          <w:rFonts w:hint="eastAsia" w:asciiTheme="minorEastAsia" w:hAnsiTheme="minorEastAsia" w:eastAsiaTheme="minorEastAsia" w:cstheme="minorEastAsia"/>
          <w:color w:val="auto"/>
          <w:szCs w:val="24"/>
          <w:highlight w:val="none"/>
          <w:lang w:val="en-US" w:eastAsia="zh-CN" w:bidi="ar"/>
        </w:rPr>
        <w:t>2</w:t>
      </w:r>
      <w:r>
        <w:rPr>
          <w:rFonts w:hint="eastAsia" w:asciiTheme="minorEastAsia" w:hAnsiTheme="minorEastAsia" w:eastAsiaTheme="minorEastAsia" w:cstheme="minorEastAsia"/>
          <w:color w:val="auto"/>
          <w:szCs w:val="24"/>
          <w:highlight w:val="none"/>
          <w:lang w:bidi="ar"/>
        </w:rPr>
        <w:t>-</w:t>
      </w:r>
      <w:r>
        <w:rPr>
          <w:rFonts w:hint="eastAsia" w:asciiTheme="minorEastAsia" w:hAnsiTheme="minorEastAsia" w:eastAsiaTheme="minorEastAsia" w:cstheme="minorEastAsia"/>
          <w:color w:val="auto"/>
          <w:szCs w:val="24"/>
          <w:highlight w:val="none"/>
          <w:lang w:val="en-US" w:eastAsia="zh-CN" w:bidi="ar"/>
        </w:rPr>
        <w:t>3s</w:t>
      </w:r>
      <w:r>
        <w:rPr>
          <w:rFonts w:hint="eastAsia" w:asciiTheme="minorEastAsia" w:hAnsiTheme="minorEastAsia" w:eastAsiaTheme="minorEastAsia" w:cstheme="minorEastAsia"/>
          <w:color w:val="auto"/>
          <w:szCs w:val="24"/>
          <w:highlight w:val="none"/>
          <w:lang w:bidi="ar"/>
        </w:rPr>
        <w:t>t</w:t>
      </w:r>
      <w:r>
        <w:rPr>
          <w:rFonts w:hint="eastAsia" w:asciiTheme="minorEastAsia" w:hAnsiTheme="minorEastAsia" w:eastAsiaTheme="minorEastAsia" w:cstheme="minorEastAsia"/>
          <w:color w:val="auto"/>
          <w:szCs w:val="24"/>
          <w:highlight w:val="none"/>
          <w:lang w:val="en-US" w:eastAsia="zh-CN" w:bidi="ar"/>
        </w:rPr>
        <w:t>长白山山地丘陵水质维护保土区</w:t>
      </w:r>
      <w:r>
        <w:rPr>
          <w:rFonts w:hint="eastAsia" w:asciiTheme="minorEastAsia" w:hAnsiTheme="minorEastAsia" w:eastAsiaTheme="minorEastAsia" w:cstheme="minorEastAsia"/>
          <w:color w:val="auto"/>
          <w:szCs w:val="24"/>
          <w:highlight w:val="none"/>
          <w:lang w:bidi="ar"/>
        </w:rPr>
        <w:t>，省级区划</w:t>
      </w:r>
      <w:r>
        <w:rPr>
          <w:rFonts w:hint="eastAsia" w:asciiTheme="minorEastAsia" w:hAnsiTheme="minorEastAsia" w:eastAsiaTheme="minorEastAsia" w:cstheme="minorEastAsia"/>
          <w:color w:val="auto"/>
          <w:szCs w:val="24"/>
          <w:highlight w:val="none"/>
          <w:lang w:val="en-US" w:eastAsia="zh-CN" w:bidi="ar"/>
        </w:rPr>
        <w:t>中的东南部山地丘陵水质维护保土区</w:t>
      </w:r>
      <w:r>
        <w:rPr>
          <w:rFonts w:hint="eastAsia" w:asciiTheme="minorEastAsia" w:hAnsiTheme="minorEastAsia" w:eastAsiaTheme="minorEastAsia" w:cstheme="minorEastAsia"/>
          <w:color w:val="auto"/>
          <w:szCs w:val="24"/>
          <w:highlight w:val="none"/>
          <w:lang w:bidi="ar"/>
        </w:rPr>
        <w:t>。</w:t>
      </w:r>
    </w:p>
    <w:p w14:paraId="59001120">
      <w:pPr>
        <w:widowControl w:val="0"/>
        <w:adjustRightInd w:val="0"/>
        <w:snapToGrid w:val="0"/>
        <w:spacing w:line="360" w:lineRule="auto"/>
        <w:ind w:firstLine="480"/>
        <w:jc w:val="both"/>
        <w:rPr>
          <w:rFonts w:hint="eastAsia" w:asciiTheme="minorEastAsia" w:hAnsiTheme="minorEastAsia" w:eastAsiaTheme="minorEastAsia" w:cstheme="minorEastAsia"/>
          <w:color w:val="auto"/>
          <w:szCs w:val="24"/>
          <w:highlight w:val="none"/>
          <w:lang w:val="en-US" w:eastAsia="zh-CN" w:bidi="ar"/>
        </w:rPr>
      </w:pPr>
      <w:r>
        <w:rPr>
          <w:rFonts w:hint="eastAsia" w:asciiTheme="minorEastAsia" w:hAnsiTheme="minorEastAsia" w:eastAsiaTheme="minorEastAsia" w:cstheme="minorEastAsia"/>
          <w:color w:val="auto"/>
          <w:szCs w:val="24"/>
          <w:highlight w:val="none"/>
          <w:lang w:val="en-US" w:eastAsia="zh-CN" w:bidi="ar"/>
        </w:rPr>
        <w:t>本区包括五常市、尚志市、佳木斯市、双鸭山市和依兰县等</w:t>
      </w:r>
      <w:r>
        <w:rPr>
          <w:rFonts w:hint="default" w:asciiTheme="minorEastAsia" w:hAnsiTheme="minorEastAsia" w:eastAsiaTheme="minorEastAsia" w:cstheme="minorEastAsia"/>
          <w:color w:val="auto"/>
          <w:szCs w:val="24"/>
          <w:highlight w:val="none"/>
          <w:lang w:val="en-US" w:eastAsia="zh-CN" w:bidi="ar"/>
        </w:rPr>
        <w:t>14</w:t>
      </w:r>
      <w:r>
        <w:rPr>
          <w:rFonts w:hint="eastAsia" w:asciiTheme="minorEastAsia" w:hAnsiTheme="minorEastAsia" w:eastAsiaTheme="minorEastAsia" w:cstheme="minorEastAsia"/>
          <w:color w:val="auto"/>
          <w:szCs w:val="24"/>
          <w:highlight w:val="none"/>
          <w:lang w:val="en-US" w:eastAsia="zh-CN" w:bidi="ar"/>
        </w:rPr>
        <w:t>市（县），区域总面积</w:t>
      </w:r>
      <w:r>
        <w:rPr>
          <w:rFonts w:hint="default" w:asciiTheme="minorEastAsia" w:hAnsiTheme="minorEastAsia" w:eastAsiaTheme="minorEastAsia" w:cstheme="minorEastAsia"/>
          <w:color w:val="auto"/>
          <w:szCs w:val="24"/>
          <w:highlight w:val="none"/>
          <w:lang w:val="en-US" w:eastAsia="zh-CN" w:bidi="ar"/>
        </w:rPr>
        <w:t>34448.13km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eastAsia" w:asciiTheme="minorEastAsia" w:hAnsiTheme="minorEastAsia" w:eastAsiaTheme="minorEastAsia" w:cstheme="minorEastAsia"/>
          <w:color w:val="auto"/>
          <w:szCs w:val="24"/>
          <w:highlight w:val="none"/>
          <w:lang w:val="en-US" w:eastAsia="zh-CN" w:bidi="ar"/>
        </w:rPr>
        <w:t>，其中耕地面积</w:t>
      </w:r>
      <w:r>
        <w:rPr>
          <w:rFonts w:hint="default" w:asciiTheme="minorEastAsia" w:hAnsiTheme="minorEastAsia" w:eastAsiaTheme="minorEastAsia" w:cstheme="minorEastAsia"/>
          <w:color w:val="auto"/>
          <w:szCs w:val="24"/>
          <w:highlight w:val="none"/>
          <w:lang w:val="en-US" w:eastAsia="zh-CN" w:bidi="ar"/>
        </w:rPr>
        <w:t>12769.65km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eastAsia" w:asciiTheme="minorEastAsia" w:hAnsiTheme="minorEastAsia" w:eastAsiaTheme="minorEastAsia" w:cstheme="minorEastAsia"/>
          <w:color w:val="auto"/>
          <w:szCs w:val="24"/>
          <w:highlight w:val="none"/>
          <w:lang w:val="en-US" w:eastAsia="zh-CN" w:bidi="ar"/>
        </w:rPr>
        <w:t>，林地面积</w:t>
      </w:r>
      <w:r>
        <w:rPr>
          <w:rFonts w:hint="default" w:asciiTheme="minorEastAsia" w:hAnsiTheme="minorEastAsia" w:eastAsiaTheme="minorEastAsia" w:cstheme="minorEastAsia"/>
          <w:color w:val="auto"/>
          <w:szCs w:val="24"/>
          <w:highlight w:val="none"/>
          <w:lang w:val="en-US" w:eastAsia="zh-CN" w:bidi="ar"/>
        </w:rPr>
        <w:t>17901.09km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eastAsia" w:asciiTheme="minorEastAsia" w:hAnsiTheme="minorEastAsia" w:eastAsiaTheme="minorEastAsia" w:cstheme="minorEastAsia"/>
          <w:color w:val="auto"/>
          <w:szCs w:val="24"/>
          <w:highlight w:val="none"/>
          <w:lang w:val="en-US" w:eastAsia="zh-CN" w:bidi="ar"/>
        </w:rPr>
        <w:t>。区域总人口</w:t>
      </w:r>
      <w:r>
        <w:rPr>
          <w:rFonts w:hint="default" w:asciiTheme="minorEastAsia" w:hAnsiTheme="minorEastAsia" w:eastAsiaTheme="minorEastAsia" w:cstheme="minorEastAsia"/>
          <w:color w:val="auto"/>
          <w:szCs w:val="24"/>
          <w:highlight w:val="none"/>
          <w:lang w:val="en-US" w:eastAsia="zh-CN" w:bidi="ar"/>
        </w:rPr>
        <w:t>432.78</w:t>
      </w:r>
      <w:r>
        <w:rPr>
          <w:rFonts w:hint="eastAsia" w:asciiTheme="minorEastAsia" w:hAnsiTheme="minorEastAsia" w:eastAsiaTheme="minorEastAsia" w:cstheme="minorEastAsia"/>
          <w:color w:val="auto"/>
          <w:szCs w:val="24"/>
          <w:highlight w:val="none"/>
          <w:lang w:val="en-US" w:eastAsia="zh-CN" w:bidi="ar"/>
        </w:rPr>
        <w:t>万人，人均耕地</w:t>
      </w:r>
      <w:r>
        <w:rPr>
          <w:rFonts w:hint="default" w:asciiTheme="minorEastAsia" w:hAnsiTheme="minorEastAsia" w:eastAsiaTheme="minorEastAsia" w:cstheme="minorEastAsia"/>
          <w:color w:val="auto"/>
          <w:szCs w:val="24"/>
          <w:highlight w:val="none"/>
          <w:lang w:val="en-US" w:eastAsia="zh-CN" w:bidi="ar"/>
        </w:rPr>
        <w:t>0.30hm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eastAsia" w:asciiTheme="minorEastAsia" w:hAnsiTheme="minorEastAsia" w:eastAsiaTheme="minorEastAsia" w:cstheme="minorEastAsia"/>
          <w:color w:val="auto"/>
          <w:szCs w:val="24"/>
          <w:highlight w:val="none"/>
          <w:lang w:val="en-US" w:eastAsia="zh-CN" w:bidi="ar"/>
        </w:rPr>
        <w:t xml:space="preserve">，农村各业生产总值 </w:t>
      </w:r>
      <w:r>
        <w:rPr>
          <w:rFonts w:hint="default" w:asciiTheme="minorEastAsia" w:hAnsiTheme="minorEastAsia" w:eastAsiaTheme="minorEastAsia" w:cstheme="minorEastAsia"/>
          <w:color w:val="auto"/>
          <w:szCs w:val="24"/>
          <w:highlight w:val="none"/>
          <w:lang w:val="en-US" w:eastAsia="zh-CN" w:bidi="ar"/>
        </w:rPr>
        <w:t xml:space="preserve">582.73 </w:t>
      </w:r>
      <w:r>
        <w:rPr>
          <w:rFonts w:hint="eastAsia" w:asciiTheme="minorEastAsia" w:hAnsiTheme="minorEastAsia" w:eastAsiaTheme="minorEastAsia" w:cstheme="minorEastAsia"/>
          <w:color w:val="auto"/>
          <w:szCs w:val="24"/>
          <w:highlight w:val="none"/>
          <w:lang w:val="en-US" w:eastAsia="zh-CN" w:bidi="ar"/>
        </w:rPr>
        <w:t xml:space="preserve">亿元。本区水土流失类型为水力侵蚀，水土流失面积 </w:t>
      </w:r>
      <w:r>
        <w:rPr>
          <w:rFonts w:hint="default" w:asciiTheme="minorEastAsia" w:hAnsiTheme="minorEastAsia" w:eastAsiaTheme="minorEastAsia" w:cstheme="minorEastAsia"/>
          <w:color w:val="auto"/>
          <w:szCs w:val="24"/>
          <w:highlight w:val="none"/>
          <w:lang w:val="en-US" w:eastAsia="zh-CN" w:bidi="ar"/>
        </w:rPr>
        <w:t>8832.82 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 xml:space="preserve">，占区域总面积的 </w:t>
      </w:r>
      <w:r>
        <w:rPr>
          <w:rFonts w:hint="default" w:asciiTheme="minorEastAsia" w:hAnsiTheme="minorEastAsia" w:eastAsiaTheme="minorEastAsia" w:cstheme="minorEastAsia"/>
          <w:color w:val="auto"/>
          <w:szCs w:val="24"/>
          <w:highlight w:val="none"/>
          <w:lang w:val="en-US" w:eastAsia="zh-CN" w:bidi="ar"/>
        </w:rPr>
        <w:t>25.64 %</w:t>
      </w:r>
      <w:r>
        <w:rPr>
          <w:rFonts w:hint="eastAsia" w:asciiTheme="minorEastAsia" w:hAnsiTheme="minorEastAsia" w:eastAsiaTheme="minorEastAsia" w:cstheme="minorEastAsia"/>
          <w:color w:val="auto"/>
          <w:szCs w:val="24"/>
          <w:highlight w:val="none"/>
          <w:lang w:val="en-US" w:eastAsia="zh-CN" w:bidi="ar"/>
        </w:rPr>
        <w:t xml:space="preserve">，其中轻度侵蚀 </w:t>
      </w:r>
      <w:r>
        <w:rPr>
          <w:rFonts w:hint="default" w:asciiTheme="minorEastAsia" w:hAnsiTheme="minorEastAsia" w:eastAsiaTheme="minorEastAsia" w:cstheme="minorEastAsia"/>
          <w:color w:val="auto"/>
          <w:szCs w:val="24"/>
          <w:highlight w:val="none"/>
          <w:lang w:val="en-US" w:eastAsia="zh-CN" w:bidi="ar"/>
        </w:rPr>
        <w:t>3452.42 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 xml:space="preserve">，中度侵蚀 </w:t>
      </w:r>
      <w:r>
        <w:rPr>
          <w:rFonts w:hint="default" w:asciiTheme="minorEastAsia" w:hAnsiTheme="minorEastAsia" w:eastAsiaTheme="minorEastAsia" w:cstheme="minorEastAsia"/>
          <w:color w:val="auto"/>
          <w:szCs w:val="24"/>
          <w:highlight w:val="none"/>
          <w:lang w:val="en-US" w:eastAsia="zh-CN" w:bidi="ar"/>
        </w:rPr>
        <w:t>2669.66 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，强烈侵蚀</w:t>
      </w:r>
      <w:r>
        <w:rPr>
          <w:rFonts w:hint="default" w:asciiTheme="minorEastAsia" w:hAnsiTheme="minorEastAsia" w:eastAsiaTheme="minorEastAsia" w:cstheme="minorEastAsia"/>
          <w:color w:val="auto"/>
          <w:szCs w:val="24"/>
          <w:highlight w:val="none"/>
          <w:lang w:val="en-US" w:eastAsia="zh-CN" w:bidi="ar"/>
        </w:rPr>
        <w:t>1532.68 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 xml:space="preserve">，极强烈侵蚀 </w:t>
      </w:r>
      <w:r>
        <w:rPr>
          <w:rFonts w:hint="default" w:asciiTheme="minorEastAsia" w:hAnsiTheme="minorEastAsia" w:eastAsiaTheme="minorEastAsia" w:cstheme="minorEastAsia"/>
          <w:color w:val="auto"/>
          <w:szCs w:val="24"/>
          <w:highlight w:val="none"/>
          <w:lang w:val="en-US" w:eastAsia="zh-CN" w:bidi="ar"/>
        </w:rPr>
        <w:t>859.85 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 xml:space="preserve">，剧烈侵蚀 </w:t>
      </w:r>
      <w:r>
        <w:rPr>
          <w:rFonts w:hint="default" w:asciiTheme="minorEastAsia" w:hAnsiTheme="minorEastAsia" w:eastAsiaTheme="minorEastAsia" w:cstheme="minorEastAsia"/>
          <w:color w:val="auto"/>
          <w:szCs w:val="24"/>
          <w:highlight w:val="none"/>
          <w:lang w:val="en-US" w:eastAsia="zh-CN" w:bidi="ar"/>
        </w:rPr>
        <w:t>318.21 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 xml:space="preserve">。现有侵蚀沟 </w:t>
      </w:r>
      <w:r>
        <w:rPr>
          <w:rFonts w:hint="default" w:asciiTheme="minorEastAsia" w:hAnsiTheme="minorEastAsia" w:eastAsiaTheme="minorEastAsia" w:cstheme="minorEastAsia"/>
          <w:color w:val="auto"/>
          <w:szCs w:val="24"/>
          <w:highlight w:val="none"/>
          <w:lang w:val="en-US" w:eastAsia="zh-CN" w:bidi="ar"/>
        </w:rPr>
        <w:t>17018</w:t>
      </w:r>
      <w:r>
        <w:rPr>
          <w:rFonts w:hint="eastAsia" w:asciiTheme="minorEastAsia" w:hAnsiTheme="minorEastAsia" w:eastAsiaTheme="minorEastAsia" w:cstheme="minorEastAsia"/>
          <w:color w:val="auto"/>
          <w:szCs w:val="24"/>
          <w:highlight w:val="none"/>
          <w:lang w:val="en-US" w:eastAsia="zh-CN" w:bidi="ar"/>
        </w:rPr>
        <w:t xml:space="preserve">条，沟道密度 </w:t>
      </w:r>
      <w:r>
        <w:rPr>
          <w:rFonts w:hint="default" w:asciiTheme="minorEastAsia" w:hAnsiTheme="minorEastAsia" w:eastAsiaTheme="minorEastAsia" w:cstheme="minorEastAsia"/>
          <w:color w:val="auto"/>
          <w:szCs w:val="24"/>
          <w:highlight w:val="none"/>
          <w:lang w:val="en-US" w:eastAsia="zh-CN" w:bidi="ar"/>
        </w:rPr>
        <w:t>0.18 km/km</w:t>
      </w:r>
      <w:r>
        <w:rPr>
          <w:rFonts w:hint="default" w:asciiTheme="minorEastAsia" w:hAnsiTheme="minorEastAsia" w:eastAsiaTheme="minorEastAsia" w:cstheme="minorEastAsia"/>
          <w:color w:val="auto"/>
          <w:szCs w:val="24"/>
          <w:highlight w:val="none"/>
          <w:vertAlign w:val="superscript"/>
          <w:lang w:val="en-US" w:eastAsia="zh-CN" w:bidi="ar"/>
        </w:rPr>
        <w:t>2</w:t>
      </w:r>
      <w:r>
        <w:rPr>
          <w:rFonts w:hint="default" w:asciiTheme="minorEastAsia" w:hAnsiTheme="minorEastAsia" w:eastAsiaTheme="minorEastAsia" w:cstheme="minorEastAsia"/>
          <w:color w:val="auto"/>
          <w:szCs w:val="24"/>
          <w:highlight w:val="none"/>
          <w:lang w:val="en-US" w:eastAsia="zh-CN" w:bidi="ar"/>
        </w:rPr>
        <w:t xml:space="preserve"> </w:t>
      </w:r>
      <w:r>
        <w:rPr>
          <w:rFonts w:hint="eastAsia" w:asciiTheme="minorEastAsia" w:hAnsiTheme="minorEastAsia" w:eastAsiaTheme="minorEastAsia" w:cstheme="minorEastAsia"/>
          <w:color w:val="auto"/>
          <w:szCs w:val="24"/>
          <w:highlight w:val="none"/>
          <w:lang w:val="en-US" w:eastAsia="zh-CN" w:bidi="ar"/>
        </w:rPr>
        <w:t xml:space="preserve">。本区大部为张广才岭北麓与小兴安岭相接的低山丘陵区，森林覆盖度高，西南端接松嫩平原北缘，以灌溉农田为主。平均海拔 </w:t>
      </w:r>
      <w:r>
        <w:rPr>
          <w:rFonts w:hint="default" w:asciiTheme="minorEastAsia" w:hAnsiTheme="minorEastAsia" w:eastAsiaTheme="minorEastAsia" w:cstheme="minorEastAsia"/>
          <w:color w:val="auto"/>
          <w:szCs w:val="24"/>
          <w:highlight w:val="none"/>
          <w:lang w:val="en-US" w:eastAsia="zh-CN" w:bidi="ar"/>
        </w:rPr>
        <w:t>190</w:t>
      </w:r>
      <w:r>
        <w:rPr>
          <w:rFonts w:hint="eastAsia" w:asciiTheme="minorEastAsia" w:hAnsiTheme="minorEastAsia" w:eastAsiaTheme="minorEastAsia" w:cstheme="minorEastAsia"/>
          <w:color w:val="auto"/>
          <w:szCs w:val="24"/>
          <w:highlight w:val="none"/>
          <w:lang w:val="en-US" w:eastAsia="zh-CN" w:bidi="ar"/>
        </w:rPr>
        <w:t>～</w:t>
      </w:r>
      <w:r>
        <w:rPr>
          <w:rFonts w:hint="default" w:asciiTheme="minorEastAsia" w:hAnsiTheme="minorEastAsia" w:eastAsiaTheme="minorEastAsia" w:cstheme="minorEastAsia"/>
          <w:color w:val="auto"/>
          <w:szCs w:val="24"/>
          <w:highlight w:val="none"/>
          <w:lang w:val="en-US" w:eastAsia="zh-CN" w:bidi="ar"/>
        </w:rPr>
        <w:t>1696 m</w:t>
      </w:r>
      <w:r>
        <w:rPr>
          <w:rFonts w:hint="eastAsia" w:asciiTheme="minorEastAsia" w:hAnsiTheme="minorEastAsia" w:eastAsiaTheme="minorEastAsia" w:cstheme="minorEastAsia"/>
          <w:color w:val="auto"/>
          <w:szCs w:val="24"/>
          <w:highlight w:val="none"/>
          <w:lang w:val="en-US" w:eastAsia="zh-CN" w:bidi="ar"/>
        </w:rPr>
        <w:t xml:space="preserve">，本区属中温带大陆性季风气候，年降水量 </w:t>
      </w:r>
      <w:r>
        <w:rPr>
          <w:rFonts w:hint="default" w:asciiTheme="minorEastAsia" w:hAnsiTheme="minorEastAsia" w:eastAsiaTheme="minorEastAsia" w:cstheme="minorEastAsia"/>
          <w:color w:val="auto"/>
          <w:szCs w:val="24"/>
          <w:highlight w:val="none"/>
          <w:lang w:val="en-US" w:eastAsia="zh-CN" w:bidi="ar"/>
        </w:rPr>
        <w:t>500</w:t>
      </w:r>
      <w:r>
        <w:rPr>
          <w:rFonts w:hint="eastAsia" w:asciiTheme="minorEastAsia" w:hAnsiTheme="minorEastAsia" w:eastAsiaTheme="minorEastAsia" w:cstheme="minorEastAsia"/>
          <w:color w:val="auto"/>
          <w:szCs w:val="24"/>
          <w:highlight w:val="none"/>
          <w:lang w:val="en-US" w:eastAsia="zh-CN" w:bidi="ar"/>
        </w:rPr>
        <w:t>～</w:t>
      </w:r>
      <w:r>
        <w:rPr>
          <w:rFonts w:hint="default" w:asciiTheme="minorEastAsia" w:hAnsiTheme="minorEastAsia" w:eastAsiaTheme="minorEastAsia" w:cstheme="minorEastAsia"/>
          <w:color w:val="auto"/>
          <w:szCs w:val="24"/>
          <w:highlight w:val="none"/>
          <w:lang w:val="en-US" w:eastAsia="zh-CN" w:bidi="ar"/>
        </w:rPr>
        <w:t>850 mm</w:t>
      </w:r>
      <w:r>
        <w:rPr>
          <w:rFonts w:hint="eastAsia" w:asciiTheme="minorEastAsia" w:hAnsiTheme="minorEastAsia" w:eastAsiaTheme="minorEastAsia" w:cstheme="minorEastAsia"/>
          <w:color w:val="auto"/>
          <w:szCs w:val="24"/>
          <w:highlight w:val="none"/>
          <w:lang w:val="en-US" w:eastAsia="zh-CN" w:bidi="ar"/>
        </w:rPr>
        <w:t>。主要土壤有暗棕壤、黑钙土、白浆土、草甸土等。主要河流有松花江、牡丹江、拉林河、蚂蚁河和牤牛河等。植被以温带针阔混交林为主。佳木斯市是国家商品粮基地和农业综合开发试验区、也是风能资源富集区，双鸭山市是煤碳资源型城市，依兰县是重要的煤化工基地和历史文化名城，五常市是著名水稻主产区，拉林河上游磨盘山水库是哈尔滨市水源地。本区水土保持主导基础功能为水质维护、水源涵养、农田防护、拦沙减沙；社会经济功能为农业林业生产、粮食生产、水源地保护、土地生产力保护、饮水安全保护。</w:t>
      </w:r>
    </w:p>
    <w:p w14:paraId="1587235F">
      <w:pPr>
        <w:widowControl w:val="0"/>
        <w:adjustRightInd w:val="0"/>
        <w:snapToGrid w:val="0"/>
        <w:spacing w:line="360" w:lineRule="auto"/>
        <w:ind w:firstLine="480"/>
        <w:jc w:val="both"/>
        <w:rPr>
          <w:rFonts w:hint="default" w:asciiTheme="minorEastAsia" w:hAnsiTheme="minorEastAsia" w:eastAsiaTheme="minorEastAsia" w:cstheme="minorEastAsia"/>
          <w:color w:val="auto"/>
          <w:szCs w:val="24"/>
          <w:highlight w:val="none"/>
          <w:lang w:val="en-US" w:eastAsia="zh-CN" w:bidi="ar"/>
        </w:rPr>
      </w:pPr>
      <w:r>
        <w:rPr>
          <w:rFonts w:hint="eastAsia" w:asciiTheme="minorEastAsia" w:hAnsiTheme="minorEastAsia" w:eastAsiaTheme="minorEastAsia" w:cstheme="minorEastAsia"/>
          <w:color w:val="auto"/>
          <w:szCs w:val="24"/>
          <w:highlight w:val="none"/>
          <w:lang w:val="en-US" w:eastAsia="zh-CN" w:bidi="ar"/>
        </w:rPr>
        <w:t>尚志市侵蚀类型属于水力侵蚀，</w:t>
      </w:r>
      <w:r>
        <w:rPr>
          <w:color w:val="auto"/>
          <w:highlight w:val="none"/>
        </w:rPr>
        <w:t>自然因素仍是导致水土流失发生发展的基础和先决条件，项目区降雨量80%集中在6～8月是引起该区产生水力侵蚀的主要原因。而人为因素则对水土流失起着推动和加速作用。</w:t>
      </w:r>
      <w:r>
        <w:rPr>
          <w:rFonts w:hint="eastAsia" w:asciiTheme="minorEastAsia" w:hAnsiTheme="minorEastAsia" w:eastAsiaTheme="minorEastAsia" w:cstheme="minorEastAsia"/>
          <w:color w:val="auto"/>
          <w:sz w:val="24"/>
          <w:szCs w:val="24"/>
          <w:highlight w:val="none"/>
        </w:rPr>
        <w:t>目前</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 w:val="24"/>
          <w:szCs w:val="24"/>
          <w:highlight w:val="none"/>
        </w:rPr>
        <w:t>主要为杂草，</w:t>
      </w:r>
      <w:r>
        <w:rPr>
          <w:rFonts w:hint="eastAsia" w:asciiTheme="minorEastAsia" w:hAnsiTheme="minorEastAsia" w:eastAsiaTheme="minorEastAsia" w:cstheme="minorEastAsia"/>
          <w:color w:val="auto"/>
          <w:sz w:val="24"/>
          <w:szCs w:val="24"/>
          <w:highlight w:val="none"/>
          <w:lang w:val="en-US" w:eastAsia="zh-CN"/>
        </w:rPr>
        <w:t>周边为森林系统、农田系统，水力侵蚀强度为轻度。</w:t>
      </w:r>
    </w:p>
    <w:p w14:paraId="7AF88C3E">
      <w:pPr>
        <w:pStyle w:val="8"/>
        <w:numPr>
          <w:ilvl w:val="0"/>
          <w:numId w:val="0"/>
        </w:numPr>
        <w:bidi w:val="0"/>
        <w:ind w:leftChars="0"/>
        <w:rPr>
          <w:rFonts w:hint="default" w:asciiTheme="minorEastAsia" w:hAnsiTheme="minorEastAsia" w:eastAsiaTheme="minorEastAsia" w:cstheme="minorEastAsia"/>
          <w:color w:val="auto"/>
          <w:spacing w:val="1"/>
          <w:szCs w:val="24"/>
          <w:highlight w:val="none"/>
          <w:lang w:val="en-US"/>
        </w:rPr>
      </w:pPr>
      <w:r>
        <w:rPr>
          <w:rFonts w:hint="eastAsia" w:asciiTheme="minorEastAsia" w:hAnsiTheme="minorEastAsia" w:eastAsiaTheme="minorEastAsia" w:cstheme="minorEastAsia"/>
          <w:color w:val="auto"/>
          <w:highlight w:val="none"/>
          <w:lang w:val="en-US" w:eastAsia="zh-CN"/>
        </w:rPr>
        <w:t>4.3.6.8 主要生态环境问题</w:t>
      </w:r>
    </w:p>
    <w:p w14:paraId="281FFCF4">
      <w:pPr>
        <w:pStyle w:val="22"/>
        <w:widowControl w:val="0"/>
        <w:snapToGrid w:val="0"/>
        <w:spacing w:line="360" w:lineRule="auto"/>
        <w:ind w:firstLine="480" w:firstLineChars="200"/>
        <w:jc w:val="both"/>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项目区域内多以</w:t>
      </w:r>
      <w:r>
        <w:rPr>
          <w:rFonts w:hint="eastAsia" w:asciiTheme="minorEastAsia" w:hAnsiTheme="minorEastAsia" w:eastAsiaTheme="minorEastAsia" w:cstheme="minorEastAsia"/>
          <w:color w:val="auto"/>
          <w:sz w:val="24"/>
          <w:szCs w:val="24"/>
          <w:highlight w:val="none"/>
          <w:lang w:val="en-US" w:eastAsia="zh-CN"/>
        </w:rPr>
        <w:t>森林</w:t>
      </w:r>
      <w:r>
        <w:rPr>
          <w:rFonts w:hint="eastAsia" w:asciiTheme="minorEastAsia" w:hAnsiTheme="minorEastAsia" w:eastAsiaTheme="minorEastAsia" w:cstheme="minorEastAsia"/>
          <w:color w:val="auto"/>
          <w:sz w:val="24"/>
          <w:szCs w:val="24"/>
          <w:highlight w:val="none"/>
        </w:rPr>
        <w:t>生态系统为主，区域群落结构简单，物种数量较少，丰富度不高，总体生态环境质量一般，生态系统服务功能较差。已经存在的对生态保护目标产生不利影响的干扰因素主要表现为</w:t>
      </w:r>
      <w:r>
        <w:rPr>
          <w:rFonts w:hint="eastAsia" w:asciiTheme="minorEastAsia" w:hAnsiTheme="minorEastAsia" w:eastAsiaTheme="minorEastAsia" w:cstheme="minorEastAsia"/>
          <w:color w:val="auto"/>
          <w:sz w:val="24"/>
          <w:szCs w:val="24"/>
          <w:highlight w:val="none"/>
          <w:lang w:val="en-US" w:eastAsia="zh-CN"/>
        </w:rPr>
        <w:t>砂土</w:t>
      </w:r>
      <w:r>
        <w:rPr>
          <w:rFonts w:hint="eastAsia" w:asciiTheme="minorEastAsia" w:hAnsiTheme="minorEastAsia" w:eastAsiaTheme="minorEastAsia" w:cstheme="minorEastAsia"/>
          <w:color w:val="auto"/>
          <w:sz w:val="24"/>
          <w:szCs w:val="24"/>
          <w:highlight w:val="none"/>
        </w:rPr>
        <w:t>开采直接导致土地退化的‌人为干扰。</w:t>
      </w:r>
    </w:p>
    <w:p w14:paraId="2F9A248B">
      <w:pPr>
        <w:pStyle w:val="8"/>
        <w:numPr>
          <w:ilvl w:val="0"/>
          <w:numId w:val="0"/>
        </w:numPr>
        <w:bidi w:val="0"/>
        <w:ind w:leftChars="0"/>
        <w:rPr>
          <w:rFonts w:hint="default" w:asciiTheme="minorEastAsia" w:hAnsiTheme="minorEastAsia" w:eastAsiaTheme="minorEastAsia" w:cstheme="minorEastAsia"/>
          <w:color w:val="auto"/>
          <w:spacing w:val="1"/>
          <w:szCs w:val="24"/>
          <w:highlight w:val="none"/>
          <w:lang w:val="en-US"/>
        </w:rPr>
      </w:pPr>
      <w:r>
        <w:rPr>
          <w:rFonts w:hint="eastAsia" w:asciiTheme="minorEastAsia" w:hAnsiTheme="minorEastAsia" w:eastAsiaTheme="minorEastAsia" w:cstheme="minorEastAsia"/>
          <w:color w:val="auto"/>
          <w:highlight w:val="none"/>
          <w:lang w:val="en-US" w:eastAsia="zh-CN"/>
        </w:rPr>
        <w:t>4.3.6.9 生态现状调查结论</w:t>
      </w:r>
    </w:p>
    <w:p w14:paraId="28EFBEC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根据现场踏勘及查阅资料，项目场地未发现有国家和地方重点保护的植物种类和珍稀物种</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无国家公园、自然保护区、自然公园等自然保护地、世界自然遗产、生态保护红线等区域，无重要物种的天然集中分布区、栖息地，迁徙鸟类的重要繁殖地、停歇地、 越冬地以及野生动物迁徙通道等</w:t>
      </w:r>
      <w:r>
        <w:rPr>
          <w:rFonts w:hint="eastAsia" w:asciiTheme="minorEastAsia" w:hAnsiTheme="minorEastAsia" w:eastAsiaTheme="minorEastAsia" w:cstheme="minorEastAsia"/>
          <w:color w:val="auto"/>
          <w:sz w:val="24"/>
          <w:szCs w:val="24"/>
          <w:highlight w:val="none"/>
          <w:lang w:val="en-US" w:eastAsia="zh-CN"/>
        </w:rPr>
        <w:t>及重要生境分布</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未发现受影响的重要物种、生态敏感区以及其他需要保护的物种、种群、生物群落及生态空间等生态保护目标。</w:t>
      </w:r>
    </w:p>
    <w:p w14:paraId="2A1DACFE">
      <w:pPr>
        <w:pStyle w:val="319"/>
        <w:widowControl w:val="0"/>
        <w:snapToGrid w:val="0"/>
        <w:ind w:firstLine="475"/>
        <w:jc w:val="both"/>
        <w:rPr>
          <w:rFonts w:hint="eastAsia" w:asciiTheme="minorEastAsia" w:hAnsiTheme="minorEastAsia" w:eastAsiaTheme="minorEastAsia" w:cstheme="minorEastAsia"/>
          <w:color w:val="auto"/>
          <w:szCs w:val="24"/>
          <w:highlight w:val="none"/>
          <w:lang w:eastAsia="zh-CN"/>
        </w:rPr>
      </w:pPr>
      <w:r>
        <w:rPr>
          <w:rFonts w:hint="eastAsia" w:asciiTheme="minorEastAsia" w:hAnsiTheme="minorEastAsia" w:eastAsiaTheme="minorEastAsia" w:cstheme="minorEastAsia"/>
          <w:color w:val="auto"/>
          <w:szCs w:val="24"/>
          <w:highlight w:val="none"/>
          <w:lang w:val="en-US" w:eastAsia="zh-CN"/>
        </w:rPr>
        <w:t>土地利用现状：</w:t>
      </w:r>
      <w:r>
        <w:rPr>
          <w:rFonts w:hint="eastAsia" w:asciiTheme="minorEastAsia" w:hAnsiTheme="minorEastAsia" w:eastAsiaTheme="minorEastAsia" w:cstheme="minorEastAsia"/>
          <w:color w:val="auto"/>
          <w:szCs w:val="24"/>
          <w:highlight w:val="none"/>
        </w:rPr>
        <w:t>坑东侧</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南侧、西侧和北侧均</w:t>
      </w:r>
      <w:r>
        <w:rPr>
          <w:rFonts w:hint="eastAsia" w:asciiTheme="minorEastAsia" w:hAnsiTheme="minorEastAsia" w:eastAsiaTheme="minorEastAsia" w:cstheme="minorEastAsia"/>
          <w:color w:val="auto"/>
          <w:szCs w:val="24"/>
          <w:highlight w:val="none"/>
        </w:rPr>
        <w:t>为树林，</w:t>
      </w:r>
      <w:r>
        <w:rPr>
          <w:rFonts w:hint="eastAsia" w:asciiTheme="minorEastAsia" w:hAnsiTheme="minorEastAsia" w:eastAsiaTheme="minorEastAsia" w:cstheme="minorEastAsia"/>
          <w:color w:val="auto"/>
          <w:szCs w:val="24"/>
          <w:highlight w:val="none"/>
          <w:lang w:val="en-US" w:eastAsia="zh-CN"/>
        </w:rPr>
        <w:t>耕地位于</w:t>
      </w:r>
      <w:r>
        <w:rPr>
          <w:rFonts w:hint="eastAsia" w:asciiTheme="minorEastAsia" w:hAnsiTheme="minorEastAsia" w:eastAsiaTheme="minorEastAsia" w:cstheme="minorEastAsia"/>
          <w:color w:val="auto"/>
          <w:szCs w:val="24"/>
          <w:highlight w:val="none"/>
        </w:rPr>
        <w:t>坑</w:t>
      </w:r>
      <w:r>
        <w:rPr>
          <w:rFonts w:hint="eastAsia" w:asciiTheme="minorEastAsia" w:hAnsiTheme="minorEastAsia" w:eastAsiaTheme="minorEastAsia" w:cstheme="minorEastAsia"/>
          <w:color w:val="auto"/>
          <w:szCs w:val="24"/>
          <w:highlight w:val="none"/>
          <w:lang w:val="en-US" w:eastAsia="zh-CN"/>
        </w:rPr>
        <w:t>东侧，距离约为50m，</w:t>
      </w:r>
      <w:r>
        <w:rPr>
          <w:rFonts w:hint="eastAsia" w:asciiTheme="minorEastAsia" w:hAnsiTheme="minorEastAsia" w:eastAsiaTheme="minorEastAsia" w:cstheme="minorEastAsia"/>
          <w:color w:val="auto"/>
          <w:szCs w:val="24"/>
          <w:highlight w:val="none"/>
        </w:rPr>
        <w:t>生态评价范围内主要用地现状为乔木林地</w:t>
      </w:r>
      <w:r>
        <w:rPr>
          <w:rFonts w:hint="eastAsia" w:asciiTheme="minorEastAsia" w:hAnsiTheme="minorEastAsia" w:eastAsiaTheme="minorEastAsia" w:cstheme="minorEastAsia"/>
          <w:color w:val="auto"/>
          <w:szCs w:val="24"/>
          <w:highlight w:val="none"/>
          <w:lang w:val="en-US" w:eastAsia="zh-CN"/>
        </w:rPr>
        <w:t>，其次为</w:t>
      </w:r>
      <w:r>
        <w:rPr>
          <w:rFonts w:hint="eastAsia" w:asciiTheme="minorEastAsia" w:hAnsiTheme="minorEastAsia" w:eastAsiaTheme="minorEastAsia" w:cstheme="minorEastAsia"/>
          <w:color w:val="auto"/>
          <w:szCs w:val="24"/>
          <w:highlight w:val="none"/>
        </w:rPr>
        <w:t>耕地</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植被：</w:t>
      </w:r>
      <w:r>
        <w:rPr>
          <w:rFonts w:hint="eastAsia" w:asciiTheme="minorEastAsia" w:hAnsiTheme="minorEastAsia" w:eastAsiaTheme="minorEastAsia" w:cstheme="minorEastAsia"/>
          <w:color w:val="auto"/>
          <w:szCs w:val="24"/>
          <w:highlight w:val="none"/>
        </w:rPr>
        <w:t>回填复垦区内植被主要为草地：狗尾巴草、猪尾巴草、星星草等杂草</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回填复垦区外植被：主要为栽培植被（玉米、大豆）和</w:t>
      </w:r>
      <w:r>
        <w:rPr>
          <w:rFonts w:hint="eastAsia" w:asciiTheme="minorEastAsia" w:hAnsiTheme="minorEastAsia" w:eastAsiaTheme="minorEastAsia" w:cstheme="minorEastAsia"/>
          <w:color w:val="auto"/>
          <w:sz w:val="24"/>
          <w:szCs w:val="24"/>
          <w:highlight w:val="none"/>
          <w:lang w:val="en-US" w:eastAsia="zh-CN"/>
        </w:rPr>
        <w:t>针叶林、阔叶林（</w:t>
      </w:r>
      <w:r>
        <w:rPr>
          <w:rFonts w:hint="eastAsia" w:asciiTheme="minorEastAsia" w:hAnsiTheme="minorEastAsia" w:eastAsiaTheme="minorEastAsia" w:cstheme="minorEastAsia"/>
          <w:color w:val="auto"/>
          <w:sz w:val="24"/>
          <w:szCs w:val="24"/>
          <w:highlight w:val="none"/>
        </w:rPr>
        <w:t>人工种植的杨树、榆树</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樟子松</w:t>
      </w:r>
      <w:r>
        <w:rPr>
          <w:rFonts w:hint="eastAsia" w:asciiTheme="minorEastAsia" w:hAnsiTheme="minorEastAsia" w:eastAsiaTheme="minorEastAsia" w:cstheme="minorEastAsia"/>
          <w:color w:val="auto"/>
          <w:sz w:val="24"/>
          <w:szCs w:val="24"/>
          <w:highlight w:val="none"/>
        </w:rPr>
        <w:t>等植被</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Cs w:val="24"/>
          <w:highlight w:val="none"/>
        </w:rPr>
        <w:t>，自然植被较少，植物种类较为单一</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bidi="ar"/>
        </w:rPr>
        <w:t>尚志市侵蚀类型属于水力侵蚀，</w:t>
      </w:r>
      <w:r>
        <w:rPr>
          <w:color w:val="auto"/>
          <w:highlight w:val="none"/>
        </w:rPr>
        <w:t>自然因素仍是导致水土流失发生发展的基础和先决条件，项目区降雨量80%集中在6～8月是引起该区产生水力侵蚀的主要原因。而人为因素则对水土流失起着推动和加速作用。</w:t>
      </w:r>
      <w:r>
        <w:rPr>
          <w:rFonts w:hint="eastAsia" w:asciiTheme="minorEastAsia" w:hAnsiTheme="minorEastAsia" w:eastAsiaTheme="minorEastAsia" w:cstheme="minorEastAsia"/>
          <w:color w:val="auto"/>
          <w:sz w:val="24"/>
          <w:szCs w:val="24"/>
          <w:highlight w:val="none"/>
        </w:rPr>
        <w:t>目前</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 w:val="24"/>
          <w:szCs w:val="24"/>
          <w:highlight w:val="none"/>
        </w:rPr>
        <w:t>主要为杂草，</w:t>
      </w:r>
      <w:r>
        <w:rPr>
          <w:rFonts w:hint="eastAsia" w:asciiTheme="minorEastAsia" w:hAnsiTheme="minorEastAsia" w:eastAsiaTheme="minorEastAsia" w:cstheme="minorEastAsia"/>
          <w:color w:val="auto"/>
          <w:sz w:val="24"/>
          <w:szCs w:val="24"/>
          <w:highlight w:val="none"/>
          <w:lang w:val="en-US" w:eastAsia="zh-CN"/>
        </w:rPr>
        <w:t>周边为森林系统和农田系统，水力侵蚀强度为轻度。</w:t>
      </w:r>
      <w:r>
        <w:rPr>
          <w:rFonts w:hint="eastAsia" w:asciiTheme="minorEastAsia" w:hAnsiTheme="minorEastAsia" w:eastAsiaTheme="minorEastAsia" w:cstheme="minorEastAsia"/>
          <w:color w:val="auto"/>
          <w:sz w:val="24"/>
          <w:szCs w:val="24"/>
          <w:highlight w:val="none"/>
        </w:rPr>
        <w:t>区域群落结构简单，物种数量较少，丰富度不高，总体生态环境质量一般，生态系统服务功能较差。已经存在的对生态保护目标产生不利影响的干扰因素主要表现为矿产开采直接导致土地退化的‌人为干扰。</w:t>
      </w:r>
    </w:p>
    <w:p w14:paraId="7C4E400C">
      <w:pPr>
        <w:widowControl w:val="0"/>
        <w:adjustRightInd w:val="0"/>
        <w:snapToGrid w:val="0"/>
        <w:spacing w:line="360" w:lineRule="auto"/>
        <w:ind w:firstLine="480"/>
        <w:jc w:val="both"/>
        <w:rPr>
          <w:rFonts w:hint="eastAsia" w:asciiTheme="minorEastAsia" w:hAnsiTheme="minorEastAsia" w:eastAsiaTheme="minorEastAsia" w:cstheme="minorEastAsia"/>
          <w:color w:val="auto"/>
          <w:szCs w:val="24"/>
          <w:highlight w:val="none"/>
          <w:lang w:bidi="ar"/>
        </w:rPr>
      </w:pPr>
    </w:p>
    <w:p w14:paraId="656A9D17">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p>
    <w:p w14:paraId="58295FB5">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p>
    <w:p w14:paraId="5786A1DA">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p>
    <w:p w14:paraId="6F513260">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p>
    <w:p w14:paraId="5A931C8A">
      <w:pPr>
        <w:widowControl w:val="0"/>
        <w:adjustRightInd w:val="0"/>
        <w:snapToGrid w:val="0"/>
        <w:spacing w:line="360" w:lineRule="auto"/>
        <w:ind w:firstLine="480"/>
        <w:jc w:val="both"/>
        <w:rPr>
          <w:rFonts w:hint="eastAsia" w:asciiTheme="minorEastAsia" w:hAnsiTheme="minorEastAsia" w:eastAsiaTheme="minorEastAsia" w:cstheme="minorEastAsia"/>
          <w:color w:val="auto"/>
          <w:highlight w:val="none"/>
        </w:rPr>
      </w:pPr>
    </w:p>
    <w:p w14:paraId="51EA7613">
      <w:pPr>
        <w:widowControl w:val="0"/>
        <w:adjustRightInd w:val="0"/>
        <w:snapToGrid w:val="0"/>
        <w:spacing w:line="360" w:lineRule="auto"/>
        <w:ind w:firstLine="480"/>
        <w:jc w:val="both"/>
        <w:rPr>
          <w:rFonts w:hint="eastAsia" w:asciiTheme="minorEastAsia" w:hAnsiTheme="minorEastAsia" w:eastAsiaTheme="minorEastAsia" w:cstheme="minorEastAsia"/>
          <w:color w:val="auto"/>
          <w:szCs w:val="24"/>
          <w:highlight w:val="none"/>
        </w:rPr>
      </w:pPr>
    </w:p>
    <w:p w14:paraId="37310175">
      <w:pPr>
        <w:widowControl w:val="0"/>
        <w:adjustRightInd w:val="0"/>
        <w:snapToGrid w:val="0"/>
        <w:spacing w:line="360" w:lineRule="auto"/>
        <w:ind w:firstLine="480"/>
        <w:jc w:val="both"/>
        <w:rPr>
          <w:rFonts w:hint="eastAsia" w:asciiTheme="minorEastAsia" w:hAnsiTheme="minorEastAsia" w:eastAsiaTheme="minorEastAsia" w:cstheme="minorEastAsia"/>
          <w:color w:val="auto"/>
          <w:szCs w:val="24"/>
          <w:highlight w:val="none"/>
        </w:rPr>
        <w:sectPr>
          <w:pgSz w:w="11907" w:h="16840"/>
          <w:pgMar w:top="1440" w:right="1440" w:bottom="1440" w:left="1701" w:header="851" w:footer="992" w:gutter="0"/>
          <w:pgBorders>
            <w:top w:val="none" w:sz="0" w:space="0"/>
            <w:left w:val="none" w:sz="0" w:space="0"/>
            <w:bottom w:val="none" w:sz="0" w:space="0"/>
            <w:right w:val="none" w:sz="0" w:space="0"/>
          </w:pgBorders>
          <w:pgNumType w:fmt="numberInDash"/>
          <w:cols w:space="720" w:num="1"/>
          <w:docGrid w:linePitch="312" w:charSpace="0"/>
        </w:sectPr>
      </w:pPr>
    </w:p>
    <w:bookmarkEnd w:id="502"/>
    <w:bookmarkEnd w:id="503"/>
    <w:p w14:paraId="51EE5EAE">
      <w:pPr>
        <w:pStyle w:val="5"/>
        <w:bidi w:val="0"/>
        <w:rPr>
          <w:rFonts w:hint="eastAsia" w:asciiTheme="minorEastAsia" w:hAnsiTheme="minorEastAsia" w:eastAsiaTheme="minorEastAsia" w:cstheme="minorEastAsia"/>
          <w:color w:val="auto"/>
          <w:highlight w:val="none"/>
        </w:rPr>
      </w:pPr>
      <w:bookmarkStart w:id="575" w:name="_Toc15617"/>
      <w:bookmarkStart w:id="576" w:name="_Toc17055"/>
      <w:bookmarkStart w:id="577" w:name="_Toc31598"/>
      <w:bookmarkStart w:id="578" w:name="_Toc22266"/>
      <w:bookmarkStart w:id="579" w:name="_Toc13209"/>
      <w:bookmarkStart w:id="580" w:name="_Toc10392"/>
      <w:bookmarkStart w:id="581" w:name="_Toc22088"/>
      <w:bookmarkStart w:id="582" w:name="_Toc23448"/>
      <w:bookmarkStart w:id="583" w:name="_Toc490466543"/>
      <w:bookmarkStart w:id="584" w:name="_Toc17753"/>
      <w:bookmarkStart w:id="585" w:name="_Toc14201"/>
      <w:bookmarkStart w:id="586" w:name="_Toc11674"/>
      <w:bookmarkStart w:id="587" w:name="_Toc8492"/>
      <w:bookmarkStart w:id="588" w:name="_Toc32172"/>
      <w:bookmarkStart w:id="589" w:name="_Toc22820"/>
      <w:bookmarkStart w:id="590" w:name="_Toc23750"/>
      <w:bookmarkStart w:id="591" w:name="_Toc14485"/>
      <w:bookmarkStart w:id="592" w:name="_Toc4810"/>
      <w:bookmarkStart w:id="593" w:name="_Toc7079"/>
      <w:bookmarkStart w:id="594" w:name="_Toc17953"/>
      <w:bookmarkStart w:id="595" w:name="_Toc19257"/>
      <w:bookmarkStart w:id="596" w:name="_Toc490466509"/>
      <w:bookmarkStart w:id="597" w:name="_Toc9044"/>
      <w:bookmarkStart w:id="598" w:name="_Toc14178"/>
      <w:r>
        <w:rPr>
          <w:rFonts w:hint="eastAsia" w:asciiTheme="minorEastAsia" w:hAnsiTheme="minorEastAsia" w:eastAsiaTheme="minorEastAsia" w:cstheme="minorEastAsia"/>
          <w:color w:val="auto"/>
          <w:highlight w:val="none"/>
        </w:rPr>
        <w:t>5环境影响预测与评价</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2E3AFF2C">
      <w:pPr>
        <w:pStyle w:val="6"/>
        <w:bidi w:val="0"/>
        <w:rPr>
          <w:rFonts w:hint="eastAsia" w:asciiTheme="minorEastAsia" w:hAnsiTheme="minorEastAsia" w:eastAsiaTheme="minorEastAsia" w:cstheme="minorEastAsia"/>
          <w:bCs w:val="0"/>
          <w:color w:val="auto"/>
          <w:kern w:val="0"/>
          <w:szCs w:val="28"/>
          <w:highlight w:val="none"/>
        </w:rPr>
      </w:pPr>
      <w:bookmarkStart w:id="599" w:name="_Toc785"/>
      <w:bookmarkStart w:id="600" w:name="_Toc459542314"/>
      <w:bookmarkStart w:id="601" w:name="_Toc9184"/>
      <w:bookmarkStart w:id="602" w:name="_Toc1430"/>
      <w:bookmarkStart w:id="603" w:name="_Toc20823"/>
      <w:bookmarkStart w:id="604" w:name="_Toc31661"/>
      <w:bookmarkStart w:id="605" w:name="_Toc29667"/>
      <w:bookmarkStart w:id="606" w:name="_Toc2076"/>
      <w:bookmarkStart w:id="607" w:name="_Toc19030"/>
      <w:bookmarkStart w:id="608" w:name="_Toc9999"/>
      <w:bookmarkStart w:id="609" w:name="_Toc29998"/>
      <w:bookmarkStart w:id="610" w:name="_Toc14326"/>
      <w:bookmarkStart w:id="611" w:name="_Toc490466544"/>
      <w:bookmarkStart w:id="612" w:name="_Toc160"/>
      <w:bookmarkStart w:id="613" w:name="_Toc16633"/>
      <w:bookmarkStart w:id="614" w:name="_Toc11622"/>
      <w:bookmarkStart w:id="615" w:name="_Toc460663973"/>
      <w:bookmarkStart w:id="616" w:name="_Toc7000"/>
      <w:bookmarkStart w:id="617" w:name="_Toc21655"/>
      <w:bookmarkStart w:id="618" w:name="_Toc18192"/>
      <w:bookmarkStart w:id="619" w:name="_Toc2059"/>
      <w:bookmarkStart w:id="620" w:name="_Toc17980"/>
      <w:bookmarkStart w:id="621" w:name="_Toc29605"/>
      <w:bookmarkStart w:id="622" w:name="_Toc24954"/>
      <w:bookmarkStart w:id="623" w:name="_Toc28004"/>
      <w:bookmarkStart w:id="624" w:name="_Toc490466553"/>
      <w:bookmarkStart w:id="625" w:name="_Toc11437"/>
      <w:bookmarkStart w:id="626" w:name="_Toc17559"/>
      <w:bookmarkStart w:id="627" w:name="_Toc459542315"/>
      <w:bookmarkStart w:id="628" w:name="_Toc460663974"/>
      <w:r>
        <w:rPr>
          <w:rFonts w:hint="eastAsia" w:asciiTheme="minorEastAsia" w:hAnsiTheme="minorEastAsia" w:eastAsiaTheme="minorEastAsia" w:cstheme="minorEastAsia"/>
          <w:color w:val="auto"/>
          <w:highlight w:val="none"/>
        </w:rPr>
        <w:t>5.1施工期环境影响分析</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28BB1273">
      <w:pPr>
        <w:pStyle w:val="7"/>
        <w:numPr>
          <w:ilvl w:val="2"/>
          <w:numId w:val="0"/>
        </w:numPr>
        <w:bidi w:val="0"/>
        <w:spacing w:line="360" w:lineRule="auto"/>
        <w:ind w:leftChars="0"/>
        <w:rPr>
          <w:rFonts w:hint="eastAsia"/>
          <w:color w:val="auto"/>
          <w:highlight w:val="none"/>
          <w:lang w:val="en-US" w:eastAsia="zh-CN"/>
        </w:rPr>
      </w:pPr>
      <w:r>
        <w:rPr>
          <w:rFonts w:hint="eastAsia"/>
          <w:color w:val="auto"/>
          <w:highlight w:val="none"/>
        </w:rPr>
        <w:t>5.1.</w:t>
      </w:r>
      <w:r>
        <w:rPr>
          <w:rFonts w:hint="eastAsia"/>
          <w:color w:val="auto"/>
          <w:highlight w:val="none"/>
          <w:lang w:val="en-US" w:eastAsia="zh-CN"/>
        </w:rPr>
        <w:t>1</w:t>
      </w:r>
      <w:r>
        <w:rPr>
          <w:rFonts w:hint="eastAsia"/>
          <w:color w:val="auto"/>
          <w:highlight w:val="none"/>
        </w:rPr>
        <w:t>施工期大气环境影响</w:t>
      </w:r>
      <w:r>
        <w:rPr>
          <w:rFonts w:hint="eastAsia"/>
          <w:color w:val="auto"/>
          <w:highlight w:val="none"/>
          <w:lang w:val="en-US" w:eastAsia="zh-CN"/>
        </w:rPr>
        <w:t>分析</w:t>
      </w:r>
    </w:p>
    <w:p w14:paraId="3BDC598B">
      <w:pPr>
        <w:spacing w:line="360" w:lineRule="auto"/>
        <w:ind w:firstLine="480"/>
        <w:rPr>
          <w:color w:val="auto"/>
          <w:highlight w:val="none"/>
        </w:rPr>
      </w:pPr>
      <w:r>
        <w:rPr>
          <w:rFonts w:hint="eastAsia"/>
          <w:color w:val="auto"/>
          <w:highlight w:val="none"/>
        </w:rPr>
        <w:t>项目施工期对环境空气的污染主要为运输车辆的行驶以及装卸施工材料引起的扬尘。施工过程中，在风力的作用下，缺少植被覆盖的细小尘土随风而起形成扬尘，</w:t>
      </w:r>
      <w:r>
        <w:rPr>
          <w:rFonts w:hint="eastAsia"/>
          <w:color w:val="auto"/>
          <w:highlight w:val="none"/>
          <w:lang w:eastAsia="zh-CN"/>
        </w:rPr>
        <w:t>漂浮</w:t>
      </w:r>
      <w:r>
        <w:rPr>
          <w:rFonts w:hint="eastAsia"/>
          <w:color w:val="auto"/>
          <w:highlight w:val="none"/>
        </w:rPr>
        <w:t>在空气中，使局部空气环境空气中TSP浓度增加，造成地表扬尘污染环境，其扬尘量的大小与施工现场条件、管理水平、机械化程度及施工季节、土质结构、天气条件等诸多因素有关。项目施工扬尘能使区域内部环境空气中含尘量增加，并可能随风迁移到周围区域，影响附近居民及单位职工的生活和工作。扬尘产生源强与土石方含水率、土壤粒度、风向、风速、湿度及土方回填时间等密切相关，据资料介绍，当灰尘含水率为0.5%时，其启动风速约为4.0m/s。据类比调查，在土方含水量大于0.5%、风速2.9m/s时，施工现场下风向不同距离的扬尘浓度见表5</w:t>
      </w:r>
      <w:r>
        <w:rPr>
          <w:rFonts w:hint="eastAsia"/>
          <w:color w:val="auto"/>
          <w:highlight w:val="none"/>
          <w:lang w:val="en-US" w:eastAsia="zh-CN"/>
        </w:rPr>
        <w:t>.</w:t>
      </w:r>
      <w:r>
        <w:rPr>
          <w:rFonts w:hint="eastAsia"/>
          <w:color w:val="auto"/>
          <w:highlight w:val="none"/>
        </w:rPr>
        <w:t>1-1。</w:t>
      </w:r>
    </w:p>
    <w:p w14:paraId="7A49B93C">
      <w:pPr>
        <w:spacing w:line="240" w:lineRule="auto"/>
        <w:ind w:firstLine="480"/>
        <w:jc w:val="center"/>
        <w:rPr>
          <w:rFonts w:hint="eastAsia" w:ascii="宋体" w:hAnsi="宋体" w:eastAsia="宋体" w:cs="宋体"/>
          <w:b/>
          <w:bCs/>
          <w:color w:val="auto"/>
          <w:highlight w:val="none"/>
        </w:rPr>
      </w:pPr>
      <w:r>
        <w:rPr>
          <w:rFonts w:hint="eastAsia" w:ascii="宋体" w:hAnsi="宋体" w:eastAsia="宋体" w:cs="宋体"/>
          <w:b/>
          <w:bCs/>
          <w:color w:val="auto"/>
          <w:highlight w:val="none"/>
        </w:rPr>
        <w:t>表</w:t>
      </w:r>
      <w:r>
        <w:rPr>
          <w:rFonts w:hint="default" w:ascii="Times New Roman" w:hAnsi="Times New Roman" w:eastAsia="宋体" w:cs="Times New Roman"/>
          <w:b/>
          <w:bCs/>
          <w:color w:val="auto"/>
          <w:highlight w:val="none"/>
        </w:rPr>
        <w:t>5</w:t>
      </w:r>
      <w:r>
        <w:rPr>
          <w:rFonts w:hint="default" w:ascii="Times New Roman" w:hAnsi="Times New Roman" w:eastAsia="宋体" w:cs="Times New Roman"/>
          <w:b/>
          <w:bCs/>
          <w:color w:val="auto"/>
          <w:highlight w:val="none"/>
          <w:lang w:val="en-US" w:eastAsia="zh-CN"/>
        </w:rPr>
        <w:t>.</w:t>
      </w:r>
      <w:r>
        <w:rPr>
          <w:rFonts w:hint="default" w:ascii="Times New Roman" w:hAnsi="Times New Roman" w:eastAsia="宋体" w:cs="Times New Roman"/>
          <w:b/>
          <w:bCs/>
          <w:color w:val="auto"/>
          <w:highlight w:val="none"/>
        </w:rPr>
        <w:t>1-1</w:t>
      </w:r>
      <w:r>
        <w:rPr>
          <w:rFonts w:hint="eastAsia" w:ascii="Times New Roman" w:cs="Times New Roman"/>
          <w:b/>
          <w:bCs/>
          <w:color w:val="auto"/>
          <w:highlight w:val="none"/>
          <w:lang w:val="en-US" w:eastAsia="zh-CN"/>
        </w:rPr>
        <w:t xml:space="preserve">  </w:t>
      </w:r>
      <w:r>
        <w:rPr>
          <w:rFonts w:hint="eastAsia" w:ascii="宋体" w:hAnsi="宋体" w:eastAsia="宋体" w:cs="宋体"/>
          <w:b/>
          <w:bCs/>
          <w:color w:val="auto"/>
          <w:highlight w:val="none"/>
          <w:lang w:val="en-US" w:eastAsia="zh-CN"/>
        </w:rPr>
        <w:t>回填区</w:t>
      </w:r>
      <w:r>
        <w:rPr>
          <w:rFonts w:hint="eastAsia" w:ascii="宋体" w:hAnsi="宋体" w:eastAsia="宋体" w:cs="宋体"/>
          <w:b/>
          <w:bCs/>
          <w:color w:val="auto"/>
          <w:highlight w:val="none"/>
        </w:rPr>
        <w:t>下风向不同距离的扬尘浓度</w:t>
      </w:r>
      <w:r>
        <w:rPr>
          <w:rFonts w:hint="eastAsia" w:ascii="宋体" w:hAnsi="宋体" w:cs="宋体"/>
          <w:b/>
          <w:bCs/>
          <w:color w:val="auto"/>
          <w:highlight w:val="none"/>
          <w:lang w:val="en-US" w:eastAsia="zh-CN"/>
        </w:rPr>
        <w:t xml:space="preserve">   </w:t>
      </w:r>
      <w:r>
        <w:rPr>
          <w:rFonts w:hint="eastAsia" w:ascii="宋体" w:hAnsi="宋体" w:eastAsia="宋体" w:cs="宋体"/>
          <w:b/>
          <w:bCs/>
          <w:color w:val="auto"/>
          <w:highlight w:val="none"/>
        </w:rPr>
        <w:t>单位：</w:t>
      </w:r>
      <w:r>
        <w:rPr>
          <w:rFonts w:hint="default" w:ascii="Times New Roman" w:hAnsi="Times New Roman" w:eastAsia="宋体" w:cs="Times New Roman"/>
          <w:b/>
          <w:bCs/>
          <w:color w:val="auto"/>
          <w:highlight w:val="none"/>
        </w:rPr>
        <w:t>mg/m</w:t>
      </w:r>
      <w:r>
        <w:rPr>
          <w:rFonts w:hint="default" w:ascii="Times New Roman" w:hAnsi="Times New Roman" w:eastAsia="宋体" w:cs="Times New Roman"/>
          <w:b/>
          <w:bCs/>
          <w:color w:val="auto"/>
          <w:highlight w:val="none"/>
          <w:vertAlign w:val="superscript"/>
        </w:rPr>
        <w:t>3</w:t>
      </w:r>
    </w:p>
    <w:tbl>
      <w:tblPr>
        <w:tblStyle w:val="85"/>
        <w:tblW w:w="4995" w:type="pct"/>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1495"/>
        <w:gridCol w:w="1495"/>
        <w:gridCol w:w="1496"/>
        <w:gridCol w:w="1496"/>
        <w:gridCol w:w="1496"/>
      </w:tblGrid>
      <w:tr w14:paraId="5C7DE7C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33" w:type="pct"/>
            <w:tcBorders>
              <w:tl2br w:val="nil"/>
              <w:tr2bl w:val="nil"/>
            </w:tcBorders>
            <w:noWrap w:val="0"/>
            <w:vAlign w:val="center"/>
          </w:tcPr>
          <w:p w14:paraId="5E84CF03">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color w:val="auto"/>
                <w:sz w:val="21"/>
                <w:szCs w:val="21"/>
                <w:highlight w:val="none"/>
              </w:rPr>
              <w:t>距离</w:t>
            </w:r>
          </w:p>
        </w:tc>
        <w:tc>
          <w:tcPr>
            <w:tcW w:w="833" w:type="pct"/>
            <w:tcBorders>
              <w:tl2br w:val="nil"/>
              <w:tr2bl w:val="nil"/>
            </w:tcBorders>
            <w:noWrap w:val="0"/>
            <w:vAlign w:val="center"/>
          </w:tcPr>
          <w:p w14:paraId="7BA071A4">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color w:val="auto"/>
                <w:sz w:val="21"/>
                <w:szCs w:val="21"/>
                <w:highlight w:val="none"/>
              </w:rPr>
              <w:t>1m</w:t>
            </w:r>
          </w:p>
        </w:tc>
        <w:tc>
          <w:tcPr>
            <w:tcW w:w="833" w:type="pct"/>
            <w:tcBorders>
              <w:tl2br w:val="nil"/>
              <w:tr2bl w:val="nil"/>
            </w:tcBorders>
            <w:noWrap w:val="0"/>
            <w:vAlign w:val="center"/>
          </w:tcPr>
          <w:p w14:paraId="429FC113">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color w:val="auto"/>
                <w:sz w:val="21"/>
                <w:szCs w:val="21"/>
                <w:highlight w:val="none"/>
              </w:rPr>
              <w:t>25m</w:t>
            </w:r>
          </w:p>
        </w:tc>
        <w:tc>
          <w:tcPr>
            <w:tcW w:w="833" w:type="pct"/>
            <w:tcBorders>
              <w:tl2br w:val="nil"/>
              <w:tr2bl w:val="nil"/>
            </w:tcBorders>
            <w:noWrap w:val="0"/>
            <w:vAlign w:val="center"/>
          </w:tcPr>
          <w:p w14:paraId="368BD4EE">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color w:val="auto"/>
                <w:sz w:val="21"/>
                <w:szCs w:val="21"/>
                <w:highlight w:val="none"/>
              </w:rPr>
              <w:t>50m</w:t>
            </w:r>
          </w:p>
        </w:tc>
        <w:tc>
          <w:tcPr>
            <w:tcW w:w="833" w:type="pct"/>
            <w:tcBorders>
              <w:tl2br w:val="nil"/>
              <w:tr2bl w:val="nil"/>
            </w:tcBorders>
            <w:noWrap w:val="0"/>
            <w:vAlign w:val="center"/>
          </w:tcPr>
          <w:p w14:paraId="148EFF55">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color w:val="auto"/>
                <w:sz w:val="21"/>
                <w:szCs w:val="21"/>
                <w:highlight w:val="none"/>
              </w:rPr>
              <w:t>80m</w:t>
            </w:r>
          </w:p>
        </w:tc>
        <w:tc>
          <w:tcPr>
            <w:tcW w:w="833" w:type="pct"/>
            <w:tcBorders>
              <w:tl2br w:val="nil"/>
              <w:tr2bl w:val="nil"/>
            </w:tcBorders>
            <w:noWrap w:val="0"/>
            <w:vAlign w:val="center"/>
          </w:tcPr>
          <w:p w14:paraId="364A2C21">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color w:val="auto"/>
                <w:sz w:val="21"/>
                <w:szCs w:val="21"/>
                <w:highlight w:val="none"/>
              </w:rPr>
              <w:t>150m</w:t>
            </w:r>
          </w:p>
        </w:tc>
      </w:tr>
      <w:tr w14:paraId="39BBB3E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33" w:type="pct"/>
            <w:tcBorders>
              <w:tl2br w:val="nil"/>
              <w:tr2bl w:val="nil"/>
            </w:tcBorders>
            <w:noWrap w:val="0"/>
            <w:vAlign w:val="center"/>
          </w:tcPr>
          <w:p w14:paraId="2934B25E">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color w:val="auto"/>
                <w:sz w:val="21"/>
                <w:szCs w:val="21"/>
                <w:highlight w:val="none"/>
              </w:rPr>
              <w:t>TSP</w:t>
            </w:r>
          </w:p>
        </w:tc>
        <w:tc>
          <w:tcPr>
            <w:tcW w:w="833" w:type="pct"/>
            <w:tcBorders>
              <w:tl2br w:val="nil"/>
              <w:tr2bl w:val="nil"/>
            </w:tcBorders>
            <w:noWrap w:val="0"/>
            <w:vAlign w:val="center"/>
          </w:tcPr>
          <w:p w14:paraId="14487A90">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color w:val="auto"/>
                <w:sz w:val="21"/>
                <w:szCs w:val="21"/>
                <w:highlight w:val="none"/>
              </w:rPr>
              <w:t>2.997</w:t>
            </w:r>
          </w:p>
        </w:tc>
        <w:tc>
          <w:tcPr>
            <w:tcW w:w="833" w:type="pct"/>
            <w:tcBorders>
              <w:tl2br w:val="nil"/>
              <w:tr2bl w:val="nil"/>
            </w:tcBorders>
            <w:noWrap w:val="0"/>
            <w:vAlign w:val="center"/>
          </w:tcPr>
          <w:p w14:paraId="09BC427E">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color w:val="auto"/>
                <w:sz w:val="21"/>
                <w:szCs w:val="21"/>
                <w:highlight w:val="none"/>
              </w:rPr>
              <w:t>1.4897</w:t>
            </w:r>
          </w:p>
        </w:tc>
        <w:tc>
          <w:tcPr>
            <w:tcW w:w="833" w:type="pct"/>
            <w:tcBorders>
              <w:tl2br w:val="nil"/>
              <w:tr2bl w:val="nil"/>
            </w:tcBorders>
            <w:noWrap w:val="0"/>
            <w:vAlign w:val="center"/>
          </w:tcPr>
          <w:p w14:paraId="1717FACF">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color w:val="auto"/>
                <w:sz w:val="21"/>
                <w:szCs w:val="21"/>
                <w:highlight w:val="none"/>
              </w:rPr>
              <w:t>0.286</w:t>
            </w:r>
          </w:p>
        </w:tc>
        <w:tc>
          <w:tcPr>
            <w:tcW w:w="833" w:type="pct"/>
            <w:tcBorders>
              <w:tl2br w:val="nil"/>
              <w:tr2bl w:val="nil"/>
            </w:tcBorders>
            <w:noWrap w:val="0"/>
            <w:vAlign w:val="center"/>
          </w:tcPr>
          <w:p w14:paraId="5FE00957">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color w:val="auto"/>
                <w:sz w:val="21"/>
                <w:szCs w:val="21"/>
                <w:highlight w:val="none"/>
              </w:rPr>
              <w:t>0.2226</w:t>
            </w:r>
          </w:p>
        </w:tc>
        <w:tc>
          <w:tcPr>
            <w:tcW w:w="833" w:type="pct"/>
            <w:tcBorders>
              <w:tl2br w:val="nil"/>
              <w:tr2bl w:val="nil"/>
            </w:tcBorders>
            <w:noWrap w:val="0"/>
            <w:vAlign w:val="center"/>
          </w:tcPr>
          <w:p w14:paraId="6E796BAB">
            <w:pPr>
              <w:keepNext w:val="0"/>
              <w:keepLines w:val="0"/>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color w:val="auto"/>
                <w:sz w:val="21"/>
                <w:szCs w:val="21"/>
                <w:highlight w:val="none"/>
              </w:rPr>
              <w:t>0.15</w:t>
            </w:r>
          </w:p>
        </w:tc>
      </w:tr>
    </w:tbl>
    <w:p w14:paraId="62ECAEB3">
      <w:pPr>
        <w:spacing w:line="360" w:lineRule="auto"/>
        <w:ind w:firstLine="480"/>
        <w:rPr>
          <w:rFonts w:hint="eastAsia"/>
          <w:color w:val="auto"/>
          <w:highlight w:val="none"/>
        </w:rPr>
      </w:pPr>
      <w:r>
        <w:rPr>
          <w:rFonts w:hint="eastAsia"/>
          <w:color w:val="auto"/>
          <w:highlight w:val="none"/>
        </w:rPr>
        <w:t>由以上类比结果可知，在特定的条件下，施工扬尘在50m范围内超过二级排放标准，对大气可造成不利影响；50m范围外，一般不会有大的影响。根据现场调查结果，本项目下风向</w:t>
      </w:r>
      <w:r>
        <w:rPr>
          <w:rFonts w:hint="eastAsia"/>
          <w:color w:val="auto"/>
          <w:highlight w:val="none"/>
          <w:lang w:val="en-US" w:eastAsia="zh-CN"/>
        </w:rPr>
        <w:t>5</w:t>
      </w:r>
      <w:r>
        <w:rPr>
          <w:rFonts w:hint="eastAsia"/>
          <w:color w:val="auto"/>
          <w:highlight w:val="none"/>
        </w:rPr>
        <w:t>00m范围内没有居民等敏感点。</w:t>
      </w:r>
    </w:p>
    <w:p w14:paraId="027A03AF">
      <w:pPr>
        <w:spacing w:line="360" w:lineRule="auto"/>
        <w:ind w:firstLine="480"/>
        <w:rPr>
          <w:rFonts w:hint="eastAsia"/>
          <w:color w:val="auto"/>
          <w:highlight w:val="none"/>
          <w:lang w:val="en-US" w:eastAsia="zh-CN"/>
        </w:rPr>
      </w:pPr>
      <w:r>
        <w:rPr>
          <w:rFonts w:hint="eastAsia"/>
          <w:color w:val="auto"/>
          <w:highlight w:val="none"/>
          <w:lang w:val="en-US" w:eastAsia="zh-CN"/>
        </w:rPr>
        <w:t>此外，施工机械废气还来源于施工机械和运输车辆所排放的废气。主要为各种燃油机械的废气排放、运输车辆产生的尾气。主要污染物为：氮氧化物（NOx）、一氧化碳（CO）和碳氢化合物（HC）等。这些污染物量都很小，影响范围仅局限在施工作业区内，除对施工人员会产生轻微的影响外，对外环境影响不大。</w:t>
      </w:r>
    </w:p>
    <w:p w14:paraId="33A8BF4F">
      <w:pPr>
        <w:pStyle w:val="7"/>
        <w:numPr>
          <w:ilvl w:val="2"/>
          <w:numId w:val="0"/>
        </w:numPr>
        <w:spacing w:line="360" w:lineRule="auto"/>
        <w:ind w:leftChars="0"/>
        <w:rPr>
          <w:color w:val="auto"/>
          <w:highlight w:val="none"/>
        </w:rPr>
      </w:pPr>
      <w:r>
        <w:rPr>
          <w:rFonts w:hint="eastAsia"/>
          <w:color w:val="auto"/>
          <w:highlight w:val="none"/>
        </w:rPr>
        <w:t>5</w:t>
      </w:r>
      <w:r>
        <w:rPr>
          <w:color w:val="auto"/>
          <w:highlight w:val="none"/>
        </w:rPr>
        <w:t>.1.2地表水环境影响评价</w:t>
      </w:r>
    </w:p>
    <w:p w14:paraId="1EC94A40">
      <w:pPr>
        <w:spacing w:line="360" w:lineRule="auto"/>
        <w:ind w:firstLine="480"/>
        <w:rPr>
          <w:color w:val="auto"/>
          <w:kern w:val="0"/>
          <w:szCs w:val="20"/>
          <w:highlight w:val="none"/>
        </w:rPr>
      </w:pPr>
      <w:r>
        <w:rPr>
          <w:color w:val="auto"/>
          <w:kern w:val="0"/>
          <w:szCs w:val="20"/>
          <w:highlight w:val="none"/>
        </w:rPr>
        <w:t>施工期产生的废水主要为施工人员的生活污水</w:t>
      </w:r>
      <w:r>
        <w:rPr>
          <w:rFonts w:hint="eastAsia" w:ascii="Times New Roman"/>
          <w:color w:val="auto"/>
          <w:highlight w:val="none"/>
        </w:rPr>
        <w:t>，</w:t>
      </w:r>
      <w:r>
        <w:rPr>
          <w:rFonts w:hint="default" w:ascii="Times New Roman" w:hAnsi="Times New Roman" w:eastAsia="宋体" w:cs="Times New Roman"/>
          <w:color w:val="auto"/>
          <w:highlight w:val="none"/>
          <w:lang w:val="en-US" w:eastAsia="zh-CN"/>
        </w:rPr>
        <w:t>生活污水</w:t>
      </w:r>
      <w:r>
        <w:rPr>
          <w:rFonts w:hint="eastAsia" w:ascii="Times New Roman" w:hAnsi="Times New Roman" w:eastAsia="宋体" w:cs="Times New Roman"/>
          <w:snapToGrid/>
          <w:color w:val="auto"/>
          <w:kern w:val="2"/>
          <w:sz w:val="24"/>
          <w:szCs w:val="22"/>
          <w:highlight w:val="none"/>
          <w:lang w:val="en-US" w:eastAsia="zh-CN" w:bidi="ar-SA"/>
        </w:rPr>
        <w:t>依托民房防渗旱厕，定期外运堆肥。</w:t>
      </w:r>
      <w:r>
        <w:rPr>
          <w:color w:val="auto"/>
          <w:kern w:val="0"/>
          <w:szCs w:val="20"/>
          <w:highlight w:val="none"/>
        </w:rPr>
        <w:t>施工废水</w:t>
      </w:r>
      <w:r>
        <w:rPr>
          <w:rFonts w:hint="eastAsia"/>
          <w:color w:val="auto"/>
          <w:kern w:val="0"/>
          <w:szCs w:val="20"/>
          <w:highlight w:val="none"/>
          <w:lang w:val="en-US" w:eastAsia="zh-CN"/>
        </w:rPr>
        <w:t>经沉淀池后，用于回填区洒水降尘，不外排。</w:t>
      </w:r>
      <w:r>
        <w:rPr>
          <w:color w:val="auto"/>
          <w:kern w:val="0"/>
          <w:szCs w:val="20"/>
          <w:highlight w:val="none"/>
        </w:rPr>
        <w:t>施工期对地表水环境影响较小。</w:t>
      </w:r>
    </w:p>
    <w:p w14:paraId="5C3A8D4D">
      <w:pPr>
        <w:pStyle w:val="7"/>
        <w:numPr>
          <w:ilvl w:val="2"/>
          <w:numId w:val="0"/>
        </w:numPr>
        <w:spacing w:line="360" w:lineRule="auto"/>
        <w:ind w:leftChars="0"/>
        <w:rPr>
          <w:color w:val="auto"/>
          <w:highlight w:val="none"/>
        </w:rPr>
      </w:pPr>
      <w:r>
        <w:rPr>
          <w:rFonts w:hint="eastAsia"/>
          <w:color w:val="auto"/>
          <w:highlight w:val="none"/>
        </w:rPr>
        <w:t>5</w:t>
      </w:r>
      <w:r>
        <w:rPr>
          <w:color w:val="auto"/>
          <w:highlight w:val="none"/>
        </w:rPr>
        <w:t>.1.</w:t>
      </w:r>
      <w:r>
        <w:rPr>
          <w:rFonts w:hint="eastAsia"/>
          <w:color w:val="auto"/>
          <w:highlight w:val="none"/>
          <w:lang w:val="en-US" w:eastAsia="zh-CN"/>
        </w:rPr>
        <w:t>3</w:t>
      </w:r>
      <w:r>
        <w:rPr>
          <w:color w:val="auto"/>
          <w:highlight w:val="none"/>
        </w:rPr>
        <w:t>声环境影响评价</w:t>
      </w:r>
    </w:p>
    <w:p w14:paraId="2501515A">
      <w:pPr>
        <w:spacing w:line="360" w:lineRule="auto"/>
        <w:ind w:firstLine="480"/>
        <w:rPr>
          <w:color w:val="auto"/>
          <w:highlight w:val="none"/>
        </w:rPr>
      </w:pPr>
      <w:r>
        <w:rPr>
          <w:rFonts w:hint="eastAsia"/>
          <w:color w:val="auto"/>
          <w:highlight w:val="none"/>
        </w:rPr>
        <w:t>（1）施工噪声源</w:t>
      </w:r>
    </w:p>
    <w:p w14:paraId="242A36C5">
      <w:pPr>
        <w:spacing w:line="360" w:lineRule="auto"/>
        <w:ind w:firstLine="480" w:firstLineChars="200"/>
        <w:rPr>
          <w:rFonts w:hint="eastAsia" w:eastAsia="宋体"/>
          <w:color w:val="auto"/>
          <w:highlight w:val="none"/>
          <w:lang w:val="en-US" w:eastAsia="zh-CN"/>
        </w:rPr>
      </w:pPr>
      <w:r>
        <w:rPr>
          <w:rFonts w:ascii="Times New Roman"/>
          <w:color w:val="auto"/>
          <w:highlight w:val="none"/>
        </w:rPr>
        <w:t>本项目施工期主要</w:t>
      </w:r>
      <w:r>
        <w:rPr>
          <w:rFonts w:hint="eastAsia" w:ascii="Times New Roman"/>
          <w:color w:val="auto"/>
          <w:highlight w:val="none"/>
          <w:lang w:val="en-US" w:eastAsia="zh-CN"/>
        </w:rPr>
        <w:t>噪声源</w:t>
      </w:r>
      <w:r>
        <w:rPr>
          <w:rFonts w:ascii="Times New Roman"/>
          <w:color w:val="auto"/>
          <w:highlight w:val="none"/>
        </w:rPr>
        <w:t>为</w:t>
      </w:r>
      <w:r>
        <w:rPr>
          <w:rFonts w:hint="eastAsia" w:ascii="Times New Roman"/>
          <w:color w:val="auto"/>
          <w:highlight w:val="none"/>
          <w:lang w:val="en-US" w:eastAsia="zh-CN"/>
        </w:rPr>
        <w:t>铲车</w:t>
      </w:r>
      <w:r>
        <w:rPr>
          <w:rFonts w:hint="eastAsia"/>
          <w:color w:val="auto"/>
          <w:highlight w:val="none"/>
          <w:lang w:eastAsia="zh-CN"/>
        </w:rPr>
        <w:t>、</w:t>
      </w:r>
      <w:r>
        <w:rPr>
          <w:rFonts w:hint="eastAsia"/>
          <w:color w:val="auto"/>
          <w:highlight w:val="none"/>
          <w:lang w:val="en-US" w:eastAsia="zh-CN"/>
        </w:rPr>
        <w:t>压实机、</w:t>
      </w:r>
      <w:r>
        <w:rPr>
          <w:rFonts w:ascii="Times New Roman"/>
          <w:color w:val="auto"/>
          <w:highlight w:val="none"/>
        </w:rPr>
        <w:t>推土机、</w:t>
      </w:r>
      <w:r>
        <w:rPr>
          <w:rFonts w:hint="eastAsia" w:ascii="Times New Roman"/>
          <w:color w:val="auto"/>
          <w:highlight w:val="none"/>
          <w:lang w:val="en-US" w:eastAsia="zh-CN"/>
        </w:rPr>
        <w:t>自卸汽车</w:t>
      </w:r>
      <w:r>
        <w:rPr>
          <w:rFonts w:hint="eastAsia"/>
          <w:color w:val="auto"/>
          <w:highlight w:val="none"/>
          <w:lang w:eastAsia="zh-CN"/>
        </w:rPr>
        <w:t>、</w:t>
      </w:r>
      <w:r>
        <w:rPr>
          <w:rFonts w:hint="eastAsia" w:ascii="Times New Roman"/>
          <w:color w:val="auto"/>
          <w:highlight w:val="none"/>
          <w:lang w:val="en-US" w:eastAsia="zh-CN"/>
        </w:rPr>
        <w:t>洒水车</w:t>
      </w:r>
      <w:r>
        <w:rPr>
          <w:rFonts w:ascii="Times New Roman"/>
          <w:color w:val="auto"/>
          <w:highlight w:val="none"/>
        </w:rPr>
        <w:t>等机械</w:t>
      </w:r>
      <w:r>
        <w:rPr>
          <w:rFonts w:hint="eastAsia" w:ascii="Times New Roman"/>
          <w:color w:val="auto"/>
          <w:highlight w:val="none"/>
          <w:lang w:val="en-US" w:eastAsia="zh-CN"/>
        </w:rPr>
        <w:t>噪声。</w:t>
      </w:r>
    </w:p>
    <w:p w14:paraId="42ED7DA5">
      <w:pPr>
        <w:spacing w:line="360" w:lineRule="auto"/>
        <w:ind w:firstLine="480"/>
        <w:rPr>
          <w:color w:val="auto"/>
          <w:highlight w:val="none"/>
        </w:rPr>
      </w:pPr>
      <w:r>
        <w:rPr>
          <w:rFonts w:hint="eastAsia"/>
          <w:color w:val="auto"/>
          <w:highlight w:val="none"/>
        </w:rPr>
        <w:t>（2）施工期噪声影响分析</w:t>
      </w:r>
    </w:p>
    <w:p w14:paraId="6B3AFD22">
      <w:pPr>
        <w:spacing w:line="360" w:lineRule="auto"/>
        <w:ind w:firstLine="480"/>
        <w:rPr>
          <w:color w:val="auto"/>
          <w:highlight w:val="none"/>
        </w:rPr>
      </w:pPr>
      <w:r>
        <w:rPr>
          <w:color w:val="auto"/>
          <w:highlight w:val="none"/>
        </w:rPr>
        <w:t>施工中使用的各种施工机械、运输车辆等都是噪声的产生源。假设所有设备均为稳态连续发声状态，在不考虑任何声屏障情况下，各设备采用最大噪声值进行预测，根据声环境导则无指向性点源几何发散衰减模式</w:t>
      </w:r>
      <w:r>
        <w:rPr>
          <w:rFonts w:hint="eastAsia"/>
          <w:color w:val="auto"/>
          <w:highlight w:val="none"/>
        </w:rPr>
        <w:t>，</w:t>
      </w:r>
      <w:r>
        <w:rPr>
          <w:color w:val="auto"/>
          <w:highlight w:val="none"/>
        </w:rPr>
        <w:t>点声源距离衰减情况如下表所示：</w:t>
      </w:r>
    </w:p>
    <w:p w14:paraId="01691C99">
      <w:pPr>
        <w:spacing w:line="240" w:lineRule="auto"/>
        <w:ind w:firstLine="480"/>
        <w:jc w:val="center"/>
        <w:rPr>
          <w:rFonts w:eastAsia="黑体"/>
          <w:b/>
          <w:bCs/>
          <w:color w:val="auto"/>
          <w:highlight w:val="none"/>
          <w:lang w:val="zh-CN"/>
        </w:rPr>
      </w:pPr>
      <w:r>
        <w:rPr>
          <w:rFonts w:hint="eastAsia" w:ascii="宋体" w:hAnsi="宋体" w:eastAsia="宋体" w:cs="宋体"/>
          <w:b/>
          <w:bCs/>
          <w:color w:val="auto"/>
          <w:highlight w:val="none"/>
          <w:lang w:val="zh-CN"/>
        </w:rPr>
        <w:t>表</w:t>
      </w:r>
      <w:r>
        <w:rPr>
          <w:rFonts w:hint="default" w:ascii="Times New Roman" w:hAnsi="Times New Roman" w:eastAsia="宋体" w:cs="Times New Roman"/>
          <w:b/>
          <w:bCs/>
          <w:color w:val="auto"/>
          <w:highlight w:val="none"/>
        </w:rPr>
        <w:t>5</w:t>
      </w:r>
      <w:r>
        <w:rPr>
          <w:rFonts w:hint="default" w:ascii="Times New Roman" w:hAnsi="Times New Roman" w:eastAsia="宋体" w:cs="Times New Roman"/>
          <w:b/>
          <w:bCs/>
          <w:color w:val="auto"/>
          <w:highlight w:val="none"/>
          <w:lang w:val="en-US" w:eastAsia="zh-CN"/>
        </w:rPr>
        <w:t>.</w:t>
      </w:r>
      <w:r>
        <w:rPr>
          <w:rFonts w:hint="default" w:ascii="Times New Roman" w:hAnsi="Times New Roman" w:eastAsia="宋体" w:cs="Times New Roman"/>
          <w:b/>
          <w:bCs/>
          <w:color w:val="auto"/>
          <w:highlight w:val="none"/>
        </w:rPr>
        <w:t>1</w:t>
      </w:r>
      <w:r>
        <w:rPr>
          <w:rFonts w:hint="default" w:ascii="Times New Roman" w:hAnsi="Times New Roman" w:eastAsia="宋体" w:cs="Times New Roman"/>
          <w:b/>
          <w:bCs/>
          <w:color w:val="auto"/>
          <w:highlight w:val="none"/>
          <w:lang w:val="zh-CN"/>
        </w:rPr>
        <w:t>-</w:t>
      </w:r>
      <w:r>
        <w:rPr>
          <w:rFonts w:hint="default" w:ascii="Times New Roman" w:hAnsi="Times New Roman" w:eastAsia="宋体" w:cs="Times New Roman"/>
          <w:b/>
          <w:bCs/>
          <w:color w:val="auto"/>
          <w:highlight w:val="none"/>
        </w:rPr>
        <w:t>2</w:t>
      </w:r>
      <w:r>
        <w:rPr>
          <w:rFonts w:hint="eastAsia" w:ascii="Times New Roman" w:cs="Times New Roman"/>
          <w:b/>
          <w:bCs/>
          <w:color w:val="auto"/>
          <w:highlight w:val="none"/>
          <w:lang w:val="en-US" w:eastAsia="zh-CN"/>
        </w:rPr>
        <w:t xml:space="preserve">  </w:t>
      </w:r>
      <w:r>
        <w:rPr>
          <w:rFonts w:hint="eastAsia" w:ascii="宋体" w:hAnsi="宋体" w:eastAsia="宋体" w:cs="宋体"/>
          <w:b/>
          <w:bCs/>
          <w:color w:val="auto"/>
          <w:highlight w:val="none"/>
          <w:lang w:val="zh-CN"/>
        </w:rPr>
        <w:t>声源距离衰减情况</w:t>
      </w:r>
    </w:p>
    <w:tbl>
      <w:tblPr>
        <w:tblStyle w:val="1310"/>
        <w:tblW w:w="5000" w:type="pct"/>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71"/>
        <w:gridCol w:w="799"/>
        <w:gridCol w:w="800"/>
        <w:gridCol w:w="800"/>
        <w:gridCol w:w="800"/>
        <w:gridCol w:w="800"/>
        <w:gridCol w:w="800"/>
        <w:gridCol w:w="800"/>
        <w:gridCol w:w="801"/>
        <w:gridCol w:w="801"/>
        <w:gridCol w:w="810"/>
      </w:tblGrid>
      <w:tr w14:paraId="3EF827B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41" w:type="pct"/>
            <w:tcBorders>
              <w:tl2br w:val="nil"/>
              <w:tr2bl w:val="nil"/>
            </w:tcBorders>
            <w:noWrap w:val="0"/>
            <w:vAlign w:val="center"/>
          </w:tcPr>
          <w:p w14:paraId="5E5A0094">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源强</w:t>
            </w:r>
          </w:p>
        </w:tc>
        <w:tc>
          <w:tcPr>
            <w:tcW w:w="4458" w:type="pct"/>
            <w:gridSpan w:val="10"/>
            <w:tcBorders>
              <w:tl2br w:val="nil"/>
              <w:tr2bl w:val="nil"/>
            </w:tcBorders>
            <w:noWrap w:val="0"/>
            <w:vAlign w:val="center"/>
          </w:tcPr>
          <w:p w14:paraId="3A4B89C7">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100dB（A）</w:t>
            </w:r>
          </w:p>
        </w:tc>
      </w:tr>
      <w:tr w14:paraId="610D7DE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41" w:type="pct"/>
            <w:tcBorders>
              <w:tl2br w:val="nil"/>
              <w:tr2bl w:val="nil"/>
            </w:tcBorders>
            <w:noWrap w:val="0"/>
            <w:vAlign w:val="center"/>
          </w:tcPr>
          <w:p w14:paraId="74CFF6F8">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距离</w:t>
            </w:r>
          </w:p>
        </w:tc>
        <w:tc>
          <w:tcPr>
            <w:tcW w:w="445" w:type="pct"/>
            <w:tcBorders>
              <w:tl2br w:val="nil"/>
              <w:tr2bl w:val="nil"/>
            </w:tcBorders>
            <w:noWrap w:val="0"/>
            <w:vAlign w:val="center"/>
          </w:tcPr>
          <w:p w14:paraId="65607B11">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30</w:t>
            </w:r>
          </w:p>
        </w:tc>
        <w:tc>
          <w:tcPr>
            <w:tcW w:w="445" w:type="pct"/>
            <w:tcBorders>
              <w:tl2br w:val="nil"/>
              <w:tr2bl w:val="nil"/>
            </w:tcBorders>
            <w:noWrap w:val="0"/>
            <w:vAlign w:val="center"/>
          </w:tcPr>
          <w:p w14:paraId="0C6F3091">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50</w:t>
            </w:r>
          </w:p>
        </w:tc>
        <w:tc>
          <w:tcPr>
            <w:tcW w:w="445" w:type="pct"/>
            <w:tcBorders>
              <w:tl2br w:val="nil"/>
              <w:tr2bl w:val="nil"/>
            </w:tcBorders>
            <w:noWrap w:val="0"/>
            <w:vAlign w:val="center"/>
          </w:tcPr>
          <w:p w14:paraId="5963C65F">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100</w:t>
            </w:r>
          </w:p>
        </w:tc>
        <w:tc>
          <w:tcPr>
            <w:tcW w:w="445" w:type="pct"/>
            <w:tcBorders>
              <w:tl2br w:val="nil"/>
              <w:tr2bl w:val="nil"/>
            </w:tcBorders>
            <w:noWrap w:val="0"/>
            <w:vAlign w:val="center"/>
          </w:tcPr>
          <w:p w14:paraId="02410DB4">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150</w:t>
            </w:r>
          </w:p>
        </w:tc>
        <w:tc>
          <w:tcPr>
            <w:tcW w:w="445" w:type="pct"/>
            <w:tcBorders>
              <w:tl2br w:val="nil"/>
              <w:tr2bl w:val="nil"/>
            </w:tcBorders>
            <w:noWrap w:val="0"/>
            <w:vAlign w:val="center"/>
          </w:tcPr>
          <w:p w14:paraId="21DE3F4C">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200</w:t>
            </w:r>
          </w:p>
        </w:tc>
        <w:tc>
          <w:tcPr>
            <w:tcW w:w="445" w:type="pct"/>
            <w:tcBorders>
              <w:tl2br w:val="nil"/>
              <w:tr2bl w:val="nil"/>
            </w:tcBorders>
            <w:noWrap w:val="0"/>
            <w:vAlign w:val="center"/>
          </w:tcPr>
          <w:p w14:paraId="15D68D06">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300</w:t>
            </w:r>
          </w:p>
        </w:tc>
        <w:tc>
          <w:tcPr>
            <w:tcW w:w="445" w:type="pct"/>
            <w:tcBorders>
              <w:tl2br w:val="nil"/>
              <w:tr2bl w:val="nil"/>
            </w:tcBorders>
            <w:noWrap w:val="0"/>
            <w:vAlign w:val="center"/>
          </w:tcPr>
          <w:p w14:paraId="2F442B09">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400</w:t>
            </w:r>
          </w:p>
        </w:tc>
        <w:tc>
          <w:tcPr>
            <w:tcW w:w="446" w:type="pct"/>
            <w:tcBorders>
              <w:tl2br w:val="nil"/>
              <w:tr2bl w:val="nil"/>
            </w:tcBorders>
            <w:noWrap w:val="0"/>
            <w:vAlign w:val="center"/>
          </w:tcPr>
          <w:p w14:paraId="52F2314C">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500</w:t>
            </w:r>
          </w:p>
        </w:tc>
        <w:tc>
          <w:tcPr>
            <w:tcW w:w="446" w:type="pct"/>
            <w:tcBorders>
              <w:tl2br w:val="nil"/>
              <w:tr2bl w:val="nil"/>
            </w:tcBorders>
            <w:noWrap w:val="0"/>
            <w:vAlign w:val="center"/>
          </w:tcPr>
          <w:p w14:paraId="398EDDE8">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600</w:t>
            </w:r>
          </w:p>
        </w:tc>
        <w:tc>
          <w:tcPr>
            <w:tcW w:w="445" w:type="pct"/>
            <w:tcBorders>
              <w:tl2br w:val="nil"/>
              <w:tr2bl w:val="nil"/>
            </w:tcBorders>
            <w:noWrap w:val="0"/>
            <w:vAlign w:val="center"/>
          </w:tcPr>
          <w:p w14:paraId="7E85B4AD">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700</w:t>
            </w:r>
          </w:p>
        </w:tc>
      </w:tr>
      <w:tr w14:paraId="0EE614DF">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41" w:type="pct"/>
            <w:tcBorders>
              <w:tl2br w:val="nil"/>
              <w:tr2bl w:val="nil"/>
            </w:tcBorders>
            <w:noWrap w:val="0"/>
            <w:vAlign w:val="center"/>
          </w:tcPr>
          <w:p w14:paraId="0C14AE2A">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贡献值</w:t>
            </w:r>
          </w:p>
        </w:tc>
        <w:tc>
          <w:tcPr>
            <w:tcW w:w="445" w:type="pct"/>
            <w:tcBorders>
              <w:tl2br w:val="nil"/>
              <w:tr2bl w:val="nil"/>
            </w:tcBorders>
            <w:noWrap w:val="0"/>
            <w:vAlign w:val="center"/>
          </w:tcPr>
          <w:p w14:paraId="253E8D95">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70.45</w:t>
            </w:r>
          </w:p>
        </w:tc>
        <w:tc>
          <w:tcPr>
            <w:tcW w:w="445" w:type="pct"/>
            <w:tcBorders>
              <w:tl2br w:val="nil"/>
              <w:tr2bl w:val="nil"/>
            </w:tcBorders>
            <w:noWrap w:val="0"/>
            <w:vAlign w:val="center"/>
          </w:tcPr>
          <w:p w14:paraId="30349380">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66.02</w:t>
            </w:r>
          </w:p>
        </w:tc>
        <w:tc>
          <w:tcPr>
            <w:tcW w:w="445" w:type="pct"/>
            <w:tcBorders>
              <w:tl2br w:val="nil"/>
              <w:tr2bl w:val="nil"/>
            </w:tcBorders>
            <w:noWrap w:val="0"/>
            <w:vAlign w:val="center"/>
          </w:tcPr>
          <w:p w14:paraId="6C088C0E">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60</w:t>
            </w:r>
          </w:p>
        </w:tc>
        <w:tc>
          <w:tcPr>
            <w:tcW w:w="445" w:type="pct"/>
            <w:tcBorders>
              <w:tl2br w:val="nil"/>
              <w:tr2bl w:val="nil"/>
            </w:tcBorders>
            <w:noWrap w:val="0"/>
            <w:vAlign w:val="center"/>
          </w:tcPr>
          <w:p w14:paraId="3B528E67">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56.48</w:t>
            </w:r>
          </w:p>
        </w:tc>
        <w:tc>
          <w:tcPr>
            <w:tcW w:w="445" w:type="pct"/>
            <w:tcBorders>
              <w:tl2br w:val="nil"/>
              <w:tr2bl w:val="nil"/>
            </w:tcBorders>
            <w:noWrap w:val="0"/>
            <w:vAlign w:val="center"/>
          </w:tcPr>
          <w:p w14:paraId="16D581EA">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53.97</w:t>
            </w:r>
          </w:p>
        </w:tc>
        <w:tc>
          <w:tcPr>
            <w:tcW w:w="445" w:type="pct"/>
            <w:tcBorders>
              <w:tl2br w:val="nil"/>
              <w:tr2bl w:val="nil"/>
            </w:tcBorders>
            <w:noWrap w:val="0"/>
            <w:vAlign w:val="center"/>
          </w:tcPr>
          <w:p w14:paraId="4F462E85">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50.45</w:t>
            </w:r>
          </w:p>
        </w:tc>
        <w:tc>
          <w:tcPr>
            <w:tcW w:w="445" w:type="pct"/>
            <w:tcBorders>
              <w:tl2br w:val="nil"/>
              <w:tr2bl w:val="nil"/>
            </w:tcBorders>
            <w:noWrap w:val="0"/>
            <w:vAlign w:val="center"/>
          </w:tcPr>
          <w:p w14:paraId="735A34E2">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47.96</w:t>
            </w:r>
          </w:p>
        </w:tc>
        <w:tc>
          <w:tcPr>
            <w:tcW w:w="446" w:type="pct"/>
            <w:tcBorders>
              <w:tl2br w:val="nil"/>
              <w:tr2bl w:val="nil"/>
            </w:tcBorders>
            <w:noWrap w:val="0"/>
            <w:vAlign w:val="center"/>
          </w:tcPr>
          <w:p w14:paraId="368C1E6A">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46.02</w:t>
            </w:r>
          </w:p>
        </w:tc>
        <w:tc>
          <w:tcPr>
            <w:tcW w:w="446" w:type="pct"/>
            <w:tcBorders>
              <w:tl2br w:val="nil"/>
              <w:tr2bl w:val="nil"/>
            </w:tcBorders>
            <w:noWrap w:val="0"/>
            <w:vAlign w:val="center"/>
          </w:tcPr>
          <w:p w14:paraId="4BC7D8A1">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44.43</w:t>
            </w:r>
          </w:p>
        </w:tc>
        <w:tc>
          <w:tcPr>
            <w:tcW w:w="445" w:type="pct"/>
            <w:tcBorders>
              <w:tl2br w:val="nil"/>
              <w:tr2bl w:val="nil"/>
            </w:tcBorders>
            <w:noWrap w:val="0"/>
            <w:vAlign w:val="center"/>
          </w:tcPr>
          <w:p w14:paraId="3063E453">
            <w:pPr>
              <w:keepNext w:val="0"/>
              <w:keepLines w:val="0"/>
              <w:suppressLineNumbers w:val="0"/>
              <w:adjustRightInd/>
              <w:snapToGrid/>
              <w:spacing w:before="0" w:beforeAutospacing="0" w:after="0" w:afterAutospacing="0" w:line="240" w:lineRule="auto"/>
              <w:ind w:left="0" w:right="0" w:firstLine="0" w:firstLineChars="0"/>
              <w:jc w:val="center"/>
              <w:rPr>
                <w:snapToGrid w:val="0"/>
                <w:color w:val="auto"/>
                <w:sz w:val="21"/>
                <w:szCs w:val="21"/>
                <w:highlight w:val="none"/>
                <w:lang w:val="zh-CN"/>
              </w:rPr>
            </w:pPr>
            <w:r>
              <w:rPr>
                <w:snapToGrid w:val="0"/>
                <w:color w:val="auto"/>
                <w:sz w:val="21"/>
                <w:szCs w:val="21"/>
                <w:highlight w:val="none"/>
                <w:lang w:val="zh-CN"/>
              </w:rPr>
              <w:t>43.09</w:t>
            </w:r>
          </w:p>
        </w:tc>
      </w:tr>
    </w:tbl>
    <w:p w14:paraId="4609D3F6">
      <w:pPr>
        <w:spacing w:line="360" w:lineRule="auto"/>
        <w:ind w:firstLine="480"/>
        <w:rPr>
          <w:color w:val="auto"/>
          <w:highlight w:val="none"/>
        </w:rPr>
      </w:pPr>
      <w:r>
        <w:rPr>
          <w:color w:val="auto"/>
          <w:highlight w:val="none"/>
        </w:rPr>
        <w:t>根据《建筑施工噪声排放标准》（GB12523-20</w:t>
      </w:r>
      <w:r>
        <w:rPr>
          <w:rFonts w:hint="eastAsia"/>
          <w:color w:val="auto"/>
          <w:highlight w:val="none"/>
          <w:lang w:val="en-US" w:eastAsia="zh-CN"/>
        </w:rPr>
        <w:t>25</w:t>
      </w:r>
      <w:r>
        <w:rPr>
          <w:color w:val="auto"/>
          <w:highlight w:val="none"/>
        </w:rPr>
        <w:t>）的规定，施工噪声控制在昼间70dB（A），夜间控制在55dB（A）。</w:t>
      </w:r>
    </w:p>
    <w:p w14:paraId="477D2598">
      <w:pPr>
        <w:spacing w:line="360" w:lineRule="auto"/>
        <w:ind w:firstLine="480"/>
        <w:rPr>
          <w:color w:val="auto"/>
          <w:highlight w:val="none"/>
        </w:rPr>
      </w:pPr>
      <w:r>
        <w:rPr>
          <w:color w:val="auto"/>
          <w:highlight w:val="none"/>
        </w:rPr>
        <w:t>项目施工机械最大声功率级按100dB（A）计算，白天衰减至70dB（A）时需要满足的衰减距离为30m，夜间衰减至55dB（A）时需要满足的衰减距离为</w:t>
      </w:r>
      <w:r>
        <w:rPr>
          <w:rFonts w:hint="eastAsia"/>
          <w:color w:val="auto"/>
          <w:highlight w:val="none"/>
        </w:rPr>
        <w:t>125</w:t>
      </w:r>
      <w:r>
        <w:rPr>
          <w:color w:val="auto"/>
          <w:highlight w:val="none"/>
        </w:rPr>
        <w:t>m，</w:t>
      </w:r>
      <w:r>
        <w:rPr>
          <w:rFonts w:hint="eastAsia"/>
          <w:color w:val="auto"/>
          <w:highlight w:val="none"/>
        </w:rPr>
        <w:t>禁止</w:t>
      </w:r>
      <w:r>
        <w:rPr>
          <w:color w:val="auto"/>
          <w:highlight w:val="none"/>
        </w:rPr>
        <w:t>夜间施工，对</w:t>
      </w:r>
      <w:r>
        <w:rPr>
          <w:rFonts w:hint="eastAsia"/>
          <w:color w:val="auto"/>
          <w:highlight w:val="none"/>
        </w:rPr>
        <w:t>周边环境</w:t>
      </w:r>
      <w:r>
        <w:rPr>
          <w:color w:val="auto"/>
          <w:highlight w:val="none"/>
        </w:rPr>
        <w:t>影响较小。</w:t>
      </w:r>
    </w:p>
    <w:p w14:paraId="44D39C39">
      <w:pPr>
        <w:spacing w:line="360" w:lineRule="auto"/>
        <w:ind w:firstLine="480"/>
        <w:rPr>
          <w:color w:val="auto"/>
          <w:highlight w:val="none"/>
        </w:rPr>
      </w:pPr>
      <w:r>
        <w:rPr>
          <w:color w:val="auto"/>
          <w:highlight w:val="none"/>
        </w:rPr>
        <w:t>在严格控制夜间不施工的前提下，</w:t>
      </w:r>
      <w:r>
        <w:rPr>
          <w:rFonts w:hint="eastAsia"/>
          <w:color w:val="auto"/>
          <w:highlight w:val="none"/>
        </w:rPr>
        <w:t>采用</w:t>
      </w:r>
      <w:r>
        <w:rPr>
          <w:color w:val="auto"/>
          <w:highlight w:val="none"/>
        </w:rPr>
        <w:t>低噪声设备、对设备进行</w:t>
      </w:r>
      <w:r>
        <w:rPr>
          <w:rFonts w:hint="eastAsia"/>
          <w:color w:val="auto"/>
          <w:highlight w:val="none"/>
        </w:rPr>
        <w:t>隔声</w:t>
      </w:r>
      <w:r>
        <w:rPr>
          <w:color w:val="auto"/>
          <w:highlight w:val="none"/>
        </w:rPr>
        <w:t>、</w:t>
      </w:r>
      <w:r>
        <w:rPr>
          <w:rFonts w:hint="eastAsia"/>
          <w:color w:val="auto"/>
          <w:highlight w:val="none"/>
        </w:rPr>
        <w:t>减振处理</w:t>
      </w:r>
      <w:r>
        <w:rPr>
          <w:color w:val="auto"/>
          <w:highlight w:val="none"/>
        </w:rPr>
        <w:t>，本项目施工期间产生的噪声不会对周围环境造成明显影响，其施工场界声环境可满足《建筑施工噪声排放标准》（GB12523-20</w:t>
      </w:r>
      <w:r>
        <w:rPr>
          <w:rFonts w:hint="eastAsia"/>
          <w:color w:val="auto"/>
          <w:highlight w:val="none"/>
          <w:lang w:val="en-US" w:eastAsia="zh-CN"/>
        </w:rPr>
        <w:t>25</w:t>
      </w:r>
      <w:r>
        <w:rPr>
          <w:color w:val="auto"/>
          <w:highlight w:val="none"/>
        </w:rPr>
        <w:t>）要求，对区域声环境不会产生显著性不良影响。</w:t>
      </w:r>
    </w:p>
    <w:p w14:paraId="52A997FA">
      <w:pPr>
        <w:spacing w:line="360" w:lineRule="auto"/>
        <w:ind w:firstLine="480"/>
        <w:rPr>
          <w:color w:val="auto"/>
          <w:highlight w:val="none"/>
        </w:rPr>
      </w:pPr>
      <w:r>
        <w:rPr>
          <w:rFonts w:hint="eastAsia"/>
          <w:color w:val="auto"/>
          <w:highlight w:val="none"/>
        </w:rPr>
        <w:t>（3）施工期噪声减缓措施</w:t>
      </w:r>
    </w:p>
    <w:p w14:paraId="42A383E9">
      <w:pPr>
        <w:spacing w:line="360" w:lineRule="auto"/>
        <w:ind w:firstLine="480"/>
        <w:rPr>
          <w:color w:val="auto"/>
          <w:highlight w:val="none"/>
        </w:rPr>
      </w:pPr>
      <w:r>
        <w:rPr>
          <w:rFonts w:hint="eastAsia"/>
          <w:color w:val="auto"/>
          <w:highlight w:val="none"/>
        </w:rPr>
        <w:t>①合理安排施工时间：首先，制定施工计划，尽可能避免大量高噪声设备同时施工；</w:t>
      </w:r>
    </w:p>
    <w:p w14:paraId="74F73802">
      <w:pPr>
        <w:spacing w:line="360" w:lineRule="auto"/>
        <w:ind w:firstLine="480"/>
        <w:rPr>
          <w:color w:val="auto"/>
          <w:highlight w:val="none"/>
        </w:rPr>
      </w:pPr>
      <w:r>
        <w:rPr>
          <w:rFonts w:hint="eastAsia"/>
          <w:color w:val="auto"/>
          <w:highlight w:val="none"/>
        </w:rPr>
        <w:t>②合理布局施工现场：避免在同一地点安排大量动力机械设备，以避免局部声级过高；</w:t>
      </w:r>
    </w:p>
    <w:p w14:paraId="2E791726">
      <w:pPr>
        <w:spacing w:line="360" w:lineRule="auto"/>
        <w:ind w:firstLine="480"/>
        <w:rPr>
          <w:color w:val="auto"/>
          <w:highlight w:val="none"/>
        </w:rPr>
      </w:pPr>
      <w:r>
        <w:rPr>
          <w:rFonts w:hint="eastAsia"/>
          <w:color w:val="auto"/>
          <w:highlight w:val="none"/>
        </w:rPr>
        <w:t>③降低设备声级：设备选型上尽量采用低噪声设备</w:t>
      </w:r>
      <w:r>
        <w:rPr>
          <w:rFonts w:hint="eastAsia"/>
          <w:color w:val="auto"/>
          <w:highlight w:val="none"/>
          <w:lang w:eastAsia="zh-CN"/>
        </w:rPr>
        <w:t>。</w:t>
      </w:r>
      <w:r>
        <w:rPr>
          <w:rFonts w:hint="eastAsia"/>
          <w:color w:val="auto"/>
          <w:highlight w:val="none"/>
        </w:rPr>
        <w:t>固定机械设备及挖土、运土机械，如挖土机、推土机等，可通过安装排气管和隔离发动机振动部件的方法降低噪声；对动力机械设备进行定期的维修、养护，减少因维修不良而增加的噪声声级；闲置不用的设备应立即关闭；</w:t>
      </w:r>
    </w:p>
    <w:p w14:paraId="5114D0B1">
      <w:pPr>
        <w:spacing w:line="360" w:lineRule="auto"/>
        <w:ind w:firstLine="480"/>
        <w:rPr>
          <w:color w:val="auto"/>
          <w:highlight w:val="none"/>
        </w:rPr>
      </w:pPr>
      <w:r>
        <w:rPr>
          <w:rFonts w:hint="eastAsia"/>
          <w:color w:val="auto"/>
          <w:highlight w:val="none"/>
        </w:rPr>
        <w:t>④降低人为噪音：按规定操作机械设备，遵守作业规定，减少碰撞噪</w:t>
      </w:r>
      <w:r>
        <w:rPr>
          <w:rFonts w:hint="eastAsia"/>
          <w:color w:val="auto"/>
          <w:highlight w:val="none"/>
          <w:lang w:val="en-US" w:eastAsia="zh-CN"/>
        </w:rPr>
        <w:t>声</w:t>
      </w:r>
      <w:r>
        <w:rPr>
          <w:rFonts w:hint="eastAsia"/>
          <w:color w:val="auto"/>
          <w:highlight w:val="none"/>
        </w:rPr>
        <w:t>；尽量少用哨子、笛等指挥作业；</w:t>
      </w:r>
    </w:p>
    <w:p w14:paraId="2FFF879A">
      <w:pPr>
        <w:spacing w:line="360" w:lineRule="auto"/>
        <w:ind w:firstLine="480"/>
        <w:rPr>
          <w:color w:val="auto"/>
          <w:highlight w:val="none"/>
        </w:rPr>
      </w:pPr>
      <w:r>
        <w:rPr>
          <w:rFonts w:hint="eastAsia"/>
          <w:color w:val="auto"/>
          <w:highlight w:val="none"/>
        </w:rPr>
        <w:t>⑤减少施工交通噪声：由于施工期间交通运输对环境影响较大，建议采用以下措施：禁止夜间运输；适当限制车速；对运输车辆进行定期维修、养护；减少或杜绝鸣笛；合理安排运输路线；</w:t>
      </w:r>
    </w:p>
    <w:p w14:paraId="3BF0D946">
      <w:pPr>
        <w:spacing w:line="360" w:lineRule="auto"/>
        <w:ind w:firstLine="480"/>
        <w:rPr>
          <w:color w:val="auto"/>
          <w:highlight w:val="none"/>
        </w:rPr>
      </w:pPr>
      <w:r>
        <w:rPr>
          <w:rFonts w:hint="eastAsia"/>
          <w:color w:val="auto"/>
          <w:highlight w:val="none"/>
        </w:rPr>
        <w:t>⑥加强监督管理：加强管理是以上减噪措施有效实施的保证</w:t>
      </w:r>
      <w:r>
        <w:rPr>
          <w:rFonts w:hint="eastAsia"/>
          <w:color w:val="auto"/>
          <w:highlight w:val="none"/>
          <w:lang w:eastAsia="zh-CN"/>
        </w:rPr>
        <w:t>。</w:t>
      </w:r>
      <w:r>
        <w:rPr>
          <w:rFonts w:hint="eastAsia"/>
          <w:color w:val="auto"/>
          <w:highlight w:val="none"/>
        </w:rPr>
        <w:t>同时，还应与周围居民建立联系，对可能受施工干扰的</w:t>
      </w:r>
      <w:r>
        <w:rPr>
          <w:rFonts w:hint="eastAsia"/>
          <w:color w:val="auto"/>
          <w:highlight w:val="none"/>
          <w:lang w:val="en-US" w:eastAsia="zh-CN"/>
        </w:rPr>
        <w:t>居民</w:t>
      </w:r>
      <w:r>
        <w:rPr>
          <w:rFonts w:hint="eastAsia"/>
          <w:color w:val="auto"/>
          <w:highlight w:val="none"/>
        </w:rPr>
        <w:t>应在作业前予以通知，求得大家的共同理解。</w:t>
      </w:r>
    </w:p>
    <w:p w14:paraId="500E5BC4">
      <w:pPr>
        <w:spacing w:line="360" w:lineRule="auto"/>
        <w:ind w:firstLine="480"/>
        <w:rPr>
          <w:color w:val="auto"/>
          <w:highlight w:val="none"/>
        </w:rPr>
      </w:pPr>
      <w:r>
        <w:rPr>
          <w:rFonts w:hint="eastAsia"/>
          <w:color w:val="auto"/>
          <w:highlight w:val="none"/>
        </w:rPr>
        <w:t>采取以上措施后，本项目施工期不会对周围声环境产生明显影响。</w:t>
      </w:r>
    </w:p>
    <w:p w14:paraId="49FBABD3">
      <w:pPr>
        <w:pStyle w:val="7"/>
        <w:numPr>
          <w:ilvl w:val="2"/>
          <w:numId w:val="0"/>
        </w:numPr>
        <w:spacing w:line="360" w:lineRule="auto"/>
        <w:ind w:leftChars="0"/>
        <w:rPr>
          <w:color w:val="auto"/>
          <w:highlight w:val="none"/>
        </w:rPr>
      </w:pPr>
      <w:r>
        <w:rPr>
          <w:rFonts w:hint="eastAsia"/>
          <w:color w:val="auto"/>
          <w:highlight w:val="none"/>
        </w:rPr>
        <w:t>5</w:t>
      </w:r>
      <w:r>
        <w:rPr>
          <w:color w:val="auto"/>
          <w:highlight w:val="none"/>
        </w:rPr>
        <w:t>.1.4固体废物影响评价</w:t>
      </w:r>
    </w:p>
    <w:p w14:paraId="323EC9B9">
      <w:pPr>
        <w:pStyle w:val="1359"/>
        <w:autoSpaceDE w:val="0"/>
        <w:autoSpaceDN w:val="0"/>
        <w:spacing w:line="360" w:lineRule="auto"/>
        <w:ind w:firstLine="480" w:firstLineChars="200"/>
        <w:jc w:val="both"/>
        <w:textAlignment w:val="bottom"/>
        <w:rPr>
          <w:rFonts w:ascii="Times New Roman"/>
          <w:color w:val="auto"/>
          <w:highlight w:val="none"/>
        </w:rPr>
      </w:pPr>
      <w:r>
        <w:rPr>
          <w:rFonts w:ascii="Times New Roman"/>
          <w:color w:val="auto"/>
          <w:highlight w:val="none"/>
        </w:rPr>
        <w:t>（1）因回填区域属于废弃</w:t>
      </w:r>
      <w:r>
        <w:rPr>
          <w:rFonts w:hint="eastAsia" w:asciiTheme="minorEastAsia" w:hAnsiTheme="minorEastAsia" w:eastAsiaTheme="minorEastAsia" w:cstheme="minorEastAsia"/>
          <w:color w:val="auto"/>
          <w:szCs w:val="24"/>
          <w:highlight w:val="none"/>
        </w:rPr>
        <w:t>采砂坑</w:t>
      </w:r>
      <w:r>
        <w:rPr>
          <w:rFonts w:ascii="Times New Roman"/>
          <w:color w:val="auto"/>
          <w:highlight w:val="none"/>
        </w:rPr>
        <w:t>，不涉及表土剥离，项目施工期产生的固体废物主要来源于</w:t>
      </w:r>
      <w:r>
        <w:rPr>
          <w:rFonts w:hint="eastAsia" w:ascii="Times New Roman"/>
          <w:color w:val="auto"/>
          <w:highlight w:val="none"/>
          <w:lang w:eastAsia="zh-CN"/>
        </w:rPr>
        <w:t>拦挡埂、隔声隔尘挡板工程</w:t>
      </w:r>
      <w:r>
        <w:rPr>
          <w:rFonts w:ascii="Times New Roman"/>
          <w:color w:val="auto"/>
          <w:highlight w:val="none"/>
        </w:rPr>
        <w:t>等构筑物建设过程中产生的</w:t>
      </w:r>
      <w:r>
        <w:rPr>
          <w:rFonts w:hint="eastAsia" w:ascii="Times New Roman"/>
          <w:color w:val="auto"/>
          <w:highlight w:val="none"/>
          <w:lang w:val="en-US" w:eastAsia="zh-CN"/>
        </w:rPr>
        <w:t>土方</w:t>
      </w:r>
      <w:r>
        <w:rPr>
          <w:rFonts w:ascii="Times New Roman"/>
          <w:color w:val="auto"/>
          <w:highlight w:val="none"/>
        </w:rPr>
        <w:t>，虽然这些废物不含有毒有害成分，但如果处理不当，可能对环境景观、地表水、地下水体和土壤形成破坏。</w:t>
      </w:r>
    </w:p>
    <w:p w14:paraId="787D8994">
      <w:pPr>
        <w:pStyle w:val="1359"/>
        <w:autoSpaceDE w:val="0"/>
        <w:autoSpaceDN w:val="0"/>
        <w:spacing w:line="360" w:lineRule="auto"/>
        <w:ind w:firstLine="480" w:firstLineChars="200"/>
        <w:jc w:val="both"/>
        <w:textAlignment w:val="bottom"/>
        <w:rPr>
          <w:rFonts w:ascii="Times New Roman"/>
          <w:color w:val="auto"/>
          <w:highlight w:val="none"/>
        </w:rPr>
      </w:pPr>
      <w:r>
        <w:rPr>
          <w:rFonts w:ascii="Times New Roman"/>
          <w:color w:val="auto"/>
          <w:highlight w:val="none"/>
        </w:rPr>
        <w:t>（2）由于本项目工程量较小，故这部分</w:t>
      </w:r>
      <w:r>
        <w:rPr>
          <w:rFonts w:hint="eastAsia" w:ascii="Times New Roman"/>
          <w:color w:val="auto"/>
          <w:highlight w:val="none"/>
          <w:lang w:val="en-US" w:eastAsia="zh-CN"/>
        </w:rPr>
        <w:t>土方</w:t>
      </w:r>
      <w:r>
        <w:rPr>
          <w:rFonts w:ascii="Times New Roman"/>
          <w:color w:val="auto"/>
          <w:highlight w:val="none"/>
        </w:rPr>
        <w:t>产生量极小，构筑物建设完成后，施工产生的</w:t>
      </w:r>
      <w:r>
        <w:rPr>
          <w:rFonts w:hint="eastAsia" w:ascii="Times New Roman"/>
          <w:color w:val="auto"/>
          <w:highlight w:val="none"/>
          <w:lang w:val="en-US" w:eastAsia="zh-CN"/>
        </w:rPr>
        <w:t>土方</w:t>
      </w:r>
      <w:r>
        <w:rPr>
          <w:rFonts w:ascii="Times New Roman"/>
          <w:color w:val="auto"/>
          <w:highlight w:val="none"/>
        </w:rPr>
        <w:t>，在条件充分时应首先考虑用于施工场地的回填。</w:t>
      </w:r>
    </w:p>
    <w:p w14:paraId="6891C1A8">
      <w:pPr>
        <w:pStyle w:val="1359"/>
        <w:autoSpaceDE w:val="0"/>
        <w:autoSpaceDN w:val="0"/>
        <w:spacing w:line="360" w:lineRule="auto"/>
        <w:ind w:firstLine="480" w:firstLineChars="200"/>
        <w:jc w:val="both"/>
        <w:textAlignment w:val="bottom"/>
        <w:rPr>
          <w:rFonts w:ascii="Times New Roman"/>
          <w:color w:val="auto"/>
          <w:highlight w:val="none"/>
        </w:rPr>
      </w:pPr>
      <w:r>
        <w:rPr>
          <w:rFonts w:ascii="Times New Roman"/>
          <w:color w:val="auto"/>
          <w:highlight w:val="none"/>
        </w:rPr>
        <w:t>（3）对施工人员产生的生活垃圾</w:t>
      </w:r>
      <w:r>
        <w:rPr>
          <w:rFonts w:hint="eastAsia" w:ascii="Times New Roman"/>
          <w:color w:val="auto"/>
          <w:highlight w:val="none"/>
        </w:rPr>
        <w:t>集中收集后，定期由市政环卫部门</w:t>
      </w:r>
      <w:r>
        <w:rPr>
          <w:rFonts w:hint="eastAsia" w:ascii="Times New Roman"/>
          <w:color w:val="auto"/>
          <w:highlight w:val="none"/>
          <w:lang w:val="en-US" w:eastAsia="zh-CN"/>
        </w:rPr>
        <w:t>清运</w:t>
      </w:r>
      <w:r>
        <w:rPr>
          <w:rFonts w:hint="eastAsia" w:ascii="Times New Roman"/>
          <w:color w:val="auto"/>
          <w:highlight w:val="none"/>
        </w:rPr>
        <w:t>处理</w:t>
      </w:r>
      <w:r>
        <w:rPr>
          <w:rFonts w:ascii="Times New Roman"/>
          <w:color w:val="auto"/>
          <w:highlight w:val="none"/>
        </w:rPr>
        <w:t>。</w:t>
      </w:r>
    </w:p>
    <w:p w14:paraId="3B5C05B1">
      <w:pPr>
        <w:pStyle w:val="1359"/>
        <w:autoSpaceDE w:val="0"/>
        <w:autoSpaceDN w:val="0"/>
        <w:spacing w:line="360" w:lineRule="auto"/>
        <w:ind w:firstLine="480" w:firstLineChars="200"/>
        <w:jc w:val="both"/>
        <w:textAlignment w:val="bottom"/>
        <w:rPr>
          <w:rFonts w:ascii="Times New Roman"/>
          <w:color w:val="auto"/>
          <w:highlight w:val="none"/>
        </w:rPr>
      </w:pPr>
      <w:r>
        <w:rPr>
          <w:rFonts w:ascii="Times New Roman"/>
          <w:color w:val="auto"/>
          <w:highlight w:val="none"/>
        </w:rPr>
        <w:t>因此，应加强施工现场管理，采取有效的防护措施，最大限度</w:t>
      </w:r>
      <w:r>
        <w:rPr>
          <w:rFonts w:hint="eastAsia" w:ascii="Times New Roman"/>
          <w:color w:val="auto"/>
          <w:highlight w:val="none"/>
          <w:lang w:val="en-US" w:eastAsia="zh-CN"/>
        </w:rPr>
        <w:t>地</w:t>
      </w:r>
      <w:r>
        <w:rPr>
          <w:rFonts w:ascii="Times New Roman"/>
          <w:color w:val="auto"/>
          <w:highlight w:val="none"/>
        </w:rPr>
        <w:t>减少施工对周围环境造成的不良影响。</w:t>
      </w:r>
    </w:p>
    <w:p w14:paraId="3538BFE1">
      <w:pPr>
        <w:pStyle w:val="7"/>
        <w:numPr>
          <w:ilvl w:val="2"/>
          <w:numId w:val="0"/>
        </w:numPr>
        <w:spacing w:line="360" w:lineRule="auto"/>
        <w:ind w:leftChars="0"/>
        <w:rPr>
          <w:color w:val="auto"/>
          <w:highlight w:val="none"/>
        </w:rPr>
      </w:pPr>
      <w:r>
        <w:rPr>
          <w:rFonts w:hint="eastAsia"/>
          <w:color w:val="auto"/>
          <w:highlight w:val="none"/>
        </w:rPr>
        <w:t>5.1.5</w:t>
      </w:r>
      <w:r>
        <w:rPr>
          <w:color w:val="auto"/>
          <w:highlight w:val="none"/>
        </w:rPr>
        <w:t>生态环境影响分析</w:t>
      </w:r>
    </w:p>
    <w:p w14:paraId="7B14E677">
      <w:pPr>
        <w:pStyle w:val="1359"/>
        <w:autoSpaceDE w:val="0"/>
        <w:autoSpaceDN w:val="0"/>
        <w:spacing w:line="360" w:lineRule="auto"/>
        <w:ind w:firstLine="480" w:firstLineChars="200"/>
        <w:jc w:val="both"/>
        <w:textAlignment w:val="bottom"/>
        <w:rPr>
          <w:rFonts w:ascii="Times New Roman"/>
          <w:color w:val="auto"/>
          <w:highlight w:val="none"/>
        </w:rPr>
      </w:pPr>
      <w:r>
        <w:rPr>
          <w:rFonts w:ascii="Times New Roman"/>
          <w:color w:val="auto"/>
          <w:highlight w:val="none"/>
        </w:rPr>
        <w:t>项目施工期</w:t>
      </w:r>
      <w:r>
        <w:rPr>
          <w:rFonts w:hint="eastAsia" w:ascii="Times New Roman"/>
          <w:color w:val="auto"/>
          <w:highlight w:val="none"/>
          <w:lang w:eastAsia="zh-CN"/>
        </w:rPr>
        <w:t>拦挡埂、隔声隔尘挡板工程</w:t>
      </w:r>
      <w:r>
        <w:rPr>
          <w:rFonts w:hint="eastAsia" w:ascii="Times New Roman"/>
          <w:color w:val="auto"/>
          <w:highlight w:val="none"/>
        </w:rPr>
        <w:t>等构筑物建设位于永久占地范围内，</w:t>
      </w:r>
      <w:r>
        <w:rPr>
          <w:rFonts w:ascii="Times New Roman"/>
          <w:color w:val="auto"/>
          <w:highlight w:val="none"/>
        </w:rPr>
        <w:t>占地面积较小，对植被的影响不大。</w:t>
      </w:r>
    </w:p>
    <w:p w14:paraId="3AEC9557">
      <w:pPr>
        <w:pStyle w:val="1359"/>
        <w:autoSpaceDE w:val="0"/>
        <w:autoSpaceDN w:val="0"/>
        <w:spacing w:line="360" w:lineRule="auto"/>
        <w:ind w:firstLine="480" w:firstLineChars="200"/>
        <w:jc w:val="both"/>
        <w:textAlignment w:val="bottom"/>
        <w:rPr>
          <w:rFonts w:ascii="Times New Roman"/>
          <w:color w:val="auto"/>
          <w:highlight w:val="none"/>
        </w:rPr>
      </w:pPr>
      <w:r>
        <w:rPr>
          <w:rFonts w:ascii="Times New Roman"/>
          <w:color w:val="auto"/>
          <w:highlight w:val="none"/>
        </w:rPr>
        <w:t>在项目建设中，要实施开挖等作业。在土石的开挖地、填筑地及堆存地，会存在土石直接裸露，土石遇有风天气会引起扬尘，遇降水天气会造成一定的水土流失。根据建设工程的性质和工程特点，建设单位可采取尽量减少开挖面、及时覆土绿化等措施以减缓其影响，防止水土流失。</w:t>
      </w:r>
    </w:p>
    <w:p w14:paraId="32877AA3">
      <w:pPr>
        <w:pStyle w:val="1359"/>
        <w:keepNext w:val="0"/>
        <w:keepLines w:val="0"/>
        <w:pageBreakBefore w:val="0"/>
        <w:widowControl w:val="0"/>
        <w:kinsoku/>
        <w:wordWrap/>
        <w:overflowPunct/>
        <w:topLinePunct w:val="0"/>
        <w:autoSpaceDE w:val="0"/>
        <w:autoSpaceDN w:val="0"/>
        <w:bidi w:val="0"/>
        <w:adjustRightInd w:val="0"/>
        <w:spacing w:line="360" w:lineRule="auto"/>
        <w:ind w:firstLine="480" w:firstLineChars="200"/>
        <w:jc w:val="both"/>
        <w:textAlignment w:val="bottom"/>
        <w:rPr>
          <w:rFonts w:ascii="Times New Roman"/>
          <w:color w:val="auto"/>
          <w:highlight w:val="none"/>
        </w:rPr>
      </w:pPr>
      <w:r>
        <w:rPr>
          <w:rFonts w:ascii="Times New Roman"/>
          <w:color w:val="auto"/>
          <w:highlight w:val="none"/>
        </w:rPr>
        <w:t>（1）对植被的影响</w:t>
      </w:r>
    </w:p>
    <w:p w14:paraId="4A2A5B02">
      <w:pPr>
        <w:pStyle w:val="1359"/>
        <w:keepNext w:val="0"/>
        <w:keepLines w:val="0"/>
        <w:pageBreakBefore w:val="0"/>
        <w:widowControl w:val="0"/>
        <w:kinsoku/>
        <w:wordWrap/>
        <w:overflowPunct/>
        <w:topLinePunct w:val="0"/>
        <w:autoSpaceDE w:val="0"/>
        <w:autoSpaceDN w:val="0"/>
        <w:bidi w:val="0"/>
        <w:adjustRightInd w:val="0"/>
        <w:spacing w:line="360" w:lineRule="auto"/>
        <w:ind w:firstLine="480" w:firstLineChars="200"/>
        <w:jc w:val="both"/>
        <w:textAlignment w:val="bottom"/>
        <w:rPr>
          <w:rFonts w:ascii="Times New Roman"/>
          <w:color w:val="auto"/>
          <w:highlight w:val="none"/>
        </w:rPr>
      </w:pPr>
      <w:r>
        <w:rPr>
          <w:rFonts w:ascii="Times New Roman"/>
          <w:color w:val="auto"/>
          <w:highlight w:val="none"/>
        </w:rPr>
        <w:t>工程建设过程中不可避免对陆生植物产生一定的影响，为了减缓影响，应明确施工用地范围，禁止施工人员、车辆进入非施工占地区域。施工结束后，施工临时生产设施将予以拆除，并进行场地平整。</w:t>
      </w:r>
    </w:p>
    <w:p w14:paraId="699AD609">
      <w:pPr>
        <w:pStyle w:val="1359"/>
        <w:keepNext w:val="0"/>
        <w:keepLines w:val="0"/>
        <w:pageBreakBefore w:val="0"/>
        <w:widowControl w:val="0"/>
        <w:kinsoku/>
        <w:wordWrap/>
        <w:overflowPunct/>
        <w:topLinePunct w:val="0"/>
        <w:autoSpaceDE w:val="0"/>
        <w:autoSpaceDN w:val="0"/>
        <w:bidi w:val="0"/>
        <w:adjustRightInd w:val="0"/>
        <w:spacing w:line="360" w:lineRule="auto"/>
        <w:ind w:firstLine="480" w:firstLineChars="200"/>
        <w:jc w:val="both"/>
        <w:textAlignment w:val="bottom"/>
        <w:rPr>
          <w:rFonts w:ascii="Times New Roman"/>
          <w:color w:val="auto"/>
          <w:highlight w:val="none"/>
        </w:rPr>
      </w:pPr>
      <w:r>
        <w:rPr>
          <w:rFonts w:ascii="Times New Roman"/>
          <w:color w:val="auto"/>
          <w:highlight w:val="none"/>
        </w:rPr>
        <w:t>（2）对动物的影响</w:t>
      </w:r>
    </w:p>
    <w:p w14:paraId="3D93080A">
      <w:pPr>
        <w:pStyle w:val="217"/>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项目附近生境主要为耕地及林地，施工区域主要为</w:t>
      </w:r>
      <w:r>
        <w:rPr>
          <w:rFonts w:hint="eastAsia" w:ascii="Times New Roman" w:hAnsi="Times New Roman" w:eastAsia="宋体" w:cs="Times New Roman"/>
          <w:color w:val="auto"/>
          <w:highlight w:val="none"/>
          <w:lang w:val="en-US" w:eastAsia="zh-CN"/>
        </w:rPr>
        <w:t>历史遗留</w:t>
      </w:r>
      <w:r>
        <w:rPr>
          <w:rFonts w:hint="eastAsia" w:ascii="Times New Roman"/>
          <w:color w:val="auto"/>
          <w:highlight w:val="none"/>
          <w:lang w:val="en-US" w:eastAsia="zh-CN"/>
        </w:rPr>
        <w:t>采砂坑</w:t>
      </w:r>
      <w:r>
        <w:rPr>
          <w:rFonts w:hint="default" w:ascii="Times New Roman" w:hAnsi="Times New Roman" w:eastAsia="宋体" w:cs="Times New Roman"/>
          <w:color w:val="auto"/>
          <w:highlight w:val="none"/>
          <w:lang w:val="en-US" w:eastAsia="zh-CN"/>
        </w:rPr>
        <w:t>，而且周边区域均受人工开发的影响，不宜于动物生存，施工开始后少量的鸟类、哺乳动物及爬行动物可将栖息地转移到附近其他地域上。场区作业及运输车辆噪声可能会对区域动物造成惊扰，导致动物向别处迁移，但不会造成野生动物数量、种类的减少。通过调查了解，项目区域动物主要为一些小型鼠、兔以及鸟类等常见野生动物（无大型野生动物和需保护动物），这些动物生存适应性较强，且周边区域有相同的生态环境，动物比较容易找到栖息场所。</w:t>
      </w:r>
    </w:p>
    <w:p w14:paraId="554D7995">
      <w:pPr>
        <w:pStyle w:val="217"/>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施工期间，噪声源主要为施工机械作业及交通噪声，受施工噪声影响，工程沿线及临时设施附近一定范围内将不适合动物的栖息和觅食。根据调查，工程施工区内无自然保护区，该地区分布的兽类为穴居和地面活动为主的啮齿类和爬行类动物，这类动物适应性强且数量比较少，无珍稀野生动物分布。工程施工机械车辆往来、施工土方开挖机填筑，</w:t>
      </w:r>
      <w:r>
        <w:rPr>
          <w:rFonts w:hint="eastAsia" w:ascii="Times New Roman" w:hAnsi="Times New Roman" w:eastAsia="宋体" w:cs="Times New Roman"/>
          <w:color w:val="auto"/>
          <w:highlight w:val="none"/>
          <w:lang w:val="en-US" w:eastAsia="zh-CN"/>
        </w:rPr>
        <w:t>以</w:t>
      </w:r>
      <w:r>
        <w:rPr>
          <w:rFonts w:hint="default" w:ascii="Times New Roman" w:hAnsi="Times New Roman" w:eastAsia="宋体" w:cs="Times New Roman"/>
          <w:color w:val="auto"/>
          <w:highlight w:val="none"/>
          <w:lang w:val="en-US" w:eastAsia="zh-CN"/>
        </w:rPr>
        <w:t>及施工人员进驻，将对一些听觉和视觉灵敏的动物一定程度上起到驱赶作用，迫使其转向</w:t>
      </w:r>
      <w:r>
        <w:rPr>
          <w:rFonts w:hint="eastAsia" w:ascii="Times New Roman" w:hAnsi="Times New Roman" w:eastAsia="宋体" w:cs="Times New Roman"/>
          <w:color w:val="auto"/>
          <w:highlight w:val="none"/>
          <w:lang w:val="en-US" w:eastAsia="zh-CN"/>
        </w:rPr>
        <w:t>其他</w:t>
      </w:r>
      <w:r>
        <w:rPr>
          <w:rFonts w:hint="default" w:ascii="Times New Roman" w:hAnsi="Times New Roman" w:eastAsia="宋体" w:cs="Times New Roman"/>
          <w:color w:val="auto"/>
          <w:highlight w:val="none"/>
          <w:lang w:val="en-US" w:eastAsia="zh-CN"/>
        </w:rPr>
        <w:t>区域予以回避，其生存空间受到一定压缩。而动物具有一定的迁移能力，特别是鸟类和兽类，周边相似生境也较多，动物可以较轻松地就近寻找到其</w:t>
      </w:r>
      <w:r>
        <w:rPr>
          <w:rFonts w:hint="eastAsia" w:ascii="Times New Roman" w:hAnsi="Times New Roman" w:eastAsia="宋体" w:cs="Times New Roman"/>
          <w:color w:val="auto"/>
          <w:highlight w:val="none"/>
          <w:lang w:val="en-US" w:eastAsia="zh-CN"/>
        </w:rPr>
        <w:t>他</w:t>
      </w:r>
      <w:r>
        <w:rPr>
          <w:rFonts w:hint="default" w:ascii="Times New Roman" w:hAnsi="Times New Roman" w:eastAsia="宋体" w:cs="Times New Roman"/>
          <w:color w:val="auto"/>
          <w:highlight w:val="none"/>
          <w:lang w:val="en-US" w:eastAsia="zh-CN"/>
        </w:rPr>
        <w:t>适于栖息的地方。因此这种影响范围有限，多局限于施工区域内，不会造成动物种群数量的改变，且此类影响将随着施工活动的结束而消失。项目后期对采区进行生态恢复后，这些动物还会回来，因此，项目建设对区域野生动物影响较小。</w:t>
      </w:r>
    </w:p>
    <w:p w14:paraId="5F497BF2">
      <w:pPr>
        <w:pStyle w:val="217"/>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3</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对</w:t>
      </w:r>
      <w:r>
        <w:rPr>
          <w:rFonts w:hint="default" w:ascii="Times New Roman" w:hAnsi="Times New Roman" w:eastAsia="宋体" w:cs="Times New Roman"/>
          <w:color w:val="auto"/>
          <w:highlight w:val="none"/>
          <w:lang w:val="en-US" w:eastAsia="zh-CN"/>
        </w:rPr>
        <w:t>水土流失影响</w:t>
      </w:r>
    </w:p>
    <w:p w14:paraId="4A0C4E93">
      <w:pPr>
        <w:pStyle w:val="217"/>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本项目建设过程中，现有露天</w:t>
      </w:r>
      <w:r>
        <w:rPr>
          <w:rFonts w:hint="eastAsia" w:ascii="Times New Roman"/>
          <w:color w:val="auto"/>
          <w:highlight w:val="none"/>
          <w:lang w:val="en-US" w:eastAsia="zh-CN"/>
        </w:rPr>
        <w:t>采砂坑</w:t>
      </w:r>
      <w:r>
        <w:rPr>
          <w:rFonts w:hint="default" w:ascii="Times New Roman" w:hAnsi="Times New Roman" w:eastAsia="宋体" w:cs="Times New Roman"/>
          <w:color w:val="auto"/>
          <w:highlight w:val="none"/>
          <w:lang w:val="en-US" w:eastAsia="zh-CN"/>
        </w:rPr>
        <w:t>在施工前期进行</w:t>
      </w:r>
      <w:r>
        <w:rPr>
          <w:rFonts w:hint="eastAsia" w:ascii="Times New Roman" w:hAnsi="Times New Roman" w:eastAsia="宋体" w:cs="Times New Roman"/>
          <w:color w:val="auto"/>
          <w:highlight w:val="none"/>
          <w:lang w:val="en-US" w:eastAsia="zh-CN"/>
        </w:rPr>
        <w:t>场</w:t>
      </w:r>
      <w:r>
        <w:rPr>
          <w:rFonts w:hint="default" w:ascii="Times New Roman" w:hAnsi="Times New Roman" w:eastAsia="宋体" w:cs="Times New Roman"/>
          <w:color w:val="auto"/>
          <w:highlight w:val="none"/>
          <w:lang w:val="en-US" w:eastAsia="zh-CN"/>
        </w:rPr>
        <w:t>地</w:t>
      </w:r>
      <w:r>
        <w:rPr>
          <w:rFonts w:hint="eastAsia" w:ascii="Times New Roman" w:hAnsi="Times New Roman" w:eastAsia="宋体" w:cs="Times New Roman"/>
          <w:color w:val="auto"/>
          <w:highlight w:val="none"/>
          <w:lang w:val="en-US" w:eastAsia="zh-CN"/>
        </w:rPr>
        <w:t>地表</w:t>
      </w:r>
      <w:r>
        <w:rPr>
          <w:rFonts w:hint="default" w:ascii="Times New Roman" w:hAnsi="Times New Roman" w:eastAsia="宋体" w:cs="Times New Roman"/>
          <w:color w:val="auto"/>
          <w:highlight w:val="none"/>
          <w:lang w:val="en-US" w:eastAsia="zh-CN"/>
        </w:rPr>
        <w:t>清除工作时需要破坏地表结构，形成了人为扰动，容易造成水土流失，由于该项目建设时间不长，所以应采取有效的预防和保护措施，防止引起生态环境的破坏和恶化。</w:t>
      </w:r>
    </w:p>
    <w:p w14:paraId="3B9881D2">
      <w:pPr>
        <w:pStyle w:val="217"/>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ascii="Times New Roman"/>
          <w:color w:val="auto"/>
          <w:highlight w:val="none"/>
        </w:rPr>
        <w:t>（</w:t>
      </w:r>
      <w:r>
        <w:rPr>
          <w:rFonts w:hint="eastAsia" w:ascii="Times New Roman"/>
          <w:color w:val="auto"/>
          <w:highlight w:val="none"/>
          <w:lang w:val="en-US" w:eastAsia="zh-CN"/>
        </w:rPr>
        <w:t>4</w:t>
      </w:r>
      <w:r>
        <w:rPr>
          <w:rFonts w:ascii="Times New Roman"/>
          <w:color w:val="auto"/>
          <w:highlight w:val="none"/>
        </w:rPr>
        <w:t>）</w:t>
      </w:r>
      <w:r>
        <w:rPr>
          <w:rFonts w:hint="eastAsia" w:ascii="Times New Roman" w:hAnsi="Times New Roman" w:eastAsia="宋体" w:cs="Times New Roman"/>
          <w:color w:val="auto"/>
          <w:highlight w:val="none"/>
          <w:lang w:val="en-US" w:eastAsia="zh-CN"/>
        </w:rPr>
        <w:t>对</w:t>
      </w:r>
      <w:r>
        <w:rPr>
          <w:rFonts w:hint="default" w:ascii="Times New Roman" w:hAnsi="Times New Roman" w:eastAsia="宋体" w:cs="Times New Roman"/>
          <w:color w:val="auto"/>
          <w:highlight w:val="none"/>
          <w:lang w:val="en-US" w:eastAsia="zh-CN"/>
        </w:rPr>
        <w:t>景观生态影响</w:t>
      </w:r>
    </w:p>
    <w:p w14:paraId="424DA89B">
      <w:pPr>
        <w:pStyle w:val="217"/>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由于项目区域建设场地为</w:t>
      </w:r>
      <w:r>
        <w:rPr>
          <w:rFonts w:hint="eastAsia" w:ascii="Times New Roman" w:hAnsi="Times New Roman" w:eastAsia="宋体" w:cs="Times New Roman"/>
          <w:color w:val="auto"/>
          <w:highlight w:val="none"/>
          <w:lang w:val="en-US" w:eastAsia="zh-CN"/>
        </w:rPr>
        <w:t>历史遗留</w:t>
      </w:r>
      <w:r>
        <w:rPr>
          <w:rFonts w:hint="default" w:ascii="Times New Roman" w:hAnsi="Times New Roman" w:eastAsia="宋体" w:cs="Times New Roman"/>
          <w:color w:val="auto"/>
          <w:highlight w:val="none"/>
          <w:lang w:val="en-US" w:eastAsia="zh-CN"/>
        </w:rPr>
        <w:t>采</w:t>
      </w:r>
      <w:r>
        <w:rPr>
          <w:rFonts w:hint="eastAsia" w:ascii="Times New Roman" w:cs="Times New Roman"/>
          <w:color w:val="auto"/>
          <w:highlight w:val="none"/>
          <w:lang w:val="en-US" w:eastAsia="zh-CN"/>
        </w:rPr>
        <w:t>砂</w:t>
      </w:r>
      <w:r>
        <w:rPr>
          <w:rFonts w:hint="default" w:ascii="Times New Roman" w:hAnsi="Times New Roman" w:eastAsia="宋体" w:cs="Times New Roman"/>
          <w:color w:val="auto"/>
          <w:highlight w:val="none"/>
          <w:lang w:val="en-US" w:eastAsia="zh-CN"/>
        </w:rPr>
        <w:t>坑，拟建场址所在地景观格局简单，无国家保护动物出现，无自然保护区等敏感区域分布；工程内无居民区，景观价值较低。项目</w:t>
      </w:r>
      <w:r>
        <w:rPr>
          <w:rFonts w:hint="eastAsia" w:ascii="Times New Roman" w:hAnsi="Times New Roman" w:eastAsia="宋体" w:cs="Times New Roman"/>
          <w:color w:val="auto"/>
          <w:highlight w:val="none"/>
          <w:lang w:val="en-US" w:eastAsia="zh-CN"/>
        </w:rPr>
        <w:t>施工</w:t>
      </w:r>
      <w:r>
        <w:rPr>
          <w:rFonts w:hint="default" w:ascii="Times New Roman" w:hAnsi="Times New Roman" w:eastAsia="宋体" w:cs="Times New Roman"/>
          <w:color w:val="auto"/>
          <w:highlight w:val="none"/>
          <w:lang w:val="en-US" w:eastAsia="zh-CN"/>
        </w:rPr>
        <w:t>后，采</w:t>
      </w:r>
      <w:r>
        <w:rPr>
          <w:rFonts w:hint="eastAsia" w:ascii="Times New Roman" w:cs="Times New Roman"/>
          <w:color w:val="auto"/>
          <w:highlight w:val="none"/>
          <w:lang w:val="en-US" w:eastAsia="zh-CN"/>
        </w:rPr>
        <w:t>砂</w:t>
      </w:r>
      <w:r>
        <w:rPr>
          <w:rFonts w:hint="default" w:ascii="Times New Roman" w:hAnsi="Times New Roman" w:eastAsia="宋体" w:cs="Times New Roman"/>
          <w:color w:val="auto"/>
          <w:highlight w:val="none"/>
          <w:lang w:val="en-US" w:eastAsia="zh-CN"/>
        </w:rPr>
        <w:t>坑被</w:t>
      </w:r>
      <w:r>
        <w:rPr>
          <w:rFonts w:hint="eastAsia" w:ascii="Times New Roman" w:hAnsi="Times New Roman" w:eastAsia="宋体" w:cs="Times New Roman"/>
          <w:color w:val="auto"/>
          <w:highlight w:val="none"/>
          <w:lang w:val="en-US" w:eastAsia="zh-CN"/>
        </w:rPr>
        <w:t>防尘抑尘工程取</w:t>
      </w:r>
      <w:r>
        <w:rPr>
          <w:rFonts w:hint="default" w:ascii="Times New Roman" w:hAnsi="Times New Roman" w:eastAsia="宋体" w:cs="Times New Roman"/>
          <w:color w:val="auto"/>
          <w:highlight w:val="none"/>
          <w:lang w:val="en-US" w:eastAsia="zh-CN"/>
        </w:rPr>
        <w:t>代，异质性降低，同时，使原有自然景观彻底转变为人工景观。</w:t>
      </w:r>
      <w:r>
        <w:rPr>
          <w:rFonts w:hint="eastAsia" w:ascii="Times New Roman"/>
          <w:color w:val="auto"/>
          <w:highlight w:val="none"/>
          <w:lang w:val="en-US" w:eastAsia="zh-CN"/>
        </w:rPr>
        <w:t>采砂坑</w:t>
      </w:r>
      <w:r>
        <w:rPr>
          <w:rFonts w:hint="default" w:ascii="Times New Roman" w:hAnsi="Times New Roman" w:eastAsia="宋体" w:cs="Times New Roman"/>
          <w:color w:val="auto"/>
          <w:highlight w:val="none"/>
          <w:lang w:val="en-US" w:eastAsia="zh-CN"/>
        </w:rPr>
        <w:t>原有视觉效果杂乱、色彩灰暗，景观效果劣质，与周边环境协调性差。进行土地开发整理后将呈现整齐有序的人工景观。</w:t>
      </w:r>
    </w:p>
    <w:p w14:paraId="41852C87">
      <w:pPr>
        <w:pStyle w:val="217"/>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拟建工程对地区的物种多样性及生态系统的稳定性影响不大。</w:t>
      </w:r>
      <w:r>
        <w:rPr>
          <w:rFonts w:hint="eastAsia" w:ascii="Times New Roman" w:hAnsi="Times New Roman" w:eastAsia="宋体" w:cs="Times New Roman"/>
          <w:color w:val="auto"/>
          <w:highlight w:val="none"/>
          <w:lang w:val="en-US" w:eastAsia="zh-CN"/>
        </w:rPr>
        <w:t>修复</w:t>
      </w:r>
      <w:r>
        <w:rPr>
          <w:rFonts w:hint="default" w:ascii="Times New Roman" w:hAnsi="Times New Roman" w:eastAsia="宋体" w:cs="Times New Roman"/>
          <w:color w:val="auto"/>
          <w:highlight w:val="none"/>
          <w:lang w:val="en-US" w:eastAsia="zh-CN"/>
        </w:rPr>
        <w:t>后的</w:t>
      </w:r>
      <w:r>
        <w:rPr>
          <w:rFonts w:hint="eastAsia" w:ascii="Times New Roman" w:hAnsi="Times New Roman" w:eastAsia="宋体" w:cs="Times New Roman"/>
          <w:color w:val="auto"/>
          <w:highlight w:val="none"/>
          <w:lang w:val="en-US" w:eastAsia="zh-CN"/>
        </w:rPr>
        <w:t>林地</w:t>
      </w:r>
      <w:r>
        <w:rPr>
          <w:rFonts w:hint="default" w:ascii="Times New Roman" w:hAnsi="Times New Roman" w:eastAsia="宋体" w:cs="Times New Roman"/>
          <w:color w:val="auto"/>
          <w:highlight w:val="none"/>
          <w:lang w:val="en-US" w:eastAsia="zh-CN"/>
        </w:rPr>
        <w:t>生态系统与施工前相比将得到提高，保持连续的生态系统生产能力，</w:t>
      </w:r>
      <w:r>
        <w:rPr>
          <w:rFonts w:hint="eastAsia" w:ascii="Times New Roman" w:hAnsi="Times New Roman" w:eastAsia="宋体" w:cs="Times New Roman"/>
          <w:color w:val="auto"/>
          <w:highlight w:val="none"/>
          <w:lang w:val="en-US" w:eastAsia="zh-CN"/>
        </w:rPr>
        <w:t>其他</w:t>
      </w:r>
      <w:r>
        <w:rPr>
          <w:rFonts w:hint="default" w:ascii="Times New Roman" w:hAnsi="Times New Roman" w:eastAsia="宋体" w:cs="Times New Roman"/>
          <w:color w:val="auto"/>
          <w:highlight w:val="none"/>
          <w:lang w:val="en-US" w:eastAsia="zh-CN"/>
        </w:rPr>
        <w:t>服务功能受影响程度亦较轻。本项目建设对当地景观影响较小，不会对本区的生态系统中的物种变化造成大的影响。</w:t>
      </w:r>
    </w:p>
    <w:p w14:paraId="1F382159">
      <w:pPr>
        <w:pStyle w:val="217"/>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kern w:val="2"/>
          <w:sz w:val="24"/>
          <w:szCs w:val="20"/>
          <w:highlight w:val="none"/>
          <w:lang w:val="en-US" w:eastAsia="zh-CN" w:bidi="ar-SA"/>
        </w:rPr>
        <w:t>（5）</w:t>
      </w:r>
      <w:r>
        <w:rPr>
          <w:rFonts w:hint="eastAsia" w:ascii="Times New Roman" w:hAnsi="Times New Roman" w:eastAsia="宋体" w:cs="Times New Roman"/>
          <w:color w:val="auto"/>
          <w:kern w:val="2"/>
          <w:sz w:val="24"/>
          <w:szCs w:val="20"/>
          <w:highlight w:val="none"/>
          <w:lang w:val="en-US" w:eastAsia="zh-CN" w:bidi="ar-SA"/>
        </w:rPr>
        <w:t>施工期</w:t>
      </w:r>
      <w:r>
        <w:rPr>
          <w:rFonts w:hint="default" w:ascii="Times New Roman" w:hAnsi="Times New Roman" w:eastAsia="宋体" w:cs="Times New Roman"/>
          <w:color w:val="auto"/>
          <w:highlight w:val="none"/>
          <w:lang w:val="en-US" w:eastAsia="zh-CN"/>
        </w:rPr>
        <w:t>生态影响分析结论</w:t>
      </w:r>
    </w:p>
    <w:p w14:paraId="4B803DD5">
      <w:pPr>
        <w:pStyle w:val="217"/>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评价区内的生态系统工程施工活动将使区域附近的陆生野生动物栖息地以及活动范围缩小；施工噪声的干扰将使栖息在护岸附近的陆生野生动物和鸟类产生趋避反应，施工活动对区域附近的野生动物将产生不利影响。将朝着稳定、协调的方向发展，在相对较长的一段时间内人为干扰程度较小，系统的稳定性、多样性会逐渐增强。本项目施工过程植被破坏、扰动地表及水土流失呈点、片状分布；水土流失类型以渡蚀、面蚀、沟蚀等水力侵蚀为主。</w:t>
      </w:r>
    </w:p>
    <w:p w14:paraId="4DA60442">
      <w:pPr>
        <w:pStyle w:val="217"/>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本项目</w:t>
      </w:r>
      <w:r>
        <w:rPr>
          <w:rFonts w:hint="eastAsia" w:ascii="Times New Roman" w:hAnsi="Times New Roman" w:eastAsia="宋体" w:cs="Times New Roman"/>
          <w:color w:val="auto"/>
          <w:highlight w:val="none"/>
          <w:lang w:val="en-US" w:eastAsia="zh-CN"/>
        </w:rPr>
        <w:t>拟修复</w:t>
      </w:r>
      <w:r>
        <w:rPr>
          <w:rFonts w:hint="default" w:ascii="Times New Roman" w:hAnsi="Times New Roman" w:eastAsia="宋体" w:cs="Times New Roman"/>
          <w:color w:val="auto"/>
          <w:highlight w:val="none"/>
          <w:lang w:val="en-US" w:eastAsia="zh-CN"/>
        </w:rPr>
        <w:t>面积</w:t>
      </w:r>
      <w:r>
        <w:rPr>
          <w:rFonts w:hint="eastAsia" w:ascii="Times New Roman" w:hAnsi="宋体" w:eastAsia="宋体" w:cs="Times New Roman"/>
          <w:color w:val="auto"/>
          <w:kern w:val="0"/>
          <w:sz w:val="24"/>
          <w:szCs w:val="24"/>
          <w:highlight w:val="none"/>
          <w:lang w:val="en-US" w:eastAsia="zh-CN"/>
        </w:rPr>
        <w:t>1.129610</w:t>
      </w:r>
      <w:r>
        <w:rPr>
          <w:rFonts w:hint="eastAsia" w:ascii="Times New Roman" w:hAnsi="Times New Roman" w:eastAsia="宋体" w:cs="Times New Roman"/>
          <w:color w:val="auto"/>
          <w:highlight w:val="none"/>
          <w:lang w:val="en-US" w:eastAsia="zh-CN"/>
        </w:rPr>
        <w:t>hm</w:t>
      </w:r>
      <w:r>
        <w:rPr>
          <w:rFonts w:hint="eastAsia" w:ascii="Times New Roman" w:hAnsi="Times New Roman" w:eastAsia="宋体" w:cs="Times New Roman"/>
          <w:color w:val="auto"/>
          <w:highlight w:val="none"/>
          <w:vertAlign w:val="superscript"/>
          <w:lang w:val="en-US" w:eastAsia="zh-CN"/>
        </w:rPr>
        <w:t>2</w:t>
      </w:r>
      <w:r>
        <w:rPr>
          <w:rFonts w:hint="default" w:ascii="Times New Roman" w:hAnsi="Times New Roman" w:eastAsia="宋体" w:cs="Times New Roman"/>
          <w:color w:val="auto"/>
          <w:highlight w:val="none"/>
          <w:lang w:val="en-US" w:eastAsia="zh-CN"/>
        </w:rPr>
        <w:t>，经现场勘查，区域内无国家重点保护植物的群落分布地和国家级保护的珍稀植物和古树、名木分布；同时由于本项目土地平整后，对后续的</w:t>
      </w:r>
      <w:r>
        <w:rPr>
          <w:rFonts w:hint="eastAsia" w:ascii="Times New Roman" w:hAnsi="Times New Roman" w:eastAsia="宋体" w:cs="Times New Roman"/>
          <w:color w:val="auto"/>
          <w:highlight w:val="none"/>
          <w:lang w:val="en-US" w:eastAsia="zh-CN"/>
        </w:rPr>
        <w:t>回填和</w:t>
      </w:r>
      <w:r>
        <w:rPr>
          <w:rFonts w:hint="default" w:ascii="Times New Roman" w:hAnsi="Times New Roman" w:eastAsia="宋体" w:cs="Times New Roman"/>
          <w:color w:val="auto"/>
          <w:highlight w:val="none"/>
          <w:lang w:val="en-US" w:eastAsia="zh-CN"/>
        </w:rPr>
        <w:t>绿化工程提供基础条件。</w:t>
      </w:r>
    </w:p>
    <w:p w14:paraId="4C1878C7">
      <w:pPr>
        <w:widowControl w:val="0"/>
        <w:adjustRightInd w:val="0"/>
        <w:snapToGrid w:val="0"/>
        <w:spacing w:line="360" w:lineRule="auto"/>
        <w:ind w:firstLine="480" w:firstLineChars="200"/>
        <w:jc w:val="both"/>
        <w:rPr>
          <w:rFonts w:hint="eastAsia" w:asciiTheme="minorEastAsia" w:hAnsiTheme="minorEastAsia" w:eastAsiaTheme="minorEastAsia" w:cstheme="minorEastAsia"/>
          <w:color w:val="auto"/>
          <w:kern w:val="2"/>
          <w:szCs w:val="24"/>
          <w:highlight w:val="none"/>
          <w:lang w:eastAsia="zh-CN"/>
        </w:rPr>
      </w:pPr>
      <w:r>
        <w:rPr>
          <w:rFonts w:hint="default" w:ascii="Times New Roman" w:hAnsi="Times New Roman" w:eastAsia="宋体" w:cs="Times New Roman"/>
          <w:color w:val="auto"/>
          <w:highlight w:val="none"/>
          <w:lang w:val="en-US" w:eastAsia="zh-CN"/>
        </w:rPr>
        <w:t>综上所述，尽管本项目的</w:t>
      </w:r>
      <w:r>
        <w:rPr>
          <w:rFonts w:hint="eastAsia" w:ascii="Times New Roman" w:hAnsi="Times New Roman" w:eastAsia="宋体" w:cs="Times New Roman"/>
          <w:color w:val="auto"/>
          <w:highlight w:val="none"/>
          <w:lang w:val="en-US" w:eastAsia="zh-CN"/>
        </w:rPr>
        <w:t>施工</w:t>
      </w:r>
      <w:r>
        <w:rPr>
          <w:rFonts w:hint="default" w:ascii="Times New Roman" w:hAnsi="Times New Roman" w:eastAsia="宋体" w:cs="Times New Roman"/>
          <w:color w:val="auto"/>
          <w:highlight w:val="none"/>
          <w:lang w:val="en-US" w:eastAsia="zh-CN"/>
        </w:rPr>
        <w:t>期会对区域内的自然生态系统造成一定的影响，但是由于受影响程度有限，项目</w:t>
      </w:r>
      <w:r>
        <w:rPr>
          <w:rFonts w:hint="eastAsia" w:ascii="Times New Roman" w:hAnsi="Times New Roman" w:eastAsia="宋体" w:cs="Times New Roman"/>
          <w:color w:val="auto"/>
          <w:highlight w:val="none"/>
          <w:lang w:val="en-US" w:eastAsia="zh-CN"/>
        </w:rPr>
        <w:t>施工</w:t>
      </w:r>
      <w:r>
        <w:rPr>
          <w:rFonts w:hint="default" w:ascii="Times New Roman" w:hAnsi="Times New Roman" w:eastAsia="宋体" w:cs="Times New Roman"/>
          <w:color w:val="auto"/>
          <w:highlight w:val="none"/>
          <w:lang w:val="en-US" w:eastAsia="zh-CN"/>
        </w:rPr>
        <w:t>完成后，区域内的生态环境总体将有大幅度的改善。</w:t>
      </w:r>
    </w:p>
    <w:p w14:paraId="681FABDC">
      <w:pPr>
        <w:pStyle w:val="6"/>
        <w:bidi w:val="0"/>
        <w:spacing w:line="360" w:lineRule="auto"/>
        <w:rPr>
          <w:rFonts w:hint="eastAsia" w:asciiTheme="minorEastAsia" w:hAnsiTheme="minorEastAsia" w:eastAsiaTheme="minorEastAsia" w:cstheme="minorEastAsia"/>
          <w:color w:val="auto"/>
          <w:highlight w:val="none"/>
        </w:rPr>
      </w:pPr>
      <w:bookmarkStart w:id="629" w:name="_Toc14137"/>
      <w:bookmarkStart w:id="630" w:name="_Toc4681"/>
      <w:bookmarkStart w:id="631" w:name="_Toc28330"/>
      <w:bookmarkStart w:id="632" w:name="_Toc31025"/>
      <w:bookmarkStart w:id="633" w:name="_Toc31286"/>
      <w:bookmarkStart w:id="634" w:name="_Toc18765"/>
      <w:bookmarkStart w:id="635" w:name="_Toc5929"/>
      <w:bookmarkStart w:id="636" w:name="_Toc7656"/>
      <w:bookmarkStart w:id="637" w:name="_Toc12601"/>
      <w:bookmarkStart w:id="638" w:name="_Toc19743"/>
      <w:bookmarkStart w:id="639" w:name="_Toc19737"/>
      <w:bookmarkStart w:id="640" w:name="_Toc18863"/>
      <w:bookmarkStart w:id="641" w:name="_Toc32544"/>
      <w:bookmarkStart w:id="642" w:name="_Toc12477"/>
      <w:bookmarkStart w:id="643" w:name="_Toc19376"/>
      <w:bookmarkStart w:id="644" w:name="_Toc4729"/>
      <w:r>
        <w:rPr>
          <w:rFonts w:hint="eastAsia" w:asciiTheme="minorEastAsia" w:hAnsiTheme="minorEastAsia" w:eastAsiaTheme="minorEastAsia" w:cstheme="minorEastAsia"/>
          <w:color w:val="auto"/>
          <w:highlight w:val="none"/>
        </w:rPr>
        <w:t>5.2</w:t>
      </w:r>
      <w:bookmarkEnd w:id="622"/>
      <w:bookmarkEnd w:id="623"/>
      <w:bookmarkEnd w:id="624"/>
      <w:bookmarkEnd w:id="625"/>
      <w:bookmarkEnd w:id="626"/>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r>
        <w:rPr>
          <w:rFonts w:hint="eastAsia" w:asciiTheme="minorEastAsia" w:hAnsiTheme="minorEastAsia" w:eastAsiaTheme="minorEastAsia" w:cstheme="minorEastAsia"/>
          <w:color w:val="auto"/>
          <w:highlight w:val="none"/>
        </w:rPr>
        <w:t>回填复垦期环境影响分析</w:t>
      </w:r>
      <w:bookmarkEnd w:id="644"/>
    </w:p>
    <w:p w14:paraId="7F1FFEB8">
      <w:pPr>
        <w:pStyle w:val="7"/>
        <w:numPr>
          <w:ilvl w:val="2"/>
          <w:numId w:val="0"/>
        </w:numPr>
        <w:spacing w:line="360" w:lineRule="auto"/>
        <w:ind w:leftChars="0"/>
        <w:rPr>
          <w:color w:val="auto"/>
          <w:highlight w:val="none"/>
        </w:rPr>
      </w:pPr>
      <w:bookmarkStart w:id="645" w:name="_Toc189389021"/>
      <w:bookmarkStart w:id="646" w:name="_Toc293291093"/>
      <w:bookmarkStart w:id="647" w:name="_Toc302376257"/>
      <w:bookmarkStart w:id="648" w:name="_Toc490466554"/>
      <w:bookmarkStart w:id="649" w:name="_Toc17789"/>
      <w:bookmarkStart w:id="650" w:name="_Toc15203"/>
      <w:r>
        <w:rPr>
          <w:rFonts w:hint="eastAsia"/>
          <w:color w:val="auto"/>
          <w:highlight w:val="none"/>
        </w:rPr>
        <w:t>5.2.</w:t>
      </w:r>
      <w:r>
        <w:rPr>
          <w:color w:val="auto"/>
          <w:highlight w:val="none"/>
        </w:rPr>
        <w:t>1</w:t>
      </w:r>
      <w:bookmarkEnd w:id="645"/>
      <w:bookmarkEnd w:id="646"/>
      <w:bookmarkEnd w:id="647"/>
      <w:r>
        <w:rPr>
          <w:color w:val="auto"/>
          <w:highlight w:val="none"/>
        </w:rPr>
        <w:t>大气环境影响预测与评价</w:t>
      </w:r>
    </w:p>
    <w:p w14:paraId="081E561C">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hAnsi="宋体" w:eastAsia="宋体"/>
          <w:color w:val="auto"/>
          <w:highlight w:val="none"/>
          <w:lang w:eastAsia="zh-CN"/>
        </w:rPr>
      </w:pPr>
      <w:r>
        <w:rPr>
          <w:rFonts w:ascii="Times New Roman"/>
          <w:color w:val="auto"/>
          <w:szCs w:val="24"/>
          <w:highlight w:val="none"/>
          <w:lang w:bidi="ar"/>
        </w:rPr>
        <w:t>项目回填场地作业面积</w:t>
      </w:r>
      <w:r>
        <w:rPr>
          <w:rFonts w:hint="eastAsia"/>
          <w:color w:val="auto"/>
          <w:szCs w:val="24"/>
          <w:highlight w:val="none"/>
          <w:lang w:val="en-US" w:eastAsia="zh-CN" w:bidi="ar"/>
        </w:rPr>
        <w:t>约</w:t>
      </w:r>
      <w:r>
        <w:rPr>
          <w:rFonts w:ascii="Times New Roman"/>
          <w:color w:val="auto"/>
          <w:szCs w:val="24"/>
          <w:highlight w:val="none"/>
          <w:lang w:bidi="ar"/>
        </w:rPr>
        <w:t>为</w:t>
      </w:r>
      <w:r>
        <w:rPr>
          <w:rFonts w:hint="eastAsia" w:ascii="Times New Roman" w:hAnsi="宋体" w:eastAsia="宋体" w:cs="Times New Roman"/>
          <w:color w:val="auto"/>
          <w:kern w:val="0"/>
          <w:sz w:val="24"/>
          <w:szCs w:val="24"/>
          <w:highlight w:val="none"/>
          <w:lang w:val="en-US" w:eastAsia="zh-CN"/>
        </w:rPr>
        <w:t>1.129610</w:t>
      </w:r>
      <w:r>
        <w:rPr>
          <w:rFonts w:hint="eastAsia" w:ascii="Times New Roman" w:hAnsi="Times New Roman" w:eastAsia="宋体" w:cs="Times New Roman"/>
          <w:color w:val="auto"/>
          <w:highlight w:val="none"/>
          <w:lang w:val="en-US" w:eastAsia="zh-CN"/>
        </w:rPr>
        <w:t>hm</w:t>
      </w:r>
      <w:r>
        <w:rPr>
          <w:rFonts w:hint="eastAsia" w:ascii="Times New Roman" w:hAnsi="Times New Roman" w:eastAsia="宋体" w:cs="Times New Roman"/>
          <w:color w:val="auto"/>
          <w:highlight w:val="none"/>
          <w:vertAlign w:val="superscript"/>
          <w:lang w:val="en-US" w:eastAsia="zh-CN"/>
        </w:rPr>
        <w:t>2</w:t>
      </w:r>
      <w:r>
        <w:rPr>
          <w:rFonts w:ascii="Times New Roman"/>
          <w:color w:val="auto"/>
          <w:szCs w:val="24"/>
          <w:highlight w:val="none"/>
          <w:lang w:bidi="ar"/>
        </w:rPr>
        <w:t>，每日回填不同</w:t>
      </w:r>
      <w:r>
        <w:rPr>
          <w:rFonts w:hint="eastAsia" w:ascii="Times New Roman"/>
          <w:color w:val="auto"/>
          <w:szCs w:val="24"/>
          <w:highlight w:val="none"/>
          <w:lang w:bidi="ar"/>
        </w:rPr>
        <w:t>位置</w:t>
      </w:r>
      <w:r>
        <w:rPr>
          <w:rFonts w:ascii="Times New Roman"/>
          <w:color w:val="auto"/>
          <w:szCs w:val="24"/>
          <w:highlight w:val="none"/>
          <w:lang w:bidi="ar"/>
        </w:rPr>
        <w:t>，每日回填作业面积为</w:t>
      </w:r>
      <w:r>
        <w:rPr>
          <w:rFonts w:hint="eastAsia"/>
          <w:color w:val="auto"/>
          <w:szCs w:val="24"/>
          <w:highlight w:val="none"/>
          <w:lang w:val="en-US" w:eastAsia="zh-CN" w:bidi="ar"/>
        </w:rPr>
        <w:t>120</w:t>
      </w:r>
      <w:r>
        <w:rPr>
          <w:rFonts w:ascii="Times New Roman"/>
          <w:color w:val="auto"/>
          <w:szCs w:val="24"/>
          <w:highlight w:val="none"/>
          <w:lang w:bidi="ar"/>
        </w:rPr>
        <w:t>0m</w:t>
      </w:r>
      <w:r>
        <w:rPr>
          <w:rFonts w:ascii="Times New Roman"/>
          <w:color w:val="auto"/>
          <w:szCs w:val="24"/>
          <w:highlight w:val="none"/>
          <w:vertAlign w:val="superscript"/>
          <w:lang w:bidi="ar"/>
        </w:rPr>
        <w:t>2</w:t>
      </w:r>
      <w:r>
        <w:rPr>
          <w:rFonts w:ascii="Times New Roman"/>
          <w:color w:val="auto"/>
          <w:szCs w:val="24"/>
          <w:highlight w:val="none"/>
          <w:lang w:bidi="ar"/>
        </w:rPr>
        <w:t>，根据《环境影响评价技术导则</w:t>
      </w:r>
      <w:r>
        <w:rPr>
          <w:rFonts w:hint="eastAsia"/>
          <w:color w:val="auto"/>
          <w:szCs w:val="24"/>
          <w:highlight w:val="none"/>
          <w:lang w:val="en-US" w:eastAsia="zh-CN" w:bidi="ar"/>
        </w:rPr>
        <w:t>-</w:t>
      </w:r>
      <w:r>
        <w:rPr>
          <w:rFonts w:ascii="Times New Roman"/>
          <w:color w:val="auto"/>
          <w:szCs w:val="24"/>
          <w:highlight w:val="none"/>
          <w:lang w:bidi="ar"/>
        </w:rPr>
        <w:t>大气环境》（HJ2.2-2018），本项目</w:t>
      </w:r>
      <w:r>
        <w:rPr>
          <w:rFonts w:hint="eastAsia" w:ascii="Times New Roman"/>
          <w:color w:val="auto"/>
          <w:szCs w:val="24"/>
          <w:highlight w:val="none"/>
          <w:lang w:bidi="ar"/>
        </w:rPr>
        <w:t>简化为对</w:t>
      </w:r>
      <w:r>
        <w:rPr>
          <w:rFonts w:ascii="Times New Roman"/>
          <w:color w:val="auto"/>
          <w:szCs w:val="24"/>
          <w:highlight w:val="none"/>
          <w:lang w:bidi="ar"/>
        </w:rPr>
        <w:t>作业面中心位置进行预测。</w:t>
      </w:r>
      <w:r>
        <w:rPr>
          <w:rFonts w:hint="eastAsia" w:hAnsi="宋体"/>
          <w:color w:val="auto"/>
          <w:highlight w:val="none"/>
        </w:rPr>
        <w:t>根据</w:t>
      </w:r>
      <w:r>
        <w:rPr>
          <w:rFonts w:hint="eastAsia"/>
          <w:color w:val="auto"/>
          <w:highlight w:val="none"/>
        </w:rPr>
        <w:t>估算模式</w:t>
      </w:r>
      <w:r>
        <w:rPr>
          <w:color w:val="auto"/>
          <w:highlight w:val="none"/>
        </w:rPr>
        <w:t>AERSCREEN</w:t>
      </w:r>
      <w:r>
        <w:rPr>
          <w:rFonts w:hint="eastAsia"/>
          <w:color w:val="auto"/>
          <w:highlight w:val="none"/>
        </w:rPr>
        <w:t>对项目建成后对周围大气环境的影响进行估算分析，本项目评价无组织最大落地浓度出现在排放源下风向</w:t>
      </w:r>
      <w:r>
        <w:rPr>
          <w:rFonts w:hint="eastAsia"/>
          <w:color w:val="auto"/>
          <w:highlight w:val="none"/>
          <w:lang w:val="en-US" w:eastAsia="zh-CN"/>
        </w:rPr>
        <w:t>27</w:t>
      </w:r>
      <w:r>
        <w:rPr>
          <w:color w:val="auto"/>
          <w:highlight w:val="none"/>
        </w:rPr>
        <w:t>m</w:t>
      </w:r>
      <w:r>
        <w:rPr>
          <w:rFonts w:hint="eastAsia"/>
          <w:color w:val="auto"/>
          <w:highlight w:val="none"/>
        </w:rPr>
        <w:t>处，颗粒物最大落地浓</w:t>
      </w:r>
      <w:r>
        <w:rPr>
          <w:rFonts w:hint="eastAsia"/>
          <w:color w:val="auto"/>
          <w:sz w:val="24"/>
          <w:szCs w:val="24"/>
          <w:highlight w:val="none"/>
        </w:rPr>
        <w:t>度为</w:t>
      </w:r>
      <w:r>
        <w:rPr>
          <w:rFonts w:hint="eastAsia" w:asciiTheme="minorEastAsia" w:hAnsiTheme="minorEastAsia" w:eastAsiaTheme="minorEastAsia" w:cstheme="minorEastAsia"/>
          <w:b w:val="0"/>
          <w:bCs w:val="0"/>
          <w:color w:val="auto"/>
          <w:sz w:val="24"/>
          <w:szCs w:val="24"/>
          <w:highlight w:val="none"/>
          <w:lang w:bidi="ar"/>
        </w:rPr>
        <w:t>74.71</w:t>
      </w:r>
      <w:r>
        <w:rPr>
          <w:rFonts w:hint="eastAsia"/>
          <w:color w:val="auto"/>
          <w:sz w:val="24"/>
          <w:szCs w:val="24"/>
          <w:highlight w:val="none"/>
          <w:lang w:val="en-US" w:eastAsia="zh-CN"/>
        </w:rPr>
        <w:t>m</w:t>
      </w:r>
      <w:r>
        <w:rPr>
          <w:color w:val="auto"/>
          <w:sz w:val="24"/>
          <w:szCs w:val="24"/>
          <w:highlight w:val="none"/>
        </w:rPr>
        <w:t>g/m</w:t>
      </w:r>
      <w:r>
        <w:rPr>
          <w:color w:val="auto"/>
          <w:sz w:val="24"/>
          <w:szCs w:val="24"/>
          <w:highlight w:val="none"/>
          <w:vertAlign w:val="superscript"/>
        </w:rPr>
        <w:t>3</w:t>
      </w:r>
      <w:r>
        <w:rPr>
          <w:rFonts w:hint="eastAsia"/>
          <w:color w:val="auto"/>
          <w:sz w:val="24"/>
          <w:szCs w:val="24"/>
          <w:highlight w:val="none"/>
        </w:rPr>
        <w:t>，占标率为</w:t>
      </w:r>
      <w:r>
        <w:rPr>
          <w:rFonts w:hint="eastAsia" w:asciiTheme="minorEastAsia" w:hAnsiTheme="minorEastAsia" w:eastAsiaTheme="minorEastAsia" w:cstheme="minorEastAsia"/>
          <w:b w:val="0"/>
          <w:bCs w:val="0"/>
          <w:color w:val="auto"/>
          <w:sz w:val="24"/>
          <w:szCs w:val="24"/>
          <w:highlight w:val="none"/>
          <w:lang w:bidi="ar"/>
        </w:rPr>
        <w:t>8.3011</w:t>
      </w:r>
      <w:r>
        <w:rPr>
          <w:rFonts w:hint="eastAsia"/>
          <w:color w:val="auto"/>
          <w:sz w:val="24"/>
          <w:szCs w:val="24"/>
          <w:highlight w:val="none"/>
        </w:rPr>
        <w:t>%</w:t>
      </w:r>
      <w:r>
        <w:rPr>
          <w:rFonts w:hint="eastAsia"/>
          <w:color w:val="auto"/>
          <w:sz w:val="24"/>
          <w:szCs w:val="24"/>
          <w:highlight w:val="none"/>
          <w:lang w:eastAsia="zh-CN"/>
        </w:rPr>
        <w:t>，</w:t>
      </w:r>
      <w:r>
        <w:rPr>
          <w:snapToGrid w:val="0"/>
          <w:color w:val="auto"/>
          <w:sz w:val="24"/>
          <w:szCs w:val="22"/>
          <w:highlight w:val="none"/>
        </w:rPr>
        <w:t>大气评价等级为二级</w:t>
      </w:r>
      <w:r>
        <w:rPr>
          <w:rFonts w:hint="eastAsia"/>
          <w:snapToGrid w:val="0"/>
          <w:color w:val="auto"/>
          <w:sz w:val="24"/>
          <w:szCs w:val="22"/>
          <w:highlight w:val="none"/>
          <w:lang w:eastAsia="zh-CN"/>
        </w:rPr>
        <w:t>。</w:t>
      </w:r>
    </w:p>
    <w:p w14:paraId="61AE4E16">
      <w:pPr>
        <w:spacing w:line="360" w:lineRule="auto"/>
        <w:ind w:firstLine="480"/>
        <w:rPr>
          <w:rFonts w:ascii="Times New Roman"/>
          <w:color w:val="auto"/>
          <w:szCs w:val="24"/>
          <w:highlight w:val="none"/>
        </w:rPr>
      </w:pPr>
      <w:r>
        <w:rPr>
          <w:rFonts w:hint="eastAsia" w:eastAsia="仿宋_GB2312"/>
          <w:color w:val="auto"/>
          <w:szCs w:val="24"/>
          <w:highlight w:val="none"/>
          <w:lang w:val="en-US" w:eastAsia="zh-CN" w:bidi="ar"/>
        </w:rPr>
        <w:t>5.2.1.1</w:t>
      </w:r>
      <w:r>
        <w:rPr>
          <w:rFonts w:ascii="Times New Roman"/>
          <w:color w:val="auto"/>
          <w:szCs w:val="24"/>
          <w:highlight w:val="none"/>
          <w:lang w:bidi="ar"/>
        </w:rPr>
        <w:t>污染物排</w:t>
      </w:r>
      <w:r>
        <w:rPr>
          <w:rFonts w:hint="eastAsia" w:hAnsi="宋体" w:cs="宋体"/>
          <w:color w:val="auto"/>
          <w:szCs w:val="24"/>
          <w:highlight w:val="none"/>
          <w:lang w:bidi="ar"/>
        </w:rPr>
        <w:t>放量核算</w:t>
      </w:r>
    </w:p>
    <w:p w14:paraId="2E3D14D4">
      <w:pPr>
        <w:spacing w:line="360" w:lineRule="auto"/>
        <w:ind w:firstLine="480"/>
        <w:rPr>
          <w:rFonts w:hint="eastAsia" w:ascii="Times New Roman" w:eastAsia="宋体"/>
          <w:b/>
          <w:color w:val="auto"/>
          <w:szCs w:val="24"/>
          <w:highlight w:val="none"/>
          <w:lang w:eastAsia="zh-CN" w:bidi="ar"/>
        </w:rPr>
      </w:pPr>
      <w:r>
        <w:rPr>
          <w:rFonts w:hint="eastAsia" w:hAnsi="宋体" w:cs="宋体"/>
          <w:color w:val="auto"/>
          <w:szCs w:val="24"/>
          <w:highlight w:val="none"/>
          <w:lang w:eastAsia="zh-CN" w:bidi="ar"/>
        </w:rPr>
        <w:t>本项目</w:t>
      </w:r>
      <w:r>
        <w:rPr>
          <w:rFonts w:hint="eastAsia" w:hAnsi="宋体" w:cs="宋体"/>
          <w:color w:val="auto"/>
          <w:szCs w:val="24"/>
          <w:highlight w:val="none"/>
          <w:lang w:bidi="ar"/>
        </w:rPr>
        <w:t>大气污染物无组织排放量核算表见</w:t>
      </w:r>
      <w:r>
        <w:rPr>
          <w:rFonts w:ascii="Times New Roman"/>
          <w:color w:val="auto"/>
          <w:szCs w:val="24"/>
          <w:highlight w:val="none"/>
          <w:lang w:bidi="ar"/>
        </w:rPr>
        <w:t>5</w:t>
      </w:r>
      <w:r>
        <w:rPr>
          <w:rFonts w:hint="eastAsia"/>
          <w:color w:val="auto"/>
          <w:szCs w:val="24"/>
          <w:highlight w:val="none"/>
          <w:lang w:val="en-US" w:eastAsia="zh-CN" w:bidi="ar"/>
        </w:rPr>
        <w:t>.2-1</w:t>
      </w:r>
      <w:r>
        <w:rPr>
          <w:rFonts w:hint="eastAsia" w:hAnsi="宋体" w:cs="宋体"/>
          <w:color w:val="auto"/>
          <w:szCs w:val="24"/>
          <w:highlight w:val="none"/>
          <w:lang w:bidi="ar"/>
        </w:rPr>
        <w:t>。</w:t>
      </w:r>
    </w:p>
    <w:p w14:paraId="48EA219F">
      <w:pPr>
        <w:autoSpaceDE w:val="0"/>
        <w:spacing w:line="240" w:lineRule="auto"/>
        <w:ind w:firstLine="482"/>
        <w:jc w:val="center"/>
        <w:rPr>
          <w:rFonts w:ascii="Times New Roman"/>
          <w:b/>
          <w:bCs w:val="0"/>
          <w:color w:val="auto"/>
          <w:szCs w:val="24"/>
          <w:highlight w:val="none"/>
          <w:lang w:bidi="ar"/>
        </w:rPr>
      </w:pPr>
      <w:r>
        <w:rPr>
          <w:rFonts w:hint="eastAsia" w:ascii="Times New Roman"/>
          <w:b/>
          <w:bCs w:val="0"/>
          <w:color w:val="auto"/>
          <w:szCs w:val="24"/>
          <w:highlight w:val="none"/>
          <w:lang w:bidi="ar"/>
        </w:rPr>
        <w:t>表</w:t>
      </w:r>
      <w:r>
        <w:rPr>
          <w:rFonts w:ascii="Times New Roman"/>
          <w:b/>
          <w:bCs w:val="0"/>
          <w:color w:val="auto"/>
          <w:szCs w:val="24"/>
          <w:highlight w:val="none"/>
          <w:lang w:bidi="ar"/>
        </w:rPr>
        <w:t>5</w:t>
      </w:r>
      <w:r>
        <w:rPr>
          <w:rFonts w:hint="eastAsia"/>
          <w:b/>
          <w:bCs w:val="0"/>
          <w:color w:val="auto"/>
          <w:szCs w:val="24"/>
          <w:highlight w:val="none"/>
          <w:lang w:val="en-US" w:eastAsia="zh-CN" w:bidi="ar"/>
        </w:rPr>
        <w:t xml:space="preserve">.2-1  </w:t>
      </w:r>
      <w:r>
        <w:rPr>
          <w:rFonts w:hint="eastAsia" w:ascii="Times New Roman"/>
          <w:b/>
          <w:bCs w:val="0"/>
          <w:color w:val="auto"/>
          <w:szCs w:val="24"/>
          <w:highlight w:val="none"/>
          <w:lang w:bidi="ar"/>
        </w:rPr>
        <w:t>大气污染物无组织排放量核算表</w:t>
      </w:r>
    </w:p>
    <w:tbl>
      <w:tblPr>
        <w:tblStyle w:val="84"/>
        <w:tblW w:w="4773" w:type="pct"/>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84"/>
        <w:gridCol w:w="740"/>
        <w:gridCol w:w="642"/>
        <w:gridCol w:w="672"/>
        <w:gridCol w:w="3056"/>
        <w:gridCol w:w="1190"/>
        <w:gridCol w:w="915"/>
        <w:gridCol w:w="976"/>
      </w:tblGrid>
      <w:tr w14:paraId="39CAAA0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384" w:type="dxa"/>
            <w:vMerge w:val="restart"/>
            <w:tcBorders>
              <w:tl2br w:val="nil"/>
              <w:tr2bl w:val="nil"/>
            </w:tcBorders>
            <w:noWrap w:val="0"/>
            <w:vAlign w:val="center"/>
          </w:tcPr>
          <w:p w14:paraId="0B684E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r>
              <w:rPr>
                <w:rFonts w:hint="eastAsia" w:ascii="Times New Roman"/>
                <w:color w:val="auto"/>
                <w:sz w:val="21"/>
                <w:szCs w:val="21"/>
                <w:highlight w:val="none"/>
              </w:rPr>
              <w:t>序号</w:t>
            </w:r>
          </w:p>
        </w:tc>
        <w:tc>
          <w:tcPr>
            <w:tcW w:w="740" w:type="dxa"/>
            <w:vMerge w:val="restart"/>
            <w:tcBorders>
              <w:tl2br w:val="nil"/>
              <w:tr2bl w:val="nil"/>
            </w:tcBorders>
            <w:noWrap w:val="0"/>
            <w:vAlign w:val="center"/>
          </w:tcPr>
          <w:p w14:paraId="715AB0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r>
              <w:rPr>
                <w:rFonts w:hint="eastAsia" w:ascii="Times New Roman"/>
                <w:color w:val="auto"/>
                <w:sz w:val="21"/>
                <w:szCs w:val="21"/>
                <w:highlight w:val="none"/>
              </w:rPr>
              <w:t>排放口编号</w:t>
            </w:r>
          </w:p>
        </w:tc>
        <w:tc>
          <w:tcPr>
            <w:tcW w:w="642" w:type="dxa"/>
            <w:vMerge w:val="restart"/>
            <w:tcBorders>
              <w:tl2br w:val="nil"/>
              <w:tr2bl w:val="nil"/>
            </w:tcBorders>
            <w:noWrap w:val="0"/>
            <w:vAlign w:val="center"/>
          </w:tcPr>
          <w:p w14:paraId="18F456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r>
              <w:rPr>
                <w:rFonts w:hint="eastAsia" w:ascii="Times New Roman"/>
                <w:color w:val="auto"/>
                <w:sz w:val="21"/>
                <w:szCs w:val="21"/>
                <w:highlight w:val="none"/>
              </w:rPr>
              <w:t>产污</w:t>
            </w:r>
          </w:p>
          <w:p w14:paraId="06BBA7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r>
              <w:rPr>
                <w:rFonts w:hint="eastAsia" w:ascii="Times New Roman"/>
                <w:color w:val="auto"/>
                <w:sz w:val="21"/>
                <w:szCs w:val="21"/>
                <w:highlight w:val="none"/>
              </w:rPr>
              <w:t>环节</w:t>
            </w:r>
          </w:p>
        </w:tc>
        <w:tc>
          <w:tcPr>
            <w:tcW w:w="672" w:type="dxa"/>
            <w:vMerge w:val="restart"/>
            <w:tcBorders>
              <w:tl2br w:val="nil"/>
              <w:tr2bl w:val="nil"/>
            </w:tcBorders>
            <w:noWrap w:val="0"/>
            <w:vAlign w:val="center"/>
          </w:tcPr>
          <w:p w14:paraId="3C4B8F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r>
              <w:rPr>
                <w:rFonts w:hint="eastAsia" w:ascii="Times New Roman"/>
                <w:color w:val="auto"/>
                <w:sz w:val="21"/>
                <w:szCs w:val="21"/>
                <w:highlight w:val="none"/>
              </w:rPr>
              <w:t>污染物</w:t>
            </w:r>
          </w:p>
        </w:tc>
        <w:tc>
          <w:tcPr>
            <w:tcW w:w="4246" w:type="dxa"/>
            <w:gridSpan w:val="2"/>
            <w:tcBorders>
              <w:tl2br w:val="nil"/>
              <w:tr2bl w:val="nil"/>
            </w:tcBorders>
            <w:noWrap w:val="0"/>
            <w:vAlign w:val="center"/>
          </w:tcPr>
          <w:p w14:paraId="7B821D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r>
              <w:rPr>
                <w:rFonts w:hint="eastAsia" w:ascii="Times New Roman"/>
                <w:color w:val="auto"/>
                <w:sz w:val="21"/>
                <w:szCs w:val="21"/>
                <w:highlight w:val="none"/>
              </w:rPr>
              <w:t>国家或地方污染物排放标准</w:t>
            </w:r>
          </w:p>
        </w:tc>
        <w:tc>
          <w:tcPr>
            <w:tcW w:w="915" w:type="dxa"/>
            <w:vMerge w:val="restart"/>
            <w:tcBorders>
              <w:tl2br w:val="nil"/>
              <w:tr2bl w:val="nil"/>
            </w:tcBorders>
            <w:noWrap w:val="0"/>
            <w:vAlign w:val="center"/>
          </w:tcPr>
          <w:p w14:paraId="720FBC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排放速率</w:t>
            </w:r>
          </w:p>
          <w:p w14:paraId="61798B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eastAsia="宋体"/>
                <w:color w:val="auto"/>
                <w:sz w:val="21"/>
                <w:szCs w:val="21"/>
                <w:highlight w:val="none"/>
                <w:lang w:val="en-US" w:eastAsia="zh-CN"/>
              </w:rPr>
            </w:pPr>
            <w:r>
              <w:rPr>
                <w:rFonts w:hint="eastAsia" w:ascii="Times New Roman"/>
                <w:color w:val="auto"/>
                <w:sz w:val="21"/>
                <w:szCs w:val="21"/>
                <w:highlight w:val="none"/>
              </w:rPr>
              <w:t>（</w:t>
            </w:r>
            <w:r>
              <w:rPr>
                <w:rFonts w:hint="eastAsia" w:ascii="Times New Roman"/>
                <w:color w:val="auto"/>
                <w:sz w:val="21"/>
                <w:szCs w:val="21"/>
                <w:highlight w:val="none"/>
                <w:lang w:val="en-US" w:eastAsia="zh-CN"/>
              </w:rPr>
              <w:t>kg</w:t>
            </w:r>
            <w:r>
              <w:rPr>
                <w:rFonts w:ascii="Times New Roman"/>
                <w:color w:val="auto"/>
                <w:sz w:val="21"/>
                <w:szCs w:val="21"/>
                <w:highlight w:val="none"/>
              </w:rPr>
              <w:t>/</w:t>
            </w:r>
            <w:r>
              <w:rPr>
                <w:rFonts w:hint="eastAsia" w:ascii="Times New Roman"/>
                <w:color w:val="auto"/>
                <w:sz w:val="21"/>
                <w:szCs w:val="21"/>
                <w:highlight w:val="none"/>
                <w:lang w:val="en-US" w:eastAsia="zh-CN"/>
              </w:rPr>
              <w:t>h</w:t>
            </w:r>
            <w:r>
              <w:rPr>
                <w:rFonts w:hint="eastAsia" w:ascii="Times New Roman"/>
                <w:color w:val="auto"/>
                <w:sz w:val="21"/>
                <w:szCs w:val="21"/>
                <w:highlight w:val="none"/>
              </w:rPr>
              <w:t>）</w:t>
            </w:r>
          </w:p>
        </w:tc>
        <w:tc>
          <w:tcPr>
            <w:tcW w:w="976" w:type="dxa"/>
            <w:vMerge w:val="restart"/>
            <w:tcBorders>
              <w:tl2br w:val="nil"/>
              <w:tr2bl w:val="nil"/>
            </w:tcBorders>
            <w:noWrap w:val="0"/>
            <w:vAlign w:val="center"/>
          </w:tcPr>
          <w:p w14:paraId="5A91F6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r>
              <w:rPr>
                <w:rFonts w:hint="eastAsia" w:ascii="Times New Roman"/>
                <w:color w:val="auto"/>
                <w:sz w:val="21"/>
                <w:szCs w:val="21"/>
                <w:highlight w:val="none"/>
              </w:rPr>
              <w:t>排放量（</w:t>
            </w:r>
            <w:r>
              <w:rPr>
                <w:rFonts w:ascii="Times New Roman"/>
                <w:color w:val="auto"/>
                <w:sz w:val="21"/>
                <w:szCs w:val="21"/>
                <w:highlight w:val="none"/>
              </w:rPr>
              <w:t>t/a</w:t>
            </w:r>
            <w:r>
              <w:rPr>
                <w:rFonts w:hint="eastAsia" w:ascii="Times New Roman"/>
                <w:color w:val="auto"/>
                <w:sz w:val="21"/>
                <w:szCs w:val="21"/>
                <w:highlight w:val="none"/>
              </w:rPr>
              <w:t>）</w:t>
            </w:r>
          </w:p>
        </w:tc>
      </w:tr>
      <w:tr w14:paraId="3632C17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84" w:type="dxa"/>
            <w:vMerge w:val="continue"/>
            <w:tcBorders>
              <w:tl2br w:val="nil"/>
              <w:tr2bl w:val="nil"/>
            </w:tcBorders>
            <w:noWrap w:val="0"/>
            <w:vAlign w:val="center"/>
          </w:tcPr>
          <w:p w14:paraId="21A70D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p>
        </w:tc>
        <w:tc>
          <w:tcPr>
            <w:tcW w:w="740" w:type="dxa"/>
            <w:vMerge w:val="continue"/>
            <w:tcBorders>
              <w:tl2br w:val="nil"/>
              <w:tr2bl w:val="nil"/>
            </w:tcBorders>
            <w:noWrap w:val="0"/>
            <w:vAlign w:val="center"/>
          </w:tcPr>
          <w:p w14:paraId="30B489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p>
        </w:tc>
        <w:tc>
          <w:tcPr>
            <w:tcW w:w="642" w:type="dxa"/>
            <w:vMerge w:val="continue"/>
            <w:tcBorders>
              <w:tl2br w:val="nil"/>
              <w:tr2bl w:val="nil"/>
            </w:tcBorders>
            <w:noWrap w:val="0"/>
            <w:vAlign w:val="center"/>
          </w:tcPr>
          <w:p w14:paraId="2E192C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p>
        </w:tc>
        <w:tc>
          <w:tcPr>
            <w:tcW w:w="672" w:type="dxa"/>
            <w:vMerge w:val="continue"/>
            <w:tcBorders>
              <w:tl2br w:val="nil"/>
              <w:tr2bl w:val="nil"/>
            </w:tcBorders>
            <w:noWrap w:val="0"/>
            <w:vAlign w:val="center"/>
          </w:tcPr>
          <w:p w14:paraId="5881E4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p>
        </w:tc>
        <w:tc>
          <w:tcPr>
            <w:tcW w:w="3056" w:type="dxa"/>
            <w:tcBorders>
              <w:tl2br w:val="nil"/>
              <w:tr2bl w:val="nil"/>
            </w:tcBorders>
            <w:noWrap w:val="0"/>
            <w:vAlign w:val="center"/>
          </w:tcPr>
          <w:p w14:paraId="6BB059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rPr>
              <w:t>标准名称</w:t>
            </w:r>
          </w:p>
        </w:tc>
        <w:tc>
          <w:tcPr>
            <w:tcW w:w="1190" w:type="dxa"/>
            <w:tcBorders>
              <w:tl2br w:val="nil"/>
              <w:tr2bl w:val="nil"/>
            </w:tcBorders>
            <w:noWrap w:val="0"/>
            <w:vAlign w:val="center"/>
          </w:tcPr>
          <w:p w14:paraId="2E391B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rPr>
              <w:t>浓度限值（</w:t>
            </w:r>
            <w:r>
              <w:rPr>
                <w:rFonts w:ascii="Times New Roman"/>
                <w:color w:val="auto"/>
                <w:sz w:val="21"/>
                <w:szCs w:val="21"/>
                <w:highlight w:val="none"/>
              </w:rPr>
              <w:t>mg/m</w:t>
            </w:r>
            <w:r>
              <w:rPr>
                <w:rFonts w:ascii="Times New Roman"/>
                <w:color w:val="auto"/>
                <w:sz w:val="21"/>
                <w:szCs w:val="21"/>
                <w:highlight w:val="none"/>
                <w:vertAlign w:val="superscript"/>
              </w:rPr>
              <w:t>3</w:t>
            </w:r>
            <w:r>
              <w:rPr>
                <w:rFonts w:hint="eastAsia" w:ascii="Times New Roman"/>
                <w:color w:val="auto"/>
                <w:sz w:val="21"/>
                <w:szCs w:val="21"/>
                <w:highlight w:val="none"/>
              </w:rPr>
              <w:t>）</w:t>
            </w:r>
          </w:p>
        </w:tc>
        <w:tc>
          <w:tcPr>
            <w:tcW w:w="915" w:type="dxa"/>
            <w:vMerge w:val="continue"/>
            <w:tcBorders>
              <w:tl2br w:val="nil"/>
              <w:tr2bl w:val="nil"/>
            </w:tcBorders>
            <w:noWrap w:val="0"/>
            <w:vAlign w:val="center"/>
          </w:tcPr>
          <w:p w14:paraId="23758C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eastAsia="宋体"/>
                <w:color w:val="auto"/>
                <w:sz w:val="21"/>
                <w:szCs w:val="21"/>
                <w:highlight w:val="none"/>
                <w:lang w:val="en-US" w:eastAsia="zh-CN"/>
              </w:rPr>
            </w:pPr>
          </w:p>
        </w:tc>
        <w:tc>
          <w:tcPr>
            <w:tcW w:w="976" w:type="dxa"/>
            <w:vMerge w:val="continue"/>
            <w:tcBorders>
              <w:tl2br w:val="nil"/>
              <w:tr2bl w:val="nil"/>
            </w:tcBorders>
            <w:noWrap w:val="0"/>
            <w:vAlign w:val="center"/>
          </w:tcPr>
          <w:p w14:paraId="73FFE7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p>
        </w:tc>
      </w:tr>
      <w:tr w14:paraId="125B8A7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7" w:hRule="atLeast"/>
          <w:jc w:val="center"/>
        </w:trPr>
        <w:tc>
          <w:tcPr>
            <w:tcW w:w="384" w:type="dxa"/>
            <w:vMerge w:val="restart"/>
            <w:tcBorders>
              <w:tl2br w:val="nil"/>
              <w:tr2bl w:val="nil"/>
            </w:tcBorders>
            <w:noWrap w:val="0"/>
            <w:vAlign w:val="center"/>
          </w:tcPr>
          <w:p w14:paraId="58C297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r>
              <w:rPr>
                <w:rFonts w:ascii="Times New Roman"/>
                <w:color w:val="auto"/>
                <w:sz w:val="21"/>
                <w:szCs w:val="21"/>
                <w:highlight w:val="none"/>
              </w:rPr>
              <w:t>1</w:t>
            </w:r>
          </w:p>
        </w:tc>
        <w:tc>
          <w:tcPr>
            <w:tcW w:w="740" w:type="dxa"/>
            <w:tcBorders>
              <w:tl2br w:val="nil"/>
              <w:tr2bl w:val="nil"/>
            </w:tcBorders>
            <w:noWrap w:val="0"/>
            <w:vAlign w:val="center"/>
          </w:tcPr>
          <w:p w14:paraId="0CD699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eastAsia="宋体"/>
                <w:color w:val="auto"/>
                <w:sz w:val="21"/>
                <w:szCs w:val="21"/>
                <w:highlight w:val="none"/>
                <w:lang w:val="en-US" w:eastAsia="zh-CN"/>
              </w:rPr>
            </w:pPr>
            <w:r>
              <w:rPr>
                <w:rFonts w:hint="eastAsia" w:ascii="Times New Roman" w:hAnsi="Times New Roman" w:eastAsia="宋体" w:cs="Times New Roman"/>
                <w:color w:val="auto"/>
                <w:spacing w:val="-14"/>
                <w:sz w:val="21"/>
                <w:szCs w:val="21"/>
                <w:highlight w:val="none"/>
                <w:lang w:val="en-US" w:eastAsia="zh-CN"/>
              </w:rPr>
              <w:t>回填区</w:t>
            </w:r>
          </w:p>
        </w:tc>
        <w:tc>
          <w:tcPr>
            <w:tcW w:w="642" w:type="dxa"/>
            <w:tcBorders>
              <w:tl2br w:val="nil"/>
              <w:tr2bl w:val="nil"/>
            </w:tcBorders>
            <w:noWrap w:val="0"/>
            <w:vAlign w:val="center"/>
          </w:tcPr>
          <w:p w14:paraId="189492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spacing w:val="-14"/>
                <w:sz w:val="21"/>
                <w:szCs w:val="21"/>
                <w:highlight w:val="none"/>
                <w:lang w:val="en-US" w:eastAsia="zh-CN"/>
              </w:rPr>
            </w:pPr>
            <w:r>
              <w:rPr>
                <w:rFonts w:hint="eastAsia" w:ascii="Times New Roman" w:hAnsi="Times New Roman" w:eastAsia="宋体" w:cs="Times New Roman"/>
                <w:color w:val="auto"/>
                <w:spacing w:val="-14"/>
                <w:sz w:val="21"/>
                <w:szCs w:val="21"/>
                <w:highlight w:val="none"/>
                <w:lang w:val="en-US" w:eastAsia="zh-CN"/>
              </w:rPr>
              <w:t>回填</w:t>
            </w:r>
          </w:p>
          <w:p w14:paraId="3CD630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color w:val="auto"/>
                <w:sz w:val="21"/>
                <w:szCs w:val="21"/>
                <w:highlight w:val="none"/>
                <w:lang w:val="en-US"/>
              </w:rPr>
            </w:pPr>
            <w:r>
              <w:rPr>
                <w:rFonts w:hint="eastAsia" w:ascii="Times New Roman" w:hAnsi="Times New Roman" w:eastAsia="宋体" w:cs="Times New Roman"/>
                <w:color w:val="auto"/>
                <w:spacing w:val="-14"/>
                <w:sz w:val="21"/>
                <w:szCs w:val="21"/>
                <w:highlight w:val="none"/>
                <w:lang w:val="en-US" w:eastAsia="zh-CN"/>
              </w:rPr>
              <w:t>作业</w:t>
            </w:r>
          </w:p>
        </w:tc>
        <w:tc>
          <w:tcPr>
            <w:tcW w:w="672" w:type="dxa"/>
            <w:tcBorders>
              <w:tl2br w:val="nil"/>
              <w:tr2bl w:val="nil"/>
            </w:tcBorders>
            <w:noWrap w:val="0"/>
            <w:vAlign w:val="center"/>
          </w:tcPr>
          <w:p w14:paraId="2D5D8D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eastAsia="宋体"/>
                <w:color w:val="auto"/>
                <w:sz w:val="21"/>
                <w:szCs w:val="21"/>
                <w:highlight w:val="none"/>
                <w:lang w:eastAsia="zh-CN"/>
              </w:rPr>
            </w:pPr>
            <w:r>
              <w:rPr>
                <w:rFonts w:hint="eastAsia"/>
                <w:color w:val="auto"/>
                <w:sz w:val="21"/>
                <w:szCs w:val="21"/>
                <w:highlight w:val="none"/>
                <w:lang w:val="en-US" w:eastAsia="zh-CN"/>
              </w:rPr>
              <w:t>颗粒物</w:t>
            </w:r>
          </w:p>
        </w:tc>
        <w:tc>
          <w:tcPr>
            <w:tcW w:w="3056" w:type="dxa"/>
            <w:tcBorders>
              <w:tl2br w:val="nil"/>
              <w:tr2bl w:val="nil"/>
            </w:tcBorders>
            <w:noWrap w:val="0"/>
            <w:vAlign w:val="center"/>
          </w:tcPr>
          <w:p w14:paraId="283C79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color w:val="auto"/>
                <w:sz w:val="21"/>
                <w:szCs w:val="21"/>
                <w:highlight w:val="none"/>
              </w:rPr>
            </w:pPr>
            <w:r>
              <w:rPr>
                <w:rFonts w:hint="eastAsia" w:ascii="Times New Roman"/>
                <w:color w:val="auto"/>
                <w:sz w:val="21"/>
                <w:szCs w:val="21"/>
                <w:highlight w:val="none"/>
              </w:rPr>
              <w:t>《大气污染物综合排放标准》</w:t>
            </w:r>
          </w:p>
          <w:p w14:paraId="6E3C58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rPr>
              <w:t>（</w:t>
            </w:r>
            <w:r>
              <w:rPr>
                <w:rFonts w:ascii="Times New Roman"/>
                <w:color w:val="auto"/>
                <w:sz w:val="21"/>
                <w:szCs w:val="21"/>
                <w:highlight w:val="none"/>
              </w:rPr>
              <w:t>GB16297-1996</w:t>
            </w:r>
            <w:r>
              <w:rPr>
                <w:rFonts w:hint="eastAsia" w:ascii="Times New Roman"/>
                <w:color w:val="auto"/>
                <w:sz w:val="21"/>
                <w:szCs w:val="21"/>
                <w:highlight w:val="none"/>
              </w:rPr>
              <w:t>）</w:t>
            </w:r>
          </w:p>
        </w:tc>
        <w:tc>
          <w:tcPr>
            <w:tcW w:w="1190" w:type="dxa"/>
            <w:tcBorders>
              <w:tl2br w:val="nil"/>
              <w:tr2bl w:val="nil"/>
            </w:tcBorders>
            <w:noWrap w:val="0"/>
            <w:vAlign w:val="center"/>
          </w:tcPr>
          <w:p w14:paraId="6595CD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rPr>
              <w:t>1.0</w:t>
            </w:r>
          </w:p>
        </w:tc>
        <w:tc>
          <w:tcPr>
            <w:tcW w:w="915" w:type="dxa"/>
            <w:tcBorders>
              <w:tl2br w:val="nil"/>
              <w:tr2bl w:val="nil"/>
            </w:tcBorders>
            <w:noWrap w:val="0"/>
            <w:vAlign w:val="center"/>
          </w:tcPr>
          <w:p w14:paraId="26CDFF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eastAsia="宋体"/>
                <w:color w:val="auto"/>
                <w:sz w:val="21"/>
                <w:szCs w:val="21"/>
                <w:highlight w:val="none"/>
                <w:lang w:val="en-US" w:eastAsia="zh-CN"/>
              </w:rPr>
            </w:pPr>
            <w:r>
              <w:rPr>
                <w:rFonts w:hint="eastAsia"/>
                <w:color w:val="auto"/>
                <w:sz w:val="21"/>
                <w:szCs w:val="21"/>
                <w:highlight w:val="none"/>
                <w:lang w:val="en-US" w:eastAsia="zh-CN"/>
              </w:rPr>
              <w:t>/</w:t>
            </w:r>
          </w:p>
        </w:tc>
        <w:tc>
          <w:tcPr>
            <w:tcW w:w="976" w:type="dxa"/>
            <w:tcBorders>
              <w:tl2br w:val="nil"/>
              <w:tr2bl w:val="nil"/>
            </w:tcBorders>
            <w:noWrap w:val="0"/>
            <w:vAlign w:val="center"/>
          </w:tcPr>
          <w:p w14:paraId="1AA2CFEC">
            <w:pPr>
              <w:keepNext w:val="0"/>
              <w:keepLines w:val="0"/>
              <w:pageBreakBefore w:val="0"/>
              <w:widowControl w:val="0"/>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eastAsia="宋体"/>
                <w:color w:val="auto"/>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bidi="ar-SA"/>
              </w:rPr>
              <w:t>0.587</w:t>
            </w:r>
          </w:p>
        </w:tc>
      </w:tr>
      <w:tr w14:paraId="17A8D5E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384" w:type="dxa"/>
            <w:vMerge w:val="continue"/>
            <w:tcBorders>
              <w:tl2br w:val="nil"/>
              <w:tr2bl w:val="nil"/>
            </w:tcBorders>
            <w:noWrap w:val="0"/>
            <w:vAlign w:val="center"/>
          </w:tcPr>
          <w:p w14:paraId="18E461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p>
        </w:tc>
        <w:tc>
          <w:tcPr>
            <w:tcW w:w="740" w:type="dxa"/>
            <w:tcBorders>
              <w:tl2br w:val="nil"/>
              <w:tr2bl w:val="nil"/>
            </w:tcBorders>
            <w:noWrap w:val="0"/>
            <w:vAlign w:val="center"/>
          </w:tcPr>
          <w:p w14:paraId="61AEE8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r>
              <w:rPr>
                <w:rFonts w:hint="eastAsia" w:ascii="Times New Roman"/>
                <w:color w:val="auto"/>
                <w:sz w:val="21"/>
                <w:szCs w:val="21"/>
                <w:highlight w:val="none"/>
              </w:rPr>
              <w:t>运输道路</w:t>
            </w:r>
          </w:p>
        </w:tc>
        <w:tc>
          <w:tcPr>
            <w:tcW w:w="642" w:type="dxa"/>
            <w:tcBorders>
              <w:tl2br w:val="nil"/>
              <w:tr2bl w:val="nil"/>
            </w:tcBorders>
            <w:noWrap w:val="0"/>
            <w:vAlign w:val="center"/>
          </w:tcPr>
          <w:p w14:paraId="094988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r>
              <w:rPr>
                <w:rFonts w:hint="eastAsia" w:ascii="Times New Roman"/>
                <w:color w:val="auto"/>
                <w:sz w:val="21"/>
                <w:szCs w:val="21"/>
                <w:highlight w:val="none"/>
              </w:rPr>
              <w:t>运输</w:t>
            </w:r>
          </w:p>
        </w:tc>
        <w:tc>
          <w:tcPr>
            <w:tcW w:w="672" w:type="dxa"/>
            <w:tcBorders>
              <w:tl2br w:val="nil"/>
              <w:tr2bl w:val="nil"/>
            </w:tcBorders>
            <w:noWrap w:val="0"/>
            <w:vAlign w:val="center"/>
          </w:tcPr>
          <w:p w14:paraId="65CCE2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color w:val="auto"/>
                <w:sz w:val="21"/>
                <w:szCs w:val="21"/>
                <w:highlight w:val="none"/>
              </w:rPr>
            </w:pPr>
            <w:r>
              <w:rPr>
                <w:rFonts w:hint="eastAsia"/>
                <w:color w:val="auto"/>
                <w:sz w:val="21"/>
                <w:szCs w:val="21"/>
                <w:highlight w:val="none"/>
                <w:lang w:val="en-US" w:eastAsia="zh-CN"/>
              </w:rPr>
              <w:t>颗粒物</w:t>
            </w:r>
          </w:p>
        </w:tc>
        <w:tc>
          <w:tcPr>
            <w:tcW w:w="3056" w:type="dxa"/>
            <w:tcBorders>
              <w:tl2br w:val="nil"/>
              <w:tr2bl w:val="nil"/>
            </w:tcBorders>
            <w:noWrap w:val="0"/>
            <w:vAlign w:val="center"/>
          </w:tcPr>
          <w:p w14:paraId="343A7B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color w:val="auto"/>
                <w:sz w:val="21"/>
                <w:szCs w:val="21"/>
                <w:highlight w:val="none"/>
              </w:rPr>
            </w:pPr>
            <w:r>
              <w:rPr>
                <w:rFonts w:hint="eastAsia" w:ascii="Times New Roman"/>
                <w:color w:val="auto"/>
                <w:sz w:val="21"/>
                <w:szCs w:val="21"/>
                <w:highlight w:val="none"/>
              </w:rPr>
              <w:t>《大气污染物综合排放标准》</w:t>
            </w:r>
          </w:p>
          <w:p w14:paraId="554BF9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rPr>
              <w:t>（</w:t>
            </w:r>
            <w:r>
              <w:rPr>
                <w:rFonts w:ascii="Times New Roman"/>
                <w:color w:val="auto"/>
                <w:sz w:val="21"/>
                <w:szCs w:val="21"/>
                <w:highlight w:val="none"/>
              </w:rPr>
              <w:t>GB16297-1996</w:t>
            </w:r>
            <w:r>
              <w:rPr>
                <w:rFonts w:hint="eastAsia" w:ascii="Times New Roman"/>
                <w:color w:val="auto"/>
                <w:sz w:val="21"/>
                <w:szCs w:val="21"/>
                <w:highlight w:val="none"/>
              </w:rPr>
              <w:t>）</w:t>
            </w:r>
          </w:p>
        </w:tc>
        <w:tc>
          <w:tcPr>
            <w:tcW w:w="1190" w:type="dxa"/>
            <w:tcBorders>
              <w:tl2br w:val="nil"/>
              <w:tr2bl w:val="nil"/>
            </w:tcBorders>
            <w:noWrap w:val="0"/>
            <w:vAlign w:val="center"/>
          </w:tcPr>
          <w:p w14:paraId="3AE085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rPr>
              <w:t>1.0</w:t>
            </w:r>
          </w:p>
        </w:tc>
        <w:tc>
          <w:tcPr>
            <w:tcW w:w="915" w:type="dxa"/>
            <w:tcBorders>
              <w:tl2br w:val="nil"/>
              <w:tr2bl w:val="nil"/>
            </w:tcBorders>
            <w:noWrap w:val="0"/>
            <w:vAlign w:val="center"/>
          </w:tcPr>
          <w:p w14:paraId="6EACA6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eastAsia="宋体"/>
                <w:color w:val="auto"/>
                <w:sz w:val="21"/>
                <w:szCs w:val="21"/>
                <w:highlight w:val="none"/>
                <w:lang w:val="en-US" w:eastAsia="zh-CN"/>
              </w:rPr>
            </w:pPr>
            <w:r>
              <w:rPr>
                <w:rFonts w:hint="eastAsia"/>
                <w:color w:val="auto"/>
                <w:sz w:val="21"/>
                <w:szCs w:val="21"/>
                <w:highlight w:val="none"/>
                <w:lang w:val="en-US" w:eastAsia="zh-CN"/>
              </w:rPr>
              <w:t>/</w:t>
            </w:r>
          </w:p>
        </w:tc>
        <w:tc>
          <w:tcPr>
            <w:tcW w:w="976" w:type="dxa"/>
            <w:tcBorders>
              <w:tl2br w:val="nil"/>
              <w:tr2bl w:val="nil"/>
            </w:tcBorders>
            <w:noWrap w:val="0"/>
            <w:vAlign w:val="center"/>
          </w:tcPr>
          <w:p w14:paraId="28302B50">
            <w:pPr>
              <w:keepNext w:val="0"/>
              <w:keepLines w:val="0"/>
              <w:pageBreakBefore w:val="0"/>
              <w:widowControl w:val="0"/>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eastAsia="宋体"/>
                <w:color w:val="auto"/>
                <w:sz w:val="21"/>
                <w:szCs w:val="21"/>
                <w:highlight w:val="none"/>
                <w:lang w:val="en-US" w:eastAsia="zh-CN"/>
              </w:rPr>
            </w:pPr>
            <w:r>
              <w:rPr>
                <w:rFonts w:hint="eastAsia" w:ascii="Times New Roman"/>
                <w:color w:val="auto"/>
                <w:sz w:val="21"/>
                <w:szCs w:val="21"/>
                <w:highlight w:val="none"/>
                <w:lang w:val="en-US" w:eastAsia="zh-CN"/>
              </w:rPr>
              <w:t>0.0003</w:t>
            </w:r>
          </w:p>
        </w:tc>
      </w:tr>
      <w:tr w14:paraId="39623D91">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2438" w:type="dxa"/>
            <w:gridSpan w:val="4"/>
            <w:tcBorders>
              <w:tl2br w:val="nil"/>
              <w:tr2bl w:val="nil"/>
            </w:tcBorders>
            <w:noWrap w:val="0"/>
            <w:vAlign w:val="center"/>
          </w:tcPr>
          <w:p w14:paraId="01DB05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color w:val="auto"/>
                <w:sz w:val="21"/>
                <w:szCs w:val="21"/>
                <w:highlight w:val="none"/>
                <w:lang w:val="en-US" w:eastAsia="zh-CN"/>
              </w:rPr>
            </w:pPr>
            <w:r>
              <w:rPr>
                <w:rFonts w:hint="eastAsia" w:ascii="Times New Roman"/>
                <w:color w:val="auto"/>
                <w:sz w:val="21"/>
                <w:szCs w:val="21"/>
                <w:highlight w:val="none"/>
              </w:rPr>
              <w:t>总计</w:t>
            </w:r>
          </w:p>
        </w:tc>
        <w:tc>
          <w:tcPr>
            <w:tcW w:w="4246" w:type="dxa"/>
            <w:gridSpan w:val="2"/>
            <w:tcBorders>
              <w:tl2br w:val="nil"/>
              <w:tr2bl w:val="nil"/>
            </w:tcBorders>
            <w:noWrap w:val="0"/>
            <w:vAlign w:val="center"/>
          </w:tcPr>
          <w:p w14:paraId="42896D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color w:val="auto"/>
                <w:sz w:val="21"/>
                <w:szCs w:val="21"/>
                <w:highlight w:val="none"/>
              </w:rPr>
            </w:pPr>
            <w:r>
              <w:rPr>
                <w:rFonts w:ascii="Times New Roman"/>
                <w:color w:val="auto"/>
                <w:sz w:val="21"/>
                <w:szCs w:val="21"/>
                <w:highlight w:val="none"/>
              </w:rPr>
              <w:t>TSP</w:t>
            </w:r>
          </w:p>
        </w:tc>
        <w:tc>
          <w:tcPr>
            <w:tcW w:w="915" w:type="dxa"/>
            <w:tcBorders>
              <w:tl2br w:val="nil"/>
              <w:tr2bl w:val="nil"/>
            </w:tcBorders>
            <w:noWrap w:val="0"/>
            <w:vAlign w:val="center"/>
          </w:tcPr>
          <w:p w14:paraId="7EEA0A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976" w:type="dxa"/>
            <w:tcBorders>
              <w:tl2br w:val="nil"/>
              <w:tr2bl w:val="nil"/>
            </w:tcBorders>
            <w:noWrap w:val="0"/>
            <w:vAlign w:val="center"/>
          </w:tcPr>
          <w:p w14:paraId="6D2AC4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0.5873</w:t>
            </w:r>
          </w:p>
        </w:tc>
      </w:tr>
    </w:tbl>
    <w:p w14:paraId="11BCECBA">
      <w:pPr>
        <w:keepNext w:val="0"/>
        <w:keepLines w:val="0"/>
        <w:pageBreakBefore w:val="0"/>
        <w:widowControl w:val="0"/>
        <w:kinsoku/>
        <w:wordWrap/>
        <w:overflowPunct/>
        <w:topLinePunct w:val="0"/>
        <w:autoSpaceDE/>
        <w:autoSpaceDN/>
        <w:bidi w:val="0"/>
        <w:adjustRightInd/>
        <w:snapToGrid/>
        <w:spacing w:before="157" w:beforeLines="50" w:line="360" w:lineRule="auto"/>
        <w:ind w:firstLine="480" w:firstLineChars="200"/>
        <w:textAlignment w:val="auto"/>
        <w:rPr>
          <w:color w:val="auto"/>
          <w:highlight w:val="none"/>
        </w:rPr>
      </w:pPr>
      <w:r>
        <w:rPr>
          <w:color w:val="auto"/>
          <w:highlight w:val="none"/>
        </w:rPr>
        <w:t>5.</w:t>
      </w:r>
      <w:r>
        <w:rPr>
          <w:rFonts w:hint="eastAsia"/>
          <w:color w:val="auto"/>
          <w:highlight w:val="none"/>
        </w:rPr>
        <w:t>2.</w:t>
      </w:r>
      <w:r>
        <w:rPr>
          <w:rFonts w:hint="eastAsia"/>
          <w:color w:val="auto"/>
          <w:highlight w:val="none"/>
          <w:lang w:val="en-US" w:eastAsia="zh-CN"/>
        </w:rPr>
        <w:t>1.</w:t>
      </w:r>
      <w:r>
        <w:rPr>
          <w:rFonts w:hint="eastAsia"/>
          <w:color w:val="auto"/>
          <w:highlight w:val="none"/>
        </w:rPr>
        <w:t>2环境防护距离的确定</w:t>
      </w:r>
    </w:p>
    <w:p w14:paraId="45EC8244">
      <w:pPr>
        <w:pStyle w:val="28"/>
        <w:spacing w:line="360" w:lineRule="auto"/>
        <w:ind w:firstLine="480" w:firstLineChars="200"/>
        <w:rPr>
          <w:rFonts w:hint="default"/>
          <w:color w:val="auto"/>
          <w:highlight w:val="none"/>
        </w:rPr>
      </w:pPr>
      <w:r>
        <w:rPr>
          <w:rFonts w:hint="eastAsia" w:ascii="Times New Roman" w:hAnsi="Times New Roman"/>
          <w:color w:val="auto"/>
          <w:sz w:val="24"/>
          <w:szCs w:val="24"/>
          <w:highlight w:val="none"/>
        </w:rPr>
        <w:t>根据估算模式的预测结果，本项目无组织排放下风向最大落地浓度占标率均小于10%，</w:t>
      </w:r>
      <w:r>
        <w:rPr>
          <w:rFonts w:hint="eastAsia" w:ascii="Times New Roman" w:hAnsi="Times New Roman"/>
          <w:color w:val="auto"/>
          <w:sz w:val="24"/>
          <w:szCs w:val="24"/>
          <w:highlight w:val="none"/>
          <w:lang w:val="en-US" w:eastAsia="zh-CN"/>
        </w:rPr>
        <w:t>场</w:t>
      </w:r>
      <w:r>
        <w:rPr>
          <w:rFonts w:hint="eastAsia" w:ascii="Times New Roman" w:hAnsi="Times New Roman"/>
          <w:color w:val="auto"/>
          <w:sz w:val="24"/>
          <w:szCs w:val="24"/>
          <w:highlight w:val="none"/>
        </w:rPr>
        <w:t>界外不存在短期贡献浓度超标点，因此无需设置大气防护距离</w:t>
      </w:r>
      <w:r>
        <w:rPr>
          <w:rFonts w:hint="eastAsia" w:ascii="Times New Roman" w:hAnsi="Times New Roman"/>
          <w:color w:val="auto"/>
          <w:sz w:val="24"/>
          <w:szCs w:val="24"/>
          <w:highlight w:val="none"/>
          <w:lang w:eastAsia="zh-CN"/>
        </w:rPr>
        <w:t>。</w:t>
      </w:r>
    </w:p>
    <w:p w14:paraId="60ECE84C">
      <w:pPr>
        <w:bidi w:val="0"/>
        <w:spacing w:line="360" w:lineRule="auto"/>
        <w:ind w:firstLine="480" w:firstLineChars="200"/>
        <w:rPr>
          <w:rFonts w:hint="eastAsia"/>
          <w:color w:val="auto"/>
          <w:highlight w:val="none"/>
        </w:rPr>
      </w:pPr>
      <w:r>
        <w:rPr>
          <w:color w:val="auto"/>
          <w:highlight w:val="none"/>
        </w:rPr>
        <w:t>5.</w:t>
      </w:r>
      <w:r>
        <w:rPr>
          <w:rFonts w:hint="eastAsia"/>
          <w:color w:val="auto"/>
          <w:highlight w:val="none"/>
        </w:rPr>
        <w:t>2</w:t>
      </w:r>
      <w:r>
        <w:rPr>
          <w:rFonts w:hint="eastAsia"/>
          <w:color w:val="auto"/>
          <w:highlight w:val="none"/>
          <w:lang w:val="en-US" w:eastAsia="zh-CN"/>
        </w:rPr>
        <w:t>.1</w:t>
      </w:r>
      <w:r>
        <w:rPr>
          <w:rFonts w:hint="eastAsia"/>
          <w:color w:val="auto"/>
          <w:highlight w:val="none"/>
        </w:rPr>
        <w:t>.3</w:t>
      </w:r>
      <w:r>
        <w:rPr>
          <w:color w:val="auto"/>
          <w:highlight w:val="none"/>
          <w:lang w:val="zh-CN"/>
        </w:rPr>
        <w:t>大气环境影响分析</w:t>
      </w:r>
    </w:p>
    <w:p w14:paraId="3E296708">
      <w:pPr>
        <w:autoSpaceDE w:val="0"/>
        <w:autoSpaceDN w:val="0"/>
        <w:adjustRightInd w:val="0"/>
        <w:spacing w:line="360" w:lineRule="auto"/>
        <w:ind w:firstLine="480"/>
        <w:rPr>
          <w:rFonts w:hint="eastAsia" w:ascii="Times New Roman"/>
          <w:color w:val="auto"/>
          <w:szCs w:val="24"/>
          <w:highlight w:val="none"/>
          <w:lang w:bidi="ar"/>
        </w:rPr>
      </w:pPr>
      <w:r>
        <w:rPr>
          <w:rFonts w:hint="eastAsia" w:ascii="Times New Roman"/>
          <w:color w:val="auto"/>
          <w:szCs w:val="24"/>
          <w:highlight w:val="none"/>
          <w:lang w:bidi="ar"/>
        </w:rPr>
        <w:t>本项目汽车运输会对运输沿线环境产生一定的影响，使道路两边一定范围短时间内TSP污染加重。本项目</w:t>
      </w:r>
      <w:r>
        <w:rPr>
          <w:rFonts w:hint="eastAsia"/>
          <w:color w:val="auto"/>
          <w:highlight w:val="none"/>
          <w:lang w:val="en-US" w:eastAsia="zh-CN"/>
        </w:rPr>
        <w:t>灰渣</w:t>
      </w:r>
      <w:r>
        <w:rPr>
          <w:rFonts w:hint="eastAsia" w:ascii="Times New Roman"/>
          <w:color w:val="auto"/>
          <w:szCs w:val="24"/>
          <w:highlight w:val="none"/>
          <w:lang w:bidi="ar"/>
        </w:rPr>
        <w:t>、</w:t>
      </w:r>
      <w:r>
        <w:rPr>
          <w:rFonts w:hint="eastAsia"/>
          <w:color w:val="auto"/>
          <w:szCs w:val="24"/>
          <w:highlight w:val="none"/>
          <w:lang w:val="en-US" w:eastAsia="zh-CN" w:bidi="ar"/>
        </w:rPr>
        <w:t>覆土用的</w:t>
      </w:r>
      <w:r>
        <w:rPr>
          <w:rFonts w:hint="eastAsia" w:ascii="Times New Roman"/>
          <w:color w:val="auto"/>
          <w:szCs w:val="24"/>
          <w:highlight w:val="none"/>
          <w:lang w:bidi="ar"/>
        </w:rPr>
        <w:t>种植土</w:t>
      </w:r>
      <w:r>
        <w:rPr>
          <w:rFonts w:hint="eastAsia"/>
          <w:color w:val="auto"/>
          <w:szCs w:val="24"/>
          <w:highlight w:val="none"/>
          <w:lang w:val="en-US" w:eastAsia="zh-CN" w:bidi="ar"/>
        </w:rPr>
        <w:t>壤</w:t>
      </w:r>
      <w:r>
        <w:rPr>
          <w:rFonts w:hint="eastAsia" w:ascii="Times New Roman"/>
          <w:color w:val="auto"/>
          <w:szCs w:val="24"/>
          <w:highlight w:val="none"/>
          <w:lang w:bidi="ar"/>
        </w:rPr>
        <w:t>全部通过道路运输，为了减少运输对沿途的影响，本项目通过采取对车辆加强维修保养，并及时更新运输车辆，确保运输车</w:t>
      </w:r>
      <w:r>
        <w:rPr>
          <w:rFonts w:hint="eastAsia"/>
          <w:color w:val="auto"/>
          <w:szCs w:val="24"/>
          <w:highlight w:val="none"/>
          <w:lang w:val="en-US" w:eastAsia="zh-CN" w:bidi="ar"/>
        </w:rPr>
        <w:t>辆</w:t>
      </w:r>
      <w:r>
        <w:rPr>
          <w:rFonts w:hint="eastAsia" w:ascii="Times New Roman"/>
          <w:color w:val="auto"/>
          <w:szCs w:val="24"/>
          <w:highlight w:val="none"/>
          <w:lang w:bidi="ar"/>
        </w:rPr>
        <w:t>的密封性能良好；定期外委清洗运输车辆轮胎，做好道路及其两侧的保洁工作；运输车辆不得超载，减速行驶，并加盖篷布封闭运输；</w:t>
      </w:r>
    </w:p>
    <w:p w14:paraId="1C3D6899">
      <w:pPr>
        <w:spacing w:line="360" w:lineRule="auto"/>
        <w:ind w:firstLine="480" w:firstLineChars="200"/>
        <w:rPr>
          <w:color w:val="auto"/>
          <w:sz w:val="24"/>
          <w:szCs w:val="22"/>
          <w:highlight w:val="none"/>
        </w:rPr>
      </w:pPr>
      <w:r>
        <w:rPr>
          <w:color w:val="auto"/>
          <w:sz w:val="24"/>
          <w:szCs w:val="22"/>
          <w:highlight w:val="none"/>
        </w:rPr>
        <w:t>回填区扬尘主要产生区域是堆灰作业面。本项目分区分块运行，减小</w:t>
      </w:r>
      <w:r>
        <w:rPr>
          <w:rFonts w:hint="eastAsia"/>
          <w:color w:val="auto"/>
          <w:sz w:val="24"/>
          <w:szCs w:val="22"/>
          <w:highlight w:val="none"/>
          <w:lang w:val="en-US" w:eastAsia="zh-CN"/>
        </w:rPr>
        <w:t>回填</w:t>
      </w:r>
      <w:r>
        <w:rPr>
          <w:color w:val="auto"/>
          <w:sz w:val="24"/>
          <w:szCs w:val="22"/>
          <w:highlight w:val="none"/>
        </w:rPr>
        <w:t>过程的工作面。</w:t>
      </w:r>
      <w:r>
        <w:rPr>
          <w:rFonts w:hint="eastAsia" w:ascii="Times New Roman"/>
          <w:color w:val="auto"/>
          <w:szCs w:val="24"/>
          <w:highlight w:val="none"/>
          <w:lang w:bidi="ar"/>
        </w:rPr>
        <w:t>配用一台洒水车，经常洒水，防止产生二次扬尘</w:t>
      </w:r>
      <w:r>
        <w:rPr>
          <w:rFonts w:hint="eastAsia"/>
          <w:color w:val="auto"/>
          <w:szCs w:val="24"/>
          <w:highlight w:val="none"/>
          <w:lang w:eastAsia="zh-CN" w:bidi="ar"/>
        </w:rPr>
        <w:t>，</w:t>
      </w:r>
      <w:r>
        <w:rPr>
          <w:color w:val="auto"/>
          <w:sz w:val="24"/>
          <w:szCs w:val="22"/>
          <w:highlight w:val="none"/>
        </w:rPr>
        <w:t>使降尘效率在60%以上，极大</w:t>
      </w:r>
      <w:r>
        <w:rPr>
          <w:rFonts w:hint="eastAsia"/>
          <w:color w:val="auto"/>
          <w:sz w:val="24"/>
          <w:szCs w:val="22"/>
          <w:highlight w:val="none"/>
          <w:lang w:val="en-US" w:eastAsia="zh-CN"/>
        </w:rPr>
        <w:t>地</w:t>
      </w:r>
      <w:r>
        <w:rPr>
          <w:color w:val="auto"/>
          <w:sz w:val="24"/>
          <w:szCs w:val="22"/>
          <w:highlight w:val="none"/>
        </w:rPr>
        <w:t>降低大风扬灰污染环境的程度。</w:t>
      </w:r>
    </w:p>
    <w:p w14:paraId="55BD3A5A">
      <w:pPr>
        <w:spacing w:line="360" w:lineRule="auto"/>
        <w:ind w:firstLine="480" w:firstLineChars="200"/>
        <w:rPr>
          <w:color w:val="auto"/>
          <w:sz w:val="24"/>
          <w:szCs w:val="22"/>
          <w:highlight w:val="none"/>
        </w:rPr>
      </w:pPr>
      <w:r>
        <w:rPr>
          <w:color w:val="auto"/>
          <w:sz w:val="24"/>
          <w:szCs w:val="22"/>
          <w:highlight w:val="none"/>
        </w:rPr>
        <w:t>根据估算模型预测计算结果可知，以回填区中部为中心源强排放点，项目扬尘排放带来的TSP最大落地浓度在</w:t>
      </w:r>
      <w:r>
        <w:rPr>
          <w:rFonts w:hint="eastAsia"/>
          <w:color w:val="auto"/>
          <w:sz w:val="24"/>
          <w:szCs w:val="22"/>
          <w:highlight w:val="none"/>
          <w:lang w:val="en-US" w:eastAsia="zh-CN"/>
        </w:rPr>
        <w:t>27</w:t>
      </w:r>
      <w:r>
        <w:rPr>
          <w:color w:val="auto"/>
          <w:sz w:val="24"/>
          <w:szCs w:val="22"/>
          <w:highlight w:val="none"/>
        </w:rPr>
        <w:t>m范围内；之后随距离扩散，浓度逐渐降低，其浓度值远低于大气环境质量二级标准要求；表明项目运营对场地周边大气环境影响较小。最近的保护目标位于厂</w:t>
      </w:r>
      <w:r>
        <w:rPr>
          <w:rFonts w:hint="eastAsia"/>
          <w:color w:val="auto"/>
          <w:sz w:val="24"/>
          <w:szCs w:val="22"/>
          <w:highlight w:val="none"/>
          <w:lang w:val="en-US" w:eastAsia="zh-CN"/>
        </w:rPr>
        <w:t>区南侧350</w:t>
      </w:r>
      <w:r>
        <w:rPr>
          <w:color w:val="auto"/>
          <w:sz w:val="24"/>
          <w:szCs w:val="22"/>
          <w:highlight w:val="none"/>
        </w:rPr>
        <w:t>m的</w:t>
      </w:r>
      <w:r>
        <w:rPr>
          <w:rFonts w:hint="eastAsia"/>
          <w:color w:val="auto"/>
          <w:sz w:val="24"/>
          <w:szCs w:val="22"/>
          <w:highlight w:val="none"/>
          <w:lang w:val="en-US" w:eastAsia="zh-CN"/>
        </w:rPr>
        <w:t>元宝村</w:t>
      </w:r>
      <w:r>
        <w:rPr>
          <w:color w:val="auto"/>
          <w:sz w:val="24"/>
          <w:szCs w:val="22"/>
          <w:highlight w:val="none"/>
        </w:rPr>
        <w:t>，距离较远，且项目区地势平坦，扩散条件较好，通过洒水降尘、及时苫盖、分区回填等措施，</w:t>
      </w:r>
      <w:r>
        <w:rPr>
          <w:rFonts w:hint="eastAsia"/>
          <w:color w:val="auto"/>
          <w:sz w:val="24"/>
          <w:szCs w:val="22"/>
          <w:highlight w:val="none"/>
          <w:lang w:val="en-US" w:eastAsia="zh-CN"/>
        </w:rPr>
        <w:t>应</w:t>
      </w:r>
      <w:r>
        <w:rPr>
          <w:color w:val="auto"/>
          <w:sz w:val="24"/>
          <w:szCs w:val="22"/>
          <w:highlight w:val="none"/>
        </w:rPr>
        <w:t>对大风等特殊气象条件，停止作业，并加大洒水强度，因此，不会对保护目标处的环境空气产生较大影响，对环境保护目标的影响可接受。</w:t>
      </w:r>
    </w:p>
    <w:p w14:paraId="07259D1E">
      <w:pPr>
        <w:bidi w:val="0"/>
        <w:spacing w:line="360" w:lineRule="auto"/>
        <w:ind w:firstLine="480" w:firstLineChars="200"/>
        <w:rPr>
          <w:color w:val="auto"/>
          <w:highlight w:val="none"/>
          <w:lang w:val="zh-CN"/>
        </w:rPr>
      </w:pPr>
      <w:r>
        <w:rPr>
          <w:color w:val="auto"/>
          <w:highlight w:val="none"/>
          <w:lang w:val="zh-CN"/>
        </w:rPr>
        <w:t>5.2.</w:t>
      </w:r>
      <w:r>
        <w:rPr>
          <w:rFonts w:hint="eastAsia"/>
          <w:color w:val="auto"/>
          <w:highlight w:val="none"/>
          <w:lang w:val="en-US" w:eastAsia="zh-CN"/>
        </w:rPr>
        <w:t>1.</w:t>
      </w:r>
      <w:r>
        <w:rPr>
          <w:color w:val="auto"/>
          <w:highlight w:val="none"/>
          <w:lang w:val="zh-CN"/>
        </w:rPr>
        <w:t>4非正常工况</w:t>
      </w:r>
    </w:p>
    <w:p w14:paraId="543DFD20">
      <w:pPr>
        <w:spacing w:line="360" w:lineRule="auto"/>
        <w:ind w:firstLine="480" w:firstLineChars="200"/>
        <w:rPr>
          <w:color w:val="auto"/>
          <w:sz w:val="24"/>
          <w:szCs w:val="22"/>
          <w:highlight w:val="none"/>
        </w:rPr>
      </w:pPr>
      <w:r>
        <w:rPr>
          <w:color w:val="auto"/>
          <w:sz w:val="24"/>
          <w:szCs w:val="22"/>
          <w:highlight w:val="none"/>
        </w:rPr>
        <w:t>本项目非正常工况主要为洒水车故障，导致抑尘效率为0%，则非正常工况下，废气源强见下表。</w:t>
      </w:r>
    </w:p>
    <w:p w14:paraId="28FCB268">
      <w:pPr>
        <w:spacing w:line="240" w:lineRule="auto"/>
        <w:ind w:firstLine="482"/>
        <w:jc w:val="center"/>
        <w:rPr>
          <w:rFonts w:ascii="Times New Roman" w:hAnsi="Times New Roman" w:eastAsia="宋体" w:cs="Times New Roman"/>
          <w:b/>
          <w:bCs w:val="0"/>
          <w:color w:val="auto"/>
          <w:highlight w:val="none"/>
        </w:rPr>
      </w:pPr>
      <w:r>
        <w:rPr>
          <w:rFonts w:ascii="Times New Roman" w:hAnsi="Times New Roman" w:eastAsia="宋体" w:cs="Times New Roman"/>
          <w:b/>
          <w:bCs w:val="0"/>
          <w:color w:val="auto"/>
          <w:highlight w:val="none"/>
          <w:lang w:val="zh-CN"/>
        </w:rPr>
        <w:t>表</w:t>
      </w:r>
      <w:r>
        <w:rPr>
          <w:rFonts w:ascii="Times New Roman" w:hAnsi="Times New Roman" w:eastAsia="宋体" w:cs="Times New Roman"/>
          <w:b/>
          <w:bCs w:val="0"/>
          <w:color w:val="auto"/>
          <w:highlight w:val="none"/>
        </w:rPr>
        <w:t>5</w:t>
      </w:r>
      <w:r>
        <w:rPr>
          <w:rFonts w:hint="eastAsia" w:ascii="Times New Roman" w:hAnsi="Times New Roman" w:eastAsia="宋体" w:cs="Times New Roman"/>
          <w:b/>
          <w:bCs w:val="0"/>
          <w:color w:val="auto"/>
          <w:highlight w:val="none"/>
          <w:lang w:val="en-US" w:eastAsia="zh-CN"/>
        </w:rPr>
        <w:t>.</w:t>
      </w:r>
      <w:r>
        <w:rPr>
          <w:rFonts w:ascii="Times New Roman" w:hAnsi="Times New Roman" w:eastAsia="宋体" w:cs="Times New Roman"/>
          <w:b/>
          <w:bCs w:val="0"/>
          <w:color w:val="auto"/>
          <w:highlight w:val="none"/>
        </w:rPr>
        <w:t>2-</w:t>
      </w:r>
      <w:r>
        <w:rPr>
          <w:rFonts w:hint="eastAsia" w:ascii="Times New Roman" w:hAnsi="Times New Roman" w:eastAsia="宋体" w:cs="Times New Roman"/>
          <w:b/>
          <w:bCs w:val="0"/>
          <w:color w:val="auto"/>
          <w:highlight w:val="none"/>
          <w:lang w:val="en-US" w:eastAsia="zh-CN"/>
        </w:rPr>
        <w:t>2</w:t>
      </w:r>
      <w:r>
        <w:rPr>
          <w:rFonts w:hint="eastAsia" w:ascii="Times New Roman" w:cs="Times New Roman"/>
          <w:b/>
          <w:bCs w:val="0"/>
          <w:color w:val="auto"/>
          <w:highlight w:val="none"/>
          <w:lang w:val="en-US" w:eastAsia="zh-CN"/>
        </w:rPr>
        <w:t xml:space="preserve">  </w:t>
      </w:r>
      <w:r>
        <w:rPr>
          <w:rFonts w:ascii="Times New Roman" w:hAnsi="Times New Roman" w:eastAsia="宋体" w:cs="Times New Roman"/>
          <w:b/>
          <w:bCs w:val="0"/>
          <w:color w:val="auto"/>
          <w:highlight w:val="none"/>
          <w:lang w:val="zh-CN"/>
        </w:rPr>
        <w:t>污染源非正常排放量核算表</w:t>
      </w:r>
    </w:p>
    <w:tbl>
      <w:tblPr>
        <w:tblStyle w:val="1345"/>
        <w:tblW w:w="0" w:type="auto"/>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98"/>
        <w:gridCol w:w="571"/>
        <w:gridCol w:w="1476"/>
        <w:gridCol w:w="671"/>
        <w:gridCol w:w="1430"/>
        <w:gridCol w:w="1538"/>
        <w:gridCol w:w="845"/>
        <w:gridCol w:w="809"/>
        <w:gridCol w:w="1144"/>
      </w:tblGrid>
      <w:tr w14:paraId="42E3FE2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tcBorders>
              <w:tl2br w:val="nil"/>
              <w:tr2bl w:val="nil"/>
            </w:tcBorders>
            <w:noWrap w:val="0"/>
            <w:vAlign w:val="center"/>
          </w:tcPr>
          <w:p w14:paraId="61BF7F2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lang w:val="zh-CN"/>
              </w:rPr>
            </w:pPr>
            <w:r>
              <w:rPr>
                <w:rFonts w:ascii="Times New Roman" w:hAnsi="Times New Roman"/>
                <w:color w:val="auto"/>
                <w:sz w:val="21"/>
                <w:szCs w:val="21"/>
                <w:highlight w:val="none"/>
                <w:lang w:val="zh-CN"/>
              </w:rPr>
              <w:t>序号</w:t>
            </w:r>
          </w:p>
        </w:tc>
        <w:tc>
          <w:tcPr>
            <w:tcW w:w="0" w:type="auto"/>
            <w:tcBorders>
              <w:tl2br w:val="nil"/>
              <w:tr2bl w:val="nil"/>
            </w:tcBorders>
            <w:noWrap w:val="0"/>
            <w:vAlign w:val="center"/>
          </w:tcPr>
          <w:p w14:paraId="7D4FC9B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textAlignment w:val="auto"/>
              <w:rPr>
                <w:rFonts w:ascii="Times New Roman" w:hAnsi="Times New Roman"/>
                <w:color w:val="auto"/>
                <w:sz w:val="21"/>
                <w:szCs w:val="21"/>
                <w:highlight w:val="none"/>
                <w:lang w:val="zh-CN"/>
              </w:rPr>
            </w:pPr>
            <w:r>
              <w:rPr>
                <w:rFonts w:ascii="Times New Roman" w:hAnsi="Times New Roman"/>
                <w:color w:val="auto"/>
                <w:sz w:val="21"/>
                <w:szCs w:val="21"/>
                <w:highlight w:val="none"/>
              </w:rPr>
              <w:t>污染源</w:t>
            </w:r>
          </w:p>
        </w:tc>
        <w:tc>
          <w:tcPr>
            <w:tcW w:w="0" w:type="auto"/>
            <w:tcBorders>
              <w:tl2br w:val="nil"/>
              <w:tr2bl w:val="nil"/>
            </w:tcBorders>
            <w:noWrap w:val="0"/>
            <w:vAlign w:val="center"/>
          </w:tcPr>
          <w:p w14:paraId="1168491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lang w:val="zh-CN"/>
              </w:rPr>
            </w:pPr>
            <w:r>
              <w:rPr>
                <w:rFonts w:ascii="Times New Roman" w:hAnsi="Times New Roman"/>
                <w:color w:val="auto"/>
                <w:sz w:val="21"/>
                <w:szCs w:val="21"/>
                <w:highlight w:val="none"/>
                <w:lang w:val="zh-CN"/>
              </w:rPr>
              <w:t>非正常排放原因</w:t>
            </w:r>
          </w:p>
        </w:tc>
        <w:tc>
          <w:tcPr>
            <w:tcW w:w="0" w:type="auto"/>
            <w:tcBorders>
              <w:tl2br w:val="nil"/>
              <w:tr2bl w:val="nil"/>
            </w:tcBorders>
            <w:noWrap w:val="0"/>
            <w:vAlign w:val="center"/>
          </w:tcPr>
          <w:p w14:paraId="7056886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lang w:val="zh-CN"/>
              </w:rPr>
            </w:pPr>
            <w:r>
              <w:rPr>
                <w:rFonts w:ascii="Times New Roman" w:hAnsi="Times New Roman"/>
                <w:color w:val="auto"/>
                <w:sz w:val="21"/>
                <w:szCs w:val="21"/>
                <w:highlight w:val="none"/>
                <w:lang w:val="zh-CN"/>
              </w:rPr>
              <w:t>污染物</w:t>
            </w:r>
          </w:p>
        </w:tc>
        <w:tc>
          <w:tcPr>
            <w:tcW w:w="0" w:type="auto"/>
            <w:tcBorders>
              <w:tl2br w:val="nil"/>
              <w:tr2bl w:val="nil"/>
            </w:tcBorders>
            <w:noWrap w:val="0"/>
            <w:vAlign w:val="center"/>
          </w:tcPr>
          <w:p w14:paraId="2C49219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非正常排放浓度/(μg/m</w:t>
            </w:r>
            <w:r>
              <w:rPr>
                <w:rFonts w:ascii="Times New Roman" w:hAnsi="Times New Roman"/>
                <w:color w:val="auto"/>
                <w:sz w:val="21"/>
                <w:szCs w:val="21"/>
                <w:highlight w:val="none"/>
                <w:vertAlign w:val="superscript"/>
              </w:rPr>
              <w:t>3</w:t>
            </w:r>
            <w:r>
              <w:rPr>
                <w:rFonts w:ascii="Times New Roman" w:hAnsi="Times New Roman"/>
                <w:color w:val="auto"/>
                <w:sz w:val="21"/>
                <w:szCs w:val="21"/>
                <w:highlight w:val="none"/>
              </w:rPr>
              <w:t>)</w:t>
            </w:r>
          </w:p>
        </w:tc>
        <w:tc>
          <w:tcPr>
            <w:tcW w:w="0" w:type="auto"/>
            <w:tcBorders>
              <w:tl2br w:val="nil"/>
              <w:tr2bl w:val="nil"/>
            </w:tcBorders>
            <w:noWrap w:val="0"/>
            <w:vAlign w:val="center"/>
          </w:tcPr>
          <w:p w14:paraId="0C2200A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非正常排放速率/（kg/h）</w:t>
            </w:r>
          </w:p>
        </w:tc>
        <w:tc>
          <w:tcPr>
            <w:tcW w:w="0" w:type="auto"/>
            <w:tcBorders>
              <w:tl2br w:val="nil"/>
              <w:tr2bl w:val="nil"/>
            </w:tcBorders>
            <w:noWrap w:val="0"/>
            <w:vAlign w:val="center"/>
          </w:tcPr>
          <w:p w14:paraId="6643BAF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单次持续时间/h</w:t>
            </w:r>
          </w:p>
        </w:tc>
        <w:tc>
          <w:tcPr>
            <w:tcW w:w="0" w:type="auto"/>
            <w:tcBorders>
              <w:tl2br w:val="nil"/>
              <w:tr2bl w:val="nil"/>
            </w:tcBorders>
            <w:noWrap w:val="0"/>
            <w:vAlign w:val="center"/>
          </w:tcPr>
          <w:p w14:paraId="5737F63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年发生频次/次</w:t>
            </w:r>
          </w:p>
        </w:tc>
        <w:tc>
          <w:tcPr>
            <w:tcW w:w="0" w:type="auto"/>
            <w:tcBorders>
              <w:tl2br w:val="nil"/>
              <w:tr2bl w:val="nil"/>
            </w:tcBorders>
            <w:noWrap w:val="0"/>
            <w:vAlign w:val="center"/>
          </w:tcPr>
          <w:p w14:paraId="6D4F99E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应对措施</w:t>
            </w:r>
          </w:p>
        </w:tc>
      </w:tr>
      <w:tr w14:paraId="3AD10F5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tcBorders>
              <w:tl2br w:val="nil"/>
              <w:tr2bl w:val="nil"/>
            </w:tcBorders>
            <w:noWrap w:val="0"/>
            <w:vAlign w:val="center"/>
          </w:tcPr>
          <w:p w14:paraId="206ED91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lang w:val="zh-CN"/>
              </w:rPr>
            </w:pPr>
            <w:r>
              <w:rPr>
                <w:rFonts w:ascii="Times New Roman" w:hAnsi="Times New Roman"/>
                <w:color w:val="auto"/>
                <w:sz w:val="21"/>
                <w:szCs w:val="21"/>
                <w:highlight w:val="none"/>
                <w:lang w:val="zh-CN"/>
              </w:rPr>
              <w:t>1</w:t>
            </w:r>
          </w:p>
        </w:tc>
        <w:tc>
          <w:tcPr>
            <w:tcW w:w="0" w:type="auto"/>
            <w:tcBorders>
              <w:tl2br w:val="nil"/>
              <w:tr2bl w:val="nil"/>
            </w:tcBorders>
            <w:noWrap w:val="0"/>
            <w:vAlign w:val="center"/>
          </w:tcPr>
          <w:p w14:paraId="535D19E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lang w:val="zh-CN"/>
              </w:rPr>
            </w:pPr>
            <w:r>
              <w:rPr>
                <w:rFonts w:ascii="Times New Roman" w:hAnsi="Times New Roman"/>
                <w:color w:val="auto"/>
                <w:sz w:val="21"/>
                <w:szCs w:val="21"/>
                <w:highlight w:val="none"/>
                <w:lang w:val="zh-CN"/>
              </w:rPr>
              <w:t>回填区</w:t>
            </w:r>
          </w:p>
        </w:tc>
        <w:tc>
          <w:tcPr>
            <w:tcW w:w="0" w:type="auto"/>
            <w:tcBorders>
              <w:tl2br w:val="nil"/>
              <w:tr2bl w:val="nil"/>
            </w:tcBorders>
            <w:noWrap w:val="0"/>
            <w:vAlign w:val="center"/>
          </w:tcPr>
          <w:p w14:paraId="5BBAE85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洒水车故障，洒水抑尘效率0%</w:t>
            </w:r>
          </w:p>
        </w:tc>
        <w:tc>
          <w:tcPr>
            <w:tcW w:w="0" w:type="auto"/>
            <w:tcBorders>
              <w:tl2br w:val="nil"/>
              <w:tr2bl w:val="nil"/>
            </w:tcBorders>
            <w:noWrap w:val="0"/>
            <w:vAlign w:val="center"/>
          </w:tcPr>
          <w:p w14:paraId="06D6137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TSP</w:t>
            </w:r>
          </w:p>
        </w:tc>
        <w:tc>
          <w:tcPr>
            <w:tcW w:w="0" w:type="auto"/>
            <w:tcBorders>
              <w:tl2br w:val="nil"/>
              <w:tr2bl w:val="nil"/>
            </w:tcBorders>
            <w:noWrap w:val="0"/>
            <w:vAlign w:val="center"/>
          </w:tcPr>
          <w:p w14:paraId="72AED6B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w:t>
            </w:r>
          </w:p>
        </w:tc>
        <w:tc>
          <w:tcPr>
            <w:tcW w:w="0" w:type="auto"/>
            <w:tcBorders>
              <w:tl2br w:val="nil"/>
              <w:tr2bl w:val="nil"/>
            </w:tcBorders>
            <w:noWrap w:val="0"/>
            <w:vAlign w:val="center"/>
          </w:tcPr>
          <w:p w14:paraId="5FF2716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hint="default" w:ascii="Times New Roman" w:hAnsi="Times New Roman" w:eastAsia="宋体"/>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2.45</w:t>
            </w:r>
          </w:p>
        </w:tc>
        <w:tc>
          <w:tcPr>
            <w:tcW w:w="0" w:type="auto"/>
            <w:tcBorders>
              <w:tl2br w:val="nil"/>
              <w:tr2bl w:val="nil"/>
            </w:tcBorders>
            <w:noWrap w:val="0"/>
            <w:vAlign w:val="center"/>
          </w:tcPr>
          <w:p w14:paraId="52AA0C1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1</w:t>
            </w:r>
          </w:p>
        </w:tc>
        <w:tc>
          <w:tcPr>
            <w:tcW w:w="0" w:type="auto"/>
            <w:tcBorders>
              <w:tl2br w:val="nil"/>
              <w:tr2bl w:val="nil"/>
            </w:tcBorders>
            <w:noWrap w:val="0"/>
            <w:vAlign w:val="center"/>
          </w:tcPr>
          <w:p w14:paraId="02897F2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hint="eastAsia" w:ascii="Times New Roman" w:hAnsi="Times New Roman" w:eastAsia="宋体"/>
                <w:color w:val="auto"/>
                <w:sz w:val="21"/>
                <w:szCs w:val="21"/>
                <w:highlight w:val="none"/>
                <w:lang w:eastAsia="zh-CN"/>
              </w:rPr>
            </w:pPr>
            <w:r>
              <w:rPr>
                <w:rFonts w:hint="eastAsia" w:ascii="Times New Roman" w:hAnsi="Times New Roman"/>
                <w:color w:val="auto"/>
                <w:sz w:val="21"/>
                <w:szCs w:val="21"/>
                <w:highlight w:val="none"/>
                <w:lang w:val="en-US" w:eastAsia="zh-CN"/>
              </w:rPr>
              <w:t>1</w:t>
            </w:r>
          </w:p>
        </w:tc>
        <w:tc>
          <w:tcPr>
            <w:tcW w:w="0" w:type="auto"/>
            <w:tcBorders>
              <w:tl2br w:val="nil"/>
              <w:tr2bl w:val="nil"/>
            </w:tcBorders>
            <w:noWrap w:val="0"/>
            <w:vAlign w:val="center"/>
          </w:tcPr>
          <w:p w14:paraId="0C42675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auto"/>
              <w:rPr>
                <w:rFonts w:ascii="Times New Roman" w:hAnsi="Times New Roman"/>
                <w:color w:val="auto"/>
                <w:sz w:val="21"/>
                <w:szCs w:val="21"/>
                <w:highlight w:val="none"/>
              </w:rPr>
            </w:pPr>
            <w:r>
              <w:rPr>
                <w:rFonts w:ascii="Times New Roman" w:hAnsi="Times New Roman"/>
                <w:color w:val="auto"/>
                <w:sz w:val="21"/>
                <w:szCs w:val="21"/>
                <w:highlight w:val="none"/>
              </w:rPr>
              <w:t>及时维修，加强维护</w:t>
            </w:r>
          </w:p>
        </w:tc>
      </w:tr>
    </w:tbl>
    <w:p w14:paraId="42A1C25B">
      <w:pPr>
        <w:bidi w:val="0"/>
        <w:spacing w:line="360" w:lineRule="auto"/>
        <w:ind w:firstLine="480" w:firstLineChars="200"/>
        <w:rPr>
          <w:color w:val="auto"/>
          <w:highlight w:val="none"/>
        </w:rPr>
      </w:pPr>
      <w:r>
        <w:rPr>
          <w:color w:val="auto"/>
          <w:highlight w:val="none"/>
        </w:rPr>
        <w:t>5.</w:t>
      </w:r>
      <w:r>
        <w:rPr>
          <w:rFonts w:hint="eastAsia"/>
          <w:color w:val="auto"/>
          <w:highlight w:val="none"/>
          <w:lang w:val="en-US" w:eastAsia="zh-CN"/>
        </w:rPr>
        <w:t>2</w:t>
      </w:r>
      <w:r>
        <w:rPr>
          <w:color w:val="auto"/>
          <w:highlight w:val="none"/>
        </w:rPr>
        <w:t>.</w:t>
      </w:r>
      <w:r>
        <w:rPr>
          <w:rFonts w:hint="eastAsia"/>
          <w:color w:val="auto"/>
          <w:highlight w:val="none"/>
          <w:lang w:val="en-US" w:eastAsia="zh-CN"/>
        </w:rPr>
        <w:t>1.5</w:t>
      </w:r>
      <w:r>
        <w:rPr>
          <w:rFonts w:hint="eastAsia"/>
          <w:color w:val="auto"/>
          <w:highlight w:val="none"/>
        </w:rPr>
        <w:t>大气环境影响评价结论</w:t>
      </w:r>
    </w:p>
    <w:p w14:paraId="42C146DB">
      <w:pPr>
        <w:keepNext w:val="0"/>
        <w:keepLines w:val="0"/>
        <w:pageBreakBefore w:val="0"/>
        <w:widowControl w:val="0"/>
        <w:tabs>
          <w:tab w:val="left" w:pos="2526"/>
        </w:tabs>
        <w:kinsoku/>
        <w:wordWrap/>
        <w:overflowPunct/>
        <w:topLinePunct w:val="0"/>
        <w:bidi w:val="0"/>
        <w:spacing w:line="360" w:lineRule="auto"/>
        <w:ind w:firstLine="480"/>
        <w:rPr>
          <w:color w:val="auto"/>
          <w:szCs w:val="18"/>
          <w:highlight w:val="none"/>
        </w:rPr>
      </w:pPr>
      <w:r>
        <w:rPr>
          <w:color w:val="auto"/>
          <w:szCs w:val="18"/>
          <w:highlight w:val="none"/>
        </w:rPr>
        <w:t>本项目正常排放的主要污染物经估算模型（AERSCREEN）计算的结果显示，最大预测质量浓度占标率为</w:t>
      </w:r>
      <w:r>
        <w:rPr>
          <w:rFonts w:hint="eastAsia" w:asciiTheme="minorEastAsia" w:hAnsiTheme="minorEastAsia" w:eastAsiaTheme="minorEastAsia" w:cstheme="minorEastAsia"/>
          <w:b w:val="0"/>
          <w:bCs w:val="0"/>
          <w:color w:val="auto"/>
          <w:sz w:val="24"/>
          <w:szCs w:val="24"/>
          <w:highlight w:val="none"/>
          <w:lang w:bidi="ar"/>
        </w:rPr>
        <w:t>8.3011</w:t>
      </w:r>
      <w:r>
        <w:rPr>
          <w:rFonts w:hint="eastAsia"/>
          <w:color w:val="auto"/>
          <w:highlight w:val="none"/>
        </w:rPr>
        <w:t>%</w:t>
      </w:r>
      <w:r>
        <w:rPr>
          <w:color w:val="auto"/>
          <w:szCs w:val="18"/>
          <w:highlight w:val="none"/>
        </w:rPr>
        <w:t>，可以保证</w:t>
      </w:r>
      <w:r>
        <w:rPr>
          <w:rFonts w:hint="eastAsia"/>
          <w:color w:val="auto"/>
          <w:szCs w:val="18"/>
          <w:highlight w:val="none"/>
        </w:rPr>
        <w:t>场</w:t>
      </w:r>
      <w:r>
        <w:rPr>
          <w:color w:val="auto"/>
          <w:szCs w:val="18"/>
          <w:highlight w:val="none"/>
        </w:rPr>
        <w:t>界外大气污染物短期贡献浓度低于环境质量浓度限值。本项目无需设置大气环境防护距离。</w:t>
      </w:r>
      <w:r>
        <w:rPr>
          <w:rFonts w:hint="eastAsia" w:cs="宋体"/>
          <w:color w:val="auto"/>
          <w:kern w:val="0"/>
          <w:szCs w:val="20"/>
          <w:highlight w:val="none"/>
        </w:rPr>
        <w:t>对环境空气影响可接受。</w:t>
      </w:r>
    </w:p>
    <w:p w14:paraId="497769BC">
      <w:pPr>
        <w:keepNext w:val="0"/>
        <w:keepLines w:val="0"/>
        <w:pageBreakBefore w:val="0"/>
        <w:widowControl w:val="0"/>
        <w:kinsoku/>
        <w:wordWrap/>
        <w:overflowPunct/>
        <w:topLinePunct w:val="0"/>
        <w:autoSpaceDE w:val="0"/>
        <w:autoSpaceDN w:val="0"/>
        <w:bidi w:val="0"/>
        <w:adjustRightInd w:val="0"/>
        <w:snapToGrid w:val="0"/>
        <w:spacing w:line="360" w:lineRule="auto"/>
        <w:ind w:firstLine="480"/>
        <w:jc w:val="left"/>
        <w:textAlignment w:val="baseline"/>
        <w:rPr>
          <w:rFonts w:hint="eastAsia" w:ascii="Courier New" w:hAnsi="Courier New" w:eastAsia="宋体" w:cs="宋体"/>
          <w:color w:val="auto"/>
          <w:highlight w:val="none"/>
          <w:lang w:eastAsia="zh-CN"/>
        </w:rPr>
      </w:pPr>
      <w:r>
        <w:rPr>
          <w:rFonts w:ascii="Courier New" w:hAnsi="Courier New" w:cs="宋体"/>
          <w:color w:val="auto"/>
          <w:highlight w:val="none"/>
        </w:rPr>
        <w:t>因此，从环境空气影响的角度，本项目的建设是可行的。</w:t>
      </w:r>
    </w:p>
    <w:p w14:paraId="4AF06FF4">
      <w:pPr>
        <w:pStyle w:val="7"/>
        <w:numPr>
          <w:ilvl w:val="0"/>
          <w:numId w:val="0"/>
        </w:numPr>
        <w:bidi w:val="0"/>
        <w:spacing w:line="360" w:lineRule="auto"/>
        <w:ind w:leftChars="0"/>
        <w:rPr>
          <w:rFonts w:hint="eastAsia" w:asciiTheme="minorEastAsia" w:hAnsiTheme="minorEastAsia" w:eastAsiaTheme="minorEastAsia" w:cstheme="minorEastAsia"/>
          <w:b w:val="0"/>
          <w:bCs/>
          <w:color w:val="auto"/>
          <w:highlight w:val="none"/>
        </w:rPr>
      </w:pPr>
      <w:r>
        <w:rPr>
          <w:rFonts w:hint="eastAsia" w:asciiTheme="minorEastAsia" w:hAnsiTheme="minorEastAsia" w:eastAsiaTheme="minorEastAsia" w:cstheme="minorEastAsia"/>
          <w:color w:val="auto"/>
          <w:highlight w:val="none"/>
          <w:lang w:val="en-US" w:eastAsia="zh-CN"/>
        </w:rPr>
        <w:t>5.2.2</w:t>
      </w:r>
      <w:r>
        <w:rPr>
          <w:rFonts w:hint="eastAsia" w:asciiTheme="minorEastAsia" w:hAnsiTheme="minorEastAsia" w:eastAsiaTheme="minorEastAsia" w:cstheme="minorEastAsia"/>
          <w:color w:val="auto"/>
          <w:highlight w:val="none"/>
        </w:rPr>
        <w:t>运行期地表水环境影响预测与评价</w:t>
      </w:r>
    </w:p>
    <w:p w14:paraId="1F222F21">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Times New Roman"/>
          <w:color w:val="auto"/>
          <w:highlight w:val="none"/>
        </w:rPr>
      </w:pPr>
      <w:bookmarkStart w:id="651" w:name="_bookmark94"/>
      <w:bookmarkEnd w:id="651"/>
      <w:r>
        <w:rPr>
          <w:rFonts w:hint="eastAsia" w:ascii="Times New Roman"/>
          <w:color w:val="auto"/>
          <w:highlight w:val="none"/>
        </w:rPr>
        <w:t>本项目生活污水</w:t>
      </w:r>
      <w:r>
        <w:rPr>
          <w:rFonts w:hint="eastAsia"/>
          <w:color w:val="auto"/>
          <w:highlight w:val="none"/>
          <w:lang w:val="en-US" w:eastAsia="zh-CN"/>
        </w:rPr>
        <w:t>依托</w:t>
      </w:r>
      <w:r>
        <w:rPr>
          <w:rFonts w:hint="eastAsia" w:ascii="Times New Roman" w:hAnsi="Times New Roman" w:eastAsia="宋体" w:cs="Times New Roman"/>
          <w:snapToGrid/>
          <w:color w:val="auto"/>
          <w:kern w:val="2"/>
          <w:sz w:val="24"/>
          <w:szCs w:val="22"/>
          <w:highlight w:val="none"/>
          <w:lang w:val="en-US" w:eastAsia="zh-CN" w:bidi="ar-SA"/>
        </w:rPr>
        <w:t>民房防渗旱厕，定期外运堆肥</w:t>
      </w:r>
      <w:r>
        <w:rPr>
          <w:rFonts w:hint="eastAsia" w:ascii="Times New Roman"/>
          <w:color w:val="auto"/>
          <w:highlight w:val="none"/>
        </w:rPr>
        <w:t>。</w:t>
      </w:r>
    </w:p>
    <w:p w14:paraId="4894955B">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Times New Roman"/>
          <w:color w:val="auto"/>
          <w:highlight w:val="none"/>
        </w:rPr>
      </w:pPr>
      <w:r>
        <w:rPr>
          <w:rFonts w:hint="eastAsia" w:ascii="Times New Roman"/>
          <w:color w:val="auto"/>
          <w:highlight w:val="none"/>
        </w:rPr>
        <w:t>本项目新建一座</w:t>
      </w:r>
      <w:r>
        <w:rPr>
          <w:rFonts w:hint="eastAsia"/>
          <w:color w:val="auto"/>
          <w:highlight w:val="none"/>
          <w:lang w:val="en-US" w:eastAsia="zh-CN"/>
        </w:rPr>
        <w:t>120</w:t>
      </w:r>
      <w:r>
        <w:rPr>
          <w:rFonts w:hint="eastAsia" w:ascii="Times New Roman"/>
          <w:color w:val="auto"/>
          <w:highlight w:val="none"/>
        </w:rPr>
        <w:t>m</w:t>
      </w:r>
      <w:r>
        <w:rPr>
          <w:rFonts w:hint="eastAsia" w:ascii="Times New Roman"/>
          <w:color w:val="auto"/>
          <w:highlight w:val="none"/>
          <w:vertAlign w:val="superscript"/>
        </w:rPr>
        <w:t>3</w:t>
      </w:r>
      <w:r>
        <w:rPr>
          <w:rFonts w:hint="eastAsia" w:ascii="Times New Roman"/>
          <w:color w:val="auto"/>
          <w:highlight w:val="none"/>
        </w:rPr>
        <w:t>沉淀池，用于暂存</w:t>
      </w:r>
      <w:r>
        <w:rPr>
          <w:rFonts w:hint="eastAsia" w:ascii="Times New Roman" w:hAnsi="Times New Roman" w:eastAsia="宋体"/>
          <w:b w:val="0"/>
          <w:bCs w:val="0"/>
          <w:color w:val="auto"/>
          <w:sz w:val="24"/>
          <w:szCs w:val="24"/>
          <w:highlight w:val="none"/>
        </w:rPr>
        <w:t>淋滤水</w:t>
      </w:r>
      <w:r>
        <w:rPr>
          <w:rFonts w:hint="eastAsia" w:ascii="Times New Roman"/>
          <w:color w:val="auto"/>
          <w:highlight w:val="none"/>
        </w:rPr>
        <w:t>，</w:t>
      </w:r>
      <w:r>
        <w:rPr>
          <w:rFonts w:hint="eastAsia"/>
          <w:color w:val="auto"/>
          <w:highlight w:val="none"/>
          <w:lang w:val="en-US" w:eastAsia="zh-CN"/>
        </w:rPr>
        <w:t>经沉淀池沉淀后，</w:t>
      </w:r>
      <w:r>
        <w:rPr>
          <w:rFonts w:hint="eastAsia"/>
          <w:color w:val="auto"/>
          <w:sz w:val="24"/>
          <w:szCs w:val="24"/>
          <w:highlight w:val="none"/>
          <w:lang w:val="en-US" w:eastAsia="zh-CN"/>
        </w:rPr>
        <w:t>用于回填区洒水降尘，不外排</w:t>
      </w:r>
      <w:r>
        <w:rPr>
          <w:rFonts w:hint="eastAsia" w:ascii="Times New Roman"/>
          <w:color w:val="auto"/>
          <w:highlight w:val="none"/>
        </w:rPr>
        <w:t>。</w:t>
      </w:r>
    </w:p>
    <w:p w14:paraId="6937F60D">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在回填区</w:t>
      </w:r>
      <w:r>
        <w:rPr>
          <w:rFonts w:hint="eastAsia"/>
          <w:color w:val="auto"/>
          <w:highlight w:val="none"/>
          <w:lang w:val="en-US" w:eastAsia="zh-CN"/>
        </w:rPr>
        <w:t>西侧和北侧</w:t>
      </w:r>
      <w:r>
        <w:rPr>
          <w:rFonts w:hint="default" w:ascii="Times New Roman" w:hAnsi="Times New Roman" w:eastAsia="宋体" w:cs="Times New Roman"/>
          <w:color w:val="auto"/>
          <w:highlight w:val="none"/>
        </w:rPr>
        <w:t>设置</w:t>
      </w:r>
      <w:r>
        <w:rPr>
          <w:rFonts w:hint="eastAsia" w:ascii="Times New Roman" w:hAnsi="Times New Roman" w:eastAsia="宋体" w:cs="Times New Roman"/>
          <w:color w:val="auto"/>
          <w:highlight w:val="none"/>
          <w:lang w:eastAsia="zh-CN"/>
        </w:rPr>
        <w:t>拦挡埂</w:t>
      </w:r>
      <w:r>
        <w:rPr>
          <w:rFonts w:hint="default"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eastAsia="zh-CN"/>
        </w:rPr>
        <w:t>拦挡埂</w:t>
      </w:r>
      <w:r>
        <w:rPr>
          <w:rFonts w:hint="default" w:ascii="Times New Roman" w:hAnsi="Times New Roman" w:eastAsia="宋体" w:cs="Times New Roman"/>
          <w:color w:val="auto"/>
          <w:highlight w:val="none"/>
        </w:rPr>
        <w:t>采用袋装土挡护，挡土袋高0.25m，宽0.4m</w:t>
      </w:r>
      <w:r>
        <w:rPr>
          <w:rFonts w:hint="eastAsia" w:ascii="Times New Roman" w:hAnsi="Times New Roman" w:eastAsia="宋体" w:cs="Times New Roman"/>
          <w:color w:val="auto"/>
          <w:highlight w:val="none"/>
        </w:rPr>
        <w:t>，长度</w:t>
      </w:r>
      <w:r>
        <w:rPr>
          <w:rFonts w:hint="eastAsia" w:ascii="Times New Roman" w:hAnsi="Times New Roman" w:eastAsia="宋体" w:cs="Times New Roman"/>
          <w:color w:val="auto"/>
          <w:highlight w:val="none"/>
          <w:lang w:val="en-US" w:eastAsia="zh-CN"/>
        </w:rPr>
        <w:t>约700</w:t>
      </w:r>
      <w:r>
        <w:rPr>
          <w:rFonts w:hint="eastAsia" w:ascii="Times New Roman" w:hAnsi="Times New Roman" w:eastAsia="宋体" w:cs="Times New Roman"/>
          <w:color w:val="auto"/>
          <w:highlight w:val="none"/>
        </w:rPr>
        <w:t>m，减少雨水对覆盖土的冲刷和向</w:t>
      </w:r>
      <w:r>
        <w:rPr>
          <w:rFonts w:hint="eastAsia" w:ascii="Times New Roman"/>
          <w:color w:val="auto"/>
          <w:highlight w:val="none"/>
          <w:lang w:val="en-US" w:eastAsia="zh-CN"/>
        </w:rPr>
        <w:t>采砂坑</w:t>
      </w:r>
      <w:r>
        <w:rPr>
          <w:rFonts w:hint="eastAsia" w:ascii="Times New Roman" w:hAnsi="Times New Roman" w:eastAsia="宋体" w:cs="Times New Roman"/>
          <w:color w:val="auto"/>
          <w:highlight w:val="none"/>
        </w:rPr>
        <w:t>的渗漏。</w:t>
      </w:r>
    </w:p>
    <w:p w14:paraId="536D2F3A">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Times New Roman" w:hAnsi="Times New Roman" w:eastAsia="宋体" w:cs="Times New Roman"/>
          <w:color w:val="auto"/>
          <w:highlight w:val="none"/>
        </w:rPr>
      </w:pPr>
      <w:r>
        <w:rPr>
          <w:rFonts w:hint="eastAsia"/>
          <w:color w:val="auto"/>
          <w:highlight w:val="none"/>
          <w:lang w:val="en-US" w:eastAsia="zh-CN"/>
        </w:rPr>
        <w:t>采取以上措施后，本项目</w:t>
      </w:r>
      <w:r>
        <w:rPr>
          <w:rFonts w:hint="eastAsia"/>
          <w:color w:val="auto"/>
          <w:highlight w:val="none"/>
        </w:rPr>
        <w:t>不会</w:t>
      </w:r>
      <w:r>
        <w:rPr>
          <w:rFonts w:hint="eastAsia"/>
          <w:color w:val="auto"/>
          <w:highlight w:val="none"/>
          <w:lang w:val="en-US" w:eastAsia="zh-CN"/>
        </w:rPr>
        <w:t>对</w:t>
      </w:r>
      <w:r>
        <w:rPr>
          <w:rFonts w:hint="eastAsia"/>
          <w:color w:val="auto"/>
          <w:highlight w:val="none"/>
        </w:rPr>
        <w:t>周边地表水体产生影响。</w:t>
      </w:r>
    </w:p>
    <w:p w14:paraId="61ABBC15">
      <w:pPr>
        <w:pStyle w:val="7"/>
        <w:numPr>
          <w:ilvl w:val="0"/>
          <w:numId w:val="0"/>
        </w:numPr>
        <w:bidi w:val="0"/>
        <w:spacing w:line="360" w:lineRule="auto"/>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5.2.3运行期噪声影响评价</w:t>
      </w:r>
    </w:p>
    <w:p w14:paraId="65105038">
      <w:pPr>
        <w:bidi w:val="0"/>
        <w:spacing w:line="360" w:lineRule="auto"/>
        <w:rPr>
          <w:color w:val="auto"/>
          <w:highlight w:val="none"/>
        </w:rPr>
      </w:pPr>
      <w:bookmarkStart w:id="652" w:name="_Toc8053"/>
      <w:bookmarkStart w:id="653" w:name="_Toc744"/>
      <w:bookmarkStart w:id="654" w:name="_Toc20973"/>
      <w:bookmarkStart w:id="655" w:name="_Toc49175022"/>
      <w:bookmarkStart w:id="656" w:name="_Toc49174847"/>
      <w:bookmarkStart w:id="657" w:name="_Toc22786"/>
      <w:bookmarkStart w:id="658" w:name="_Toc27398"/>
      <w:bookmarkStart w:id="659" w:name="_Toc9932832"/>
      <w:bookmarkStart w:id="660" w:name="_Toc15863"/>
      <w:bookmarkStart w:id="661" w:name="_Toc534580616"/>
      <w:bookmarkStart w:id="662" w:name="_Toc9937736"/>
      <w:r>
        <w:rPr>
          <w:color w:val="auto"/>
          <w:highlight w:val="none"/>
        </w:rPr>
        <w:t>5.</w:t>
      </w:r>
      <w:r>
        <w:rPr>
          <w:rFonts w:hint="eastAsia"/>
          <w:color w:val="auto"/>
          <w:highlight w:val="none"/>
          <w:lang w:val="en-US" w:eastAsia="zh-CN"/>
        </w:rPr>
        <w:t>2.</w:t>
      </w:r>
      <w:r>
        <w:rPr>
          <w:color w:val="auto"/>
          <w:highlight w:val="none"/>
        </w:rPr>
        <w:t>4.1</w:t>
      </w:r>
      <w:bookmarkEnd w:id="652"/>
      <w:bookmarkEnd w:id="653"/>
      <w:bookmarkEnd w:id="654"/>
      <w:bookmarkEnd w:id="655"/>
      <w:bookmarkEnd w:id="656"/>
      <w:bookmarkEnd w:id="657"/>
      <w:r>
        <w:rPr>
          <w:color w:val="auto"/>
          <w:highlight w:val="none"/>
        </w:rPr>
        <w:t>主要噪声源强</w:t>
      </w:r>
    </w:p>
    <w:p w14:paraId="7158D11D">
      <w:pPr>
        <w:spacing w:line="360" w:lineRule="auto"/>
        <w:ind w:firstLine="480"/>
        <w:rPr>
          <w:rFonts w:hint="default" w:ascii="Times New Roman" w:eastAsia="宋体"/>
          <w:color w:val="auto"/>
          <w:highlight w:val="none"/>
          <w:lang w:val="en-US" w:eastAsia="zh-CN"/>
        </w:rPr>
      </w:pPr>
      <w:r>
        <w:rPr>
          <w:rFonts w:ascii="Times New Roman"/>
          <w:color w:val="auto"/>
          <w:highlight w:val="none"/>
        </w:rPr>
        <w:t>本</w:t>
      </w:r>
      <w:r>
        <w:rPr>
          <w:rFonts w:hint="eastAsia"/>
          <w:color w:val="auto"/>
          <w:highlight w:val="none"/>
          <w:lang w:val="en-US" w:eastAsia="zh-CN"/>
        </w:rPr>
        <w:t>项目</w:t>
      </w:r>
      <w:r>
        <w:rPr>
          <w:rFonts w:ascii="Times New Roman"/>
          <w:color w:val="auto"/>
          <w:highlight w:val="none"/>
        </w:rPr>
        <w:t>产生的噪声源主要是推土机、压</w:t>
      </w:r>
      <w:r>
        <w:rPr>
          <w:rFonts w:hint="eastAsia"/>
          <w:color w:val="auto"/>
          <w:highlight w:val="none"/>
          <w:lang w:val="en-US" w:eastAsia="zh-CN"/>
        </w:rPr>
        <w:t>实</w:t>
      </w:r>
      <w:r>
        <w:rPr>
          <w:rFonts w:ascii="Times New Roman"/>
          <w:color w:val="auto"/>
          <w:highlight w:val="none"/>
        </w:rPr>
        <w:t>机、</w:t>
      </w:r>
      <w:r>
        <w:rPr>
          <w:rFonts w:hint="eastAsia"/>
          <w:color w:val="auto"/>
          <w:highlight w:val="none"/>
          <w:lang w:val="en-US" w:eastAsia="zh-CN"/>
        </w:rPr>
        <w:t>洒水车、铲车、</w:t>
      </w:r>
      <w:r>
        <w:rPr>
          <w:rFonts w:hint="eastAsia" w:ascii="Times New Roman"/>
          <w:color w:val="auto"/>
          <w:highlight w:val="none"/>
        </w:rPr>
        <w:t>自卸汽车</w:t>
      </w:r>
      <w:r>
        <w:rPr>
          <w:rFonts w:ascii="Times New Roman"/>
          <w:color w:val="auto"/>
          <w:highlight w:val="none"/>
        </w:rPr>
        <w:t>噪声，噪声声压级在7</w:t>
      </w:r>
      <w:r>
        <w:rPr>
          <w:rFonts w:hint="eastAsia"/>
          <w:color w:val="auto"/>
          <w:highlight w:val="none"/>
          <w:lang w:val="en-US" w:eastAsia="zh-CN"/>
        </w:rPr>
        <w:t>8</w:t>
      </w:r>
      <w:r>
        <w:rPr>
          <w:rFonts w:ascii="Times New Roman"/>
          <w:color w:val="auto"/>
          <w:highlight w:val="none"/>
        </w:rPr>
        <w:t>~</w:t>
      </w:r>
      <w:r>
        <w:rPr>
          <w:rFonts w:hint="eastAsia"/>
          <w:color w:val="auto"/>
          <w:highlight w:val="none"/>
          <w:lang w:val="en-US" w:eastAsia="zh-CN"/>
        </w:rPr>
        <w:t>83</w:t>
      </w:r>
      <w:r>
        <w:rPr>
          <w:rFonts w:ascii="Times New Roman"/>
          <w:color w:val="auto"/>
          <w:highlight w:val="none"/>
        </w:rPr>
        <w:t>dB（A），随着回填实施，均为非固定</w:t>
      </w:r>
      <w:r>
        <w:rPr>
          <w:rFonts w:hint="eastAsia"/>
          <w:color w:val="auto"/>
          <w:highlight w:val="none"/>
          <w:lang w:val="en-US" w:eastAsia="zh-CN"/>
        </w:rPr>
        <w:t>声</w:t>
      </w:r>
      <w:r>
        <w:rPr>
          <w:rFonts w:ascii="Times New Roman"/>
          <w:color w:val="auto"/>
          <w:highlight w:val="none"/>
        </w:rPr>
        <w:t>源，随着回填位置的移动而移动。</w:t>
      </w:r>
      <w:r>
        <w:rPr>
          <w:rFonts w:hint="eastAsia"/>
          <w:color w:val="auto"/>
          <w:highlight w:val="none"/>
          <w:lang w:val="en-US" w:eastAsia="zh-CN"/>
        </w:rPr>
        <w:t>本项目</w:t>
      </w:r>
      <w:r>
        <w:rPr>
          <w:rFonts w:hint="eastAsia" w:ascii="Times New Roman"/>
          <w:color w:val="auto"/>
          <w:highlight w:val="none"/>
        </w:rPr>
        <w:t>自卸汽车</w:t>
      </w:r>
      <w:r>
        <w:rPr>
          <w:rFonts w:hint="eastAsia" w:ascii="Times New Roman"/>
          <w:color w:val="auto"/>
          <w:highlight w:val="none"/>
          <w:lang w:val="en-US" w:eastAsia="zh-CN"/>
        </w:rPr>
        <w:t>为交替进场，本次预测以2辆车辆同时在场计。</w:t>
      </w:r>
    </w:p>
    <w:p w14:paraId="45DCDAA8">
      <w:pPr>
        <w:spacing w:line="360" w:lineRule="auto"/>
        <w:ind w:firstLine="480"/>
        <w:rPr>
          <w:color w:val="auto"/>
          <w:highlight w:val="none"/>
        </w:rPr>
      </w:pPr>
      <w:r>
        <w:rPr>
          <w:rFonts w:ascii="Times New Roman"/>
          <w:color w:val="auto"/>
          <w:highlight w:val="none"/>
        </w:rPr>
        <w:t>主要施工机械噪声现状详见表5</w:t>
      </w:r>
      <w:r>
        <w:rPr>
          <w:rFonts w:hint="eastAsia"/>
          <w:color w:val="auto"/>
          <w:highlight w:val="none"/>
          <w:lang w:val="en-US" w:eastAsia="zh-CN"/>
        </w:rPr>
        <w:t>.2</w:t>
      </w:r>
      <w:r>
        <w:rPr>
          <w:rFonts w:ascii="Times New Roman"/>
          <w:color w:val="auto"/>
          <w:highlight w:val="none"/>
        </w:rPr>
        <w:t>-</w:t>
      </w:r>
      <w:r>
        <w:rPr>
          <w:rFonts w:hint="eastAsia"/>
          <w:color w:val="auto"/>
          <w:highlight w:val="none"/>
          <w:lang w:val="en-US" w:eastAsia="zh-CN"/>
        </w:rPr>
        <w:t>3</w:t>
      </w:r>
      <w:r>
        <w:rPr>
          <w:rFonts w:ascii="Times New Roman"/>
          <w:color w:val="auto"/>
          <w:highlight w:val="none"/>
        </w:rPr>
        <w:t>。</w:t>
      </w:r>
    </w:p>
    <w:p w14:paraId="4E50EE4F">
      <w:pPr>
        <w:spacing w:line="240" w:lineRule="auto"/>
        <w:ind w:firstLine="482"/>
        <w:jc w:val="center"/>
        <w:rPr>
          <w:rFonts w:hint="eastAsia" w:ascii="Times New Roman" w:eastAsia="宋体"/>
          <w:b/>
          <w:bCs w:val="0"/>
          <w:color w:val="auto"/>
          <w:highlight w:val="none"/>
          <w:lang w:eastAsia="zh-CN"/>
        </w:rPr>
      </w:pPr>
      <w:r>
        <w:rPr>
          <w:rFonts w:ascii="Times New Roman"/>
          <w:b/>
          <w:bCs w:val="0"/>
          <w:color w:val="auto"/>
          <w:highlight w:val="none"/>
        </w:rPr>
        <w:t>表5</w:t>
      </w:r>
      <w:r>
        <w:rPr>
          <w:rFonts w:hint="eastAsia"/>
          <w:b/>
          <w:bCs w:val="0"/>
          <w:color w:val="auto"/>
          <w:highlight w:val="none"/>
          <w:lang w:val="en-US" w:eastAsia="zh-CN"/>
        </w:rPr>
        <w:t>.2</w:t>
      </w:r>
      <w:r>
        <w:rPr>
          <w:rFonts w:ascii="Times New Roman"/>
          <w:b/>
          <w:bCs w:val="0"/>
          <w:color w:val="auto"/>
          <w:highlight w:val="none"/>
        </w:rPr>
        <w:t>-</w:t>
      </w:r>
      <w:r>
        <w:rPr>
          <w:rFonts w:hint="eastAsia"/>
          <w:b/>
          <w:bCs w:val="0"/>
          <w:color w:val="auto"/>
          <w:highlight w:val="none"/>
          <w:lang w:val="en-US" w:eastAsia="zh-CN"/>
        </w:rPr>
        <w:t xml:space="preserve">3  </w:t>
      </w:r>
      <w:r>
        <w:rPr>
          <w:rFonts w:ascii="Times New Roman"/>
          <w:b/>
          <w:bCs w:val="0"/>
          <w:color w:val="auto"/>
          <w:highlight w:val="none"/>
        </w:rPr>
        <w:t>主要噪声源强情况</w:t>
      </w:r>
    </w:p>
    <w:tbl>
      <w:tblPr>
        <w:tblStyle w:val="84"/>
        <w:tblW w:w="4992" w:type="pct"/>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48"/>
        <w:gridCol w:w="1056"/>
        <w:gridCol w:w="538"/>
        <w:gridCol w:w="478"/>
        <w:gridCol w:w="316"/>
        <w:gridCol w:w="360"/>
        <w:gridCol w:w="445"/>
        <w:gridCol w:w="1553"/>
        <w:gridCol w:w="416"/>
        <w:gridCol w:w="441"/>
        <w:gridCol w:w="1644"/>
        <w:gridCol w:w="561"/>
        <w:gridCol w:w="712"/>
      </w:tblGrid>
      <w:tr w14:paraId="702C479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49" w:type="pct"/>
            <w:vMerge w:val="restart"/>
            <w:tcBorders>
              <w:tl2br w:val="nil"/>
              <w:tr2bl w:val="nil"/>
            </w:tcBorders>
            <w:noWrap w:val="0"/>
            <w:vAlign w:val="center"/>
          </w:tcPr>
          <w:p w14:paraId="54AD6510">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r>
              <w:rPr>
                <w:rFonts w:hint="eastAsia" w:ascii="Times New Roman" w:hAnsi="Times New Roman" w:cs="Times New Roman"/>
                <w:color w:val="auto"/>
                <w:kern w:val="2"/>
                <w:sz w:val="21"/>
                <w:szCs w:val="21"/>
                <w:highlight w:val="none"/>
              </w:rPr>
              <w:t>序号</w:t>
            </w:r>
          </w:p>
        </w:tc>
        <w:tc>
          <w:tcPr>
            <w:tcW w:w="588" w:type="pct"/>
            <w:vMerge w:val="restart"/>
            <w:tcBorders>
              <w:tl2br w:val="nil"/>
              <w:tr2bl w:val="nil"/>
            </w:tcBorders>
            <w:noWrap w:val="0"/>
            <w:vAlign w:val="center"/>
          </w:tcPr>
          <w:p w14:paraId="76DE570B">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r>
              <w:rPr>
                <w:rFonts w:ascii="Times New Roman" w:hAnsi="Times New Roman" w:cs="Times New Roman"/>
                <w:color w:val="auto"/>
                <w:kern w:val="2"/>
                <w:sz w:val="21"/>
                <w:szCs w:val="21"/>
                <w:highlight w:val="none"/>
              </w:rPr>
              <w:t>声级</w:t>
            </w:r>
          </w:p>
          <w:p w14:paraId="24FC5D67">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r>
              <w:rPr>
                <w:rFonts w:ascii="Times New Roman" w:hAnsi="Times New Roman" w:cs="Times New Roman"/>
                <w:color w:val="auto"/>
                <w:kern w:val="2"/>
                <w:sz w:val="21"/>
                <w:szCs w:val="21"/>
                <w:highlight w:val="none"/>
              </w:rPr>
              <w:t>机械</w:t>
            </w:r>
          </w:p>
        </w:tc>
        <w:tc>
          <w:tcPr>
            <w:tcW w:w="300" w:type="pct"/>
            <w:vMerge w:val="restart"/>
            <w:tcBorders>
              <w:tl2br w:val="nil"/>
              <w:tr2bl w:val="nil"/>
            </w:tcBorders>
            <w:noWrap w:val="0"/>
            <w:vAlign w:val="center"/>
          </w:tcPr>
          <w:p w14:paraId="4DFC85E6">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b w:val="0"/>
                <w:bCs/>
                <w:color w:val="auto"/>
                <w:kern w:val="0"/>
                <w:sz w:val="21"/>
                <w:szCs w:val="21"/>
                <w:highlight w:val="none"/>
                <w:lang w:val="en-US" w:eastAsia="en-US" w:bidi="ar-SA"/>
              </w:rPr>
            </w:pPr>
            <w:r>
              <w:rPr>
                <w:rFonts w:ascii="Times New Roman" w:hAnsi="Times New Roman" w:eastAsia="宋体" w:cs="Times New Roman"/>
                <w:b w:val="0"/>
                <w:bCs/>
                <w:color w:val="auto"/>
                <w:kern w:val="0"/>
                <w:sz w:val="21"/>
                <w:szCs w:val="21"/>
                <w:highlight w:val="none"/>
                <w:lang w:eastAsia="en-US"/>
              </w:rPr>
              <w:t>型号</w:t>
            </w:r>
          </w:p>
        </w:tc>
        <w:tc>
          <w:tcPr>
            <w:tcW w:w="266" w:type="pct"/>
            <w:vMerge w:val="restart"/>
            <w:tcBorders>
              <w:tl2br w:val="nil"/>
              <w:tr2bl w:val="nil"/>
            </w:tcBorders>
            <w:noWrap w:val="0"/>
            <w:vAlign w:val="center"/>
          </w:tcPr>
          <w:p w14:paraId="31FC4DED">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数量（台）</w:t>
            </w:r>
          </w:p>
        </w:tc>
        <w:tc>
          <w:tcPr>
            <w:tcW w:w="625" w:type="pct"/>
            <w:gridSpan w:val="3"/>
            <w:tcBorders>
              <w:tl2br w:val="nil"/>
              <w:tr2bl w:val="nil"/>
            </w:tcBorders>
            <w:noWrap w:val="0"/>
            <w:vAlign w:val="center"/>
          </w:tcPr>
          <w:p w14:paraId="79F974F6">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r>
              <w:rPr>
                <w:rFonts w:ascii="Times New Roman" w:hAnsi="Times New Roman" w:eastAsia="宋体" w:cs="Times New Roman"/>
                <w:b w:val="0"/>
                <w:bCs/>
                <w:color w:val="auto"/>
                <w:kern w:val="0"/>
                <w:sz w:val="21"/>
                <w:szCs w:val="21"/>
                <w:highlight w:val="none"/>
                <w:lang w:eastAsia="en-US"/>
              </w:rPr>
              <w:t>空间相对位置/m</w:t>
            </w:r>
          </w:p>
        </w:tc>
        <w:tc>
          <w:tcPr>
            <w:tcW w:w="865" w:type="pct"/>
            <w:tcBorders>
              <w:tl2br w:val="nil"/>
              <w:tr2bl w:val="nil"/>
            </w:tcBorders>
            <w:noWrap w:val="0"/>
            <w:vAlign w:val="center"/>
          </w:tcPr>
          <w:p w14:paraId="11175F67">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r>
              <w:rPr>
                <w:rFonts w:ascii="Times New Roman" w:hAnsi="Times New Roman" w:eastAsia="宋体" w:cs="Times New Roman"/>
                <w:b w:val="0"/>
                <w:bCs/>
                <w:color w:val="auto"/>
                <w:kern w:val="0"/>
                <w:sz w:val="21"/>
                <w:szCs w:val="21"/>
                <w:highlight w:val="none"/>
                <w:lang w:eastAsia="zh-CN"/>
              </w:rPr>
              <w:t>声源源强</w:t>
            </w:r>
          </w:p>
        </w:tc>
        <w:tc>
          <w:tcPr>
            <w:tcW w:w="477" w:type="pct"/>
            <w:gridSpan w:val="2"/>
            <w:tcBorders>
              <w:tl2br w:val="nil"/>
              <w:tr2bl w:val="nil"/>
            </w:tcBorders>
            <w:noWrap w:val="0"/>
            <w:vAlign w:val="center"/>
          </w:tcPr>
          <w:p w14:paraId="55EDA8B9">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r>
              <w:rPr>
                <w:rFonts w:ascii="Times New Roman" w:hAnsi="Times New Roman" w:cs="Times New Roman"/>
                <w:color w:val="auto"/>
                <w:kern w:val="2"/>
                <w:sz w:val="21"/>
                <w:szCs w:val="21"/>
                <w:highlight w:val="none"/>
              </w:rPr>
              <w:t>标准值dB (A)</w:t>
            </w:r>
          </w:p>
        </w:tc>
        <w:tc>
          <w:tcPr>
            <w:tcW w:w="916" w:type="pct"/>
            <w:vMerge w:val="restart"/>
            <w:tcBorders>
              <w:tl2br w:val="nil"/>
              <w:tr2bl w:val="nil"/>
            </w:tcBorders>
            <w:noWrap w:val="0"/>
            <w:vAlign w:val="center"/>
          </w:tcPr>
          <w:p w14:paraId="4C0702E0">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r>
              <w:rPr>
                <w:rFonts w:ascii="Times New Roman" w:hAnsi="Times New Roman" w:eastAsia="宋体" w:cs="Times New Roman"/>
                <w:b w:val="0"/>
                <w:bCs/>
                <w:color w:val="auto"/>
                <w:kern w:val="0"/>
                <w:sz w:val="21"/>
                <w:szCs w:val="21"/>
                <w:highlight w:val="none"/>
                <w:lang w:eastAsia="en-US"/>
              </w:rPr>
              <w:t>声源控制措施</w:t>
            </w:r>
          </w:p>
        </w:tc>
        <w:tc>
          <w:tcPr>
            <w:tcW w:w="312" w:type="pct"/>
            <w:vMerge w:val="restart"/>
            <w:tcBorders>
              <w:tl2br w:val="nil"/>
              <w:tr2bl w:val="nil"/>
            </w:tcBorders>
            <w:noWrap w:val="0"/>
            <w:vAlign w:val="center"/>
          </w:tcPr>
          <w:p w14:paraId="433C75A0">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b w:val="0"/>
                <w:bCs/>
                <w:color w:val="auto"/>
                <w:kern w:val="0"/>
                <w:sz w:val="21"/>
                <w:szCs w:val="21"/>
                <w:highlight w:val="none"/>
                <w:lang w:val="en-US" w:eastAsia="en-US" w:bidi="ar-SA"/>
              </w:rPr>
            </w:pPr>
            <w:r>
              <w:rPr>
                <w:rFonts w:ascii="Times New Roman" w:hAnsi="Times New Roman" w:eastAsia="宋体" w:cs="Times New Roman"/>
                <w:b w:val="0"/>
                <w:bCs/>
                <w:color w:val="auto"/>
                <w:kern w:val="0"/>
                <w:sz w:val="21"/>
                <w:szCs w:val="21"/>
                <w:highlight w:val="none"/>
                <w:lang w:eastAsia="en-US"/>
              </w:rPr>
              <w:t>运行时段</w:t>
            </w:r>
          </w:p>
        </w:tc>
        <w:tc>
          <w:tcPr>
            <w:tcW w:w="397" w:type="pct"/>
            <w:vMerge w:val="restart"/>
            <w:tcBorders>
              <w:tl2br w:val="nil"/>
              <w:tr2bl w:val="nil"/>
            </w:tcBorders>
            <w:noWrap w:val="0"/>
            <w:vAlign w:val="center"/>
          </w:tcPr>
          <w:p w14:paraId="0DA71A37">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b w:val="0"/>
                <w:bCs/>
                <w:color w:val="auto"/>
                <w:kern w:val="0"/>
                <w:sz w:val="21"/>
                <w:szCs w:val="21"/>
                <w:highlight w:val="none"/>
                <w:lang w:eastAsia="en-US"/>
              </w:rPr>
            </w:pPr>
            <w:r>
              <w:rPr>
                <w:rFonts w:hint="eastAsia" w:ascii="Times New Roman" w:hAnsi="Times New Roman" w:eastAsia="宋体" w:cs="Times New Roman"/>
                <w:b w:val="0"/>
                <w:bCs/>
                <w:color w:val="auto"/>
                <w:kern w:val="0"/>
                <w:sz w:val="21"/>
                <w:szCs w:val="21"/>
                <w:highlight w:val="none"/>
                <w:lang w:val="en-US" w:eastAsia="zh-CN"/>
              </w:rPr>
              <w:t>隔声量</w:t>
            </w:r>
            <w:r>
              <w:rPr>
                <w:rFonts w:ascii="Times New Roman" w:hAnsi="Times New Roman" w:eastAsia="宋体" w:cs="Times New Roman"/>
                <w:b w:val="0"/>
                <w:bCs/>
                <w:color w:val="auto"/>
                <w:kern w:val="0"/>
                <w:sz w:val="21"/>
                <w:szCs w:val="21"/>
                <w:highlight w:val="none"/>
                <w:lang w:eastAsia="en-US"/>
              </w:rPr>
              <w:t>/dB(A)</w:t>
            </w:r>
          </w:p>
        </w:tc>
      </w:tr>
      <w:tr w14:paraId="5017AB8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249" w:type="pct"/>
            <w:vMerge w:val="continue"/>
            <w:tcBorders>
              <w:tl2br w:val="nil"/>
              <w:tr2bl w:val="nil"/>
            </w:tcBorders>
            <w:noWrap w:val="0"/>
            <w:vAlign w:val="center"/>
          </w:tcPr>
          <w:p w14:paraId="45E3DCF0">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c>
          <w:tcPr>
            <w:tcW w:w="588" w:type="pct"/>
            <w:vMerge w:val="continue"/>
            <w:tcBorders>
              <w:tl2br w:val="nil"/>
              <w:tr2bl w:val="nil"/>
            </w:tcBorders>
            <w:noWrap w:val="0"/>
            <w:vAlign w:val="center"/>
          </w:tcPr>
          <w:p w14:paraId="31F737FF">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c>
          <w:tcPr>
            <w:tcW w:w="300" w:type="pct"/>
            <w:vMerge w:val="continue"/>
            <w:tcBorders>
              <w:tl2br w:val="nil"/>
              <w:tr2bl w:val="nil"/>
            </w:tcBorders>
            <w:noWrap w:val="0"/>
            <w:vAlign w:val="center"/>
          </w:tcPr>
          <w:p w14:paraId="49719A77">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b w:val="0"/>
                <w:bCs/>
                <w:color w:val="auto"/>
                <w:kern w:val="0"/>
                <w:sz w:val="21"/>
                <w:szCs w:val="21"/>
                <w:highlight w:val="none"/>
                <w:lang w:val="en-US" w:eastAsia="en-US" w:bidi="ar-SA"/>
              </w:rPr>
            </w:pPr>
          </w:p>
        </w:tc>
        <w:tc>
          <w:tcPr>
            <w:tcW w:w="266" w:type="pct"/>
            <w:vMerge w:val="continue"/>
            <w:tcBorders>
              <w:tl2br w:val="nil"/>
              <w:tr2bl w:val="nil"/>
            </w:tcBorders>
            <w:noWrap w:val="0"/>
            <w:vAlign w:val="center"/>
          </w:tcPr>
          <w:p w14:paraId="487C42D5">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b w:val="0"/>
                <w:bCs/>
                <w:color w:val="auto"/>
                <w:kern w:val="0"/>
                <w:sz w:val="21"/>
                <w:szCs w:val="21"/>
                <w:highlight w:val="none"/>
                <w:lang w:val="en-US" w:eastAsia="en-US" w:bidi="ar-SA"/>
              </w:rPr>
            </w:pPr>
          </w:p>
        </w:tc>
        <w:tc>
          <w:tcPr>
            <w:tcW w:w="176" w:type="pct"/>
            <w:tcBorders>
              <w:tl2br w:val="nil"/>
              <w:tr2bl w:val="nil"/>
            </w:tcBorders>
            <w:noWrap w:val="0"/>
            <w:vAlign w:val="center"/>
          </w:tcPr>
          <w:p w14:paraId="7EEA214C">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b w:val="0"/>
                <w:bCs/>
                <w:color w:val="auto"/>
                <w:kern w:val="0"/>
                <w:sz w:val="21"/>
                <w:szCs w:val="21"/>
                <w:highlight w:val="none"/>
                <w:lang w:val="en-US" w:eastAsia="en-US" w:bidi="ar-SA"/>
              </w:rPr>
            </w:pPr>
            <w:r>
              <w:rPr>
                <w:rFonts w:ascii="Times New Roman" w:hAnsi="Times New Roman" w:eastAsia="宋体" w:cs="Times New Roman"/>
                <w:b w:val="0"/>
                <w:bCs/>
                <w:color w:val="auto"/>
                <w:kern w:val="0"/>
                <w:sz w:val="21"/>
                <w:szCs w:val="21"/>
                <w:highlight w:val="none"/>
                <w:lang w:eastAsia="en-US"/>
              </w:rPr>
              <w:t>X</w:t>
            </w:r>
          </w:p>
        </w:tc>
        <w:tc>
          <w:tcPr>
            <w:tcW w:w="200" w:type="pct"/>
            <w:tcBorders>
              <w:tl2br w:val="nil"/>
              <w:tr2bl w:val="nil"/>
            </w:tcBorders>
            <w:noWrap w:val="0"/>
            <w:vAlign w:val="center"/>
          </w:tcPr>
          <w:p w14:paraId="1E394B3C">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b w:val="0"/>
                <w:bCs/>
                <w:color w:val="auto"/>
                <w:kern w:val="0"/>
                <w:sz w:val="21"/>
                <w:szCs w:val="21"/>
                <w:highlight w:val="none"/>
                <w:lang w:val="en-US" w:eastAsia="en-US" w:bidi="ar-SA"/>
              </w:rPr>
            </w:pPr>
            <w:r>
              <w:rPr>
                <w:rFonts w:ascii="Times New Roman" w:hAnsi="Times New Roman" w:eastAsia="宋体" w:cs="Times New Roman"/>
                <w:b w:val="0"/>
                <w:bCs/>
                <w:color w:val="auto"/>
                <w:kern w:val="0"/>
                <w:sz w:val="21"/>
                <w:szCs w:val="21"/>
                <w:highlight w:val="none"/>
                <w:lang w:eastAsia="en-US"/>
              </w:rPr>
              <w:t>Y</w:t>
            </w:r>
          </w:p>
        </w:tc>
        <w:tc>
          <w:tcPr>
            <w:tcW w:w="248" w:type="pct"/>
            <w:tcBorders>
              <w:tl2br w:val="nil"/>
              <w:tr2bl w:val="nil"/>
            </w:tcBorders>
            <w:noWrap w:val="0"/>
            <w:vAlign w:val="center"/>
          </w:tcPr>
          <w:p w14:paraId="21D330B4">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b w:val="0"/>
                <w:bCs/>
                <w:color w:val="auto"/>
                <w:kern w:val="0"/>
                <w:sz w:val="21"/>
                <w:szCs w:val="21"/>
                <w:highlight w:val="none"/>
                <w:lang w:val="en-US" w:eastAsia="en-US" w:bidi="ar-SA"/>
              </w:rPr>
            </w:pPr>
            <w:r>
              <w:rPr>
                <w:rFonts w:ascii="Times New Roman" w:hAnsi="Times New Roman" w:eastAsia="宋体" w:cs="Times New Roman"/>
                <w:b w:val="0"/>
                <w:bCs/>
                <w:color w:val="auto"/>
                <w:kern w:val="0"/>
                <w:sz w:val="21"/>
                <w:szCs w:val="21"/>
                <w:highlight w:val="none"/>
                <w:lang w:eastAsia="en-US"/>
              </w:rPr>
              <w:t>Z</w:t>
            </w:r>
          </w:p>
        </w:tc>
        <w:tc>
          <w:tcPr>
            <w:tcW w:w="865" w:type="pct"/>
            <w:tcBorders>
              <w:tl2br w:val="nil"/>
              <w:tr2bl w:val="nil"/>
            </w:tcBorders>
            <w:noWrap w:val="0"/>
            <w:vAlign w:val="center"/>
          </w:tcPr>
          <w:p w14:paraId="2D3DBCAF">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r>
              <w:rPr>
                <w:rFonts w:ascii="Times New Roman" w:hAnsi="Times New Roman" w:eastAsia="宋体" w:cs="Times New Roman"/>
                <w:color w:val="auto"/>
                <w:sz w:val="21"/>
                <w:szCs w:val="21"/>
                <w:highlight w:val="none"/>
              </w:rPr>
              <w:t>声压级/距声源距离）/（dB(A)/m）</w:t>
            </w:r>
          </w:p>
        </w:tc>
        <w:tc>
          <w:tcPr>
            <w:tcW w:w="231" w:type="pct"/>
            <w:tcBorders>
              <w:tl2br w:val="nil"/>
              <w:tr2bl w:val="nil"/>
            </w:tcBorders>
            <w:noWrap w:val="0"/>
            <w:vAlign w:val="center"/>
          </w:tcPr>
          <w:p w14:paraId="0A85C417">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r>
              <w:rPr>
                <w:rFonts w:ascii="Times New Roman" w:hAnsi="Times New Roman" w:cs="Times New Roman"/>
                <w:color w:val="auto"/>
                <w:kern w:val="2"/>
                <w:sz w:val="21"/>
                <w:szCs w:val="21"/>
                <w:highlight w:val="none"/>
              </w:rPr>
              <w:t>昼间</w:t>
            </w:r>
          </w:p>
        </w:tc>
        <w:tc>
          <w:tcPr>
            <w:tcW w:w="245" w:type="pct"/>
            <w:tcBorders>
              <w:tl2br w:val="nil"/>
              <w:tr2bl w:val="nil"/>
            </w:tcBorders>
            <w:noWrap w:val="0"/>
            <w:vAlign w:val="center"/>
          </w:tcPr>
          <w:p w14:paraId="3D375FDA">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r>
              <w:rPr>
                <w:rFonts w:ascii="Times New Roman" w:hAnsi="Times New Roman" w:cs="Times New Roman"/>
                <w:color w:val="auto"/>
                <w:kern w:val="2"/>
                <w:sz w:val="21"/>
                <w:szCs w:val="21"/>
                <w:highlight w:val="none"/>
              </w:rPr>
              <w:t>夜间</w:t>
            </w:r>
          </w:p>
        </w:tc>
        <w:tc>
          <w:tcPr>
            <w:tcW w:w="916" w:type="pct"/>
            <w:vMerge w:val="continue"/>
            <w:tcBorders>
              <w:tl2br w:val="nil"/>
              <w:tr2bl w:val="nil"/>
            </w:tcBorders>
            <w:noWrap w:val="0"/>
            <w:vAlign w:val="center"/>
          </w:tcPr>
          <w:p w14:paraId="56A066BA">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c>
          <w:tcPr>
            <w:tcW w:w="312" w:type="pct"/>
            <w:vMerge w:val="continue"/>
            <w:tcBorders>
              <w:tl2br w:val="nil"/>
              <w:tr2bl w:val="nil"/>
            </w:tcBorders>
            <w:noWrap w:val="0"/>
            <w:vAlign w:val="center"/>
          </w:tcPr>
          <w:p w14:paraId="5D3B92EF">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c>
          <w:tcPr>
            <w:tcW w:w="397" w:type="pct"/>
            <w:vMerge w:val="continue"/>
            <w:tcBorders>
              <w:tl2br w:val="nil"/>
              <w:tr2bl w:val="nil"/>
            </w:tcBorders>
            <w:noWrap w:val="0"/>
            <w:vAlign w:val="center"/>
          </w:tcPr>
          <w:p w14:paraId="4584CE12">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r>
      <w:tr w14:paraId="5A2F8C6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49" w:type="pct"/>
            <w:tcBorders>
              <w:tl2br w:val="nil"/>
              <w:tr2bl w:val="nil"/>
            </w:tcBorders>
            <w:noWrap w:val="0"/>
            <w:vAlign w:val="center"/>
          </w:tcPr>
          <w:p w14:paraId="7A15AE9E">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bidi="ar-SA"/>
              </w:rPr>
              <w:t>1</w:t>
            </w:r>
          </w:p>
        </w:tc>
        <w:tc>
          <w:tcPr>
            <w:tcW w:w="588" w:type="pct"/>
            <w:tcBorders>
              <w:tl2br w:val="nil"/>
              <w:tr2bl w:val="nil"/>
            </w:tcBorders>
            <w:noWrap w:val="0"/>
            <w:vAlign w:val="center"/>
          </w:tcPr>
          <w:p w14:paraId="7825D888">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宋体"/>
                <w:color w:val="auto"/>
                <w:kern w:val="0"/>
                <w:sz w:val="21"/>
                <w:szCs w:val="21"/>
                <w:highlight w:val="none"/>
              </w:rPr>
              <w:t>推土机</w:t>
            </w:r>
          </w:p>
        </w:tc>
        <w:tc>
          <w:tcPr>
            <w:tcW w:w="300" w:type="pct"/>
            <w:tcBorders>
              <w:tl2br w:val="nil"/>
              <w:tr2bl w:val="nil"/>
            </w:tcBorders>
            <w:noWrap w:val="0"/>
            <w:vAlign w:val="center"/>
          </w:tcPr>
          <w:p w14:paraId="4DC9B4E8">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66" w:type="pct"/>
            <w:tcBorders>
              <w:tl2br w:val="nil"/>
              <w:tr2bl w:val="nil"/>
            </w:tcBorders>
            <w:noWrap w:val="0"/>
            <w:vAlign w:val="center"/>
          </w:tcPr>
          <w:p w14:paraId="356C8416">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2</w:t>
            </w:r>
          </w:p>
        </w:tc>
        <w:tc>
          <w:tcPr>
            <w:tcW w:w="176" w:type="pct"/>
            <w:tcBorders>
              <w:tl2br w:val="nil"/>
              <w:tr2bl w:val="nil"/>
            </w:tcBorders>
            <w:noWrap w:val="0"/>
            <w:vAlign w:val="center"/>
          </w:tcPr>
          <w:p w14:paraId="4887E9E0">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00" w:type="pct"/>
            <w:tcBorders>
              <w:tl2br w:val="nil"/>
              <w:tr2bl w:val="nil"/>
            </w:tcBorders>
            <w:noWrap w:val="0"/>
            <w:vAlign w:val="center"/>
          </w:tcPr>
          <w:p w14:paraId="00A51DBD">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48" w:type="pct"/>
            <w:tcBorders>
              <w:tl2br w:val="nil"/>
              <w:tr2bl w:val="nil"/>
            </w:tcBorders>
            <w:noWrap w:val="0"/>
            <w:vAlign w:val="center"/>
          </w:tcPr>
          <w:p w14:paraId="54B1B300">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865" w:type="pct"/>
            <w:tcBorders>
              <w:tl2br w:val="nil"/>
              <w:tr2bl w:val="nil"/>
            </w:tcBorders>
            <w:noWrap w:val="0"/>
            <w:vAlign w:val="center"/>
          </w:tcPr>
          <w:p w14:paraId="6586AE34">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rPr>
              <w:t>8</w:t>
            </w:r>
            <w:r>
              <w:rPr>
                <w:rFonts w:hint="eastAsia" w:ascii="Times New Roman" w:hAnsi="Times New Roman" w:cs="Times New Roman"/>
                <w:color w:val="auto"/>
                <w:kern w:val="2"/>
                <w:sz w:val="21"/>
                <w:szCs w:val="21"/>
                <w:highlight w:val="none"/>
                <w:lang w:val="en-US" w:eastAsia="zh-CN"/>
              </w:rPr>
              <w:t>3/5m</w:t>
            </w:r>
          </w:p>
        </w:tc>
        <w:tc>
          <w:tcPr>
            <w:tcW w:w="231" w:type="pct"/>
            <w:vMerge w:val="restart"/>
            <w:tcBorders>
              <w:tl2br w:val="nil"/>
              <w:tr2bl w:val="nil"/>
            </w:tcBorders>
            <w:noWrap w:val="0"/>
            <w:vAlign w:val="center"/>
          </w:tcPr>
          <w:p w14:paraId="756490AA">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cs="Times New Roman"/>
                <w:color w:val="auto"/>
                <w:kern w:val="2"/>
                <w:sz w:val="21"/>
                <w:szCs w:val="21"/>
                <w:highlight w:val="none"/>
                <w:lang w:val="en-US" w:eastAsia="zh-CN"/>
              </w:rPr>
              <w:t>60</w:t>
            </w:r>
          </w:p>
        </w:tc>
        <w:tc>
          <w:tcPr>
            <w:tcW w:w="245" w:type="pct"/>
            <w:vMerge w:val="restart"/>
            <w:tcBorders>
              <w:tl2br w:val="nil"/>
              <w:tr2bl w:val="nil"/>
            </w:tcBorders>
            <w:noWrap w:val="0"/>
            <w:vAlign w:val="center"/>
          </w:tcPr>
          <w:p w14:paraId="34E58A80">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cs="Times New Roman"/>
                <w:color w:val="auto"/>
                <w:kern w:val="2"/>
                <w:sz w:val="21"/>
                <w:szCs w:val="21"/>
                <w:highlight w:val="none"/>
                <w:lang w:val="en-US" w:eastAsia="zh-CN"/>
              </w:rPr>
              <w:t>50</w:t>
            </w:r>
          </w:p>
        </w:tc>
        <w:tc>
          <w:tcPr>
            <w:tcW w:w="916" w:type="pct"/>
            <w:vMerge w:val="restart"/>
            <w:tcBorders>
              <w:tl2br w:val="nil"/>
              <w:tr2bl w:val="nil"/>
            </w:tcBorders>
            <w:noWrap w:val="0"/>
            <w:vAlign w:val="center"/>
          </w:tcPr>
          <w:p w14:paraId="4B9DBE53">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color w:val="auto"/>
                <w:kern w:val="2"/>
                <w:sz w:val="21"/>
                <w:szCs w:val="21"/>
                <w:highlight w:val="none"/>
              </w:rPr>
            </w:pPr>
            <w:r>
              <w:rPr>
                <w:rFonts w:hint="eastAsia" w:ascii="Times New Roman" w:hAnsi="Times New Roman" w:eastAsia="宋体" w:cs="Times New Roman"/>
                <w:b w:val="0"/>
                <w:bCs/>
                <w:color w:val="auto"/>
                <w:kern w:val="0"/>
                <w:sz w:val="21"/>
                <w:szCs w:val="21"/>
                <w:highlight w:val="none"/>
                <w:lang w:val="en-US" w:eastAsia="zh-CN"/>
              </w:rPr>
              <w:t>选用低噪声、低振动设备，加强车辆维护保养，作业面四周加装隔声隔尘挡板</w:t>
            </w:r>
          </w:p>
        </w:tc>
        <w:tc>
          <w:tcPr>
            <w:tcW w:w="312" w:type="pct"/>
            <w:tcBorders>
              <w:tl2br w:val="nil"/>
              <w:tr2bl w:val="nil"/>
            </w:tcBorders>
            <w:noWrap w:val="0"/>
            <w:vAlign w:val="center"/>
          </w:tcPr>
          <w:p w14:paraId="42786297">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昼间</w:t>
            </w:r>
          </w:p>
        </w:tc>
        <w:tc>
          <w:tcPr>
            <w:tcW w:w="397" w:type="pct"/>
            <w:tcBorders>
              <w:tl2br w:val="nil"/>
              <w:tr2bl w:val="nil"/>
            </w:tcBorders>
            <w:noWrap w:val="0"/>
            <w:vAlign w:val="center"/>
          </w:tcPr>
          <w:p w14:paraId="76049184">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color w:val="auto"/>
                <w:kern w:val="0"/>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25</w:t>
            </w:r>
          </w:p>
        </w:tc>
      </w:tr>
      <w:tr w14:paraId="281A0DC9">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49" w:type="pct"/>
            <w:tcBorders>
              <w:tl2br w:val="nil"/>
              <w:tr2bl w:val="nil"/>
            </w:tcBorders>
            <w:noWrap w:val="0"/>
            <w:vAlign w:val="center"/>
          </w:tcPr>
          <w:p w14:paraId="16232512">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bidi="ar-SA"/>
              </w:rPr>
              <w:t>2</w:t>
            </w:r>
          </w:p>
        </w:tc>
        <w:tc>
          <w:tcPr>
            <w:tcW w:w="588" w:type="pct"/>
            <w:tcBorders>
              <w:tl2br w:val="nil"/>
              <w:tr2bl w:val="nil"/>
            </w:tcBorders>
            <w:noWrap w:val="0"/>
            <w:vAlign w:val="center"/>
          </w:tcPr>
          <w:p w14:paraId="09E83FFF">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r>
              <w:rPr>
                <w:rFonts w:hint="eastAsia" w:ascii="Times New Roman" w:hAnsi="Times New Roman" w:eastAsia="宋体" w:cs="宋体"/>
                <w:color w:val="auto"/>
                <w:kern w:val="0"/>
                <w:sz w:val="21"/>
                <w:szCs w:val="21"/>
                <w:highlight w:val="none"/>
              </w:rPr>
              <w:t>压实机</w:t>
            </w:r>
          </w:p>
        </w:tc>
        <w:tc>
          <w:tcPr>
            <w:tcW w:w="300" w:type="pct"/>
            <w:tcBorders>
              <w:tl2br w:val="nil"/>
              <w:tr2bl w:val="nil"/>
            </w:tcBorders>
            <w:noWrap w:val="0"/>
            <w:vAlign w:val="center"/>
          </w:tcPr>
          <w:p w14:paraId="236F4864">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66" w:type="pct"/>
            <w:tcBorders>
              <w:tl2br w:val="nil"/>
              <w:tr2bl w:val="nil"/>
            </w:tcBorders>
            <w:noWrap w:val="0"/>
            <w:vAlign w:val="center"/>
          </w:tcPr>
          <w:p w14:paraId="5FF7434E">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2</w:t>
            </w:r>
          </w:p>
        </w:tc>
        <w:tc>
          <w:tcPr>
            <w:tcW w:w="176" w:type="pct"/>
            <w:tcBorders>
              <w:tl2br w:val="nil"/>
              <w:tr2bl w:val="nil"/>
            </w:tcBorders>
            <w:noWrap w:val="0"/>
            <w:vAlign w:val="center"/>
          </w:tcPr>
          <w:p w14:paraId="70F68889">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00" w:type="pct"/>
            <w:tcBorders>
              <w:tl2br w:val="nil"/>
              <w:tr2bl w:val="nil"/>
            </w:tcBorders>
            <w:noWrap w:val="0"/>
            <w:vAlign w:val="center"/>
          </w:tcPr>
          <w:p w14:paraId="35A4DED2">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48" w:type="pct"/>
            <w:tcBorders>
              <w:tl2br w:val="nil"/>
              <w:tr2bl w:val="nil"/>
            </w:tcBorders>
            <w:noWrap w:val="0"/>
            <w:vAlign w:val="center"/>
          </w:tcPr>
          <w:p w14:paraId="54422332">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865" w:type="pct"/>
            <w:tcBorders>
              <w:tl2br w:val="nil"/>
              <w:tr2bl w:val="nil"/>
            </w:tcBorders>
            <w:noWrap w:val="0"/>
            <w:vAlign w:val="center"/>
          </w:tcPr>
          <w:p w14:paraId="184943B0">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rPr>
              <w:t>8</w:t>
            </w:r>
            <w:r>
              <w:rPr>
                <w:rFonts w:hint="eastAsia" w:ascii="Times New Roman" w:hAnsi="Times New Roman" w:cs="Times New Roman"/>
                <w:color w:val="auto"/>
                <w:kern w:val="2"/>
                <w:sz w:val="21"/>
                <w:szCs w:val="21"/>
                <w:highlight w:val="none"/>
                <w:lang w:val="en-US" w:eastAsia="zh-CN"/>
              </w:rPr>
              <w:t>3/5m</w:t>
            </w:r>
          </w:p>
        </w:tc>
        <w:tc>
          <w:tcPr>
            <w:tcW w:w="231" w:type="pct"/>
            <w:vMerge w:val="continue"/>
            <w:tcBorders>
              <w:tl2br w:val="nil"/>
              <w:tr2bl w:val="nil"/>
            </w:tcBorders>
            <w:noWrap w:val="0"/>
            <w:vAlign w:val="center"/>
          </w:tcPr>
          <w:p w14:paraId="22FE115E">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c>
          <w:tcPr>
            <w:tcW w:w="245" w:type="pct"/>
            <w:vMerge w:val="continue"/>
            <w:tcBorders>
              <w:tl2br w:val="nil"/>
              <w:tr2bl w:val="nil"/>
            </w:tcBorders>
            <w:noWrap w:val="0"/>
            <w:vAlign w:val="center"/>
          </w:tcPr>
          <w:p w14:paraId="1E078C88">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c>
          <w:tcPr>
            <w:tcW w:w="916" w:type="pct"/>
            <w:vMerge w:val="continue"/>
            <w:tcBorders>
              <w:tl2br w:val="nil"/>
              <w:tr2bl w:val="nil"/>
            </w:tcBorders>
            <w:noWrap w:val="0"/>
            <w:vAlign w:val="center"/>
          </w:tcPr>
          <w:p w14:paraId="6F1AD14B">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color w:val="auto"/>
                <w:kern w:val="2"/>
                <w:sz w:val="21"/>
                <w:szCs w:val="21"/>
                <w:highlight w:val="none"/>
              </w:rPr>
            </w:pPr>
          </w:p>
        </w:tc>
        <w:tc>
          <w:tcPr>
            <w:tcW w:w="312" w:type="pct"/>
            <w:tcBorders>
              <w:tl2br w:val="nil"/>
              <w:tr2bl w:val="nil"/>
            </w:tcBorders>
            <w:noWrap w:val="0"/>
            <w:vAlign w:val="center"/>
          </w:tcPr>
          <w:p w14:paraId="11F1A56C">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color w:val="auto"/>
                <w:kern w:val="2"/>
                <w:sz w:val="21"/>
                <w:szCs w:val="21"/>
                <w:highlight w:val="none"/>
              </w:rPr>
            </w:pPr>
            <w:r>
              <w:rPr>
                <w:rFonts w:hint="eastAsia" w:ascii="Times New Roman" w:hAnsi="Times New Roman" w:eastAsia="宋体" w:cs="Times New Roman"/>
                <w:b w:val="0"/>
                <w:bCs/>
                <w:color w:val="auto"/>
                <w:kern w:val="0"/>
                <w:sz w:val="21"/>
                <w:szCs w:val="21"/>
                <w:highlight w:val="none"/>
                <w:lang w:val="en-US" w:eastAsia="zh-CN"/>
              </w:rPr>
              <w:t>昼间</w:t>
            </w:r>
          </w:p>
        </w:tc>
        <w:tc>
          <w:tcPr>
            <w:tcW w:w="397" w:type="pct"/>
            <w:tcBorders>
              <w:tl2br w:val="nil"/>
              <w:tr2bl w:val="nil"/>
            </w:tcBorders>
            <w:noWrap w:val="0"/>
            <w:vAlign w:val="center"/>
          </w:tcPr>
          <w:p w14:paraId="661B67E5">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25</w:t>
            </w:r>
          </w:p>
        </w:tc>
      </w:tr>
      <w:tr w14:paraId="3267A40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49" w:type="pct"/>
            <w:tcBorders>
              <w:tl2br w:val="nil"/>
              <w:tr2bl w:val="nil"/>
            </w:tcBorders>
            <w:noWrap w:val="0"/>
            <w:vAlign w:val="center"/>
          </w:tcPr>
          <w:p w14:paraId="2A2A349F">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bidi="ar-SA"/>
              </w:rPr>
              <w:t>3</w:t>
            </w:r>
          </w:p>
        </w:tc>
        <w:tc>
          <w:tcPr>
            <w:tcW w:w="588" w:type="pct"/>
            <w:tcBorders>
              <w:tl2br w:val="nil"/>
              <w:tr2bl w:val="nil"/>
            </w:tcBorders>
            <w:noWrap w:val="0"/>
            <w:vAlign w:val="center"/>
          </w:tcPr>
          <w:p w14:paraId="78DAE8D2">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宋体"/>
                <w:color w:val="auto"/>
                <w:kern w:val="0"/>
                <w:sz w:val="21"/>
                <w:szCs w:val="21"/>
                <w:highlight w:val="none"/>
              </w:rPr>
              <w:t>洒水车</w:t>
            </w:r>
          </w:p>
        </w:tc>
        <w:tc>
          <w:tcPr>
            <w:tcW w:w="300" w:type="pct"/>
            <w:tcBorders>
              <w:tl2br w:val="nil"/>
              <w:tr2bl w:val="nil"/>
            </w:tcBorders>
            <w:noWrap w:val="0"/>
            <w:vAlign w:val="center"/>
          </w:tcPr>
          <w:p w14:paraId="07BCF14F">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66" w:type="pct"/>
            <w:tcBorders>
              <w:tl2br w:val="nil"/>
              <w:tr2bl w:val="nil"/>
            </w:tcBorders>
            <w:noWrap w:val="0"/>
            <w:vAlign w:val="center"/>
          </w:tcPr>
          <w:p w14:paraId="6ACC2A55">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1</w:t>
            </w:r>
          </w:p>
        </w:tc>
        <w:tc>
          <w:tcPr>
            <w:tcW w:w="176" w:type="pct"/>
            <w:tcBorders>
              <w:tl2br w:val="nil"/>
              <w:tr2bl w:val="nil"/>
            </w:tcBorders>
            <w:noWrap w:val="0"/>
            <w:vAlign w:val="center"/>
          </w:tcPr>
          <w:p w14:paraId="0BE93DC9">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00" w:type="pct"/>
            <w:tcBorders>
              <w:tl2br w:val="nil"/>
              <w:tr2bl w:val="nil"/>
            </w:tcBorders>
            <w:noWrap w:val="0"/>
            <w:vAlign w:val="center"/>
          </w:tcPr>
          <w:p w14:paraId="0C079A2F">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48" w:type="pct"/>
            <w:tcBorders>
              <w:tl2br w:val="nil"/>
              <w:tr2bl w:val="nil"/>
            </w:tcBorders>
            <w:noWrap w:val="0"/>
            <w:vAlign w:val="center"/>
          </w:tcPr>
          <w:p w14:paraId="465AFB24">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865" w:type="pct"/>
            <w:tcBorders>
              <w:tl2br w:val="nil"/>
              <w:tr2bl w:val="nil"/>
            </w:tcBorders>
            <w:noWrap w:val="0"/>
            <w:vAlign w:val="center"/>
          </w:tcPr>
          <w:p w14:paraId="6842C1F4">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rPr>
              <w:t>78/5m</w:t>
            </w:r>
          </w:p>
        </w:tc>
        <w:tc>
          <w:tcPr>
            <w:tcW w:w="231" w:type="pct"/>
            <w:vMerge w:val="continue"/>
            <w:tcBorders>
              <w:tl2br w:val="nil"/>
              <w:tr2bl w:val="nil"/>
            </w:tcBorders>
            <w:noWrap w:val="0"/>
            <w:vAlign w:val="center"/>
          </w:tcPr>
          <w:p w14:paraId="3EB5A269">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c>
          <w:tcPr>
            <w:tcW w:w="245" w:type="pct"/>
            <w:vMerge w:val="continue"/>
            <w:tcBorders>
              <w:tl2br w:val="nil"/>
              <w:tr2bl w:val="nil"/>
            </w:tcBorders>
            <w:noWrap w:val="0"/>
            <w:vAlign w:val="center"/>
          </w:tcPr>
          <w:p w14:paraId="4E3C0D69">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c>
          <w:tcPr>
            <w:tcW w:w="916" w:type="pct"/>
            <w:vMerge w:val="continue"/>
            <w:tcBorders>
              <w:tl2br w:val="nil"/>
              <w:tr2bl w:val="nil"/>
            </w:tcBorders>
            <w:noWrap w:val="0"/>
            <w:vAlign w:val="center"/>
          </w:tcPr>
          <w:p w14:paraId="02B96A34">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color w:val="auto"/>
                <w:kern w:val="2"/>
                <w:sz w:val="21"/>
                <w:szCs w:val="21"/>
                <w:highlight w:val="none"/>
              </w:rPr>
            </w:pPr>
          </w:p>
        </w:tc>
        <w:tc>
          <w:tcPr>
            <w:tcW w:w="312" w:type="pct"/>
            <w:tcBorders>
              <w:tl2br w:val="nil"/>
              <w:tr2bl w:val="nil"/>
            </w:tcBorders>
            <w:noWrap w:val="0"/>
            <w:vAlign w:val="center"/>
          </w:tcPr>
          <w:p w14:paraId="6DEA6067">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color w:val="auto"/>
                <w:kern w:val="2"/>
                <w:sz w:val="21"/>
                <w:szCs w:val="21"/>
                <w:highlight w:val="none"/>
              </w:rPr>
            </w:pPr>
            <w:r>
              <w:rPr>
                <w:rFonts w:hint="eastAsia" w:ascii="Times New Roman" w:hAnsi="Times New Roman" w:eastAsia="宋体" w:cs="Times New Roman"/>
                <w:b w:val="0"/>
                <w:bCs/>
                <w:color w:val="auto"/>
                <w:kern w:val="0"/>
                <w:sz w:val="21"/>
                <w:szCs w:val="21"/>
                <w:highlight w:val="none"/>
                <w:lang w:val="en-US" w:eastAsia="zh-CN"/>
              </w:rPr>
              <w:t>昼间</w:t>
            </w:r>
          </w:p>
        </w:tc>
        <w:tc>
          <w:tcPr>
            <w:tcW w:w="397" w:type="pct"/>
            <w:tcBorders>
              <w:tl2br w:val="nil"/>
              <w:tr2bl w:val="nil"/>
            </w:tcBorders>
            <w:noWrap w:val="0"/>
            <w:vAlign w:val="center"/>
          </w:tcPr>
          <w:p w14:paraId="22196AF8">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25</w:t>
            </w:r>
          </w:p>
        </w:tc>
      </w:tr>
      <w:tr w14:paraId="7AF42F95">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49" w:type="pct"/>
            <w:tcBorders>
              <w:tl2br w:val="nil"/>
              <w:tr2bl w:val="nil"/>
            </w:tcBorders>
            <w:noWrap w:val="0"/>
            <w:vAlign w:val="center"/>
          </w:tcPr>
          <w:p w14:paraId="7E20FA62">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bidi="ar-SA"/>
              </w:rPr>
              <w:t>4</w:t>
            </w:r>
          </w:p>
        </w:tc>
        <w:tc>
          <w:tcPr>
            <w:tcW w:w="588" w:type="pct"/>
            <w:tcBorders>
              <w:tl2br w:val="nil"/>
              <w:tr2bl w:val="nil"/>
            </w:tcBorders>
            <w:noWrap w:val="0"/>
            <w:vAlign w:val="center"/>
          </w:tcPr>
          <w:p w14:paraId="4E8DF6C3">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宋体"/>
                <w:color w:val="auto"/>
                <w:kern w:val="0"/>
                <w:sz w:val="21"/>
                <w:szCs w:val="21"/>
                <w:highlight w:val="none"/>
              </w:rPr>
              <w:t>铲车</w:t>
            </w:r>
          </w:p>
        </w:tc>
        <w:tc>
          <w:tcPr>
            <w:tcW w:w="300" w:type="pct"/>
            <w:tcBorders>
              <w:tl2br w:val="nil"/>
              <w:tr2bl w:val="nil"/>
            </w:tcBorders>
            <w:noWrap w:val="0"/>
            <w:vAlign w:val="center"/>
          </w:tcPr>
          <w:p w14:paraId="1706CF68">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66" w:type="pct"/>
            <w:tcBorders>
              <w:tl2br w:val="nil"/>
              <w:tr2bl w:val="nil"/>
            </w:tcBorders>
            <w:noWrap w:val="0"/>
            <w:vAlign w:val="center"/>
          </w:tcPr>
          <w:p w14:paraId="2C922BFC">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2</w:t>
            </w:r>
          </w:p>
        </w:tc>
        <w:tc>
          <w:tcPr>
            <w:tcW w:w="176" w:type="pct"/>
            <w:tcBorders>
              <w:tl2br w:val="nil"/>
              <w:tr2bl w:val="nil"/>
            </w:tcBorders>
            <w:noWrap w:val="0"/>
            <w:vAlign w:val="center"/>
          </w:tcPr>
          <w:p w14:paraId="4E35A2E6">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00" w:type="pct"/>
            <w:tcBorders>
              <w:tl2br w:val="nil"/>
              <w:tr2bl w:val="nil"/>
            </w:tcBorders>
            <w:noWrap w:val="0"/>
            <w:vAlign w:val="center"/>
          </w:tcPr>
          <w:p w14:paraId="08F637EB">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48" w:type="pct"/>
            <w:tcBorders>
              <w:tl2br w:val="nil"/>
              <w:tr2bl w:val="nil"/>
            </w:tcBorders>
            <w:noWrap w:val="0"/>
            <w:vAlign w:val="center"/>
          </w:tcPr>
          <w:p w14:paraId="264468C1">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bidi="ar-SA"/>
              </w:rPr>
              <w:t>/</w:t>
            </w:r>
          </w:p>
        </w:tc>
        <w:tc>
          <w:tcPr>
            <w:tcW w:w="865" w:type="pct"/>
            <w:tcBorders>
              <w:tl2br w:val="nil"/>
              <w:tr2bl w:val="nil"/>
            </w:tcBorders>
            <w:noWrap w:val="0"/>
            <w:vAlign w:val="center"/>
          </w:tcPr>
          <w:p w14:paraId="40CACE00">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rPr>
              <w:t>82/5m</w:t>
            </w:r>
          </w:p>
        </w:tc>
        <w:tc>
          <w:tcPr>
            <w:tcW w:w="231" w:type="pct"/>
            <w:vMerge w:val="continue"/>
            <w:tcBorders>
              <w:tl2br w:val="nil"/>
              <w:tr2bl w:val="nil"/>
            </w:tcBorders>
            <w:noWrap w:val="0"/>
            <w:vAlign w:val="center"/>
          </w:tcPr>
          <w:p w14:paraId="429AF854">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c>
          <w:tcPr>
            <w:tcW w:w="245" w:type="pct"/>
            <w:vMerge w:val="continue"/>
            <w:tcBorders>
              <w:tl2br w:val="nil"/>
              <w:tr2bl w:val="nil"/>
            </w:tcBorders>
            <w:noWrap w:val="0"/>
            <w:vAlign w:val="center"/>
          </w:tcPr>
          <w:p w14:paraId="2697B8F6">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c>
          <w:tcPr>
            <w:tcW w:w="916" w:type="pct"/>
            <w:vMerge w:val="continue"/>
            <w:tcBorders>
              <w:tl2br w:val="nil"/>
              <w:tr2bl w:val="nil"/>
            </w:tcBorders>
            <w:noWrap w:val="0"/>
            <w:vAlign w:val="center"/>
          </w:tcPr>
          <w:p w14:paraId="7026338F">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color w:val="auto"/>
                <w:kern w:val="2"/>
                <w:sz w:val="21"/>
                <w:szCs w:val="21"/>
                <w:highlight w:val="none"/>
              </w:rPr>
            </w:pPr>
          </w:p>
        </w:tc>
        <w:tc>
          <w:tcPr>
            <w:tcW w:w="312" w:type="pct"/>
            <w:tcBorders>
              <w:tl2br w:val="nil"/>
              <w:tr2bl w:val="nil"/>
            </w:tcBorders>
            <w:noWrap w:val="0"/>
            <w:vAlign w:val="center"/>
          </w:tcPr>
          <w:p w14:paraId="548E978F">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color w:val="auto"/>
                <w:kern w:val="2"/>
                <w:sz w:val="21"/>
                <w:szCs w:val="21"/>
                <w:highlight w:val="none"/>
              </w:rPr>
            </w:pPr>
            <w:r>
              <w:rPr>
                <w:rFonts w:hint="eastAsia" w:ascii="Times New Roman" w:hAnsi="Times New Roman" w:eastAsia="宋体" w:cs="Times New Roman"/>
                <w:b w:val="0"/>
                <w:bCs/>
                <w:color w:val="auto"/>
                <w:kern w:val="0"/>
                <w:sz w:val="21"/>
                <w:szCs w:val="21"/>
                <w:highlight w:val="none"/>
                <w:lang w:val="en-US" w:eastAsia="zh-CN"/>
              </w:rPr>
              <w:t>昼间</w:t>
            </w:r>
          </w:p>
        </w:tc>
        <w:tc>
          <w:tcPr>
            <w:tcW w:w="397" w:type="pct"/>
            <w:tcBorders>
              <w:tl2br w:val="nil"/>
              <w:tr2bl w:val="nil"/>
            </w:tcBorders>
            <w:noWrap w:val="0"/>
            <w:vAlign w:val="center"/>
          </w:tcPr>
          <w:p w14:paraId="3B9D3B7D">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25</w:t>
            </w:r>
          </w:p>
        </w:tc>
      </w:tr>
      <w:tr w14:paraId="14F73C95">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49" w:type="pct"/>
            <w:tcBorders>
              <w:tl2br w:val="nil"/>
              <w:tr2bl w:val="nil"/>
            </w:tcBorders>
            <w:noWrap w:val="0"/>
            <w:vAlign w:val="center"/>
          </w:tcPr>
          <w:p w14:paraId="49896633">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bidi="ar-SA"/>
              </w:rPr>
              <w:t>5</w:t>
            </w:r>
          </w:p>
        </w:tc>
        <w:tc>
          <w:tcPr>
            <w:tcW w:w="588" w:type="pct"/>
            <w:tcBorders>
              <w:tl2br w:val="nil"/>
              <w:tr2bl w:val="nil"/>
            </w:tcBorders>
            <w:noWrap w:val="0"/>
            <w:vAlign w:val="center"/>
          </w:tcPr>
          <w:p w14:paraId="05C987BD">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宋体"/>
                <w:color w:val="auto"/>
                <w:kern w:val="0"/>
                <w:sz w:val="21"/>
                <w:szCs w:val="21"/>
                <w:highlight w:val="none"/>
                <w:lang w:val="en-US" w:eastAsia="zh-CN"/>
              </w:rPr>
              <w:t>自卸汽车</w:t>
            </w:r>
          </w:p>
        </w:tc>
        <w:tc>
          <w:tcPr>
            <w:tcW w:w="300" w:type="pct"/>
            <w:tcBorders>
              <w:tl2br w:val="nil"/>
              <w:tr2bl w:val="nil"/>
            </w:tcBorders>
            <w:noWrap w:val="0"/>
            <w:vAlign w:val="center"/>
          </w:tcPr>
          <w:p w14:paraId="586713CF">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w:t>
            </w:r>
          </w:p>
        </w:tc>
        <w:tc>
          <w:tcPr>
            <w:tcW w:w="266" w:type="pct"/>
            <w:tcBorders>
              <w:tl2br w:val="nil"/>
              <w:tr2bl w:val="nil"/>
            </w:tcBorders>
            <w:noWrap w:val="0"/>
            <w:vAlign w:val="center"/>
          </w:tcPr>
          <w:p w14:paraId="0E1C13D6">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rPr>
              <w:t>2</w:t>
            </w:r>
          </w:p>
        </w:tc>
        <w:tc>
          <w:tcPr>
            <w:tcW w:w="176" w:type="pct"/>
            <w:tcBorders>
              <w:tl2br w:val="nil"/>
              <w:tr2bl w:val="nil"/>
            </w:tcBorders>
            <w:noWrap w:val="0"/>
            <w:vAlign w:val="center"/>
          </w:tcPr>
          <w:p w14:paraId="19BC5132">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bidi="ar-SA"/>
              </w:rPr>
              <w:t>/</w:t>
            </w:r>
          </w:p>
        </w:tc>
        <w:tc>
          <w:tcPr>
            <w:tcW w:w="200" w:type="pct"/>
            <w:tcBorders>
              <w:tl2br w:val="nil"/>
              <w:tr2bl w:val="nil"/>
            </w:tcBorders>
            <w:noWrap w:val="0"/>
            <w:vAlign w:val="center"/>
          </w:tcPr>
          <w:p w14:paraId="37B58859">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bidi="ar-SA"/>
              </w:rPr>
              <w:t>/</w:t>
            </w:r>
          </w:p>
        </w:tc>
        <w:tc>
          <w:tcPr>
            <w:tcW w:w="248" w:type="pct"/>
            <w:tcBorders>
              <w:tl2br w:val="nil"/>
              <w:tr2bl w:val="nil"/>
            </w:tcBorders>
            <w:noWrap w:val="0"/>
            <w:vAlign w:val="center"/>
          </w:tcPr>
          <w:p w14:paraId="2CDD017C">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color w:val="auto"/>
                <w:kern w:val="0"/>
                <w:sz w:val="21"/>
                <w:szCs w:val="21"/>
                <w:highlight w:val="none"/>
                <w:lang w:val="en-US" w:eastAsia="zh-CN" w:bidi="ar-SA"/>
              </w:rPr>
            </w:pPr>
            <w:r>
              <w:rPr>
                <w:rFonts w:hint="eastAsia" w:ascii="Times New Roman" w:hAnsi="Times New Roman" w:eastAsia="宋体" w:cs="Times New Roman"/>
                <w:b w:val="0"/>
                <w:bCs/>
                <w:color w:val="auto"/>
                <w:kern w:val="0"/>
                <w:sz w:val="21"/>
                <w:szCs w:val="21"/>
                <w:highlight w:val="none"/>
                <w:lang w:val="en-US" w:eastAsia="zh-CN" w:bidi="ar-SA"/>
              </w:rPr>
              <w:t>/</w:t>
            </w:r>
          </w:p>
        </w:tc>
        <w:tc>
          <w:tcPr>
            <w:tcW w:w="865" w:type="pct"/>
            <w:tcBorders>
              <w:tl2br w:val="nil"/>
              <w:tr2bl w:val="nil"/>
            </w:tcBorders>
            <w:noWrap w:val="0"/>
            <w:vAlign w:val="center"/>
          </w:tcPr>
          <w:p w14:paraId="1554CDA7">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rPr>
              <w:t>82/5m</w:t>
            </w:r>
          </w:p>
        </w:tc>
        <w:tc>
          <w:tcPr>
            <w:tcW w:w="231" w:type="pct"/>
            <w:vMerge w:val="continue"/>
            <w:tcBorders>
              <w:tl2br w:val="nil"/>
              <w:tr2bl w:val="nil"/>
            </w:tcBorders>
            <w:noWrap w:val="0"/>
            <w:vAlign w:val="center"/>
          </w:tcPr>
          <w:p w14:paraId="47F7DC0A">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c>
          <w:tcPr>
            <w:tcW w:w="245" w:type="pct"/>
            <w:vMerge w:val="continue"/>
            <w:tcBorders>
              <w:tl2br w:val="nil"/>
              <w:tr2bl w:val="nil"/>
            </w:tcBorders>
            <w:noWrap w:val="0"/>
            <w:vAlign w:val="center"/>
          </w:tcPr>
          <w:p w14:paraId="4BEE24B6">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ascii="Times New Roman" w:hAnsi="Times New Roman" w:cs="Times New Roman"/>
                <w:color w:val="auto"/>
                <w:kern w:val="2"/>
                <w:sz w:val="21"/>
                <w:szCs w:val="21"/>
                <w:highlight w:val="none"/>
              </w:rPr>
            </w:pPr>
          </w:p>
        </w:tc>
        <w:tc>
          <w:tcPr>
            <w:tcW w:w="916" w:type="pct"/>
            <w:vMerge w:val="continue"/>
            <w:tcBorders>
              <w:tl2br w:val="nil"/>
              <w:tr2bl w:val="nil"/>
            </w:tcBorders>
            <w:noWrap w:val="0"/>
            <w:vAlign w:val="center"/>
          </w:tcPr>
          <w:p w14:paraId="1A1D3B6D">
            <w:pPr>
              <w:keepNext w:val="0"/>
              <w:keepLines w:val="0"/>
              <w:pageBreakBefore w:val="0"/>
              <w:widowControl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color w:val="auto"/>
                <w:kern w:val="2"/>
                <w:sz w:val="21"/>
                <w:szCs w:val="21"/>
                <w:highlight w:val="none"/>
              </w:rPr>
            </w:pPr>
          </w:p>
        </w:tc>
        <w:tc>
          <w:tcPr>
            <w:tcW w:w="312" w:type="pct"/>
            <w:tcBorders>
              <w:tl2br w:val="nil"/>
              <w:tr2bl w:val="nil"/>
            </w:tcBorders>
            <w:noWrap w:val="0"/>
            <w:vAlign w:val="center"/>
          </w:tcPr>
          <w:p w14:paraId="1CDBD098">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color w:val="auto"/>
                <w:kern w:val="2"/>
                <w:sz w:val="21"/>
                <w:szCs w:val="21"/>
                <w:highlight w:val="none"/>
              </w:rPr>
            </w:pPr>
            <w:r>
              <w:rPr>
                <w:rFonts w:hint="eastAsia" w:ascii="Times New Roman" w:hAnsi="Times New Roman" w:eastAsia="宋体" w:cs="Times New Roman"/>
                <w:b w:val="0"/>
                <w:bCs/>
                <w:color w:val="auto"/>
                <w:kern w:val="0"/>
                <w:sz w:val="21"/>
                <w:szCs w:val="21"/>
                <w:highlight w:val="none"/>
                <w:lang w:val="en-US" w:eastAsia="zh-CN"/>
              </w:rPr>
              <w:t>昼间</w:t>
            </w:r>
          </w:p>
        </w:tc>
        <w:tc>
          <w:tcPr>
            <w:tcW w:w="397" w:type="pct"/>
            <w:tcBorders>
              <w:tl2br w:val="nil"/>
              <w:tr2bl w:val="nil"/>
            </w:tcBorders>
            <w:noWrap w:val="0"/>
            <w:vAlign w:val="center"/>
          </w:tcPr>
          <w:p w14:paraId="31A9C03A">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b w:val="0"/>
                <w:bCs/>
                <w:color w:val="auto"/>
                <w:kern w:val="0"/>
                <w:sz w:val="21"/>
                <w:szCs w:val="21"/>
                <w:highlight w:val="none"/>
                <w:lang w:val="en-US" w:eastAsia="zh-CN"/>
              </w:rPr>
              <w:t>25</w:t>
            </w:r>
          </w:p>
        </w:tc>
      </w:tr>
    </w:tbl>
    <w:p w14:paraId="7D5CF456">
      <w:pPr>
        <w:pageBreakBefore w:val="0"/>
        <w:widowControl w:val="0"/>
        <w:kinsoku/>
        <w:wordWrap/>
        <w:overflowPunct/>
        <w:topLinePunct w:val="0"/>
        <w:autoSpaceDE/>
        <w:autoSpaceDN/>
        <w:bidi w:val="0"/>
        <w:adjustRightInd/>
        <w:snapToGrid/>
        <w:spacing w:line="360" w:lineRule="auto"/>
        <w:ind w:firstLine="480"/>
        <w:textAlignment w:val="auto"/>
        <w:rPr>
          <w:rFonts w:hint="eastAsia" w:ascii="Times New Roman"/>
          <w:color w:val="auto"/>
          <w:highlight w:val="none"/>
        </w:rPr>
      </w:pPr>
      <w:r>
        <w:rPr>
          <w:color w:val="auto"/>
          <w:highlight w:val="none"/>
        </w:rPr>
        <w:t>5.</w:t>
      </w:r>
      <w:r>
        <w:rPr>
          <w:rFonts w:hint="eastAsia"/>
          <w:color w:val="auto"/>
          <w:highlight w:val="none"/>
          <w:lang w:val="en-US" w:eastAsia="zh-CN"/>
        </w:rPr>
        <w:t>2.</w:t>
      </w:r>
      <w:r>
        <w:rPr>
          <w:color w:val="auto"/>
          <w:highlight w:val="none"/>
        </w:rPr>
        <w:t>4.</w:t>
      </w:r>
      <w:r>
        <w:rPr>
          <w:rFonts w:hint="eastAsia"/>
          <w:color w:val="auto"/>
          <w:highlight w:val="none"/>
          <w:lang w:val="en-US" w:eastAsia="zh-CN"/>
        </w:rPr>
        <w:t>2</w:t>
      </w:r>
      <w:r>
        <w:rPr>
          <w:rFonts w:hint="eastAsia" w:ascii="Times New Roman"/>
          <w:color w:val="auto"/>
          <w:highlight w:val="none"/>
        </w:rPr>
        <w:t>声环境影响预测</w:t>
      </w:r>
    </w:p>
    <w:p w14:paraId="36C2B24D">
      <w:pPr>
        <w:spacing w:line="360" w:lineRule="auto"/>
        <w:ind w:firstLine="480"/>
        <w:rPr>
          <w:rFonts w:ascii="Times New Roman"/>
          <w:color w:val="auto"/>
          <w:highlight w:val="none"/>
        </w:rPr>
      </w:pPr>
      <w:r>
        <w:rPr>
          <w:rFonts w:hint="eastAsia" w:ascii="Times New Roman"/>
          <w:color w:val="auto"/>
          <w:highlight w:val="none"/>
        </w:rPr>
        <w:t>根据《环境影响评价技术导则声环境》（HJ2.4-2021）要求，本项目声环境影响预测模型采用附录A（规范性附录）的户外声传播衰减基本公式</w:t>
      </w:r>
      <w:r>
        <w:rPr>
          <w:rFonts w:ascii="Times New Roman"/>
          <w:color w:val="auto"/>
          <w:highlight w:val="none"/>
        </w:rPr>
        <w:t>。</w:t>
      </w:r>
    </w:p>
    <w:p w14:paraId="4FA4E156">
      <w:pPr>
        <w:pStyle w:val="217"/>
        <w:spacing w:line="360" w:lineRule="auto"/>
        <w:ind w:firstLine="480"/>
        <w:rPr>
          <w:rFonts w:cs="Times New Roman"/>
          <w:snapToGrid w:val="0"/>
          <w:color w:val="auto"/>
          <w:highlight w:val="none"/>
        </w:rPr>
      </w:pPr>
      <w:r>
        <w:rPr>
          <w:rFonts w:cs="Times New Roman"/>
          <w:snapToGrid w:val="0"/>
          <w:color w:val="auto"/>
          <w:highlight w:val="none"/>
        </w:rPr>
        <w:t>设第</w:t>
      </w:r>
      <w:r>
        <w:rPr>
          <w:rFonts w:cs="Times New Roman"/>
          <w:i/>
          <w:iCs/>
          <w:snapToGrid w:val="0"/>
          <w:color w:val="auto"/>
          <w:highlight w:val="none"/>
        </w:rPr>
        <w:t>i</w:t>
      </w:r>
      <w:r>
        <w:rPr>
          <w:rFonts w:cs="Times New Roman"/>
          <w:snapToGrid w:val="0"/>
          <w:color w:val="auto"/>
          <w:highlight w:val="none"/>
        </w:rPr>
        <w:t>个室外声源在预测点产生的A声级为</w:t>
      </w:r>
      <w:r>
        <w:rPr>
          <w:rFonts w:cs="Times New Roman"/>
          <w:i/>
          <w:iCs/>
          <w:snapToGrid w:val="0"/>
          <w:color w:val="auto"/>
          <w:highlight w:val="none"/>
        </w:rPr>
        <w:t>L</w:t>
      </w:r>
      <w:r>
        <w:rPr>
          <w:rFonts w:cs="Times New Roman"/>
          <w:snapToGrid w:val="0"/>
          <w:color w:val="auto"/>
          <w:highlight w:val="none"/>
          <w:vertAlign w:val="subscript"/>
        </w:rPr>
        <w:t>Ai</w:t>
      </w:r>
      <w:r>
        <w:rPr>
          <w:rFonts w:cs="Times New Roman"/>
          <w:snapToGrid w:val="0"/>
          <w:color w:val="auto"/>
          <w:highlight w:val="none"/>
        </w:rPr>
        <w:t>，在T时间内该声源</w:t>
      </w:r>
      <w:r>
        <w:rPr>
          <w:rFonts w:hint="eastAsia" w:cs="Times New Roman"/>
          <w:snapToGrid w:val="0"/>
          <w:color w:val="auto"/>
          <w:highlight w:val="none"/>
          <w:lang w:eastAsia="zh-CN"/>
        </w:rPr>
        <w:t>工作</w:t>
      </w:r>
      <w:r>
        <w:rPr>
          <w:rFonts w:cs="Times New Roman"/>
          <w:snapToGrid w:val="0"/>
          <w:color w:val="auto"/>
          <w:highlight w:val="none"/>
        </w:rPr>
        <w:t>时间为</w:t>
      </w:r>
      <w:r>
        <w:rPr>
          <w:rFonts w:cs="Times New Roman"/>
          <w:i/>
          <w:iCs/>
          <w:snapToGrid w:val="0"/>
          <w:color w:val="auto"/>
          <w:highlight w:val="none"/>
        </w:rPr>
        <w:t>t</w:t>
      </w:r>
      <w:r>
        <w:rPr>
          <w:rFonts w:cs="Times New Roman"/>
          <w:snapToGrid w:val="0"/>
          <w:color w:val="auto"/>
          <w:highlight w:val="none"/>
        </w:rPr>
        <w:t>i；第</w:t>
      </w:r>
      <w:r>
        <w:rPr>
          <w:rFonts w:cs="Times New Roman"/>
          <w:i/>
          <w:iCs/>
          <w:snapToGrid w:val="0"/>
          <w:color w:val="auto"/>
          <w:highlight w:val="none"/>
        </w:rPr>
        <w:t>j</w:t>
      </w:r>
      <w:r>
        <w:rPr>
          <w:rFonts w:cs="Times New Roman"/>
          <w:snapToGrid w:val="0"/>
          <w:color w:val="auto"/>
          <w:highlight w:val="none"/>
        </w:rPr>
        <w:t>个等效室外声源在预测点产生的A声级为</w:t>
      </w:r>
      <w:r>
        <w:rPr>
          <w:rFonts w:cs="Times New Roman"/>
          <w:i/>
          <w:iCs/>
          <w:snapToGrid w:val="0"/>
          <w:color w:val="auto"/>
          <w:highlight w:val="none"/>
        </w:rPr>
        <w:t>L</w:t>
      </w:r>
      <w:r>
        <w:rPr>
          <w:rFonts w:cs="Times New Roman"/>
          <w:snapToGrid w:val="0"/>
          <w:color w:val="auto"/>
          <w:highlight w:val="none"/>
          <w:vertAlign w:val="subscript"/>
        </w:rPr>
        <w:t>Aj</w:t>
      </w:r>
      <w:r>
        <w:rPr>
          <w:rFonts w:cs="Times New Roman"/>
          <w:snapToGrid w:val="0"/>
          <w:color w:val="auto"/>
          <w:highlight w:val="none"/>
        </w:rPr>
        <w:t>，在</w:t>
      </w:r>
      <w:r>
        <w:rPr>
          <w:rFonts w:cs="Times New Roman"/>
          <w:i/>
          <w:iCs/>
          <w:snapToGrid w:val="0"/>
          <w:color w:val="auto"/>
          <w:highlight w:val="none"/>
        </w:rPr>
        <w:t>T</w:t>
      </w:r>
      <w:r>
        <w:rPr>
          <w:rFonts w:cs="Times New Roman"/>
          <w:snapToGrid w:val="0"/>
          <w:color w:val="auto"/>
          <w:highlight w:val="none"/>
        </w:rPr>
        <w:t>时间内该声源工作时间为</w:t>
      </w:r>
      <w:r>
        <w:rPr>
          <w:rFonts w:cs="Times New Roman"/>
          <w:i/>
          <w:iCs/>
          <w:snapToGrid w:val="0"/>
          <w:color w:val="auto"/>
          <w:highlight w:val="none"/>
        </w:rPr>
        <w:t>t</w:t>
      </w:r>
      <w:r>
        <w:rPr>
          <w:rFonts w:cs="Times New Roman"/>
          <w:snapToGrid w:val="0"/>
          <w:color w:val="auto"/>
          <w:highlight w:val="none"/>
        </w:rPr>
        <w:t>j，则拟建工程声源对预测点产生的贡献值（</w:t>
      </w:r>
      <w:r>
        <w:rPr>
          <w:rFonts w:cs="Times New Roman"/>
          <w:i/>
          <w:iCs/>
          <w:snapToGrid w:val="0"/>
          <w:color w:val="auto"/>
          <w:highlight w:val="none"/>
        </w:rPr>
        <w:t>L</w:t>
      </w:r>
      <w:r>
        <w:rPr>
          <w:rFonts w:cs="Times New Roman"/>
          <w:snapToGrid w:val="0"/>
          <w:color w:val="auto"/>
          <w:highlight w:val="none"/>
          <w:vertAlign w:val="subscript"/>
        </w:rPr>
        <w:t>eqg</w:t>
      </w:r>
      <w:r>
        <w:rPr>
          <w:rFonts w:cs="Times New Roman"/>
          <w:snapToGrid w:val="0"/>
          <w:color w:val="auto"/>
          <w:highlight w:val="none"/>
        </w:rPr>
        <w:t>）为：</w:t>
      </w:r>
    </w:p>
    <w:p w14:paraId="0EAE7CE1">
      <w:pPr>
        <w:pStyle w:val="217"/>
        <w:spacing w:line="360" w:lineRule="auto"/>
        <w:ind w:firstLine="480"/>
        <w:jc w:val="center"/>
        <w:rPr>
          <w:rFonts w:cs="Times New Roman"/>
          <w:snapToGrid w:val="0"/>
          <w:color w:val="auto"/>
          <w:highlight w:val="none"/>
        </w:rPr>
      </w:pPr>
      <w:r>
        <w:rPr>
          <w:color w:val="auto"/>
          <w:kern w:val="0"/>
          <w:position w:val="-34"/>
          <w:szCs w:val="20"/>
          <w:highlight w:val="none"/>
        </w:rPr>
        <w:object>
          <v:shape id="_x0000_i1029" o:spt="75" type="#_x0000_t75" style="height:45pt;width:226.2pt;" o:ole="t" filled="f" o:preferrelative="t" stroked="f" coordsize="21600,21600">
            <v:path/>
            <v:fill on="f" focussize="0,0"/>
            <v:stroke on="f" joinstyle="miter"/>
            <v:imagedata r:id="rId56" o:title=""/>
            <o:lock v:ext="edit" aspectratio="t"/>
            <w10:wrap type="none"/>
            <w10:anchorlock/>
          </v:shape>
          <o:OLEObject Type="Embed" ProgID="Equation.3" ShapeID="_x0000_i1029" DrawAspect="Content" ObjectID="_1468075729" r:id="rId55">
            <o:LockedField>false</o:LockedField>
          </o:OLEObject>
        </w:object>
      </w:r>
    </w:p>
    <w:p w14:paraId="77654319">
      <w:pPr>
        <w:pStyle w:val="217"/>
        <w:spacing w:line="360" w:lineRule="auto"/>
        <w:ind w:firstLine="480"/>
        <w:rPr>
          <w:rFonts w:cs="Times New Roman"/>
          <w:color w:val="auto"/>
          <w:highlight w:val="none"/>
        </w:rPr>
      </w:pPr>
      <w:r>
        <w:rPr>
          <w:rFonts w:cs="Times New Roman"/>
          <w:color w:val="auto"/>
          <w:highlight w:val="none"/>
        </w:rPr>
        <w:t>式中：</w:t>
      </w:r>
      <w:r>
        <w:rPr>
          <w:rFonts w:cs="Times New Roman"/>
          <w:i/>
          <w:color w:val="auto"/>
          <w:highlight w:val="none"/>
        </w:rPr>
        <w:t>L</w:t>
      </w:r>
      <w:r>
        <w:rPr>
          <w:rFonts w:cs="Times New Roman"/>
          <w:color w:val="auto"/>
          <w:highlight w:val="none"/>
          <w:vertAlign w:val="subscript"/>
        </w:rPr>
        <w:t>eqg</w:t>
      </w:r>
      <w:r>
        <w:rPr>
          <w:rFonts w:cs="Times New Roman"/>
          <w:color w:val="auto"/>
          <w:highlight w:val="none"/>
        </w:rPr>
        <w:t>——建设项目声源在预测点产生的噪声贡献值，dB；</w:t>
      </w:r>
    </w:p>
    <w:p w14:paraId="0D8297EC">
      <w:pPr>
        <w:pStyle w:val="217"/>
        <w:spacing w:line="360" w:lineRule="auto"/>
        <w:ind w:firstLine="480"/>
        <w:rPr>
          <w:rFonts w:cs="Times New Roman"/>
          <w:color w:val="auto"/>
          <w:highlight w:val="none"/>
        </w:rPr>
      </w:pPr>
      <w:r>
        <w:rPr>
          <w:rFonts w:cs="Times New Roman"/>
          <w:i/>
          <w:color w:val="auto"/>
          <w:highlight w:val="none"/>
        </w:rPr>
        <w:t>T</w:t>
      </w:r>
      <w:r>
        <w:rPr>
          <w:rFonts w:cs="Times New Roman"/>
          <w:color w:val="auto"/>
          <w:highlight w:val="none"/>
        </w:rPr>
        <w:t>——用于计算等效声级的时间，s；</w:t>
      </w:r>
    </w:p>
    <w:p w14:paraId="56677022">
      <w:pPr>
        <w:pStyle w:val="217"/>
        <w:spacing w:line="360" w:lineRule="auto"/>
        <w:ind w:firstLine="480"/>
        <w:rPr>
          <w:rFonts w:cs="Times New Roman"/>
          <w:color w:val="auto"/>
          <w:highlight w:val="none"/>
        </w:rPr>
      </w:pPr>
      <w:r>
        <w:rPr>
          <w:rFonts w:cs="Times New Roman"/>
          <w:i/>
          <w:color w:val="auto"/>
          <w:highlight w:val="none"/>
        </w:rPr>
        <w:t>N</w:t>
      </w:r>
      <w:r>
        <w:rPr>
          <w:rFonts w:cs="Times New Roman"/>
          <w:color w:val="auto"/>
          <w:highlight w:val="none"/>
        </w:rPr>
        <w:t>——室外声源个数；</w:t>
      </w:r>
    </w:p>
    <w:p w14:paraId="68E61117">
      <w:pPr>
        <w:pStyle w:val="217"/>
        <w:spacing w:line="360" w:lineRule="auto"/>
        <w:ind w:firstLine="480"/>
        <w:rPr>
          <w:rFonts w:cs="Times New Roman"/>
          <w:color w:val="auto"/>
          <w:highlight w:val="none"/>
        </w:rPr>
      </w:pPr>
      <w:r>
        <w:rPr>
          <w:rFonts w:cs="Times New Roman"/>
          <w:i/>
          <w:color w:val="auto"/>
          <w:highlight w:val="none"/>
        </w:rPr>
        <w:t>ti</w:t>
      </w:r>
      <w:r>
        <w:rPr>
          <w:rFonts w:cs="Times New Roman"/>
          <w:color w:val="auto"/>
          <w:highlight w:val="none"/>
        </w:rPr>
        <w:t>——在</w:t>
      </w:r>
      <w:r>
        <w:rPr>
          <w:rFonts w:cs="Times New Roman"/>
          <w:i/>
          <w:color w:val="auto"/>
          <w:highlight w:val="none"/>
        </w:rPr>
        <w:t>T</w:t>
      </w:r>
      <w:r>
        <w:rPr>
          <w:rFonts w:cs="Times New Roman"/>
          <w:color w:val="auto"/>
          <w:highlight w:val="none"/>
        </w:rPr>
        <w:t>时间内</w:t>
      </w:r>
      <w:r>
        <w:rPr>
          <w:rFonts w:cs="Times New Roman"/>
          <w:i/>
          <w:color w:val="auto"/>
          <w:highlight w:val="none"/>
        </w:rPr>
        <w:t>i</w:t>
      </w:r>
      <w:r>
        <w:rPr>
          <w:rFonts w:cs="Times New Roman"/>
          <w:color w:val="auto"/>
          <w:highlight w:val="none"/>
        </w:rPr>
        <w:t>声源工作时间，s；</w:t>
      </w:r>
    </w:p>
    <w:p w14:paraId="7D6681AB">
      <w:pPr>
        <w:pStyle w:val="217"/>
        <w:spacing w:line="360" w:lineRule="auto"/>
        <w:ind w:firstLine="480"/>
        <w:rPr>
          <w:rFonts w:cs="Times New Roman"/>
          <w:color w:val="auto"/>
          <w:highlight w:val="none"/>
        </w:rPr>
      </w:pPr>
      <w:r>
        <w:rPr>
          <w:rFonts w:cs="Times New Roman"/>
          <w:i/>
          <w:color w:val="auto"/>
          <w:highlight w:val="none"/>
        </w:rPr>
        <w:t>M</w:t>
      </w:r>
      <w:r>
        <w:rPr>
          <w:rFonts w:cs="Times New Roman"/>
          <w:color w:val="auto"/>
          <w:highlight w:val="none"/>
        </w:rPr>
        <w:t>——等效室外声源个数；</w:t>
      </w:r>
    </w:p>
    <w:p w14:paraId="019D9272">
      <w:pPr>
        <w:pStyle w:val="217"/>
        <w:spacing w:line="360" w:lineRule="auto"/>
        <w:ind w:firstLine="480"/>
        <w:rPr>
          <w:rFonts w:hint="eastAsia" w:ascii="Times New Roman"/>
          <w:color w:val="auto"/>
          <w:highlight w:val="none"/>
        </w:rPr>
      </w:pPr>
      <w:r>
        <w:rPr>
          <w:rFonts w:cs="Times New Roman"/>
          <w:i/>
          <w:color w:val="auto"/>
          <w:highlight w:val="none"/>
        </w:rPr>
        <w:t>tj</w:t>
      </w:r>
      <w:r>
        <w:rPr>
          <w:rFonts w:cs="Times New Roman"/>
          <w:color w:val="auto"/>
          <w:highlight w:val="none"/>
        </w:rPr>
        <w:t>——在</w:t>
      </w:r>
      <w:r>
        <w:rPr>
          <w:rFonts w:cs="Times New Roman"/>
          <w:i/>
          <w:color w:val="auto"/>
          <w:highlight w:val="none"/>
        </w:rPr>
        <w:t>T</w:t>
      </w:r>
      <w:r>
        <w:rPr>
          <w:rFonts w:cs="Times New Roman"/>
          <w:color w:val="auto"/>
          <w:highlight w:val="none"/>
        </w:rPr>
        <w:t>时间内</w:t>
      </w:r>
      <w:r>
        <w:rPr>
          <w:rFonts w:cs="Times New Roman"/>
          <w:i/>
          <w:color w:val="auto"/>
          <w:highlight w:val="none"/>
        </w:rPr>
        <w:t>j</w:t>
      </w:r>
      <w:r>
        <w:rPr>
          <w:rFonts w:cs="Times New Roman"/>
          <w:color w:val="auto"/>
          <w:highlight w:val="none"/>
        </w:rPr>
        <w:t>声源工作时间，s。</w:t>
      </w:r>
    </w:p>
    <w:p w14:paraId="301697E2">
      <w:pPr>
        <w:pageBreakBefore w:val="0"/>
        <w:widowControl w:val="0"/>
        <w:kinsoku/>
        <w:wordWrap/>
        <w:overflowPunct/>
        <w:topLinePunct w:val="0"/>
        <w:autoSpaceDE/>
        <w:autoSpaceDN/>
        <w:bidi w:val="0"/>
        <w:adjustRightInd/>
        <w:snapToGrid/>
        <w:spacing w:line="360" w:lineRule="auto"/>
        <w:ind w:firstLine="480"/>
        <w:textAlignment w:val="auto"/>
        <w:rPr>
          <w:rFonts w:ascii="Times New Roman"/>
          <w:color w:val="auto"/>
          <w:highlight w:val="none"/>
        </w:rPr>
      </w:pPr>
      <w:r>
        <w:rPr>
          <w:color w:val="auto"/>
          <w:highlight w:val="none"/>
        </w:rPr>
        <w:t>5.</w:t>
      </w:r>
      <w:r>
        <w:rPr>
          <w:rFonts w:hint="eastAsia"/>
          <w:color w:val="auto"/>
          <w:highlight w:val="none"/>
          <w:lang w:val="en-US" w:eastAsia="zh-CN"/>
        </w:rPr>
        <w:t>2.</w:t>
      </w:r>
      <w:r>
        <w:rPr>
          <w:color w:val="auto"/>
          <w:highlight w:val="none"/>
        </w:rPr>
        <w:t>4.</w:t>
      </w:r>
      <w:r>
        <w:rPr>
          <w:rFonts w:hint="eastAsia"/>
          <w:color w:val="auto"/>
          <w:highlight w:val="none"/>
          <w:lang w:val="en-US" w:eastAsia="zh-CN"/>
        </w:rPr>
        <w:t>3</w:t>
      </w:r>
      <w:r>
        <w:rPr>
          <w:rFonts w:ascii="Times New Roman"/>
          <w:color w:val="auto"/>
          <w:highlight w:val="none"/>
        </w:rPr>
        <w:t>预测结果</w:t>
      </w:r>
    </w:p>
    <w:p w14:paraId="6464204A">
      <w:pPr>
        <w:spacing w:line="360" w:lineRule="auto"/>
        <w:ind w:firstLine="480"/>
        <w:rPr>
          <w:rFonts w:hint="eastAsia"/>
          <w:color w:val="auto"/>
          <w:highlight w:val="none"/>
        </w:rPr>
      </w:pPr>
      <w:r>
        <w:rPr>
          <w:rFonts w:hint="eastAsia" w:ascii="Times New Roman"/>
          <w:color w:val="auto"/>
          <w:highlight w:val="none"/>
        </w:rPr>
        <w:t>本项目</w:t>
      </w:r>
      <w:r>
        <w:rPr>
          <w:rFonts w:hint="eastAsia" w:ascii="Times New Roman"/>
          <w:color w:val="auto"/>
          <w:highlight w:val="none"/>
          <w:lang w:val="en-US" w:eastAsia="zh-CN"/>
        </w:rPr>
        <w:t>回填</w:t>
      </w:r>
      <w:r>
        <w:rPr>
          <w:rFonts w:hint="eastAsia" w:ascii="Times New Roman"/>
          <w:color w:val="auto"/>
          <w:highlight w:val="none"/>
        </w:rPr>
        <w:t>场</w:t>
      </w:r>
      <w:r>
        <w:rPr>
          <w:rFonts w:hint="eastAsia"/>
          <w:color w:val="auto"/>
          <w:highlight w:val="none"/>
          <w:lang w:val="en-US" w:eastAsia="zh-CN"/>
        </w:rPr>
        <w:t>边界外200m范围内无敏感目标，</w:t>
      </w:r>
      <w:r>
        <w:rPr>
          <w:rFonts w:hint="eastAsia" w:ascii="Times New Roman"/>
          <w:color w:val="auto"/>
          <w:highlight w:val="none"/>
        </w:rPr>
        <w:t>距离最近敏感点为</w:t>
      </w:r>
      <w:r>
        <w:rPr>
          <w:rFonts w:hint="eastAsia"/>
          <w:color w:val="auto"/>
          <w:highlight w:val="none"/>
          <w:lang w:val="en-US" w:eastAsia="zh-CN"/>
        </w:rPr>
        <w:t>距边界南</w:t>
      </w:r>
      <w:r>
        <w:rPr>
          <w:rFonts w:hint="eastAsia" w:ascii="Times New Roman"/>
          <w:color w:val="auto"/>
          <w:highlight w:val="none"/>
        </w:rPr>
        <w:t>侧</w:t>
      </w:r>
      <w:r>
        <w:rPr>
          <w:rFonts w:hint="eastAsia"/>
          <w:color w:val="auto"/>
          <w:highlight w:val="none"/>
          <w:lang w:val="en-US" w:eastAsia="zh-CN"/>
        </w:rPr>
        <w:t>350</w:t>
      </w:r>
      <w:r>
        <w:rPr>
          <w:rFonts w:hint="eastAsia" w:ascii="Times New Roman"/>
          <w:color w:val="auto"/>
          <w:highlight w:val="none"/>
        </w:rPr>
        <w:t>m处</w:t>
      </w:r>
      <w:r>
        <w:rPr>
          <w:rFonts w:hint="eastAsia"/>
          <w:color w:val="auto"/>
          <w:highlight w:val="none"/>
          <w:lang w:val="en-US" w:eastAsia="zh-CN"/>
        </w:rPr>
        <w:t>元宝村</w:t>
      </w:r>
      <w:r>
        <w:rPr>
          <w:rFonts w:hint="eastAsia" w:ascii="Times New Roman"/>
          <w:color w:val="auto"/>
          <w:highlight w:val="none"/>
        </w:rPr>
        <w:t>，项目考虑最不利因素施工机械全部运行的情况进行预测</w:t>
      </w:r>
      <w:r>
        <w:rPr>
          <w:rFonts w:hint="eastAsia"/>
          <w:color w:val="auto"/>
          <w:highlight w:val="none"/>
          <w:lang w:eastAsia="zh-CN"/>
        </w:rPr>
        <w:t>，</w:t>
      </w:r>
      <w:r>
        <w:rPr>
          <w:rFonts w:hint="eastAsia"/>
          <w:color w:val="auto"/>
          <w:highlight w:val="none"/>
          <w:lang w:val="en-US" w:eastAsia="zh-CN"/>
        </w:rPr>
        <w:t>并且机械设备主要集中在南侧施工时</w:t>
      </w:r>
      <w:r>
        <w:rPr>
          <w:rFonts w:hint="eastAsia" w:ascii="Times New Roman"/>
          <w:color w:val="auto"/>
          <w:highlight w:val="none"/>
        </w:rPr>
        <w:t>，</w:t>
      </w:r>
      <w:r>
        <w:rPr>
          <w:rFonts w:hint="eastAsia"/>
          <w:color w:val="auto"/>
          <w:highlight w:val="none"/>
          <w:lang w:val="en-US" w:eastAsia="zh-CN"/>
        </w:rPr>
        <w:t>距离敏感点距离最近。</w:t>
      </w:r>
      <w:r>
        <w:rPr>
          <w:rFonts w:hint="eastAsia"/>
          <w:color w:val="auto"/>
          <w:kern w:val="0"/>
          <w:highlight w:val="none"/>
        </w:rPr>
        <w:t>再考虑</w:t>
      </w:r>
      <w:r>
        <w:rPr>
          <w:color w:val="auto"/>
          <w:kern w:val="0"/>
          <w:highlight w:val="none"/>
        </w:rPr>
        <w:t>声源和预测点间的</w:t>
      </w:r>
      <w:r>
        <w:rPr>
          <w:rFonts w:hint="eastAsia"/>
          <w:color w:val="auto"/>
          <w:kern w:val="0"/>
          <w:highlight w:val="none"/>
        </w:rPr>
        <w:t>遮挡、</w:t>
      </w:r>
      <w:r>
        <w:rPr>
          <w:color w:val="auto"/>
          <w:kern w:val="0"/>
          <w:highlight w:val="none"/>
        </w:rPr>
        <w:t>地形、高差、树林、灌木等的分布情况以及地面覆盖情况</w:t>
      </w:r>
      <w:r>
        <w:rPr>
          <w:rFonts w:hint="eastAsia"/>
          <w:color w:val="auto"/>
          <w:kern w:val="0"/>
          <w:highlight w:val="none"/>
        </w:rPr>
        <w:t>对敏感点进行最大影响预测</w:t>
      </w:r>
      <w:r>
        <w:rPr>
          <w:rFonts w:hint="eastAsia"/>
          <w:color w:val="auto"/>
          <w:kern w:val="0"/>
          <w:highlight w:val="none"/>
          <w:lang w:eastAsia="zh-CN"/>
        </w:rPr>
        <w:t>，</w:t>
      </w:r>
      <w:r>
        <w:rPr>
          <w:rFonts w:hint="eastAsia" w:ascii="Times New Roman"/>
          <w:color w:val="auto"/>
          <w:highlight w:val="none"/>
        </w:rPr>
        <w:t>噪声预测结果见表5</w:t>
      </w:r>
      <w:r>
        <w:rPr>
          <w:rFonts w:hint="eastAsia"/>
          <w:color w:val="auto"/>
          <w:highlight w:val="none"/>
          <w:lang w:val="en-US" w:eastAsia="zh-CN"/>
        </w:rPr>
        <w:t>.2</w:t>
      </w:r>
      <w:r>
        <w:rPr>
          <w:rFonts w:hint="eastAsia" w:ascii="Times New Roman"/>
          <w:color w:val="auto"/>
          <w:highlight w:val="none"/>
        </w:rPr>
        <w:t>-</w:t>
      </w:r>
      <w:r>
        <w:rPr>
          <w:rFonts w:hint="eastAsia"/>
          <w:color w:val="auto"/>
          <w:highlight w:val="none"/>
          <w:lang w:val="en-US" w:eastAsia="zh-CN"/>
        </w:rPr>
        <w:t>4</w:t>
      </w:r>
      <w:r>
        <w:rPr>
          <w:rFonts w:hint="eastAsia" w:ascii="Times New Roman"/>
          <w:color w:val="auto"/>
          <w:highlight w:val="none"/>
        </w:rPr>
        <w:t>。</w:t>
      </w:r>
    </w:p>
    <w:p w14:paraId="23858FD4">
      <w:pPr>
        <w:spacing w:line="240" w:lineRule="auto"/>
        <w:ind w:firstLine="482"/>
        <w:jc w:val="center"/>
        <w:rPr>
          <w:rFonts w:ascii="Times New Roman"/>
          <w:b/>
          <w:bCs w:val="0"/>
          <w:color w:val="auto"/>
          <w:highlight w:val="none"/>
        </w:rPr>
      </w:pPr>
      <w:r>
        <w:rPr>
          <w:rFonts w:ascii="Times New Roman"/>
          <w:b/>
          <w:bCs w:val="0"/>
          <w:color w:val="auto"/>
          <w:highlight w:val="none"/>
        </w:rPr>
        <w:t>表5</w:t>
      </w:r>
      <w:r>
        <w:rPr>
          <w:rFonts w:hint="eastAsia"/>
          <w:b/>
          <w:bCs w:val="0"/>
          <w:color w:val="auto"/>
          <w:highlight w:val="none"/>
          <w:lang w:val="en-US" w:eastAsia="zh-CN"/>
        </w:rPr>
        <w:t>.2</w:t>
      </w:r>
      <w:r>
        <w:rPr>
          <w:rFonts w:ascii="Times New Roman"/>
          <w:b/>
          <w:bCs w:val="0"/>
          <w:color w:val="auto"/>
          <w:highlight w:val="none"/>
        </w:rPr>
        <w:t>-</w:t>
      </w:r>
      <w:r>
        <w:rPr>
          <w:rFonts w:hint="eastAsia"/>
          <w:b/>
          <w:bCs w:val="0"/>
          <w:color w:val="auto"/>
          <w:highlight w:val="none"/>
          <w:lang w:val="en-US" w:eastAsia="zh-CN"/>
        </w:rPr>
        <w:t xml:space="preserve">4  </w:t>
      </w:r>
      <w:r>
        <w:rPr>
          <w:rFonts w:hint="eastAsia" w:ascii="Times New Roman"/>
          <w:b/>
          <w:bCs w:val="0"/>
          <w:color w:val="auto"/>
          <w:highlight w:val="none"/>
        </w:rPr>
        <w:t>厂界</w:t>
      </w:r>
      <w:r>
        <w:rPr>
          <w:rFonts w:ascii="Times New Roman"/>
          <w:b/>
          <w:bCs w:val="0"/>
          <w:color w:val="auto"/>
          <w:highlight w:val="none"/>
        </w:rPr>
        <w:t>处噪声预测结果单位：dB（A）</w:t>
      </w:r>
    </w:p>
    <w:tbl>
      <w:tblPr>
        <w:tblStyle w:val="84"/>
        <w:tblW w:w="0" w:type="auto"/>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2636"/>
        <w:gridCol w:w="847"/>
        <w:gridCol w:w="847"/>
        <w:gridCol w:w="1003"/>
        <w:gridCol w:w="847"/>
        <w:gridCol w:w="1067"/>
        <w:gridCol w:w="1069"/>
      </w:tblGrid>
      <w:tr w14:paraId="02DA18B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562" w:type="dxa"/>
            <w:vMerge w:val="restart"/>
            <w:tcBorders>
              <w:tl2br w:val="nil"/>
              <w:tr2bl w:val="nil"/>
            </w:tcBorders>
            <w:noWrap w:val="0"/>
            <w:vAlign w:val="center"/>
          </w:tcPr>
          <w:p w14:paraId="3A0B20B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序号</w:t>
            </w:r>
          </w:p>
        </w:tc>
        <w:tc>
          <w:tcPr>
            <w:tcW w:w="2636" w:type="dxa"/>
            <w:vMerge w:val="restart"/>
            <w:tcBorders>
              <w:tl2br w:val="nil"/>
              <w:tr2bl w:val="nil"/>
            </w:tcBorders>
            <w:noWrap w:val="0"/>
            <w:vAlign w:val="center"/>
          </w:tcPr>
          <w:p w14:paraId="0F805FC1">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名称</w:t>
            </w:r>
          </w:p>
        </w:tc>
        <w:tc>
          <w:tcPr>
            <w:tcW w:w="2697" w:type="dxa"/>
            <w:gridSpan w:val="3"/>
            <w:tcBorders>
              <w:tl2br w:val="nil"/>
              <w:tr2bl w:val="nil"/>
            </w:tcBorders>
            <w:noWrap w:val="0"/>
            <w:vAlign w:val="center"/>
          </w:tcPr>
          <w:p w14:paraId="5176738F">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昼间</w:t>
            </w:r>
          </w:p>
        </w:tc>
        <w:tc>
          <w:tcPr>
            <w:tcW w:w="2983" w:type="dxa"/>
            <w:gridSpan w:val="3"/>
            <w:tcBorders>
              <w:tl2br w:val="nil"/>
              <w:tr2bl w:val="nil"/>
            </w:tcBorders>
            <w:noWrap w:val="0"/>
            <w:vAlign w:val="center"/>
          </w:tcPr>
          <w:p w14:paraId="3EB841FB">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4"/>
                <w:highlight w:val="none"/>
                <w:lang w:eastAsia="zh-CN" w:bidi="ar"/>
              </w:rPr>
            </w:pPr>
            <w:r>
              <w:rPr>
                <w:rFonts w:ascii="Times New Roman"/>
                <w:color w:val="auto"/>
                <w:sz w:val="21"/>
                <w:szCs w:val="24"/>
                <w:highlight w:val="none"/>
                <w:lang w:bidi="ar"/>
              </w:rPr>
              <w:t>夜间</w:t>
            </w:r>
            <w:r>
              <w:rPr>
                <w:rFonts w:hint="eastAsia"/>
                <w:color w:val="auto"/>
                <w:sz w:val="21"/>
                <w:szCs w:val="24"/>
                <w:highlight w:val="none"/>
                <w:lang w:eastAsia="zh-CN" w:bidi="ar"/>
              </w:rPr>
              <w:t>（</w:t>
            </w:r>
            <w:r>
              <w:rPr>
                <w:rFonts w:hint="eastAsia"/>
                <w:color w:val="auto"/>
                <w:sz w:val="21"/>
                <w:szCs w:val="24"/>
                <w:highlight w:val="none"/>
                <w:lang w:val="en-US" w:eastAsia="zh-CN" w:bidi="ar"/>
              </w:rPr>
              <w:t>不施工</w:t>
            </w:r>
            <w:r>
              <w:rPr>
                <w:rFonts w:hint="eastAsia"/>
                <w:color w:val="auto"/>
                <w:sz w:val="21"/>
                <w:szCs w:val="24"/>
                <w:highlight w:val="none"/>
                <w:lang w:eastAsia="zh-CN" w:bidi="ar"/>
              </w:rPr>
              <w:t>）</w:t>
            </w:r>
          </w:p>
        </w:tc>
      </w:tr>
      <w:tr w14:paraId="325A18D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2" w:hRule="atLeast"/>
        </w:trPr>
        <w:tc>
          <w:tcPr>
            <w:tcW w:w="562" w:type="dxa"/>
            <w:vMerge w:val="continue"/>
            <w:tcBorders>
              <w:tl2br w:val="nil"/>
              <w:tr2bl w:val="nil"/>
            </w:tcBorders>
            <w:noWrap w:val="0"/>
            <w:vAlign w:val="center"/>
          </w:tcPr>
          <w:p w14:paraId="0AE79285">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p>
        </w:tc>
        <w:tc>
          <w:tcPr>
            <w:tcW w:w="2636" w:type="dxa"/>
            <w:vMerge w:val="continue"/>
            <w:tcBorders>
              <w:tl2br w:val="nil"/>
              <w:tr2bl w:val="nil"/>
            </w:tcBorders>
            <w:noWrap w:val="0"/>
            <w:vAlign w:val="center"/>
          </w:tcPr>
          <w:p w14:paraId="1C78E582">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p>
        </w:tc>
        <w:tc>
          <w:tcPr>
            <w:tcW w:w="847" w:type="dxa"/>
            <w:tcBorders>
              <w:tl2br w:val="nil"/>
              <w:tr2bl w:val="nil"/>
            </w:tcBorders>
            <w:noWrap w:val="0"/>
            <w:vAlign w:val="center"/>
          </w:tcPr>
          <w:p w14:paraId="7D7732C9">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贡献值</w:t>
            </w:r>
          </w:p>
        </w:tc>
        <w:tc>
          <w:tcPr>
            <w:tcW w:w="847" w:type="dxa"/>
            <w:tcBorders>
              <w:tl2br w:val="nil"/>
              <w:tr2bl w:val="nil"/>
            </w:tcBorders>
            <w:noWrap w:val="0"/>
            <w:vAlign w:val="center"/>
          </w:tcPr>
          <w:p w14:paraId="7F50B88F">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背景值</w:t>
            </w:r>
          </w:p>
        </w:tc>
        <w:tc>
          <w:tcPr>
            <w:tcW w:w="0" w:type="auto"/>
            <w:tcBorders>
              <w:tl2br w:val="nil"/>
              <w:tr2bl w:val="nil"/>
            </w:tcBorders>
            <w:noWrap w:val="0"/>
            <w:vAlign w:val="center"/>
          </w:tcPr>
          <w:p w14:paraId="3663BD3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叠加值</w:t>
            </w:r>
          </w:p>
        </w:tc>
        <w:tc>
          <w:tcPr>
            <w:tcW w:w="0" w:type="auto"/>
            <w:tcBorders>
              <w:tl2br w:val="nil"/>
              <w:tr2bl w:val="nil"/>
            </w:tcBorders>
            <w:noWrap w:val="0"/>
            <w:vAlign w:val="center"/>
          </w:tcPr>
          <w:p w14:paraId="745137F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贡献值</w:t>
            </w:r>
          </w:p>
        </w:tc>
        <w:tc>
          <w:tcPr>
            <w:tcW w:w="0" w:type="auto"/>
            <w:tcBorders>
              <w:tl2br w:val="nil"/>
              <w:tr2bl w:val="nil"/>
            </w:tcBorders>
            <w:noWrap w:val="0"/>
            <w:vAlign w:val="center"/>
          </w:tcPr>
          <w:p w14:paraId="3BAB3455">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背景值</w:t>
            </w:r>
          </w:p>
        </w:tc>
        <w:tc>
          <w:tcPr>
            <w:tcW w:w="0" w:type="auto"/>
            <w:tcBorders>
              <w:tl2br w:val="nil"/>
              <w:tr2bl w:val="nil"/>
            </w:tcBorders>
            <w:noWrap w:val="0"/>
            <w:vAlign w:val="center"/>
          </w:tcPr>
          <w:p w14:paraId="4F3279F5">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叠加值</w:t>
            </w:r>
          </w:p>
        </w:tc>
      </w:tr>
      <w:tr w14:paraId="7FA9D698">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562" w:type="dxa"/>
            <w:tcBorders>
              <w:tl2br w:val="nil"/>
              <w:tr2bl w:val="nil"/>
            </w:tcBorders>
            <w:noWrap w:val="0"/>
            <w:vAlign w:val="center"/>
          </w:tcPr>
          <w:p w14:paraId="21DF2042">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hint="eastAsia" w:ascii="Times New Roman"/>
                <w:color w:val="auto"/>
                <w:sz w:val="21"/>
                <w:szCs w:val="24"/>
                <w:highlight w:val="none"/>
                <w:lang w:bidi="ar"/>
              </w:rPr>
              <w:t>1</w:t>
            </w:r>
          </w:p>
        </w:tc>
        <w:tc>
          <w:tcPr>
            <w:tcW w:w="2636" w:type="dxa"/>
            <w:tcBorders>
              <w:tl2br w:val="nil"/>
              <w:tr2bl w:val="nil"/>
            </w:tcBorders>
            <w:noWrap w:val="0"/>
            <w:vAlign w:val="center"/>
          </w:tcPr>
          <w:p w14:paraId="198BCD60">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sz w:val="21"/>
                <w:szCs w:val="24"/>
                <w:highlight w:val="none"/>
                <w:lang w:val="en-US" w:eastAsia="zh-CN" w:bidi="ar"/>
              </w:rPr>
            </w:pPr>
            <w:r>
              <w:rPr>
                <w:rFonts w:hint="eastAsia"/>
                <w:color w:val="auto"/>
                <w:sz w:val="21"/>
                <w:szCs w:val="24"/>
                <w:highlight w:val="none"/>
                <w:lang w:val="en-US" w:eastAsia="zh-CN" w:bidi="ar"/>
              </w:rPr>
              <w:t>厂界东侧外1m</w:t>
            </w:r>
          </w:p>
        </w:tc>
        <w:tc>
          <w:tcPr>
            <w:tcW w:w="847" w:type="dxa"/>
            <w:tcBorders>
              <w:tl2br w:val="nil"/>
              <w:tr2bl w:val="nil"/>
            </w:tcBorders>
            <w:noWrap w:val="0"/>
            <w:vAlign w:val="center"/>
          </w:tcPr>
          <w:p w14:paraId="118B2279">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35.7</w:t>
            </w:r>
          </w:p>
        </w:tc>
        <w:tc>
          <w:tcPr>
            <w:tcW w:w="847" w:type="dxa"/>
            <w:tcBorders>
              <w:tl2br w:val="nil"/>
              <w:tr2bl w:val="nil"/>
            </w:tcBorders>
            <w:shd w:val="clear" w:color="auto" w:fill="auto"/>
            <w:noWrap w:val="0"/>
            <w:vAlign w:val="center"/>
          </w:tcPr>
          <w:p w14:paraId="4EAA6A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sz w:val="21"/>
                <w:szCs w:val="21"/>
                <w:highlight w:val="none"/>
                <w:vertAlign w:val="baseline"/>
                <w:lang w:val="en-US" w:eastAsia="zh-CN"/>
              </w:rPr>
              <w:t>49</w:t>
            </w:r>
          </w:p>
        </w:tc>
        <w:tc>
          <w:tcPr>
            <w:tcW w:w="1003" w:type="dxa"/>
            <w:tcBorders>
              <w:tl2br w:val="nil"/>
              <w:tr2bl w:val="nil"/>
            </w:tcBorders>
            <w:shd w:val="clear" w:color="auto" w:fill="auto"/>
            <w:noWrap w:val="0"/>
            <w:vAlign w:val="center"/>
          </w:tcPr>
          <w:p w14:paraId="01C9E9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sz w:val="21"/>
                <w:szCs w:val="21"/>
                <w:highlight w:val="none"/>
                <w:vertAlign w:val="baseline"/>
                <w:lang w:val="en-US" w:eastAsia="zh-CN"/>
              </w:rPr>
              <w:t>49</w:t>
            </w:r>
          </w:p>
        </w:tc>
        <w:tc>
          <w:tcPr>
            <w:tcW w:w="0" w:type="auto"/>
            <w:tcBorders>
              <w:tl2br w:val="nil"/>
              <w:tr2bl w:val="nil"/>
            </w:tcBorders>
            <w:noWrap w:val="0"/>
            <w:vAlign w:val="center"/>
          </w:tcPr>
          <w:p w14:paraId="4DCBE11C">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w:t>
            </w:r>
          </w:p>
        </w:tc>
        <w:tc>
          <w:tcPr>
            <w:tcW w:w="1065" w:type="dxa"/>
            <w:tcBorders>
              <w:tl2br w:val="nil"/>
              <w:tr2bl w:val="nil"/>
            </w:tcBorders>
            <w:noWrap w:val="0"/>
            <w:vAlign w:val="center"/>
          </w:tcPr>
          <w:p w14:paraId="7F0CC9EC">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w:t>
            </w:r>
          </w:p>
        </w:tc>
        <w:tc>
          <w:tcPr>
            <w:tcW w:w="1068" w:type="dxa"/>
            <w:tcBorders>
              <w:tl2br w:val="nil"/>
              <w:tr2bl w:val="nil"/>
            </w:tcBorders>
            <w:noWrap w:val="0"/>
            <w:vAlign w:val="center"/>
          </w:tcPr>
          <w:p w14:paraId="5A06BF0D">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w:t>
            </w:r>
          </w:p>
        </w:tc>
      </w:tr>
      <w:tr w14:paraId="4EF3822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562" w:type="dxa"/>
            <w:tcBorders>
              <w:tl2br w:val="nil"/>
              <w:tr2bl w:val="nil"/>
            </w:tcBorders>
            <w:noWrap w:val="0"/>
            <w:vAlign w:val="center"/>
          </w:tcPr>
          <w:p w14:paraId="29A8C7F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hint="eastAsia" w:ascii="Times New Roman"/>
                <w:color w:val="auto"/>
                <w:sz w:val="21"/>
                <w:szCs w:val="24"/>
                <w:highlight w:val="none"/>
                <w:lang w:bidi="ar"/>
              </w:rPr>
              <w:t>2</w:t>
            </w:r>
          </w:p>
        </w:tc>
        <w:tc>
          <w:tcPr>
            <w:tcW w:w="2636" w:type="dxa"/>
            <w:tcBorders>
              <w:tl2br w:val="nil"/>
              <w:tr2bl w:val="nil"/>
            </w:tcBorders>
            <w:noWrap w:val="0"/>
            <w:vAlign w:val="center"/>
          </w:tcPr>
          <w:p w14:paraId="4FA3536F">
            <w:pPr>
              <w:keepNext w:val="0"/>
              <w:keepLines w:val="0"/>
              <w:suppressLineNumbers w:val="0"/>
              <w:adjustRightInd w:val="0"/>
              <w:snapToGrid w:val="0"/>
              <w:spacing w:before="0" w:beforeAutospacing="0" w:after="0" w:afterAutospacing="0" w:line="240" w:lineRule="auto"/>
              <w:ind w:left="0" w:leftChars="0" w:right="0" w:firstLine="0" w:firstLineChars="0"/>
              <w:jc w:val="center"/>
              <w:rPr>
                <w:rFonts w:ascii="Times New Roman"/>
                <w:color w:val="auto"/>
                <w:sz w:val="21"/>
                <w:szCs w:val="24"/>
                <w:highlight w:val="none"/>
                <w:lang w:bidi="ar"/>
              </w:rPr>
            </w:pPr>
            <w:r>
              <w:rPr>
                <w:rFonts w:hint="eastAsia"/>
                <w:color w:val="auto"/>
                <w:sz w:val="21"/>
                <w:szCs w:val="24"/>
                <w:highlight w:val="none"/>
                <w:lang w:val="en-US" w:eastAsia="zh-CN" w:bidi="ar"/>
              </w:rPr>
              <w:t>厂界南侧外1m</w:t>
            </w:r>
          </w:p>
        </w:tc>
        <w:tc>
          <w:tcPr>
            <w:tcW w:w="847" w:type="dxa"/>
            <w:tcBorders>
              <w:tl2br w:val="nil"/>
              <w:tr2bl w:val="nil"/>
            </w:tcBorders>
            <w:noWrap w:val="0"/>
            <w:vAlign w:val="center"/>
          </w:tcPr>
          <w:p w14:paraId="4AA79D65">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3</w:t>
            </w:r>
            <w:r>
              <w:rPr>
                <w:rFonts w:hint="eastAsia" w:ascii="Times New Roman" w:cs="Times New Roman"/>
                <w:color w:val="auto"/>
                <w:sz w:val="21"/>
                <w:szCs w:val="24"/>
                <w:highlight w:val="none"/>
                <w:lang w:val="en-US" w:eastAsia="zh-CN" w:bidi="ar"/>
              </w:rPr>
              <w:t>6</w:t>
            </w:r>
            <w:r>
              <w:rPr>
                <w:rFonts w:hint="eastAsia" w:ascii="Times New Roman" w:hAnsi="Times New Roman" w:eastAsia="宋体" w:cs="Times New Roman"/>
                <w:color w:val="auto"/>
                <w:sz w:val="21"/>
                <w:szCs w:val="24"/>
                <w:highlight w:val="none"/>
                <w:lang w:val="en-US" w:eastAsia="zh-CN" w:bidi="ar"/>
              </w:rPr>
              <w:t>.5</w:t>
            </w:r>
          </w:p>
        </w:tc>
        <w:tc>
          <w:tcPr>
            <w:tcW w:w="847" w:type="dxa"/>
            <w:tcBorders>
              <w:tl2br w:val="nil"/>
              <w:tr2bl w:val="nil"/>
            </w:tcBorders>
            <w:shd w:val="clear" w:color="auto" w:fill="auto"/>
            <w:noWrap w:val="0"/>
            <w:vAlign w:val="center"/>
          </w:tcPr>
          <w:p w14:paraId="2335EB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sz w:val="21"/>
                <w:szCs w:val="21"/>
                <w:highlight w:val="none"/>
                <w:vertAlign w:val="baseline"/>
                <w:lang w:val="en-US" w:eastAsia="zh-CN"/>
              </w:rPr>
              <w:t>48</w:t>
            </w:r>
          </w:p>
        </w:tc>
        <w:tc>
          <w:tcPr>
            <w:tcW w:w="1003" w:type="dxa"/>
            <w:tcBorders>
              <w:tl2br w:val="nil"/>
              <w:tr2bl w:val="nil"/>
            </w:tcBorders>
            <w:shd w:val="clear" w:color="auto" w:fill="auto"/>
            <w:noWrap w:val="0"/>
            <w:vAlign w:val="center"/>
          </w:tcPr>
          <w:p w14:paraId="63076D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sz w:val="21"/>
                <w:szCs w:val="21"/>
                <w:highlight w:val="none"/>
                <w:vertAlign w:val="baseline"/>
                <w:lang w:val="en-US" w:eastAsia="zh-CN"/>
              </w:rPr>
              <w:t>48</w:t>
            </w:r>
          </w:p>
        </w:tc>
        <w:tc>
          <w:tcPr>
            <w:tcW w:w="0" w:type="auto"/>
            <w:tcBorders>
              <w:tl2br w:val="nil"/>
              <w:tr2bl w:val="nil"/>
            </w:tcBorders>
            <w:noWrap w:val="0"/>
            <w:vAlign w:val="center"/>
          </w:tcPr>
          <w:p w14:paraId="45A608EC">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w:t>
            </w:r>
          </w:p>
        </w:tc>
        <w:tc>
          <w:tcPr>
            <w:tcW w:w="1065" w:type="dxa"/>
            <w:tcBorders>
              <w:tl2br w:val="nil"/>
              <w:tr2bl w:val="nil"/>
            </w:tcBorders>
            <w:noWrap w:val="0"/>
            <w:vAlign w:val="center"/>
          </w:tcPr>
          <w:p w14:paraId="12A0BFD6">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w:t>
            </w:r>
          </w:p>
        </w:tc>
        <w:tc>
          <w:tcPr>
            <w:tcW w:w="1068" w:type="dxa"/>
            <w:tcBorders>
              <w:tl2br w:val="nil"/>
              <w:tr2bl w:val="nil"/>
            </w:tcBorders>
            <w:noWrap w:val="0"/>
            <w:vAlign w:val="center"/>
          </w:tcPr>
          <w:p w14:paraId="1600C04A">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w:t>
            </w:r>
          </w:p>
        </w:tc>
      </w:tr>
      <w:tr w14:paraId="209BDB3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562" w:type="dxa"/>
            <w:tcBorders>
              <w:tl2br w:val="nil"/>
              <w:tr2bl w:val="nil"/>
            </w:tcBorders>
            <w:noWrap w:val="0"/>
            <w:vAlign w:val="center"/>
          </w:tcPr>
          <w:p w14:paraId="2561155A">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hint="eastAsia" w:ascii="Times New Roman"/>
                <w:color w:val="auto"/>
                <w:sz w:val="21"/>
                <w:szCs w:val="24"/>
                <w:highlight w:val="none"/>
                <w:lang w:bidi="ar"/>
              </w:rPr>
              <w:t>3</w:t>
            </w:r>
          </w:p>
        </w:tc>
        <w:tc>
          <w:tcPr>
            <w:tcW w:w="2636" w:type="dxa"/>
            <w:tcBorders>
              <w:tl2br w:val="nil"/>
              <w:tr2bl w:val="nil"/>
            </w:tcBorders>
            <w:noWrap w:val="0"/>
            <w:vAlign w:val="center"/>
          </w:tcPr>
          <w:p w14:paraId="4CD443E5">
            <w:pPr>
              <w:keepNext w:val="0"/>
              <w:keepLines w:val="0"/>
              <w:suppressLineNumbers w:val="0"/>
              <w:adjustRightInd w:val="0"/>
              <w:snapToGrid w:val="0"/>
              <w:spacing w:before="0" w:beforeAutospacing="0" w:after="0" w:afterAutospacing="0" w:line="240" w:lineRule="auto"/>
              <w:ind w:left="0" w:leftChars="0" w:right="0" w:firstLine="0" w:firstLineChars="0"/>
              <w:jc w:val="center"/>
              <w:rPr>
                <w:rFonts w:ascii="Times New Roman"/>
                <w:color w:val="auto"/>
                <w:sz w:val="21"/>
                <w:szCs w:val="24"/>
                <w:highlight w:val="none"/>
                <w:lang w:bidi="ar"/>
              </w:rPr>
            </w:pPr>
            <w:r>
              <w:rPr>
                <w:rFonts w:hint="eastAsia"/>
                <w:color w:val="auto"/>
                <w:sz w:val="21"/>
                <w:szCs w:val="24"/>
                <w:highlight w:val="none"/>
                <w:lang w:val="en-US" w:eastAsia="zh-CN" w:bidi="ar"/>
              </w:rPr>
              <w:t>厂界西侧外1m</w:t>
            </w:r>
          </w:p>
        </w:tc>
        <w:tc>
          <w:tcPr>
            <w:tcW w:w="847" w:type="dxa"/>
            <w:tcBorders>
              <w:tl2br w:val="nil"/>
              <w:tr2bl w:val="nil"/>
            </w:tcBorders>
            <w:noWrap w:val="0"/>
            <w:vAlign w:val="center"/>
          </w:tcPr>
          <w:p w14:paraId="1005DAF3">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4"/>
                <w:highlight w:val="none"/>
                <w:lang w:val="en-US" w:eastAsia="zh-CN" w:bidi="ar"/>
              </w:rPr>
            </w:pPr>
            <w:r>
              <w:rPr>
                <w:rFonts w:hint="eastAsia" w:ascii="Times New Roman" w:cs="Times New Roman"/>
                <w:color w:val="auto"/>
                <w:sz w:val="21"/>
                <w:szCs w:val="24"/>
                <w:highlight w:val="none"/>
                <w:lang w:val="en-US" w:eastAsia="zh-CN" w:bidi="ar"/>
              </w:rPr>
              <w:t>36</w:t>
            </w:r>
            <w:r>
              <w:rPr>
                <w:rFonts w:hint="eastAsia" w:ascii="Times New Roman" w:hAnsi="Times New Roman" w:eastAsia="宋体" w:cs="Times New Roman"/>
                <w:color w:val="auto"/>
                <w:sz w:val="21"/>
                <w:szCs w:val="24"/>
                <w:highlight w:val="none"/>
                <w:lang w:val="en-US" w:eastAsia="zh-CN" w:bidi="ar"/>
              </w:rPr>
              <w:t>.</w:t>
            </w:r>
            <w:r>
              <w:rPr>
                <w:rFonts w:hint="eastAsia" w:ascii="Times New Roman" w:cs="Times New Roman"/>
                <w:color w:val="auto"/>
                <w:sz w:val="21"/>
                <w:szCs w:val="24"/>
                <w:highlight w:val="none"/>
                <w:lang w:val="en-US" w:eastAsia="zh-CN" w:bidi="ar"/>
              </w:rPr>
              <w:t>8</w:t>
            </w:r>
          </w:p>
        </w:tc>
        <w:tc>
          <w:tcPr>
            <w:tcW w:w="847" w:type="dxa"/>
            <w:tcBorders>
              <w:tl2br w:val="nil"/>
              <w:tr2bl w:val="nil"/>
            </w:tcBorders>
            <w:shd w:val="clear" w:color="auto" w:fill="auto"/>
            <w:noWrap w:val="0"/>
            <w:vAlign w:val="center"/>
          </w:tcPr>
          <w:p w14:paraId="2A7081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sz w:val="21"/>
                <w:szCs w:val="21"/>
                <w:highlight w:val="none"/>
                <w:vertAlign w:val="baseline"/>
                <w:lang w:val="en-US" w:eastAsia="zh-CN"/>
              </w:rPr>
              <w:t>46</w:t>
            </w:r>
          </w:p>
        </w:tc>
        <w:tc>
          <w:tcPr>
            <w:tcW w:w="1003" w:type="dxa"/>
            <w:tcBorders>
              <w:tl2br w:val="nil"/>
              <w:tr2bl w:val="nil"/>
            </w:tcBorders>
            <w:shd w:val="clear" w:color="auto" w:fill="auto"/>
            <w:noWrap w:val="0"/>
            <w:vAlign w:val="center"/>
          </w:tcPr>
          <w:p w14:paraId="0B4FBE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sz w:val="21"/>
                <w:szCs w:val="21"/>
                <w:highlight w:val="none"/>
                <w:vertAlign w:val="baseline"/>
                <w:lang w:val="en-US" w:eastAsia="zh-CN"/>
              </w:rPr>
              <w:t>46</w:t>
            </w:r>
          </w:p>
        </w:tc>
        <w:tc>
          <w:tcPr>
            <w:tcW w:w="0" w:type="auto"/>
            <w:tcBorders>
              <w:tl2br w:val="nil"/>
              <w:tr2bl w:val="nil"/>
            </w:tcBorders>
            <w:noWrap w:val="0"/>
            <w:vAlign w:val="center"/>
          </w:tcPr>
          <w:p w14:paraId="450D84F3">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w:t>
            </w:r>
          </w:p>
        </w:tc>
        <w:tc>
          <w:tcPr>
            <w:tcW w:w="1065" w:type="dxa"/>
            <w:tcBorders>
              <w:tl2br w:val="nil"/>
              <w:tr2bl w:val="nil"/>
            </w:tcBorders>
            <w:noWrap w:val="0"/>
            <w:vAlign w:val="center"/>
          </w:tcPr>
          <w:p w14:paraId="6797C078">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w:t>
            </w:r>
          </w:p>
        </w:tc>
        <w:tc>
          <w:tcPr>
            <w:tcW w:w="1068" w:type="dxa"/>
            <w:tcBorders>
              <w:tl2br w:val="nil"/>
              <w:tr2bl w:val="nil"/>
            </w:tcBorders>
            <w:noWrap w:val="0"/>
            <w:vAlign w:val="center"/>
          </w:tcPr>
          <w:p w14:paraId="78EC86F8">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w:t>
            </w:r>
          </w:p>
        </w:tc>
      </w:tr>
      <w:tr w14:paraId="4989FC7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562" w:type="dxa"/>
            <w:tcBorders>
              <w:tl2br w:val="nil"/>
              <w:tr2bl w:val="nil"/>
            </w:tcBorders>
            <w:noWrap w:val="0"/>
            <w:vAlign w:val="center"/>
          </w:tcPr>
          <w:p w14:paraId="4CE4987A">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hint="eastAsia" w:ascii="Times New Roman"/>
                <w:color w:val="auto"/>
                <w:sz w:val="21"/>
                <w:szCs w:val="24"/>
                <w:highlight w:val="none"/>
                <w:lang w:bidi="ar"/>
              </w:rPr>
              <w:t>4</w:t>
            </w:r>
          </w:p>
        </w:tc>
        <w:tc>
          <w:tcPr>
            <w:tcW w:w="2636" w:type="dxa"/>
            <w:tcBorders>
              <w:tl2br w:val="nil"/>
              <w:tr2bl w:val="nil"/>
            </w:tcBorders>
            <w:noWrap w:val="0"/>
            <w:vAlign w:val="center"/>
          </w:tcPr>
          <w:p w14:paraId="0B449CB4">
            <w:pPr>
              <w:keepNext w:val="0"/>
              <w:keepLines w:val="0"/>
              <w:suppressLineNumbers w:val="0"/>
              <w:adjustRightInd w:val="0"/>
              <w:snapToGrid w:val="0"/>
              <w:spacing w:before="0" w:beforeAutospacing="0" w:after="0" w:afterAutospacing="0" w:line="240" w:lineRule="auto"/>
              <w:ind w:left="0" w:leftChars="0" w:right="0" w:firstLine="0" w:firstLineChars="0"/>
              <w:jc w:val="center"/>
              <w:rPr>
                <w:rFonts w:ascii="Times New Roman"/>
                <w:color w:val="auto"/>
                <w:sz w:val="21"/>
                <w:szCs w:val="24"/>
                <w:highlight w:val="none"/>
                <w:lang w:bidi="ar"/>
              </w:rPr>
            </w:pPr>
            <w:r>
              <w:rPr>
                <w:rFonts w:hint="eastAsia"/>
                <w:color w:val="auto"/>
                <w:sz w:val="21"/>
                <w:szCs w:val="24"/>
                <w:highlight w:val="none"/>
                <w:lang w:val="en-US" w:eastAsia="zh-CN" w:bidi="ar"/>
              </w:rPr>
              <w:t>厂界北侧外1m</w:t>
            </w:r>
          </w:p>
        </w:tc>
        <w:tc>
          <w:tcPr>
            <w:tcW w:w="847" w:type="dxa"/>
            <w:tcBorders>
              <w:tl2br w:val="nil"/>
              <w:tr2bl w:val="nil"/>
            </w:tcBorders>
            <w:noWrap w:val="0"/>
            <w:vAlign w:val="center"/>
          </w:tcPr>
          <w:p w14:paraId="1565565A">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4"/>
                <w:highlight w:val="none"/>
                <w:lang w:val="en-US" w:eastAsia="zh-CN" w:bidi="ar"/>
              </w:rPr>
            </w:pPr>
            <w:r>
              <w:rPr>
                <w:rFonts w:hint="eastAsia" w:ascii="Times New Roman" w:cs="Times New Roman"/>
                <w:color w:val="auto"/>
                <w:sz w:val="21"/>
                <w:szCs w:val="24"/>
                <w:highlight w:val="none"/>
                <w:lang w:val="en-US" w:eastAsia="zh-CN" w:bidi="ar"/>
              </w:rPr>
              <w:t>32.5</w:t>
            </w:r>
          </w:p>
        </w:tc>
        <w:tc>
          <w:tcPr>
            <w:tcW w:w="847" w:type="dxa"/>
            <w:tcBorders>
              <w:tl2br w:val="nil"/>
              <w:tr2bl w:val="nil"/>
            </w:tcBorders>
            <w:shd w:val="clear" w:color="auto" w:fill="auto"/>
            <w:noWrap w:val="0"/>
            <w:vAlign w:val="center"/>
          </w:tcPr>
          <w:p w14:paraId="4A0D92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sz w:val="21"/>
                <w:szCs w:val="21"/>
                <w:highlight w:val="none"/>
                <w:vertAlign w:val="baseline"/>
                <w:lang w:val="en-US" w:eastAsia="zh-CN"/>
              </w:rPr>
              <w:t>47</w:t>
            </w:r>
          </w:p>
        </w:tc>
        <w:tc>
          <w:tcPr>
            <w:tcW w:w="1003" w:type="dxa"/>
            <w:tcBorders>
              <w:tl2br w:val="nil"/>
              <w:tr2bl w:val="nil"/>
            </w:tcBorders>
            <w:shd w:val="clear" w:color="auto" w:fill="auto"/>
            <w:noWrap w:val="0"/>
            <w:vAlign w:val="center"/>
          </w:tcPr>
          <w:p w14:paraId="7C988D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cs="Times New Roman"/>
                <w:b w:val="0"/>
                <w:bCs w:val="0"/>
                <w:color w:val="auto"/>
                <w:sz w:val="21"/>
                <w:szCs w:val="21"/>
                <w:highlight w:val="none"/>
                <w:vertAlign w:val="baseline"/>
                <w:lang w:val="en-US" w:eastAsia="zh-CN"/>
              </w:rPr>
              <w:t>47</w:t>
            </w:r>
          </w:p>
        </w:tc>
        <w:tc>
          <w:tcPr>
            <w:tcW w:w="0" w:type="auto"/>
            <w:tcBorders>
              <w:tl2br w:val="nil"/>
              <w:tr2bl w:val="nil"/>
            </w:tcBorders>
            <w:noWrap w:val="0"/>
            <w:vAlign w:val="center"/>
          </w:tcPr>
          <w:p w14:paraId="7DC2EBA3">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w:t>
            </w:r>
          </w:p>
        </w:tc>
        <w:tc>
          <w:tcPr>
            <w:tcW w:w="1065" w:type="dxa"/>
            <w:tcBorders>
              <w:tl2br w:val="nil"/>
              <w:tr2bl w:val="nil"/>
            </w:tcBorders>
            <w:noWrap w:val="0"/>
            <w:vAlign w:val="center"/>
          </w:tcPr>
          <w:p w14:paraId="3965971F">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w:t>
            </w:r>
          </w:p>
        </w:tc>
        <w:tc>
          <w:tcPr>
            <w:tcW w:w="1068" w:type="dxa"/>
            <w:tcBorders>
              <w:tl2br w:val="nil"/>
              <w:tr2bl w:val="nil"/>
            </w:tcBorders>
            <w:noWrap w:val="0"/>
            <w:vAlign w:val="center"/>
          </w:tcPr>
          <w:p w14:paraId="34068064">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sz w:val="21"/>
                <w:szCs w:val="24"/>
                <w:highlight w:val="none"/>
                <w:lang w:val="en-US" w:eastAsia="zh-CN" w:bidi="ar"/>
              </w:rPr>
            </w:pPr>
            <w:r>
              <w:rPr>
                <w:rFonts w:hint="eastAsia" w:ascii="Times New Roman" w:hAnsi="Times New Roman" w:eastAsia="宋体" w:cs="Times New Roman"/>
                <w:color w:val="auto"/>
                <w:sz w:val="21"/>
                <w:szCs w:val="24"/>
                <w:highlight w:val="none"/>
                <w:lang w:val="en-US" w:eastAsia="zh-CN" w:bidi="ar"/>
              </w:rPr>
              <w:t>/</w:t>
            </w:r>
          </w:p>
        </w:tc>
      </w:tr>
      <w:tr w14:paraId="19FEC205">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3198" w:type="dxa"/>
            <w:gridSpan w:val="2"/>
            <w:tcBorders>
              <w:tl2br w:val="nil"/>
              <w:tr2bl w:val="nil"/>
            </w:tcBorders>
            <w:noWrap w:val="0"/>
            <w:vAlign w:val="center"/>
          </w:tcPr>
          <w:p w14:paraId="3B2C3020">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color w:val="auto"/>
                <w:sz w:val="21"/>
                <w:szCs w:val="24"/>
                <w:highlight w:val="none"/>
                <w:lang w:bidi="ar"/>
              </w:rPr>
            </w:pPr>
            <w:r>
              <w:rPr>
                <w:rFonts w:hint="eastAsia" w:ascii="Times New Roman"/>
                <w:color w:val="auto"/>
                <w:sz w:val="21"/>
                <w:szCs w:val="24"/>
                <w:highlight w:val="none"/>
                <w:lang w:bidi="ar"/>
              </w:rPr>
              <w:t>标准值</w:t>
            </w:r>
          </w:p>
        </w:tc>
        <w:tc>
          <w:tcPr>
            <w:tcW w:w="2697" w:type="dxa"/>
            <w:gridSpan w:val="3"/>
            <w:tcBorders>
              <w:tl2br w:val="nil"/>
              <w:tr2bl w:val="nil"/>
            </w:tcBorders>
            <w:noWrap w:val="0"/>
            <w:vAlign w:val="center"/>
          </w:tcPr>
          <w:p w14:paraId="4FAB6D7A">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sz w:val="21"/>
                <w:szCs w:val="24"/>
                <w:highlight w:val="none"/>
                <w:lang w:val="en-US" w:eastAsia="zh-CN" w:bidi="ar"/>
              </w:rPr>
            </w:pPr>
            <w:r>
              <w:rPr>
                <w:rFonts w:hint="eastAsia"/>
                <w:color w:val="auto"/>
                <w:sz w:val="21"/>
                <w:szCs w:val="24"/>
                <w:highlight w:val="none"/>
                <w:lang w:val="en-US" w:eastAsia="zh-CN" w:bidi="ar"/>
              </w:rPr>
              <w:t>55</w:t>
            </w:r>
          </w:p>
        </w:tc>
        <w:tc>
          <w:tcPr>
            <w:tcW w:w="2983" w:type="dxa"/>
            <w:gridSpan w:val="3"/>
            <w:tcBorders>
              <w:tl2br w:val="nil"/>
              <w:tr2bl w:val="nil"/>
            </w:tcBorders>
            <w:noWrap w:val="0"/>
            <w:vAlign w:val="center"/>
          </w:tcPr>
          <w:p w14:paraId="565E1166">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sz w:val="21"/>
                <w:szCs w:val="24"/>
                <w:highlight w:val="none"/>
                <w:lang w:val="en-US" w:eastAsia="zh-CN" w:bidi="ar"/>
              </w:rPr>
            </w:pPr>
            <w:r>
              <w:rPr>
                <w:rFonts w:hint="eastAsia"/>
                <w:color w:val="auto"/>
                <w:sz w:val="21"/>
                <w:szCs w:val="24"/>
                <w:highlight w:val="none"/>
                <w:lang w:val="en-US" w:eastAsia="zh-CN" w:bidi="ar"/>
              </w:rPr>
              <w:t>45</w:t>
            </w:r>
          </w:p>
        </w:tc>
      </w:tr>
      <w:tr w14:paraId="17A5AC0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198" w:type="dxa"/>
            <w:gridSpan w:val="2"/>
            <w:tcBorders>
              <w:tl2br w:val="nil"/>
              <w:tr2bl w:val="nil"/>
            </w:tcBorders>
            <w:noWrap w:val="0"/>
            <w:vAlign w:val="center"/>
          </w:tcPr>
          <w:p w14:paraId="4A83CA01">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color w:val="auto"/>
                <w:sz w:val="21"/>
                <w:szCs w:val="24"/>
                <w:highlight w:val="none"/>
                <w:lang w:bidi="ar"/>
              </w:rPr>
            </w:pPr>
            <w:r>
              <w:rPr>
                <w:rFonts w:hint="eastAsia" w:ascii="Times New Roman"/>
                <w:color w:val="auto"/>
                <w:sz w:val="21"/>
                <w:szCs w:val="24"/>
                <w:highlight w:val="none"/>
                <w:lang w:bidi="ar"/>
              </w:rPr>
              <w:t>是否达标</w:t>
            </w:r>
          </w:p>
        </w:tc>
        <w:tc>
          <w:tcPr>
            <w:tcW w:w="5680" w:type="dxa"/>
            <w:gridSpan w:val="6"/>
            <w:tcBorders>
              <w:tl2br w:val="nil"/>
              <w:tr2bl w:val="nil"/>
            </w:tcBorders>
            <w:noWrap w:val="0"/>
            <w:vAlign w:val="center"/>
          </w:tcPr>
          <w:p w14:paraId="3ED696F2">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color w:val="auto"/>
                <w:sz w:val="21"/>
                <w:szCs w:val="24"/>
                <w:highlight w:val="none"/>
                <w:lang w:bidi="ar"/>
              </w:rPr>
            </w:pPr>
            <w:r>
              <w:rPr>
                <w:rFonts w:hint="eastAsia" w:ascii="Times New Roman"/>
                <w:color w:val="auto"/>
                <w:sz w:val="21"/>
                <w:szCs w:val="24"/>
                <w:highlight w:val="none"/>
                <w:lang w:bidi="ar"/>
              </w:rPr>
              <w:t>是</w:t>
            </w:r>
          </w:p>
        </w:tc>
      </w:tr>
    </w:tbl>
    <w:p w14:paraId="1F31B77A">
      <w:pPr>
        <w:autoSpaceDE w:val="0"/>
        <w:autoSpaceDN w:val="0"/>
        <w:adjustRightInd w:val="0"/>
        <w:snapToGrid w:val="0"/>
        <w:spacing w:line="360" w:lineRule="auto"/>
        <w:ind w:firstLine="480"/>
        <w:rPr>
          <w:rFonts w:hint="eastAsia"/>
          <w:color w:val="auto"/>
          <w:kern w:val="0"/>
          <w:highlight w:val="none"/>
        </w:rPr>
      </w:pPr>
      <w:r>
        <w:rPr>
          <w:rFonts w:hint="eastAsia" w:ascii="Times New Roman"/>
          <w:color w:val="auto"/>
          <w:highlight w:val="none"/>
        </w:rPr>
        <w:t>根据</w:t>
      </w:r>
      <w:r>
        <w:rPr>
          <w:rFonts w:ascii="Times New Roman"/>
          <w:color w:val="auto"/>
          <w:highlight w:val="none"/>
        </w:rPr>
        <w:t>表5</w:t>
      </w:r>
      <w:r>
        <w:rPr>
          <w:rFonts w:hint="eastAsia"/>
          <w:color w:val="auto"/>
          <w:highlight w:val="none"/>
          <w:lang w:val="en-US" w:eastAsia="zh-CN"/>
        </w:rPr>
        <w:t>.2</w:t>
      </w:r>
      <w:r>
        <w:rPr>
          <w:rFonts w:ascii="Times New Roman"/>
          <w:color w:val="auto"/>
          <w:highlight w:val="none"/>
        </w:rPr>
        <w:t>-</w:t>
      </w:r>
      <w:r>
        <w:rPr>
          <w:rFonts w:hint="eastAsia"/>
          <w:color w:val="auto"/>
          <w:highlight w:val="none"/>
          <w:lang w:val="en-US" w:eastAsia="zh-CN"/>
        </w:rPr>
        <w:t>9</w:t>
      </w:r>
      <w:r>
        <w:rPr>
          <w:rFonts w:hint="eastAsia" w:ascii="Times New Roman"/>
          <w:color w:val="auto"/>
          <w:highlight w:val="none"/>
        </w:rPr>
        <w:t>预测结果，</w:t>
      </w:r>
      <w:r>
        <w:rPr>
          <w:rFonts w:hint="eastAsia"/>
          <w:color w:val="auto"/>
          <w:highlight w:val="none"/>
          <w:lang w:val="en-US" w:eastAsia="zh-CN"/>
        </w:rPr>
        <w:t>回填</w:t>
      </w:r>
      <w:r>
        <w:rPr>
          <w:rFonts w:ascii="Times New Roman"/>
          <w:color w:val="auto"/>
          <w:highlight w:val="none"/>
        </w:rPr>
        <w:t>期通过合理布置施工作业区</w:t>
      </w:r>
      <w:r>
        <w:rPr>
          <w:rFonts w:hint="eastAsia" w:ascii="Times New Roman"/>
          <w:color w:val="auto"/>
          <w:highlight w:val="none"/>
        </w:rPr>
        <w:t>，设置围挡等</w:t>
      </w:r>
      <w:r>
        <w:rPr>
          <w:rFonts w:ascii="Times New Roman"/>
          <w:color w:val="auto"/>
          <w:highlight w:val="none"/>
        </w:rPr>
        <w:t>措施后</w:t>
      </w:r>
      <w:r>
        <w:rPr>
          <w:rFonts w:hint="eastAsia"/>
          <w:color w:val="auto"/>
          <w:highlight w:val="none"/>
          <w:lang w:eastAsia="zh-CN"/>
        </w:rPr>
        <w:t>（</w:t>
      </w:r>
      <w:r>
        <w:rPr>
          <w:rFonts w:hint="eastAsia" w:ascii="Times New Roman"/>
          <w:color w:val="auto"/>
          <w:highlight w:val="none"/>
        </w:rPr>
        <w:t>夜间不</w:t>
      </w:r>
      <w:r>
        <w:rPr>
          <w:rFonts w:hint="eastAsia"/>
          <w:color w:val="auto"/>
          <w:highlight w:val="none"/>
          <w:lang w:val="en-US" w:eastAsia="zh-CN"/>
        </w:rPr>
        <w:t>施工）</w:t>
      </w:r>
      <w:r>
        <w:rPr>
          <w:rFonts w:hint="eastAsia" w:ascii="Times New Roman"/>
          <w:color w:val="auto"/>
          <w:highlight w:val="none"/>
        </w:rPr>
        <w:t>，</w:t>
      </w:r>
      <w:r>
        <w:rPr>
          <w:rFonts w:hint="eastAsia"/>
          <w:color w:val="auto"/>
          <w:kern w:val="0"/>
          <w:highlight w:val="none"/>
          <w:lang w:val="en-US" w:eastAsia="zh-CN"/>
        </w:rPr>
        <w:t>厂</w:t>
      </w:r>
      <w:r>
        <w:rPr>
          <w:rFonts w:hint="eastAsia"/>
          <w:color w:val="auto"/>
          <w:kern w:val="0"/>
          <w:highlight w:val="none"/>
        </w:rPr>
        <w:t>界噪声可以满足《工业企业厂界环境噪声排放标准》（GB12348-2008）中的1类标准限值要求。</w:t>
      </w:r>
    </w:p>
    <w:p w14:paraId="34378379">
      <w:pPr>
        <w:autoSpaceDE w:val="0"/>
        <w:autoSpaceDN w:val="0"/>
        <w:adjustRightInd w:val="0"/>
        <w:snapToGrid w:val="0"/>
        <w:spacing w:line="360" w:lineRule="auto"/>
        <w:ind w:firstLine="480"/>
        <w:rPr>
          <w:color w:val="auto"/>
          <w:kern w:val="0"/>
          <w:highlight w:val="none"/>
        </w:rPr>
      </w:pPr>
      <w:r>
        <w:rPr>
          <w:rFonts w:hint="eastAsia"/>
          <w:color w:val="auto"/>
          <w:kern w:val="0"/>
          <w:highlight w:val="none"/>
        </w:rPr>
        <w:t>本</w:t>
      </w:r>
      <w:r>
        <w:rPr>
          <w:color w:val="auto"/>
          <w:kern w:val="0"/>
          <w:highlight w:val="none"/>
        </w:rPr>
        <w:t>项目</w:t>
      </w:r>
      <w:r>
        <w:rPr>
          <w:rFonts w:hint="eastAsia"/>
          <w:color w:val="auto"/>
          <w:kern w:val="0"/>
          <w:highlight w:val="none"/>
          <w:lang w:val="en-US" w:eastAsia="zh-CN"/>
        </w:rPr>
        <w:t>回填</w:t>
      </w:r>
      <w:r>
        <w:rPr>
          <w:rFonts w:hint="eastAsia"/>
          <w:color w:val="auto"/>
          <w:kern w:val="0"/>
          <w:highlight w:val="none"/>
        </w:rPr>
        <w:t>期较长</w:t>
      </w:r>
      <w:r>
        <w:rPr>
          <w:color w:val="auto"/>
          <w:kern w:val="0"/>
          <w:highlight w:val="none"/>
        </w:rPr>
        <w:t>，为减少施工对周边环境的影响，施工单位应严格执行《中华人民共和国噪声污染防治法》和</w:t>
      </w:r>
      <w:r>
        <w:rPr>
          <w:rFonts w:hint="eastAsia"/>
          <w:color w:val="auto"/>
          <w:kern w:val="0"/>
          <w:highlight w:val="none"/>
        </w:rPr>
        <w:t>《工业企业厂界环境噪声排放标准》（GB12348-2008）</w:t>
      </w:r>
      <w:r>
        <w:rPr>
          <w:color w:val="auto"/>
          <w:kern w:val="0"/>
          <w:highlight w:val="none"/>
        </w:rPr>
        <w:t>相关要求，做好以下几点：</w:t>
      </w:r>
    </w:p>
    <w:p w14:paraId="7DE41FA3">
      <w:pPr>
        <w:autoSpaceDE w:val="0"/>
        <w:autoSpaceDN w:val="0"/>
        <w:adjustRightInd w:val="0"/>
        <w:snapToGrid w:val="0"/>
        <w:spacing w:line="360" w:lineRule="auto"/>
        <w:ind w:firstLine="480"/>
        <w:jc w:val="left"/>
        <w:rPr>
          <w:color w:val="auto"/>
          <w:kern w:val="0"/>
          <w:highlight w:val="none"/>
        </w:rPr>
      </w:pPr>
      <w:r>
        <w:rPr>
          <w:rFonts w:hint="eastAsia" w:ascii="宋体" w:hAnsi="宋体" w:cs="宋体"/>
          <w:color w:val="auto"/>
          <w:kern w:val="0"/>
          <w:highlight w:val="none"/>
        </w:rPr>
        <w:t>①</w:t>
      </w:r>
      <w:r>
        <w:rPr>
          <w:rFonts w:ascii="Times New Roman"/>
          <w:color w:val="auto"/>
          <w:highlight w:val="none"/>
        </w:rPr>
        <w:t>采用低噪声设备，合理安排各类机械作业时间，防止高噪声设备同时运行</w:t>
      </w:r>
      <w:r>
        <w:rPr>
          <w:rFonts w:hint="eastAsia" w:ascii="Times New Roman"/>
          <w:color w:val="auto"/>
          <w:highlight w:val="none"/>
        </w:rPr>
        <w:t>，项目</w:t>
      </w:r>
      <w:r>
        <w:rPr>
          <w:rFonts w:ascii="Times New Roman"/>
          <w:color w:val="auto"/>
          <w:highlight w:val="none"/>
        </w:rPr>
        <w:t>夜间</w:t>
      </w:r>
      <w:r>
        <w:rPr>
          <w:rFonts w:hint="eastAsia"/>
          <w:color w:val="auto"/>
          <w:highlight w:val="none"/>
          <w:lang w:val="en-US" w:eastAsia="zh-CN"/>
        </w:rPr>
        <w:t>不施工</w:t>
      </w:r>
      <w:r>
        <w:rPr>
          <w:rFonts w:ascii="Times New Roman"/>
          <w:color w:val="auto"/>
          <w:highlight w:val="none"/>
        </w:rPr>
        <w:t>，尽可能减少作业噪声对周围敏感点声环境的影响。</w:t>
      </w:r>
    </w:p>
    <w:p w14:paraId="0BFCAE24">
      <w:pPr>
        <w:spacing w:line="360" w:lineRule="auto"/>
        <w:ind w:firstLine="480"/>
        <w:rPr>
          <w:rFonts w:ascii="Times New Roman"/>
          <w:color w:val="auto"/>
          <w:highlight w:val="none"/>
        </w:rPr>
      </w:pPr>
      <w:r>
        <w:rPr>
          <w:rFonts w:hint="eastAsia" w:ascii="宋体" w:hAnsi="宋体" w:cs="宋体"/>
          <w:color w:val="auto"/>
          <w:kern w:val="0"/>
          <w:highlight w:val="none"/>
        </w:rPr>
        <w:t>②</w:t>
      </w:r>
      <w:r>
        <w:rPr>
          <w:rFonts w:ascii="Times New Roman"/>
          <w:color w:val="auto"/>
          <w:highlight w:val="none"/>
        </w:rPr>
        <w:t>合理布局作业场地，采取必要的局部吸声、隔声降噪技术，以达到降噪效果。</w:t>
      </w:r>
    </w:p>
    <w:p w14:paraId="788D8D33">
      <w:pPr>
        <w:spacing w:line="360" w:lineRule="auto"/>
        <w:ind w:firstLine="0" w:firstLineChars="0"/>
        <w:jc w:val="left"/>
        <w:rPr>
          <w:rFonts w:ascii="Times New Roman"/>
          <w:color w:val="auto"/>
          <w:highlight w:val="none"/>
        </w:rPr>
      </w:pPr>
      <w:r>
        <w:rPr>
          <w:rFonts w:hint="eastAsia" w:ascii="宋体" w:hAnsi="宋体" w:cs="宋体"/>
          <w:color w:val="auto"/>
          <w:kern w:val="0"/>
          <w:highlight w:val="none"/>
        </w:rPr>
        <w:t>③</w:t>
      </w:r>
      <w:r>
        <w:rPr>
          <w:rFonts w:ascii="Times New Roman"/>
          <w:color w:val="auto"/>
          <w:highlight w:val="none"/>
        </w:rPr>
        <w:t>加强环境管理，对于高噪设备，应保证良好运行状态，进行定期的维修、养护；采用车况良好的运输车辆，并应注意定期维修、养护。</w:t>
      </w:r>
    </w:p>
    <w:p w14:paraId="0966BEEF">
      <w:pPr>
        <w:widowControl w:val="0"/>
        <w:adjustRightInd w:val="0"/>
        <w:snapToGrid w:val="0"/>
        <w:spacing w:line="360" w:lineRule="auto"/>
        <w:outlineLvl w:val="3"/>
        <w:rPr>
          <w:rFonts w:hint="eastAsia" w:asciiTheme="minorEastAsia" w:hAnsiTheme="minorEastAsia" w:eastAsiaTheme="minorEastAsia" w:cstheme="minorEastAsia"/>
          <w:b/>
          <w:snapToGrid w:val="0"/>
          <w:color w:val="auto"/>
          <w:highlight w:val="none"/>
        </w:rPr>
      </w:pPr>
      <w:r>
        <w:rPr>
          <w:rFonts w:hint="eastAsia" w:asciiTheme="minorEastAsia" w:hAnsiTheme="minorEastAsia" w:eastAsiaTheme="minorEastAsia" w:cstheme="minorEastAsia"/>
          <w:b/>
          <w:snapToGrid w:val="0"/>
          <w:color w:val="auto"/>
          <w:highlight w:val="none"/>
        </w:rPr>
        <w:t>5.2.3.3物料运输过程声环境影响分析</w:t>
      </w:r>
    </w:p>
    <w:p w14:paraId="0C95E694">
      <w:pPr>
        <w:widowControl w:val="0"/>
        <w:adjustRightInd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填埋灰渣的运入，将使区域道路车流量增多，</w:t>
      </w:r>
      <w:r>
        <w:rPr>
          <w:rFonts w:hint="eastAsia" w:asciiTheme="minorEastAsia" w:hAnsiTheme="minorEastAsia" w:eastAsiaTheme="minorEastAsia" w:cstheme="minorEastAsia"/>
          <w:color w:val="auto"/>
          <w:highlight w:val="none"/>
          <w:lang w:eastAsia="zh-CN"/>
        </w:rPr>
        <w:t>高峰</w:t>
      </w:r>
      <w:r>
        <w:rPr>
          <w:rFonts w:hint="eastAsia" w:asciiTheme="minorEastAsia" w:hAnsiTheme="minorEastAsia" w:eastAsiaTheme="minorEastAsia" w:cstheme="minorEastAsia"/>
          <w:color w:val="auto"/>
          <w:highlight w:val="none"/>
        </w:rPr>
        <w:t>时运输车辆将增加2辆，其声级值可达84dB(A)以上，由于是间断运输，增加车流量较小，对交通噪声贡献量不会很大。施工运输车辆在经过沿途</w:t>
      </w:r>
      <w:r>
        <w:rPr>
          <w:rFonts w:hint="eastAsia" w:asciiTheme="minorEastAsia" w:hAnsiTheme="minorEastAsia" w:eastAsiaTheme="minorEastAsia" w:cstheme="minorEastAsia"/>
          <w:color w:val="auto"/>
          <w:highlight w:val="none"/>
          <w:lang w:val="en-US" w:eastAsia="zh-CN"/>
        </w:rPr>
        <w:t>村庄</w:t>
      </w:r>
      <w:r>
        <w:rPr>
          <w:rFonts w:hint="eastAsia" w:asciiTheme="minorEastAsia" w:hAnsiTheme="minorEastAsia" w:eastAsiaTheme="minorEastAsia" w:cstheme="minorEastAsia"/>
          <w:color w:val="auto"/>
          <w:highlight w:val="none"/>
        </w:rPr>
        <w:t>时</w:t>
      </w:r>
      <w:r>
        <w:rPr>
          <w:rFonts w:hint="eastAsia" w:asciiTheme="minorEastAsia" w:hAnsiTheme="minorEastAsia" w:eastAsiaTheme="minorEastAsia" w:cstheme="minorEastAsia"/>
          <w:color w:val="auto"/>
          <w:highlight w:val="none"/>
          <w:lang w:val="en-US" w:eastAsia="zh-CN"/>
        </w:rPr>
        <w:t>低速行驶，</w:t>
      </w:r>
      <w:r>
        <w:rPr>
          <w:rFonts w:hint="eastAsia" w:asciiTheme="minorEastAsia" w:hAnsiTheme="minorEastAsia" w:eastAsiaTheme="minorEastAsia" w:cstheme="minorEastAsia"/>
          <w:color w:val="auto"/>
          <w:highlight w:val="none"/>
        </w:rPr>
        <w:t>禁止使用高音喇叭，禁止夜间运输。对周围居民声环境影响较小。</w:t>
      </w:r>
    </w:p>
    <w:bookmarkEnd w:id="627"/>
    <w:bookmarkEnd w:id="628"/>
    <w:bookmarkEnd w:id="648"/>
    <w:bookmarkEnd w:id="649"/>
    <w:bookmarkEnd w:id="650"/>
    <w:bookmarkEnd w:id="658"/>
    <w:bookmarkEnd w:id="659"/>
    <w:bookmarkEnd w:id="660"/>
    <w:bookmarkEnd w:id="661"/>
    <w:bookmarkEnd w:id="662"/>
    <w:p w14:paraId="75B2921E">
      <w:pPr>
        <w:pStyle w:val="7"/>
        <w:numPr>
          <w:ilvl w:val="0"/>
          <w:numId w:val="0"/>
        </w:numPr>
        <w:bidi w:val="0"/>
        <w:spacing w:line="360" w:lineRule="auto"/>
        <w:ind w:leftChars="0"/>
        <w:rPr>
          <w:rFonts w:hint="eastAsia" w:asciiTheme="minorEastAsia" w:hAnsiTheme="minorEastAsia" w:eastAsiaTheme="minorEastAsia" w:cstheme="minorEastAsia"/>
          <w:color w:val="auto"/>
          <w:szCs w:val="32"/>
          <w:highlight w:val="none"/>
        </w:rPr>
      </w:pPr>
      <w:bookmarkStart w:id="663" w:name="_Toc490466587"/>
      <w:bookmarkStart w:id="664" w:name="_Toc27438"/>
      <w:r>
        <w:rPr>
          <w:rFonts w:hint="eastAsia" w:asciiTheme="minorEastAsia" w:hAnsiTheme="minorEastAsia" w:eastAsiaTheme="minorEastAsia" w:cstheme="minorEastAsia"/>
          <w:color w:val="auto"/>
          <w:highlight w:val="none"/>
        </w:rPr>
        <w:t>5.2.4固体废物环境影响分析</w:t>
      </w:r>
    </w:p>
    <w:p w14:paraId="5A7F9554">
      <w:pPr>
        <w:bidi w:val="0"/>
        <w:spacing w:line="360" w:lineRule="auto"/>
        <w:rPr>
          <w:color w:val="auto"/>
          <w:highlight w:val="none"/>
        </w:rPr>
      </w:pPr>
      <w:bookmarkStart w:id="665" w:name="_Toc16962"/>
      <w:bookmarkStart w:id="666" w:name="_Toc6113"/>
      <w:bookmarkStart w:id="667" w:name="_Toc3923"/>
      <w:bookmarkStart w:id="668" w:name="_Toc20673"/>
      <w:bookmarkStart w:id="669" w:name="_Toc49174850"/>
      <w:bookmarkStart w:id="670" w:name="_Toc13162"/>
      <w:bookmarkStart w:id="671" w:name="_Toc49175025"/>
      <w:r>
        <w:rPr>
          <w:color w:val="auto"/>
          <w:highlight w:val="none"/>
        </w:rPr>
        <w:t>5.</w:t>
      </w:r>
      <w:r>
        <w:rPr>
          <w:rFonts w:hint="eastAsia"/>
          <w:color w:val="auto"/>
          <w:highlight w:val="none"/>
          <w:lang w:val="en-US" w:eastAsia="zh-CN"/>
        </w:rPr>
        <w:t>2.</w:t>
      </w:r>
      <w:r>
        <w:rPr>
          <w:color w:val="auto"/>
          <w:highlight w:val="none"/>
        </w:rPr>
        <w:t>5.1固体废物环境影响分析</w:t>
      </w:r>
      <w:bookmarkEnd w:id="665"/>
      <w:bookmarkEnd w:id="666"/>
      <w:bookmarkEnd w:id="667"/>
      <w:bookmarkEnd w:id="668"/>
      <w:bookmarkEnd w:id="669"/>
      <w:bookmarkEnd w:id="670"/>
      <w:bookmarkEnd w:id="671"/>
    </w:p>
    <w:p w14:paraId="2ED20F4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auto"/>
          <w:highlight w:val="none"/>
        </w:rPr>
      </w:pPr>
      <w:r>
        <w:rPr>
          <w:color w:val="auto"/>
          <w:highlight w:val="none"/>
        </w:rPr>
        <w:t>本项目</w:t>
      </w:r>
      <w:r>
        <w:rPr>
          <w:rFonts w:hint="eastAsia"/>
          <w:color w:val="auto"/>
          <w:highlight w:val="none"/>
          <w:lang w:val="en-US" w:eastAsia="zh-CN"/>
        </w:rPr>
        <w:t>回填期主要固体废物为</w:t>
      </w:r>
      <w:r>
        <w:rPr>
          <w:color w:val="auto"/>
          <w:highlight w:val="none"/>
        </w:rPr>
        <w:t>施工人员生活垃圾</w:t>
      </w:r>
      <w:r>
        <w:rPr>
          <w:rFonts w:hint="eastAsia"/>
          <w:color w:val="auto"/>
          <w:highlight w:val="none"/>
          <w:lang w:val="en-US" w:eastAsia="zh-CN"/>
        </w:rPr>
        <w:t>、沉渣</w:t>
      </w:r>
      <w:r>
        <w:rPr>
          <w:color w:val="auto"/>
          <w:highlight w:val="none"/>
        </w:rPr>
        <w:t>。</w:t>
      </w:r>
    </w:p>
    <w:p w14:paraId="4592F36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auto"/>
          <w:highlight w:val="none"/>
        </w:rPr>
      </w:pPr>
      <w:r>
        <w:rPr>
          <w:rFonts w:hint="eastAsia"/>
          <w:color w:val="auto"/>
          <w:highlight w:val="none"/>
        </w:rPr>
        <w:t>（</w:t>
      </w:r>
      <w:r>
        <w:rPr>
          <w:rFonts w:hint="eastAsia"/>
          <w:color w:val="auto"/>
          <w:highlight w:val="none"/>
          <w:lang w:val="en-US" w:eastAsia="zh-CN"/>
        </w:rPr>
        <w:t>1</w:t>
      </w:r>
      <w:r>
        <w:rPr>
          <w:rFonts w:hint="eastAsia"/>
          <w:color w:val="auto"/>
          <w:highlight w:val="none"/>
        </w:rPr>
        <w:t>）</w:t>
      </w:r>
      <w:r>
        <w:rPr>
          <w:color w:val="auto"/>
          <w:highlight w:val="none"/>
        </w:rPr>
        <w:t>生活垃圾</w:t>
      </w:r>
    </w:p>
    <w:p w14:paraId="63D12CA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highlight w:val="none"/>
          <w:lang w:val="en-US" w:eastAsia="zh-CN"/>
        </w:rPr>
      </w:pPr>
      <w:r>
        <w:rPr>
          <w:color w:val="auto"/>
          <w:highlight w:val="none"/>
        </w:rPr>
        <w:t>生活垃圾在施工现场</w:t>
      </w:r>
      <w:r>
        <w:rPr>
          <w:rFonts w:hint="eastAsia"/>
          <w:color w:val="auto"/>
          <w:highlight w:val="none"/>
        </w:rPr>
        <w:t>集中</w:t>
      </w:r>
      <w:r>
        <w:rPr>
          <w:color w:val="auto"/>
          <w:highlight w:val="none"/>
        </w:rPr>
        <w:t>收集，</w:t>
      </w:r>
      <w:r>
        <w:rPr>
          <w:rFonts w:hint="eastAsia"/>
          <w:color w:val="auto"/>
          <w:highlight w:val="none"/>
          <w:lang w:val="en-US" w:eastAsia="zh-CN"/>
        </w:rPr>
        <w:t>定期由市政环卫部门清运处理。</w:t>
      </w:r>
    </w:p>
    <w:p w14:paraId="2FF888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highlight w:val="none"/>
          <w:lang w:val="en-US" w:eastAsia="zh-CN"/>
        </w:rPr>
      </w:pPr>
      <w:r>
        <w:rPr>
          <w:rFonts w:hint="eastAsia"/>
          <w:color w:val="auto"/>
          <w:highlight w:val="none"/>
          <w:lang w:val="en-US" w:eastAsia="zh-CN"/>
        </w:rPr>
        <w:t>（2）沉淀池产生的沉渣</w:t>
      </w:r>
    </w:p>
    <w:p w14:paraId="39F89B0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highlight w:val="none"/>
          <w:lang w:val="en-US" w:eastAsia="zh-CN"/>
        </w:rPr>
      </w:pPr>
      <w:r>
        <w:rPr>
          <w:rFonts w:hint="eastAsia"/>
          <w:color w:val="auto"/>
          <w:highlight w:val="none"/>
          <w:lang w:val="en-US" w:eastAsia="zh-CN"/>
        </w:rPr>
        <w:t>经沉淀后，集中收集综合利用厂区修路。</w:t>
      </w:r>
    </w:p>
    <w:p w14:paraId="5948661A">
      <w:pPr>
        <w:pStyle w:val="217"/>
        <w:widowControl w:val="0"/>
        <w:adjustRightInd w:val="0"/>
        <w:snapToGrid w:val="0"/>
        <w:spacing w:line="360" w:lineRule="auto"/>
        <w:ind w:firstLine="480" w:firstLineChars="200"/>
        <w:jc w:val="both"/>
        <w:rPr>
          <w:rFonts w:hint="eastAsia" w:asciiTheme="minorEastAsia" w:hAnsiTheme="minorEastAsia" w:eastAsiaTheme="minorEastAsia" w:cstheme="minorEastAsia"/>
          <w:color w:val="auto"/>
          <w:sz w:val="24"/>
          <w:szCs w:val="24"/>
          <w:highlight w:val="none"/>
          <w:lang w:bidi="ar"/>
        </w:rPr>
      </w:pPr>
      <w:r>
        <w:rPr>
          <w:color w:val="auto"/>
          <w:highlight w:val="none"/>
        </w:rPr>
        <w:t>综上，本项目固体废物均能得到妥善处置，对周边环境不会产生明显影响。</w:t>
      </w:r>
    </w:p>
    <w:p w14:paraId="717C5DA6">
      <w:pPr>
        <w:pStyle w:val="7"/>
        <w:widowControl w:val="0"/>
        <w:numPr>
          <w:ilvl w:val="2"/>
          <w:numId w:val="0"/>
        </w:numPr>
        <w:snapToGrid w:val="0"/>
        <w:spacing w:before="0" w:after="0" w:line="360" w:lineRule="auto"/>
        <w:ind w:leftChars="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5.2.</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地下水影响评价</w:t>
      </w:r>
    </w:p>
    <w:p w14:paraId="2A9D71F2">
      <w:pPr>
        <w:pStyle w:val="217"/>
        <w:keepNext w:val="0"/>
        <w:keepLines w:val="0"/>
        <w:pageBreakBefore w:val="0"/>
        <w:wordWrap/>
        <w:overflowPunct/>
        <w:topLinePunct w:val="0"/>
        <w:bidi w:val="0"/>
        <w:spacing w:beforeAutospacing="0" w:afterAutospacing="0" w:line="360" w:lineRule="auto"/>
        <w:ind w:left="0" w:firstLine="480"/>
        <w:rPr>
          <w:rFonts w:cs="Times New Roman"/>
          <w:color w:val="auto"/>
          <w:highlight w:val="none"/>
        </w:rPr>
      </w:pPr>
      <w:r>
        <w:rPr>
          <w:rFonts w:hint="eastAsia" w:cs="Times New Roman"/>
          <w:color w:val="auto"/>
          <w:highlight w:val="none"/>
          <w:lang w:val="en-US" w:eastAsia="zh-CN"/>
        </w:rPr>
        <w:t>5.2.3.</w:t>
      </w:r>
      <w:r>
        <w:rPr>
          <w:rFonts w:cs="Times New Roman"/>
          <w:color w:val="auto"/>
          <w:highlight w:val="none"/>
        </w:rPr>
        <w:t>1项目区水文地质概况</w:t>
      </w:r>
    </w:p>
    <w:p w14:paraId="05578A1B">
      <w:pPr>
        <w:pStyle w:val="77"/>
        <w:keepNext w:val="0"/>
        <w:keepLines w:val="0"/>
        <w:pageBreakBefore w:val="0"/>
        <w:widowControl/>
        <w:suppressLineNumbers w:val="0"/>
        <w:wordWrap/>
        <w:overflowPunct/>
        <w:topLinePunct w:val="0"/>
        <w:bidi w:val="0"/>
        <w:spacing w:before="0" w:beforeAutospacing="0" w:after="0" w:afterAutospacing="0" w:line="360" w:lineRule="auto"/>
        <w:ind w:left="0" w:firstLine="722"/>
        <w:jc w:val="left"/>
        <w:textAlignment w:val="center"/>
        <w:rPr>
          <w:rFonts w:hint="default"/>
          <w:color w:val="auto"/>
          <w:highlight w:val="none"/>
        </w:rPr>
      </w:pPr>
      <w:r>
        <w:rPr>
          <w:rFonts w:hint="eastAsia"/>
          <w:color w:val="auto"/>
          <w:highlight w:val="none"/>
          <w:lang w:val="en-US" w:eastAsia="zh-CN"/>
        </w:rPr>
        <w:t>根据</w:t>
      </w:r>
      <w:r>
        <w:rPr>
          <w:rFonts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val="en-US" w:eastAsia="zh-CN"/>
        </w:rPr>
        <w:t>黑龙江</w:t>
      </w:r>
      <w:r>
        <w:rPr>
          <w:rFonts w:hint="eastAsia" w:ascii="Times New Roman" w:hAnsi="Times New Roman" w:eastAsia="宋体" w:cs="Times New Roman"/>
          <w:color w:val="auto"/>
          <w:sz w:val="24"/>
          <w:szCs w:val="24"/>
          <w:highlight w:val="none"/>
        </w:rPr>
        <w:t>嘉龙环保科技有限公司灰渣回填复垦</w:t>
      </w:r>
      <w:r>
        <w:rPr>
          <w:rFonts w:hint="eastAsia" w:ascii="Times New Roman" w:hAnsi="Times New Roman" w:eastAsia="宋体" w:cs="Times New Roman"/>
          <w:color w:val="auto"/>
          <w:sz w:val="24"/>
          <w:szCs w:val="24"/>
          <w:highlight w:val="none"/>
          <w:lang w:val="en-US" w:eastAsia="zh-CN"/>
        </w:rPr>
        <w:t>利用</w:t>
      </w:r>
      <w:r>
        <w:rPr>
          <w:rFonts w:ascii="Times New Roman" w:hAnsi="Times New Roman" w:eastAsia="宋体" w:cs="Times New Roman"/>
          <w:color w:val="auto"/>
          <w:sz w:val="24"/>
          <w:szCs w:val="24"/>
          <w:highlight w:val="none"/>
        </w:rPr>
        <w:t>项目岩土工程勘察报告》</w:t>
      </w:r>
      <w:r>
        <w:rPr>
          <w:rFonts w:hint="eastAsia"/>
          <w:color w:val="auto"/>
          <w:highlight w:val="none"/>
          <w:lang w:val="en-US" w:eastAsia="zh-CN"/>
        </w:rPr>
        <w:t>，</w:t>
      </w:r>
      <w:r>
        <w:rPr>
          <w:rFonts w:hint="default"/>
          <w:color w:val="auto"/>
          <w:highlight w:val="none"/>
        </w:rPr>
        <w:t>该区地下水主要为</w:t>
      </w:r>
      <w:r>
        <w:rPr>
          <w:rFonts w:hint="default" w:ascii="Times New Roman" w:hAnsi="Times New Roman" w:eastAsia="宋体" w:cs="Times New Roman"/>
          <w:color w:val="auto"/>
          <w:sz w:val="24"/>
          <w:szCs w:val="24"/>
          <w:highlight w:val="none"/>
        </w:rPr>
        <w:t>基岩裂隙水</w:t>
      </w:r>
      <w:r>
        <w:rPr>
          <w:rFonts w:hint="eastAsia" w:ascii="Times New Roman" w:hAnsi="Times New Roman" w:eastAsia="宋体" w:cs="Times New Roman"/>
          <w:color w:val="auto"/>
          <w:sz w:val="24"/>
          <w:szCs w:val="24"/>
          <w:highlight w:val="none"/>
          <w:lang w:eastAsia="zh-CN"/>
        </w:rPr>
        <w:t>，</w:t>
      </w:r>
      <w:r>
        <w:rPr>
          <w:rFonts w:hint="eastAsia" w:ascii="Times New Roman" w:hAnsi="Times New Roman" w:eastAsia="宋体" w:cs="Times New Roman"/>
          <w:color w:val="auto"/>
          <w:sz w:val="24"/>
          <w:szCs w:val="24"/>
          <w:highlight w:val="none"/>
        </w:rPr>
        <w:t>由大气降水和地下水侧向径流补给。初见水位为 6.4-20.0 米，稳定水位为 4.60-18.9 米，稳定水位标高为192.20-192.40 米，据调查场地地下水年变幅 2.00 米左右。抗浮水位按194.40 米为宜</w:t>
      </w:r>
      <w:r>
        <w:rPr>
          <w:rFonts w:hint="eastAsia"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基岩裂隙水受构造、风化的影响，主要分布在沟谷下部的基岩裂隙中，水量分布不均，为弱透水性。</w:t>
      </w:r>
    </w:p>
    <w:p w14:paraId="4581ADD6">
      <w:pPr>
        <w:pStyle w:val="217"/>
        <w:keepNext w:val="0"/>
        <w:keepLines w:val="0"/>
        <w:pageBreakBefore w:val="0"/>
        <w:wordWrap/>
        <w:overflowPunct/>
        <w:topLinePunct w:val="0"/>
        <w:bidi w:val="0"/>
        <w:spacing w:beforeAutospacing="0" w:afterAutospacing="0" w:line="360" w:lineRule="auto"/>
        <w:ind w:left="0" w:leftChars="0" w:firstLine="480" w:firstLineChars="200"/>
        <w:rPr>
          <w:rFonts w:cs="Times New Roman"/>
          <w:color w:val="auto"/>
          <w:highlight w:val="none"/>
        </w:rPr>
      </w:pPr>
      <w:r>
        <w:rPr>
          <w:rFonts w:hint="eastAsia" w:cs="Times New Roman"/>
          <w:color w:val="auto"/>
          <w:highlight w:val="none"/>
          <w:lang w:val="en-US" w:eastAsia="zh-CN"/>
        </w:rPr>
        <w:t>5.2.3.2</w:t>
      </w:r>
      <w:r>
        <w:rPr>
          <w:rFonts w:hint="eastAsia" w:cs="Times New Roman"/>
          <w:color w:val="auto"/>
          <w:highlight w:val="none"/>
        </w:rPr>
        <w:t>地下水环境影响评价与预测</w:t>
      </w:r>
    </w:p>
    <w:p w14:paraId="4E59F655">
      <w:pPr>
        <w:keepNext w:val="0"/>
        <w:keepLines w:val="0"/>
        <w:pageBreakBefore w:val="0"/>
        <w:widowControl/>
        <w:kinsoku w:val="0"/>
        <w:wordWrap/>
        <w:overflowPunct/>
        <w:topLinePunct w:val="0"/>
        <w:autoSpaceDE w:val="0"/>
        <w:autoSpaceDN w:val="0"/>
        <w:bidi w:val="0"/>
        <w:adjustRightInd w:val="0"/>
        <w:snapToGrid w:val="0"/>
        <w:spacing w:beforeAutospacing="0" w:afterAutospacing="0" w:line="360" w:lineRule="auto"/>
        <w:ind w:left="0" w:leftChars="0" w:right="0" w:firstLine="476" w:firstLineChars="200"/>
        <w:jc w:val="both"/>
        <w:textAlignment w:val="baseline"/>
        <w:rPr>
          <w:rFonts w:hint="default" w:ascii="Times New Roman" w:hAnsi="Times New Roman" w:eastAsia="宋体" w:cs="Times New Roman"/>
          <w:color w:val="auto"/>
          <w:spacing w:val="-1"/>
          <w:sz w:val="24"/>
          <w:szCs w:val="24"/>
          <w:highlight w:val="none"/>
        </w:rPr>
      </w:pPr>
      <w:r>
        <w:rPr>
          <w:rFonts w:hint="eastAsia" w:ascii="Times New Roman" w:hAnsi="Times New Roman" w:eastAsia="宋体" w:cs="Times New Roman"/>
          <w:color w:val="auto"/>
          <w:spacing w:val="-1"/>
          <w:sz w:val="24"/>
          <w:szCs w:val="24"/>
          <w:highlight w:val="none"/>
        </w:rPr>
        <w:t>（1）预测原则</w:t>
      </w:r>
    </w:p>
    <w:p w14:paraId="0800AA42">
      <w:pPr>
        <w:keepNext w:val="0"/>
        <w:keepLines w:val="0"/>
        <w:pageBreakBefore w:val="0"/>
        <w:widowControl/>
        <w:kinsoku w:val="0"/>
        <w:wordWrap/>
        <w:overflowPunct/>
        <w:topLinePunct w:val="0"/>
        <w:autoSpaceDE w:val="0"/>
        <w:autoSpaceDN w:val="0"/>
        <w:bidi w:val="0"/>
        <w:adjustRightInd w:val="0"/>
        <w:snapToGrid w:val="0"/>
        <w:spacing w:beforeAutospacing="0" w:afterAutospacing="0" w:line="360" w:lineRule="auto"/>
        <w:ind w:left="0" w:leftChars="0" w:right="0" w:firstLine="476" w:firstLineChars="200"/>
        <w:jc w:val="both"/>
        <w:textAlignment w:val="baseline"/>
        <w:rPr>
          <w:rFonts w:hint="default" w:ascii="Times New Roman" w:hAnsi="Times New Roman" w:eastAsia="宋体" w:cs="Times New Roman"/>
          <w:color w:val="auto"/>
          <w:spacing w:val="-1"/>
          <w:sz w:val="24"/>
          <w:szCs w:val="24"/>
          <w:highlight w:val="none"/>
        </w:rPr>
      </w:pPr>
      <w:r>
        <w:rPr>
          <w:rFonts w:hint="eastAsia" w:ascii="Times New Roman" w:hAnsi="Times New Roman" w:eastAsia="宋体" w:cs="Times New Roman"/>
          <w:color w:val="auto"/>
          <w:spacing w:val="-1"/>
          <w:sz w:val="24"/>
          <w:szCs w:val="24"/>
          <w:highlight w:val="none"/>
        </w:rPr>
        <w:t>遵循保护优先、预防为主的原则，结合地下水污染防控措施的基础上，对工程设计方案可能引起的地下水环境影响进行预测。</w:t>
      </w:r>
    </w:p>
    <w:p w14:paraId="572A73BC">
      <w:pPr>
        <w:keepNext w:val="0"/>
        <w:keepLines w:val="0"/>
        <w:pageBreakBefore w:val="0"/>
        <w:numPr>
          <w:ilvl w:val="0"/>
          <w:numId w:val="0"/>
        </w:numPr>
        <w:wordWrap/>
        <w:overflowPunct/>
        <w:topLinePunct w:val="0"/>
        <w:bidi w:val="0"/>
        <w:spacing w:beforeAutospacing="0" w:afterAutospacing="0" w:line="360" w:lineRule="auto"/>
        <w:ind w:left="0" w:leftChars="0" w:firstLine="480" w:firstLineChars="200"/>
        <w:rPr>
          <w:rFonts w:hint="eastAsia"/>
          <w:color w:val="auto"/>
          <w:highlight w:val="none"/>
        </w:rPr>
      </w:pPr>
      <w:r>
        <w:rPr>
          <w:rFonts w:hint="eastAsia" w:ascii="Times New Roman" w:hAnsi="Times New Roman" w:eastAsia="宋体"/>
          <w:color w:val="auto"/>
          <w:sz w:val="24"/>
          <w:szCs w:val="21"/>
          <w:highlight w:val="none"/>
          <w:lang w:val="en-US" w:eastAsia="zh-CN" w:bidi="ar-SA"/>
        </w:rPr>
        <w:t>（2）</w:t>
      </w:r>
      <w:r>
        <w:rPr>
          <w:rFonts w:hint="eastAsia"/>
          <w:color w:val="auto"/>
          <w:highlight w:val="none"/>
        </w:rPr>
        <w:t>预测范围</w:t>
      </w:r>
    </w:p>
    <w:p w14:paraId="4A580F01">
      <w:pPr>
        <w:widowControl/>
        <w:spacing w:line="360" w:lineRule="auto"/>
        <w:ind w:firstLine="480"/>
        <w:rPr>
          <w:rFonts w:ascii="Times New Roman"/>
          <w:color w:val="auto"/>
          <w:highlight w:val="none"/>
        </w:rPr>
      </w:pPr>
      <w:r>
        <w:rPr>
          <w:rFonts w:ascii="Times New Roman"/>
          <w:color w:val="auto"/>
          <w:highlight w:val="none"/>
        </w:rPr>
        <w:t>根据</w:t>
      </w:r>
      <w:r>
        <w:rPr>
          <w:rFonts w:hint="eastAsia" w:ascii="Times New Roman"/>
          <w:color w:val="auto"/>
          <w:highlight w:val="none"/>
          <w:lang w:eastAsia="zh-CN"/>
        </w:rPr>
        <w:t>“</w:t>
      </w:r>
      <w:r>
        <w:rPr>
          <w:rFonts w:hint="eastAsia" w:ascii="Times New Roman"/>
          <w:color w:val="auto"/>
          <w:highlight w:val="none"/>
        </w:rPr>
        <w:t>2.5.3地下水环境评价范围</w:t>
      </w:r>
      <w:r>
        <w:rPr>
          <w:rFonts w:hint="eastAsia" w:ascii="Times New Roman"/>
          <w:color w:val="auto"/>
          <w:highlight w:val="none"/>
          <w:lang w:eastAsia="zh-CN"/>
        </w:rPr>
        <w:t>”</w:t>
      </w:r>
      <w:r>
        <w:rPr>
          <w:rFonts w:hint="eastAsia" w:ascii="Times New Roman"/>
          <w:color w:val="auto"/>
          <w:highlight w:val="none"/>
          <w:lang w:val="en-US" w:eastAsia="zh-CN"/>
        </w:rPr>
        <w:t>可知，</w:t>
      </w:r>
      <w:r>
        <w:rPr>
          <w:rFonts w:hint="eastAsia"/>
          <w:color w:val="auto"/>
          <w:highlight w:val="none"/>
          <w:lang w:val="en-US" w:eastAsia="zh-CN"/>
        </w:rPr>
        <w:t>地下水评价范围场地上游距离为1km，下游距离为2km，右侧和左侧为L/2，为1km，评价范围为6km</w:t>
      </w:r>
      <w:r>
        <w:rPr>
          <w:rFonts w:hint="eastAsia"/>
          <w:color w:val="auto"/>
          <w:highlight w:val="none"/>
          <w:vertAlign w:val="superscript"/>
          <w:lang w:val="en-US" w:eastAsia="zh-CN"/>
        </w:rPr>
        <w:t>2</w:t>
      </w:r>
      <w:r>
        <w:rPr>
          <w:rFonts w:hint="default" w:ascii="Times New Roman" w:hAnsi="Times New Roman" w:cs="Times New Roman"/>
          <w:color w:val="auto"/>
          <w:sz w:val="24"/>
          <w:highlight w:val="none"/>
        </w:rPr>
        <w:t>。</w:t>
      </w:r>
      <w:r>
        <w:rPr>
          <w:rFonts w:ascii="Times New Roman"/>
          <w:color w:val="auto"/>
          <w:szCs w:val="32"/>
          <w:highlight w:val="none"/>
        </w:rPr>
        <w:t>评价范围示意图</w:t>
      </w:r>
      <w:r>
        <w:rPr>
          <w:rFonts w:hint="eastAsia"/>
          <w:color w:val="auto"/>
          <w:szCs w:val="32"/>
          <w:highlight w:val="none"/>
          <w:lang w:eastAsia="zh-CN"/>
        </w:rPr>
        <w:t>，</w:t>
      </w:r>
      <w:r>
        <w:rPr>
          <w:rFonts w:ascii="Times New Roman"/>
          <w:color w:val="auto"/>
          <w:szCs w:val="32"/>
          <w:highlight w:val="none"/>
        </w:rPr>
        <w:t>见附图</w:t>
      </w:r>
      <w:r>
        <w:rPr>
          <w:rFonts w:hint="eastAsia" w:ascii="Times New Roman"/>
          <w:color w:val="auto"/>
          <w:szCs w:val="32"/>
          <w:highlight w:val="none"/>
          <w:lang w:val="en-US" w:eastAsia="zh-CN"/>
        </w:rPr>
        <w:t>6</w:t>
      </w:r>
      <w:r>
        <w:rPr>
          <w:rFonts w:ascii="Times New Roman"/>
          <w:color w:val="auto"/>
          <w:szCs w:val="32"/>
          <w:highlight w:val="none"/>
        </w:rPr>
        <w:t>。</w:t>
      </w:r>
    </w:p>
    <w:p w14:paraId="43C1B8D3">
      <w:pPr>
        <w:spacing w:line="360" w:lineRule="auto"/>
        <w:ind w:firstLine="480"/>
        <w:rPr>
          <w:color w:val="auto"/>
          <w:highlight w:val="none"/>
        </w:rPr>
      </w:pPr>
      <w:r>
        <w:rPr>
          <w:rFonts w:hint="eastAsia"/>
          <w:color w:val="auto"/>
          <w:highlight w:val="none"/>
        </w:rPr>
        <w:t>（3）预测情景</w:t>
      </w:r>
    </w:p>
    <w:p w14:paraId="347751EA">
      <w:pPr>
        <w:spacing w:line="360" w:lineRule="auto"/>
        <w:ind w:firstLine="480"/>
        <w:rPr>
          <w:color w:val="auto"/>
          <w:highlight w:val="none"/>
        </w:rPr>
      </w:pPr>
      <w:r>
        <w:rPr>
          <w:rFonts w:hint="eastAsia"/>
          <w:color w:val="auto"/>
          <w:highlight w:val="none"/>
        </w:rPr>
        <w:t>1）正常工况</w:t>
      </w:r>
    </w:p>
    <w:p w14:paraId="6E6CE19E">
      <w:pPr>
        <w:spacing w:line="360" w:lineRule="auto"/>
        <w:ind w:firstLine="480"/>
        <w:rPr>
          <w:rFonts w:hint="eastAsia"/>
          <w:color w:val="auto"/>
          <w:highlight w:val="none"/>
        </w:rPr>
      </w:pPr>
      <w:r>
        <w:rPr>
          <w:rFonts w:hint="eastAsia" w:ascii="Times New Roman" w:hAnsi="Times New Roman" w:eastAsia="宋体" w:cs="Times New Roman"/>
          <w:color w:val="auto"/>
          <w:kern w:val="0"/>
          <w:sz w:val="24"/>
          <w:szCs w:val="21"/>
          <w:highlight w:val="none"/>
          <w:lang w:val="en-US" w:eastAsia="zh-CN" w:bidi="ar-SA"/>
        </w:rPr>
        <w:t>本项目回填区域所在区域地势为</w:t>
      </w:r>
      <w:r>
        <w:rPr>
          <w:rFonts w:hint="eastAsia" w:ascii="Times New Roman" w:hAnsi="Times New Roman" w:eastAsia="宋体" w:cs="Times New Roman"/>
          <w:color w:val="auto"/>
          <w:sz w:val="24"/>
          <w:szCs w:val="24"/>
          <w:highlight w:val="none"/>
          <w:lang w:val="en-US" w:eastAsia="zh-CN"/>
        </w:rPr>
        <w:t>西</w:t>
      </w:r>
      <w:r>
        <w:rPr>
          <w:rFonts w:ascii="Times New Roman" w:hAnsi="Times New Roman" w:eastAsia="宋体" w:cs="Times New Roman"/>
          <w:color w:val="auto"/>
          <w:sz w:val="24"/>
          <w:szCs w:val="24"/>
          <w:highlight w:val="none"/>
        </w:rPr>
        <w:t>高</w:t>
      </w:r>
      <w:r>
        <w:rPr>
          <w:rFonts w:hint="eastAsia" w:ascii="Times New Roman" w:hAnsi="Times New Roman" w:eastAsia="宋体" w:cs="Times New Roman"/>
          <w:color w:val="auto"/>
          <w:sz w:val="24"/>
          <w:szCs w:val="24"/>
          <w:highlight w:val="none"/>
          <w:lang w:val="en-US" w:eastAsia="zh-CN"/>
        </w:rPr>
        <w:t>东</w:t>
      </w:r>
      <w:r>
        <w:rPr>
          <w:rFonts w:ascii="Times New Roman" w:hAnsi="Times New Roman" w:eastAsia="宋体" w:cs="Times New Roman"/>
          <w:color w:val="auto"/>
          <w:sz w:val="24"/>
          <w:szCs w:val="24"/>
          <w:highlight w:val="none"/>
        </w:rPr>
        <w:t>低、北高南低</w:t>
      </w:r>
      <w:r>
        <w:rPr>
          <w:rFonts w:hint="eastAsia" w:ascii="Times New Roman" w:hAnsi="Times New Roman" w:eastAsia="宋体" w:cs="Times New Roman"/>
          <w:color w:val="auto"/>
          <w:kern w:val="0"/>
          <w:sz w:val="24"/>
          <w:szCs w:val="21"/>
          <w:highlight w:val="none"/>
          <w:lang w:val="en-US" w:eastAsia="zh-CN" w:bidi="ar-SA"/>
        </w:rPr>
        <w:t>，在回填区</w:t>
      </w:r>
      <w:r>
        <w:rPr>
          <w:rFonts w:hint="eastAsia" w:ascii="Times New Roman" w:hAnsi="Times New Roman" w:eastAsia="宋体" w:cs="Times New Roman"/>
          <w:color w:val="auto"/>
          <w:sz w:val="24"/>
          <w:szCs w:val="24"/>
          <w:highlight w:val="none"/>
          <w:lang w:val="en-US" w:eastAsia="zh-CN"/>
        </w:rPr>
        <w:t>西</w:t>
      </w:r>
      <w:r>
        <w:rPr>
          <w:rFonts w:hint="eastAsia" w:ascii="Times New Roman" w:hAnsi="Times New Roman" w:eastAsia="宋体" w:cs="Times New Roman"/>
          <w:color w:val="auto"/>
          <w:kern w:val="0"/>
          <w:sz w:val="24"/>
          <w:szCs w:val="21"/>
          <w:highlight w:val="none"/>
          <w:lang w:val="en-US" w:eastAsia="zh-CN" w:bidi="ar-SA"/>
        </w:rPr>
        <w:t>侧和</w:t>
      </w:r>
      <w:r>
        <w:rPr>
          <w:rFonts w:ascii="Times New Roman" w:hAnsi="Times New Roman" w:eastAsia="宋体" w:cs="Times New Roman"/>
          <w:color w:val="auto"/>
          <w:sz w:val="24"/>
          <w:szCs w:val="24"/>
          <w:highlight w:val="none"/>
        </w:rPr>
        <w:t>北</w:t>
      </w:r>
      <w:r>
        <w:rPr>
          <w:rFonts w:hint="eastAsia" w:ascii="Times New Roman" w:hAnsi="Times New Roman" w:eastAsia="宋体" w:cs="Times New Roman"/>
          <w:color w:val="auto"/>
          <w:kern w:val="0"/>
          <w:sz w:val="24"/>
          <w:szCs w:val="21"/>
          <w:highlight w:val="none"/>
          <w:lang w:val="en-US" w:eastAsia="zh-CN" w:bidi="ar-SA"/>
        </w:rPr>
        <w:t>侧修建拦挡埂，</w:t>
      </w:r>
      <w:r>
        <w:rPr>
          <w:rFonts w:hint="eastAsia"/>
          <w:color w:val="auto"/>
          <w:highlight w:val="none"/>
        </w:rPr>
        <w:t>雨水经</w:t>
      </w:r>
      <w:r>
        <w:rPr>
          <w:rFonts w:hint="eastAsia"/>
          <w:color w:val="auto"/>
          <w:highlight w:val="none"/>
          <w:lang w:eastAsia="zh-CN"/>
        </w:rPr>
        <w:t>拦挡埂</w:t>
      </w:r>
      <w:r>
        <w:rPr>
          <w:rFonts w:hint="eastAsia"/>
          <w:color w:val="auto"/>
          <w:highlight w:val="none"/>
        </w:rPr>
        <w:t>排入周边环境。当有持续强降雨的情况下，才会有部分的</w:t>
      </w:r>
      <w:r>
        <w:rPr>
          <w:rFonts w:hint="eastAsia"/>
          <w:color w:val="auto"/>
          <w:highlight w:val="none"/>
          <w:lang w:eastAsia="zh-CN"/>
        </w:rPr>
        <w:t>淋滤水</w:t>
      </w:r>
      <w:r>
        <w:rPr>
          <w:rFonts w:hint="eastAsia"/>
          <w:color w:val="auto"/>
          <w:highlight w:val="none"/>
        </w:rPr>
        <w:t>渗漏到底部。在场地底部及边坡做基础防渗层：从下往上依次为土工布（厚度2.5mm），高密度聚乙烯膜2mm，土工布（厚度2.5mm）。其防渗性能K≤1.0×10</w:t>
      </w:r>
      <w:r>
        <w:rPr>
          <w:rFonts w:hint="eastAsia"/>
          <w:color w:val="auto"/>
          <w:highlight w:val="none"/>
          <w:vertAlign w:val="superscript"/>
        </w:rPr>
        <w:t>-7</w:t>
      </w:r>
      <w:r>
        <w:rPr>
          <w:rFonts w:hint="eastAsia"/>
          <w:color w:val="auto"/>
          <w:highlight w:val="none"/>
        </w:rPr>
        <w:t>cm/s，因此，在正常工况条件下，即未发生强降雨时不会对地下水产生污染。</w:t>
      </w:r>
    </w:p>
    <w:p w14:paraId="1F082876">
      <w:pPr>
        <w:spacing w:line="360" w:lineRule="auto"/>
        <w:ind w:firstLine="480"/>
        <w:rPr>
          <w:color w:val="auto"/>
          <w:highlight w:val="none"/>
        </w:rPr>
      </w:pPr>
      <w:r>
        <w:rPr>
          <w:rFonts w:hint="eastAsia"/>
          <w:color w:val="auto"/>
          <w:highlight w:val="none"/>
        </w:rPr>
        <w:t>2）非正常工况</w:t>
      </w:r>
    </w:p>
    <w:p w14:paraId="1F348875">
      <w:pPr>
        <w:spacing w:line="360" w:lineRule="auto"/>
        <w:ind w:firstLine="480"/>
        <w:rPr>
          <w:color w:val="auto"/>
          <w:highlight w:val="none"/>
        </w:rPr>
      </w:pPr>
      <w:r>
        <w:rPr>
          <w:rFonts w:hint="eastAsia"/>
          <w:color w:val="auto"/>
          <w:highlight w:val="none"/>
        </w:rPr>
        <w:fldChar w:fldCharType="begin"/>
      </w:r>
      <w:r>
        <w:rPr>
          <w:rFonts w:hint="eastAsia"/>
          <w:color w:val="auto"/>
          <w:highlight w:val="none"/>
        </w:rPr>
        <w:instrText xml:space="preserve"> = 1 \* GB3 \* MERGEFORMAT </w:instrText>
      </w:r>
      <w:r>
        <w:rPr>
          <w:rFonts w:hint="eastAsia"/>
          <w:color w:val="auto"/>
          <w:highlight w:val="none"/>
        </w:rPr>
        <w:fldChar w:fldCharType="separate"/>
      </w:r>
      <w:r>
        <w:rPr>
          <w:rFonts w:hint="eastAsia"/>
          <w:color w:val="auto"/>
          <w:highlight w:val="none"/>
        </w:rPr>
        <w:t>①</w:t>
      </w:r>
      <w:r>
        <w:rPr>
          <w:rFonts w:hint="eastAsia"/>
          <w:color w:val="auto"/>
          <w:highlight w:val="none"/>
        </w:rPr>
        <w:fldChar w:fldCharType="end"/>
      </w:r>
      <w:r>
        <w:rPr>
          <w:rFonts w:hint="eastAsia"/>
          <w:color w:val="auto"/>
          <w:highlight w:val="none"/>
        </w:rPr>
        <w:t>污染途径</w:t>
      </w:r>
    </w:p>
    <w:p w14:paraId="756D34CE">
      <w:pPr>
        <w:spacing w:line="360" w:lineRule="auto"/>
        <w:ind w:firstLine="480"/>
        <w:rPr>
          <w:rFonts w:hint="eastAsia"/>
          <w:color w:val="auto"/>
          <w:highlight w:val="none"/>
        </w:rPr>
      </w:pPr>
      <w:r>
        <w:rPr>
          <w:rFonts w:hint="eastAsia"/>
          <w:color w:val="auto"/>
          <w:highlight w:val="none"/>
        </w:rPr>
        <w:t>项目</w:t>
      </w:r>
      <w:r>
        <w:rPr>
          <w:rFonts w:hint="eastAsia"/>
          <w:color w:val="auto"/>
          <w:highlight w:val="none"/>
          <w:lang w:val="en-US" w:eastAsia="zh-CN"/>
        </w:rPr>
        <w:t>回填</w:t>
      </w:r>
      <w:r>
        <w:rPr>
          <w:rFonts w:hint="eastAsia"/>
          <w:color w:val="auto"/>
          <w:highlight w:val="none"/>
        </w:rPr>
        <w:t>过程中</w:t>
      </w:r>
      <w:r>
        <w:rPr>
          <w:rFonts w:hint="eastAsia" w:ascii="Times New Roman"/>
          <w:color w:val="auto"/>
          <w:highlight w:val="none"/>
          <w:lang w:val="en-US" w:eastAsia="zh-CN"/>
        </w:rPr>
        <w:t>采砂坑</w:t>
      </w:r>
      <w:r>
        <w:rPr>
          <w:rFonts w:hint="eastAsia"/>
          <w:color w:val="auto"/>
          <w:highlight w:val="none"/>
        </w:rPr>
        <w:t>壁或者底部</w:t>
      </w:r>
      <w:r>
        <w:rPr>
          <w:rFonts w:hint="eastAsia"/>
          <w:color w:val="auto"/>
          <w:highlight w:val="none"/>
          <w:lang w:val="en-US" w:eastAsia="zh-CN"/>
        </w:rPr>
        <w:t>防渗层</w:t>
      </w:r>
      <w:r>
        <w:rPr>
          <w:rFonts w:hint="eastAsia"/>
          <w:color w:val="auto"/>
          <w:highlight w:val="none"/>
        </w:rPr>
        <w:t>有裂纹，且遇到大降水条件下，雨水会向地下渗漏，可能对地下水水质造成影响。</w:t>
      </w:r>
    </w:p>
    <w:p w14:paraId="2201F341">
      <w:pPr>
        <w:pStyle w:val="217"/>
        <w:spacing w:line="360" w:lineRule="auto"/>
        <w:ind w:firstLine="480"/>
        <w:rPr>
          <w:rFonts w:cs="Times New Roman"/>
          <w:color w:val="auto"/>
          <w:highlight w:val="none"/>
        </w:rPr>
      </w:pPr>
      <w:r>
        <w:rPr>
          <w:rFonts w:hint="eastAsia" w:cs="Times New Roman"/>
          <w:color w:val="auto"/>
          <w:highlight w:val="none"/>
          <w:lang w:eastAsia="zh-CN"/>
        </w:rPr>
        <w:t>（</w:t>
      </w:r>
      <w:r>
        <w:rPr>
          <w:rFonts w:hint="eastAsia" w:cs="Times New Roman"/>
          <w:color w:val="auto"/>
          <w:highlight w:val="none"/>
          <w:lang w:val="en-US" w:eastAsia="zh-CN"/>
        </w:rPr>
        <w:t>4</w:t>
      </w:r>
      <w:r>
        <w:rPr>
          <w:rFonts w:hint="eastAsia" w:cs="Times New Roman"/>
          <w:color w:val="auto"/>
          <w:highlight w:val="none"/>
          <w:lang w:eastAsia="zh-CN"/>
        </w:rPr>
        <w:t>）</w:t>
      </w:r>
      <w:r>
        <w:rPr>
          <w:rFonts w:cs="Times New Roman"/>
          <w:color w:val="auto"/>
          <w:highlight w:val="none"/>
        </w:rPr>
        <w:t>预测时段</w:t>
      </w:r>
    </w:p>
    <w:p w14:paraId="59488C2A">
      <w:pPr>
        <w:pStyle w:val="217"/>
        <w:spacing w:line="360" w:lineRule="auto"/>
        <w:ind w:firstLine="480"/>
        <w:rPr>
          <w:rFonts w:cs="Times New Roman"/>
          <w:color w:val="auto"/>
          <w:highlight w:val="none"/>
        </w:rPr>
      </w:pPr>
      <w:r>
        <w:rPr>
          <w:rFonts w:cs="Times New Roman"/>
          <w:color w:val="auto"/>
          <w:highlight w:val="none"/>
        </w:rPr>
        <w:t>选取可能产生地下水污染的关键时段，预测时段设定为发生</w:t>
      </w:r>
      <w:r>
        <w:rPr>
          <w:rFonts w:hint="eastAsia" w:cs="Times New Roman"/>
          <w:color w:val="auto"/>
          <w:highlight w:val="none"/>
          <w:lang w:eastAsia="zh-CN"/>
        </w:rPr>
        <w:t>淋滤水</w:t>
      </w:r>
      <w:r>
        <w:rPr>
          <w:rFonts w:cs="Times New Roman"/>
          <w:color w:val="auto"/>
          <w:highlight w:val="none"/>
        </w:rPr>
        <w:t>泄漏后的100天、1000天、5000天。</w:t>
      </w:r>
    </w:p>
    <w:p w14:paraId="41276E05">
      <w:pPr>
        <w:spacing w:line="360" w:lineRule="auto"/>
        <w:ind w:firstLine="480"/>
        <w:rPr>
          <w:color w:val="auto"/>
          <w:highlight w:val="none"/>
        </w:rPr>
      </w:pPr>
      <w:r>
        <w:rPr>
          <w:rFonts w:hint="eastAsia"/>
          <w:color w:val="auto"/>
          <w:highlight w:val="none"/>
        </w:rPr>
        <w:t>（5）源强的确定</w:t>
      </w:r>
    </w:p>
    <w:p w14:paraId="1F646846">
      <w:pPr>
        <w:pStyle w:val="217"/>
        <w:spacing w:line="360" w:lineRule="auto"/>
        <w:ind w:firstLine="480"/>
        <w:rPr>
          <w:color w:val="auto"/>
          <w:sz w:val="24"/>
          <w:szCs w:val="24"/>
          <w:highlight w:val="none"/>
        </w:rPr>
      </w:pPr>
      <w:r>
        <w:rPr>
          <w:rFonts w:cs="Times New Roman"/>
          <w:color w:val="auto"/>
          <w:highlight w:val="none"/>
        </w:rPr>
        <w:t>按照《环境影响评价技术导则地下水环境》（HJ610-2016）要求</w:t>
      </w:r>
      <w:r>
        <w:rPr>
          <w:rFonts w:hint="eastAsia" w:cs="Times New Roman"/>
          <w:color w:val="auto"/>
          <w:highlight w:val="none"/>
          <w:lang w:eastAsia="zh-CN"/>
        </w:rPr>
        <w:t>“</w:t>
      </w:r>
      <w:r>
        <w:rPr>
          <w:rFonts w:cs="Times New Roman"/>
          <w:color w:val="auto"/>
          <w:highlight w:val="none"/>
        </w:rPr>
        <w:t>对每一类别的各项因子采用标准指数法进行排序，分别取标准指数最大的因子作为预测因子</w:t>
      </w:r>
      <w:r>
        <w:rPr>
          <w:rFonts w:hint="eastAsia" w:cs="Times New Roman"/>
          <w:color w:val="auto"/>
          <w:highlight w:val="none"/>
          <w:lang w:eastAsia="zh-CN"/>
        </w:rPr>
        <w:t>”</w:t>
      </w:r>
      <w:r>
        <w:rPr>
          <w:rFonts w:cs="Times New Roman"/>
          <w:color w:val="auto"/>
          <w:highlight w:val="none"/>
        </w:rPr>
        <w:t>。根据前文对粉煤灰浸出液检测数据，</w:t>
      </w:r>
      <w:r>
        <w:rPr>
          <w:rFonts w:hint="eastAsia" w:cs="Times New Roman"/>
          <w:color w:val="auto"/>
          <w:highlight w:val="none"/>
        </w:rPr>
        <w:t>首先筛选出超出检出限的污染因子，其次将筛选出的</w:t>
      </w:r>
      <w:r>
        <w:rPr>
          <w:rFonts w:cs="Times New Roman"/>
          <w:color w:val="auto"/>
          <w:highlight w:val="none"/>
        </w:rPr>
        <w:t>污染物按照特性</w:t>
      </w:r>
      <w:r>
        <w:rPr>
          <w:rFonts w:hint="eastAsia" w:cs="Times New Roman"/>
          <w:color w:val="auto"/>
          <w:highlight w:val="none"/>
        </w:rPr>
        <w:t>分类，按</w:t>
      </w:r>
      <w:r>
        <w:rPr>
          <w:rFonts w:cs="Times New Roman"/>
          <w:color w:val="auto"/>
          <w:highlight w:val="none"/>
        </w:rPr>
        <w:t>重金属、持久性有机污染物及其他类别进行分类，根据污染物识别结果及淋</w:t>
      </w:r>
      <w:r>
        <w:rPr>
          <w:rFonts w:hint="eastAsia" w:cs="Times New Roman"/>
          <w:color w:val="auto"/>
          <w:highlight w:val="none"/>
          <w:lang w:val="en-US" w:eastAsia="zh-CN"/>
        </w:rPr>
        <w:t>滤</w:t>
      </w:r>
      <w:r>
        <w:rPr>
          <w:rFonts w:cs="Times New Roman"/>
          <w:color w:val="auto"/>
          <w:highlight w:val="none"/>
        </w:rPr>
        <w:t>水水质指标</w:t>
      </w:r>
      <w:r>
        <w:rPr>
          <w:rFonts w:hint="eastAsia" w:cs="Times New Roman"/>
          <w:color w:val="auto"/>
          <w:highlight w:val="none"/>
          <w:lang w:eastAsia="zh-CN"/>
        </w:rPr>
        <w:t>。</w:t>
      </w:r>
      <w:r>
        <w:rPr>
          <w:rFonts w:hint="eastAsia" w:cs="Times New Roman"/>
          <w:color w:val="auto"/>
          <w:highlight w:val="none"/>
        </w:rPr>
        <w:t>最后，</w:t>
      </w:r>
      <w:r>
        <w:rPr>
          <w:rFonts w:cs="Times New Roman"/>
          <w:color w:val="auto"/>
          <w:highlight w:val="none"/>
        </w:rPr>
        <w:t>对照《地下水质量标准》（GB/T14848-2017）、《地表水环境质量标准》（GB3838-2002）</w:t>
      </w:r>
      <w:r>
        <w:rPr>
          <w:rFonts w:hint="eastAsia" w:cs="Times New Roman"/>
          <w:color w:val="auto"/>
          <w:highlight w:val="none"/>
        </w:rPr>
        <w:t>计算标准指数</w:t>
      </w:r>
      <w:r>
        <w:rPr>
          <w:rFonts w:cs="Times New Roman"/>
          <w:color w:val="auto"/>
          <w:highlight w:val="none"/>
        </w:rPr>
        <w:t>，各污染物</w:t>
      </w:r>
      <w:r>
        <w:rPr>
          <w:rFonts w:hint="eastAsia" w:cs="Times New Roman"/>
          <w:color w:val="auto"/>
          <w:highlight w:val="none"/>
        </w:rPr>
        <w:t>污染指数</w:t>
      </w:r>
      <w:r>
        <w:rPr>
          <w:rFonts w:cs="Times New Roman"/>
          <w:color w:val="auto"/>
          <w:highlight w:val="none"/>
        </w:rPr>
        <w:t>排序结果见下表</w:t>
      </w:r>
      <w:r>
        <w:rPr>
          <w:rFonts w:hint="eastAsia"/>
          <w:color w:val="auto"/>
          <w:highlight w:val="none"/>
        </w:rPr>
        <w:t>5</w:t>
      </w:r>
      <w:r>
        <w:rPr>
          <w:rFonts w:hint="eastAsia"/>
          <w:color w:val="auto"/>
          <w:highlight w:val="none"/>
          <w:lang w:val="en-US" w:eastAsia="zh-CN"/>
        </w:rPr>
        <w:t>.2</w:t>
      </w:r>
      <w:r>
        <w:rPr>
          <w:rFonts w:hint="eastAsia"/>
          <w:color w:val="auto"/>
          <w:highlight w:val="none"/>
        </w:rPr>
        <w:t>-</w:t>
      </w:r>
      <w:r>
        <w:rPr>
          <w:rFonts w:hint="eastAsia"/>
          <w:color w:val="auto"/>
          <w:highlight w:val="none"/>
          <w:lang w:val="en-US" w:eastAsia="zh-CN"/>
        </w:rPr>
        <w:t>5</w:t>
      </w:r>
      <w:r>
        <w:rPr>
          <w:color w:val="auto"/>
          <w:highlight w:val="none"/>
        </w:rPr>
        <w:t>。</w:t>
      </w:r>
      <w:r>
        <w:rPr>
          <w:rFonts w:cs="Times New Roman"/>
          <w:color w:val="auto"/>
          <w:highlight w:val="none"/>
        </w:rPr>
        <w:t>本项目选择标准指数最大的重金属因子</w:t>
      </w:r>
      <w:r>
        <w:rPr>
          <w:rFonts w:hint="eastAsia" w:ascii="宋体" w:hAnsi="宋体" w:eastAsia="宋体" w:cs="宋体"/>
          <w:i w:val="0"/>
          <w:iCs w:val="0"/>
          <w:color w:val="auto"/>
          <w:kern w:val="0"/>
          <w:sz w:val="24"/>
          <w:szCs w:val="24"/>
          <w:highlight w:val="none"/>
          <w:u w:val="none"/>
          <w:lang w:val="en-US" w:eastAsia="zh-CN" w:bidi="ar"/>
        </w:rPr>
        <w:t>总砷</w:t>
      </w:r>
      <w:r>
        <w:rPr>
          <w:rFonts w:cs="Times New Roman"/>
          <w:color w:val="auto"/>
          <w:sz w:val="24"/>
          <w:szCs w:val="24"/>
          <w:highlight w:val="none"/>
        </w:rPr>
        <w:t>作为评价因子，其他类别选择标准指数最大的</w:t>
      </w:r>
      <w:r>
        <w:rPr>
          <w:rFonts w:hint="eastAsia" w:ascii="宋体" w:hAnsi="宋体" w:eastAsia="宋体" w:cs="宋体"/>
          <w:b w:val="0"/>
          <w:bCs w:val="0"/>
          <w:i w:val="0"/>
          <w:iCs w:val="0"/>
          <w:color w:val="auto"/>
          <w:kern w:val="0"/>
          <w:sz w:val="24"/>
          <w:szCs w:val="24"/>
          <w:highlight w:val="none"/>
          <w:u w:val="none"/>
          <w:lang w:val="en-US" w:eastAsia="zh-CN" w:bidi="ar"/>
        </w:rPr>
        <w:t>化学需氧量</w:t>
      </w:r>
      <w:r>
        <w:rPr>
          <w:rFonts w:cs="Times New Roman"/>
          <w:color w:val="auto"/>
          <w:sz w:val="24"/>
          <w:szCs w:val="24"/>
          <w:highlight w:val="none"/>
        </w:rPr>
        <w:t>作为预测因子。</w:t>
      </w:r>
    </w:p>
    <w:p w14:paraId="095B3234">
      <w:pPr>
        <w:ind w:firstLine="0" w:firstLineChars="0"/>
        <w:jc w:val="center"/>
        <w:rPr>
          <w:rFonts w:eastAsia="宋体"/>
          <w:b/>
          <w:bCs w:val="0"/>
          <w:color w:val="auto"/>
          <w:sz w:val="24"/>
          <w:highlight w:val="none"/>
        </w:rPr>
      </w:pPr>
    </w:p>
    <w:p w14:paraId="10635163">
      <w:pPr>
        <w:ind w:firstLine="0" w:firstLineChars="0"/>
        <w:jc w:val="center"/>
        <w:rPr>
          <w:rFonts w:eastAsia="宋体"/>
          <w:b/>
          <w:bCs w:val="0"/>
          <w:color w:val="auto"/>
          <w:sz w:val="24"/>
          <w:highlight w:val="none"/>
        </w:rPr>
      </w:pPr>
    </w:p>
    <w:p w14:paraId="19291B9A">
      <w:pPr>
        <w:ind w:firstLine="0" w:firstLineChars="0"/>
        <w:jc w:val="center"/>
        <w:rPr>
          <w:rFonts w:eastAsia="宋体"/>
          <w:b/>
          <w:bCs w:val="0"/>
          <w:color w:val="auto"/>
          <w:sz w:val="24"/>
          <w:highlight w:val="none"/>
        </w:rPr>
      </w:pPr>
    </w:p>
    <w:p w14:paraId="52C367F7">
      <w:pPr>
        <w:ind w:firstLine="0" w:firstLineChars="0"/>
        <w:jc w:val="center"/>
        <w:rPr>
          <w:rFonts w:eastAsia="宋体"/>
          <w:b/>
          <w:bCs w:val="0"/>
          <w:color w:val="auto"/>
          <w:sz w:val="24"/>
          <w:highlight w:val="none"/>
        </w:rPr>
      </w:pPr>
    </w:p>
    <w:p w14:paraId="35C8A385">
      <w:pPr>
        <w:ind w:firstLine="0" w:firstLineChars="0"/>
        <w:jc w:val="center"/>
        <w:rPr>
          <w:rFonts w:eastAsia="宋体"/>
          <w:b/>
          <w:bCs w:val="0"/>
          <w:color w:val="auto"/>
          <w:sz w:val="24"/>
          <w:highlight w:val="none"/>
        </w:rPr>
      </w:pPr>
    </w:p>
    <w:p w14:paraId="47B4A6E0">
      <w:pPr>
        <w:ind w:firstLine="0" w:firstLineChars="0"/>
        <w:jc w:val="center"/>
        <w:rPr>
          <w:rFonts w:eastAsia="宋体"/>
          <w:b/>
          <w:bCs w:val="0"/>
          <w:color w:val="auto"/>
          <w:sz w:val="24"/>
          <w:highlight w:val="none"/>
        </w:rPr>
      </w:pPr>
      <w:r>
        <w:rPr>
          <w:rFonts w:eastAsia="宋体"/>
          <w:b/>
          <w:bCs w:val="0"/>
          <w:color w:val="auto"/>
          <w:sz w:val="24"/>
          <w:highlight w:val="none"/>
        </w:rPr>
        <w:t>表</w:t>
      </w:r>
      <w:r>
        <w:rPr>
          <w:rFonts w:hint="eastAsia" w:eastAsia="宋体"/>
          <w:b/>
          <w:bCs w:val="0"/>
          <w:color w:val="auto"/>
          <w:sz w:val="24"/>
          <w:highlight w:val="none"/>
        </w:rPr>
        <w:t>5</w:t>
      </w:r>
      <w:r>
        <w:rPr>
          <w:rFonts w:hint="eastAsia" w:eastAsia="宋体"/>
          <w:b/>
          <w:bCs w:val="0"/>
          <w:color w:val="auto"/>
          <w:sz w:val="24"/>
          <w:highlight w:val="none"/>
          <w:lang w:val="en-US" w:eastAsia="zh-CN"/>
        </w:rPr>
        <w:t>.2</w:t>
      </w:r>
      <w:r>
        <w:rPr>
          <w:rFonts w:hint="eastAsia" w:eastAsia="宋体"/>
          <w:b/>
          <w:bCs w:val="0"/>
          <w:color w:val="auto"/>
          <w:sz w:val="24"/>
          <w:highlight w:val="none"/>
        </w:rPr>
        <w:t>-</w:t>
      </w:r>
      <w:r>
        <w:rPr>
          <w:rFonts w:hint="eastAsia"/>
          <w:b/>
          <w:bCs w:val="0"/>
          <w:color w:val="auto"/>
          <w:sz w:val="24"/>
          <w:highlight w:val="none"/>
          <w:lang w:val="en-US" w:eastAsia="zh-CN"/>
        </w:rPr>
        <w:t xml:space="preserve">5  </w:t>
      </w:r>
      <w:r>
        <w:rPr>
          <w:rFonts w:hint="eastAsia" w:eastAsia="宋体"/>
          <w:b/>
          <w:bCs w:val="0"/>
          <w:color w:val="auto"/>
          <w:sz w:val="24"/>
          <w:highlight w:val="none"/>
        </w:rPr>
        <w:t>地下水</w:t>
      </w:r>
      <w:r>
        <w:rPr>
          <w:rFonts w:eastAsia="宋体"/>
          <w:b/>
          <w:bCs w:val="0"/>
          <w:color w:val="auto"/>
          <w:sz w:val="24"/>
          <w:highlight w:val="none"/>
        </w:rPr>
        <w:t>污染物标准指数表</w:t>
      </w:r>
    </w:p>
    <w:tbl>
      <w:tblPr>
        <w:tblStyle w:val="84"/>
        <w:tblW w:w="470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27"/>
        <w:gridCol w:w="1366"/>
        <w:gridCol w:w="1293"/>
        <w:gridCol w:w="925"/>
        <w:gridCol w:w="1104"/>
        <w:gridCol w:w="1304"/>
        <w:gridCol w:w="668"/>
        <w:gridCol w:w="1160"/>
      </w:tblGrid>
      <w:tr w14:paraId="4F4C31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7" w:hRule="atLeast"/>
          <w:tblHeader/>
          <w:jc w:val="center"/>
        </w:trPr>
        <w:tc>
          <w:tcPr>
            <w:tcW w:w="371" w:type="pct"/>
            <w:tcBorders>
              <w:tl2br w:val="nil"/>
              <w:tr2bl w:val="nil"/>
            </w:tcBorders>
            <w:noWrap w:val="0"/>
            <w:vAlign w:val="center"/>
          </w:tcPr>
          <w:p w14:paraId="1E1F6B17">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r>
              <w:rPr>
                <w:color w:val="auto"/>
                <w:sz w:val="21"/>
                <w:szCs w:val="21"/>
                <w:highlight w:val="none"/>
              </w:rPr>
              <w:t>序号</w:t>
            </w:r>
          </w:p>
        </w:tc>
        <w:tc>
          <w:tcPr>
            <w:tcW w:w="808" w:type="pct"/>
            <w:tcBorders>
              <w:tl2br w:val="nil"/>
              <w:tr2bl w:val="nil"/>
            </w:tcBorders>
            <w:noWrap w:val="0"/>
            <w:vAlign w:val="center"/>
          </w:tcPr>
          <w:p w14:paraId="7929E2E3">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r>
              <w:rPr>
                <w:color w:val="auto"/>
                <w:sz w:val="21"/>
                <w:szCs w:val="21"/>
                <w:highlight w:val="none"/>
              </w:rPr>
              <w:t>污染物</w:t>
            </w:r>
          </w:p>
        </w:tc>
        <w:tc>
          <w:tcPr>
            <w:tcW w:w="765" w:type="pct"/>
            <w:tcBorders>
              <w:tl2br w:val="nil"/>
              <w:tr2bl w:val="nil"/>
            </w:tcBorders>
            <w:noWrap w:val="0"/>
            <w:vAlign w:val="center"/>
          </w:tcPr>
          <w:p w14:paraId="6907D0D3">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ascii="Times New Roman" w:hAnsi="Times New Roman" w:eastAsia="宋体" w:cs="Times New Roman"/>
                <w:color w:val="auto"/>
                <w:kern w:val="0"/>
                <w:sz w:val="21"/>
                <w:szCs w:val="21"/>
                <w:highlight w:val="none"/>
                <w:lang w:val="en-US" w:eastAsia="zh-CN" w:bidi="ar-SA"/>
              </w:rPr>
            </w:pPr>
            <w:r>
              <w:rPr>
                <w:rFonts w:eastAsia="宋体"/>
                <w:color w:val="auto"/>
                <w:spacing w:val="9"/>
                <w:sz w:val="21"/>
                <w:szCs w:val="21"/>
                <w:highlight w:val="none"/>
              </w:rPr>
              <w:t>污染物浓度</w:t>
            </w:r>
          </w:p>
        </w:tc>
        <w:tc>
          <w:tcPr>
            <w:tcW w:w="547" w:type="pct"/>
            <w:tcBorders>
              <w:tl2br w:val="nil"/>
              <w:tr2bl w:val="nil"/>
            </w:tcBorders>
            <w:noWrap w:val="0"/>
            <w:vAlign w:val="center"/>
          </w:tcPr>
          <w:p w14:paraId="6286561D">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eastAsia" w:eastAsia="宋体"/>
                <w:color w:val="auto"/>
                <w:spacing w:val="9"/>
                <w:sz w:val="21"/>
                <w:szCs w:val="21"/>
                <w:highlight w:val="none"/>
                <w:lang w:val="en-US" w:eastAsia="zh-CN"/>
              </w:rPr>
            </w:pPr>
            <w:r>
              <w:rPr>
                <w:rFonts w:hint="eastAsia"/>
                <w:color w:val="auto"/>
                <w:spacing w:val="9"/>
                <w:sz w:val="21"/>
                <w:szCs w:val="21"/>
                <w:highlight w:val="none"/>
                <w:lang w:val="en-US" w:eastAsia="zh-CN"/>
              </w:rPr>
              <w:t>单位</w:t>
            </w:r>
          </w:p>
        </w:tc>
        <w:tc>
          <w:tcPr>
            <w:tcW w:w="653" w:type="pct"/>
            <w:tcBorders>
              <w:tl2br w:val="nil"/>
              <w:tr2bl w:val="nil"/>
            </w:tcBorders>
            <w:noWrap w:val="0"/>
            <w:vAlign w:val="center"/>
          </w:tcPr>
          <w:p w14:paraId="05989E87">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eastAsia="宋体"/>
                <w:color w:val="auto"/>
                <w:spacing w:val="9"/>
                <w:sz w:val="21"/>
                <w:szCs w:val="21"/>
                <w:highlight w:val="none"/>
                <w:lang w:val="en-US" w:eastAsia="zh-CN"/>
              </w:rPr>
            </w:pPr>
            <w:r>
              <w:rPr>
                <w:rFonts w:hint="eastAsia"/>
                <w:color w:val="auto"/>
                <w:spacing w:val="9"/>
                <w:sz w:val="21"/>
                <w:szCs w:val="21"/>
                <w:highlight w:val="none"/>
                <w:lang w:val="en-US" w:eastAsia="zh-CN"/>
              </w:rPr>
              <w:t>标准限值</w:t>
            </w:r>
          </w:p>
        </w:tc>
        <w:tc>
          <w:tcPr>
            <w:tcW w:w="771" w:type="pct"/>
            <w:tcBorders>
              <w:tl2br w:val="nil"/>
              <w:tr2bl w:val="nil"/>
            </w:tcBorders>
            <w:noWrap w:val="0"/>
            <w:vAlign w:val="center"/>
          </w:tcPr>
          <w:p w14:paraId="7630B68F">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eastAsia="宋体"/>
                <w:color w:val="auto"/>
                <w:spacing w:val="9"/>
                <w:sz w:val="21"/>
                <w:szCs w:val="21"/>
                <w:highlight w:val="none"/>
                <w:lang w:val="en-US" w:eastAsia="zh-CN"/>
              </w:rPr>
            </w:pPr>
            <w:r>
              <w:rPr>
                <w:rFonts w:hint="eastAsia"/>
                <w:color w:val="auto"/>
                <w:spacing w:val="9"/>
                <w:sz w:val="21"/>
                <w:szCs w:val="21"/>
                <w:highlight w:val="none"/>
                <w:lang w:val="en-US" w:eastAsia="zh-CN"/>
              </w:rPr>
              <w:t>标准指数</w:t>
            </w:r>
          </w:p>
        </w:tc>
        <w:tc>
          <w:tcPr>
            <w:tcW w:w="395" w:type="pct"/>
            <w:tcBorders>
              <w:tl2br w:val="nil"/>
              <w:tr2bl w:val="nil"/>
            </w:tcBorders>
            <w:noWrap w:val="0"/>
            <w:vAlign w:val="center"/>
          </w:tcPr>
          <w:p w14:paraId="1D9D229A">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eastAsia"/>
                <w:color w:val="auto"/>
                <w:spacing w:val="9"/>
                <w:sz w:val="21"/>
                <w:szCs w:val="21"/>
                <w:highlight w:val="none"/>
                <w:lang w:val="en-US" w:eastAsia="zh-CN"/>
              </w:rPr>
            </w:pPr>
            <w:r>
              <w:rPr>
                <w:color w:val="auto"/>
                <w:kern w:val="0"/>
                <w:sz w:val="21"/>
                <w:szCs w:val="21"/>
                <w:highlight w:val="none"/>
              </w:rPr>
              <w:t>排序</w:t>
            </w:r>
          </w:p>
        </w:tc>
        <w:tc>
          <w:tcPr>
            <w:tcW w:w="686" w:type="pct"/>
            <w:tcBorders>
              <w:tl2br w:val="nil"/>
              <w:tr2bl w:val="nil"/>
            </w:tcBorders>
            <w:noWrap w:val="0"/>
            <w:vAlign w:val="center"/>
          </w:tcPr>
          <w:p w14:paraId="68DEF6F2">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eastAsia" w:eastAsia="宋体"/>
                <w:color w:val="auto"/>
                <w:kern w:val="0"/>
                <w:sz w:val="21"/>
                <w:szCs w:val="21"/>
                <w:highlight w:val="none"/>
                <w:lang w:val="en-US" w:eastAsia="zh-CN"/>
              </w:rPr>
            </w:pPr>
            <w:r>
              <w:rPr>
                <w:rFonts w:hint="eastAsia"/>
                <w:color w:val="auto"/>
                <w:kern w:val="0"/>
                <w:sz w:val="21"/>
                <w:szCs w:val="21"/>
                <w:highlight w:val="none"/>
                <w:lang w:val="en-US" w:eastAsia="zh-CN"/>
              </w:rPr>
              <w:t>备注</w:t>
            </w:r>
          </w:p>
        </w:tc>
      </w:tr>
      <w:tr w14:paraId="48590E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7" w:hRule="atLeast"/>
          <w:tblHeader/>
          <w:jc w:val="center"/>
        </w:trPr>
        <w:tc>
          <w:tcPr>
            <w:tcW w:w="371" w:type="pct"/>
            <w:tcBorders>
              <w:tl2br w:val="nil"/>
              <w:tr2bl w:val="nil"/>
            </w:tcBorders>
            <w:shd w:val="clear" w:color="auto" w:fill="auto"/>
            <w:noWrap w:val="0"/>
            <w:vAlign w:val="center"/>
          </w:tcPr>
          <w:p w14:paraId="1E323C4D">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b/>
                <w:bCs/>
                <w:color w:val="auto"/>
                <w:sz w:val="21"/>
                <w:szCs w:val="21"/>
                <w:highlight w:val="none"/>
              </w:rPr>
              <w:t>1</w:t>
            </w:r>
          </w:p>
        </w:tc>
        <w:tc>
          <w:tcPr>
            <w:tcW w:w="808" w:type="pct"/>
            <w:tcBorders>
              <w:tl2br w:val="nil"/>
              <w:tr2bl w:val="nil"/>
            </w:tcBorders>
            <w:shd w:val="clear" w:color="auto" w:fill="auto"/>
            <w:noWrap w:val="0"/>
            <w:vAlign w:val="center"/>
          </w:tcPr>
          <w:p w14:paraId="64D0E309">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eastAsia="宋体" w:cs="Times New Roman"/>
                <w:b/>
                <w:bCs/>
                <w:color w:val="auto"/>
                <w:kern w:val="0"/>
                <w:sz w:val="21"/>
                <w:szCs w:val="21"/>
                <w:highlight w:val="none"/>
                <w:lang w:val="en-US" w:eastAsia="zh-CN" w:bidi="ar-SA"/>
              </w:rPr>
            </w:pPr>
            <w:r>
              <w:rPr>
                <w:rFonts w:hint="eastAsia" w:ascii="宋体" w:hAnsi="宋体" w:eastAsia="宋体" w:cs="宋体"/>
                <w:b/>
                <w:bCs/>
                <w:i w:val="0"/>
                <w:iCs w:val="0"/>
                <w:color w:val="auto"/>
                <w:kern w:val="0"/>
                <w:sz w:val="20"/>
                <w:szCs w:val="20"/>
                <w:highlight w:val="none"/>
                <w:u w:val="none"/>
                <w:lang w:val="en-US" w:eastAsia="zh-CN" w:bidi="ar"/>
              </w:rPr>
              <w:t>化学需氧量</w:t>
            </w:r>
          </w:p>
        </w:tc>
        <w:tc>
          <w:tcPr>
            <w:tcW w:w="765" w:type="pct"/>
            <w:tcBorders>
              <w:tl2br w:val="nil"/>
              <w:tr2bl w:val="nil"/>
            </w:tcBorders>
            <w:shd w:val="clear" w:color="auto" w:fill="auto"/>
            <w:noWrap w:val="0"/>
            <w:vAlign w:val="center"/>
          </w:tcPr>
          <w:p w14:paraId="524652F4">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b/>
                <w:bCs/>
                <w:i w:val="0"/>
                <w:iCs w:val="0"/>
                <w:color w:val="auto"/>
                <w:kern w:val="2"/>
                <w:sz w:val="20"/>
                <w:szCs w:val="20"/>
                <w:highlight w:val="none"/>
                <w:u w:val="none"/>
                <w:lang w:val="en-US" w:eastAsia="zh-CN" w:bidi="ar-SA"/>
              </w:rPr>
            </w:pPr>
            <w:r>
              <w:rPr>
                <w:rFonts w:hint="eastAsia" w:ascii="宋体" w:hAnsi="宋体" w:eastAsia="宋体" w:cs="宋体"/>
                <w:b/>
                <w:bCs/>
                <w:i w:val="0"/>
                <w:iCs w:val="0"/>
                <w:color w:val="auto"/>
                <w:kern w:val="0"/>
                <w:sz w:val="20"/>
                <w:szCs w:val="20"/>
                <w:highlight w:val="none"/>
                <w:u w:val="none"/>
                <w:lang w:val="en-US" w:eastAsia="zh-CN" w:bidi="ar"/>
              </w:rPr>
              <w:t>84</w:t>
            </w:r>
          </w:p>
        </w:tc>
        <w:tc>
          <w:tcPr>
            <w:tcW w:w="547" w:type="pct"/>
            <w:tcBorders>
              <w:tl2br w:val="nil"/>
              <w:tr2bl w:val="nil"/>
            </w:tcBorders>
            <w:shd w:val="clear" w:color="auto" w:fill="auto"/>
            <w:noWrap w:val="0"/>
            <w:vAlign w:val="center"/>
          </w:tcPr>
          <w:p w14:paraId="30F6C0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bCs/>
                <w:color w:val="auto"/>
                <w:kern w:val="2"/>
                <w:sz w:val="21"/>
                <w:szCs w:val="21"/>
                <w:highlight w:val="none"/>
                <w:lang w:val="en-US" w:eastAsia="zh-CN" w:bidi="ar-SA"/>
              </w:rPr>
            </w:pPr>
            <w:r>
              <w:rPr>
                <w:b/>
                <w:bCs/>
                <w:color w:val="auto"/>
                <w:sz w:val="21"/>
                <w:szCs w:val="21"/>
                <w:highlight w:val="none"/>
              </w:rPr>
              <w:t>mg/L</w:t>
            </w:r>
          </w:p>
        </w:tc>
        <w:tc>
          <w:tcPr>
            <w:tcW w:w="653" w:type="pct"/>
            <w:tcBorders>
              <w:tl2br w:val="nil"/>
              <w:tr2bl w:val="nil"/>
            </w:tcBorders>
            <w:shd w:val="clear" w:color="auto" w:fill="auto"/>
            <w:noWrap w:val="0"/>
            <w:vAlign w:val="center"/>
          </w:tcPr>
          <w:p w14:paraId="77CE93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bCs/>
                <w:color w:val="auto"/>
                <w:kern w:val="2"/>
                <w:sz w:val="21"/>
                <w:szCs w:val="21"/>
                <w:highlight w:val="none"/>
                <w:lang w:val="en-US" w:eastAsia="zh-CN" w:bidi="ar-SA"/>
              </w:rPr>
            </w:pPr>
            <w:r>
              <w:rPr>
                <w:rFonts w:hint="eastAsia"/>
                <w:b/>
                <w:bCs/>
                <w:color w:val="auto"/>
                <w:sz w:val="21"/>
                <w:szCs w:val="21"/>
                <w:highlight w:val="none"/>
                <w:lang w:val="en-US" w:eastAsia="zh-CN"/>
              </w:rPr>
              <w:t>20</w:t>
            </w:r>
          </w:p>
        </w:tc>
        <w:tc>
          <w:tcPr>
            <w:tcW w:w="771" w:type="pct"/>
            <w:tcBorders>
              <w:tl2br w:val="nil"/>
              <w:tr2bl w:val="nil"/>
            </w:tcBorders>
            <w:shd w:val="clear" w:color="auto" w:fill="auto"/>
            <w:noWrap w:val="0"/>
            <w:vAlign w:val="center"/>
          </w:tcPr>
          <w:p w14:paraId="4E66D1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firstLine="0" w:firstLineChars="0"/>
              <w:jc w:val="center"/>
              <w:textAlignment w:val="center"/>
              <w:rPr>
                <w:rFonts w:hint="eastAsia" w:ascii="Times New Roman" w:hAnsi="Times New Roman" w:eastAsia="宋体" w:cs="Times New Roman"/>
                <w:b/>
                <w:bCs/>
                <w:color w:val="auto"/>
                <w:kern w:val="2"/>
                <w:sz w:val="21"/>
                <w:szCs w:val="21"/>
                <w:highlight w:val="none"/>
                <w:lang w:val="en-US" w:eastAsia="zh-CN" w:bidi="ar-SA"/>
              </w:rPr>
            </w:pPr>
            <w:r>
              <w:rPr>
                <w:rFonts w:hint="eastAsia" w:ascii="Times New Roman" w:cs="Times New Roman"/>
                <w:b/>
                <w:bCs/>
                <w:i w:val="0"/>
                <w:iCs w:val="0"/>
                <w:color w:val="auto"/>
                <w:kern w:val="0"/>
                <w:sz w:val="22"/>
                <w:szCs w:val="22"/>
                <w:highlight w:val="none"/>
                <w:u w:val="none"/>
                <w:lang w:val="en-US" w:eastAsia="zh-CN" w:bidi="ar"/>
              </w:rPr>
              <w:t>4.2</w:t>
            </w:r>
          </w:p>
        </w:tc>
        <w:tc>
          <w:tcPr>
            <w:tcW w:w="395" w:type="pct"/>
            <w:tcBorders>
              <w:tl2br w:val="nil"/>
              <w:tr2bl w:val="nil"/>
            </w:tcBorders>
            <w:shd w:val="clear" w:color="auto" w:fill="auto"/>
            <w:noWrap w:val="0"/>
            <w:vAlign w:val="center"/>
          </w:tcPr>
          <w:p w14:paraId="06A25F9D">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bCs/>
                <w:color w:val="auto"/>
                <w:kern w:val="0"/>
                <w:sz w:val="21"/>
                <w:szCs w:val="21"/>
                <w:highlight w:val="none"/>
                <w:lang w:val="en-US" w:eastAsia="zh-CN" w:bidi="ar-SA"/>
              </w:rPr>
            </w:pPr>
            <w:r>
              <w:rPr>
                <w:rFonts w:hint="eastAsia" w:ascii="Times New Roman" w:cs="Times New Roman"/>
                <w:b/>
                <w:bCs/>
                <w:color w:val="auto"/>
                <w:kern w:val="0"/>
                <w:sz w:val="21"/>
                <w:szCs w:val="21"/>
                <w:highlight w:val="none"/>
                <w:lang w:val="en-US" w:eastAsia="zh-CN" w:bidi="ar-SA"/>
              </w:rPr>
              <w:t>1</w:t>
            </w:r>
          </w:p>
        </w:tc>
        <w:tc>
          <w:tcPr>
            <w:tcW w:w="686" w:type="pct"/>
            <w:tcBorders>
              <w:tl2br w:val="nil"/>
              <w:tr2bl w:val="nil"/>
            </w:tcBorders>
            <w:shd w:val="clear" w:color="auto" w:fill="auto"/>
            <w:noWrap w:val="0"/>
            <w:vAlign w:val="center"/>
          </w:tcPr>
          <w:p w14:paraId="19AC7A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bCs/>
                <w:color w:val="auto"/>
                <w:kern w:val="2"/>
                <w:sz w:val="21"/>
                <w:szCs w:val="21"/>
                <w:highlight w:val="none"/>
                <w:lang w:val="en-US" w:eastAsia="zh-CN" w:bidi="ar-SA"/>
              </w:rPr>
            </w:pPr>
            <w:r>
              <w:rPr>
                <w:b/>
                <w:bCs/>
                <w:color w:val="auto"/>
                <w:kern w:val="0"/>
                <w:sz w:val="21"/>
                <w:szCs w:val="21"/>
                <w:highlight w:val="none"/>
              </w:rPr>
              <w:t>其他类别</w:t>
            </w:r>
          </w:p>
        </w:tc>
      </w:tr>
      <w:tr w14:paraId="3042F6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7" w:hRule="atLeast"/>
          <w:tblHeader/>
          <w:jc w:val="center"/>
        </w:trPr>
        <w:tc>
          <w:tcPr>
            <w:tcW w:w="371" w:type="pct"/>
            <w:tcBorders>
              <w:tl2br w:val="nil"/>
              <w:tr2bl w:val="nil"/>
            </w:tcBorders>
            <w:shd w:val="clear" w:color="auto" w:fill="auto"/>
            <w:noWrap w:val="0"/>
            <w:vAlign w:val="center"/>
          </w:tcPr>
          <w:p w14:paraId="7787651C">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eastAsia" w:ascii="宋体" w:hAnsi="Times New Roman" w:eastAsia="宋体" w:cs="Times New Roman"/>
                <w:b/>
                <w:bCs/>
                <w:color w:val="auto"/>
                <w:kern w:val="0"/>
                <w:sz w:val="21"/>
                <w:szCs w:val="21"/>
                <w:highlight w:val="none"/>
                <w:lang w:val="en-US" w:eastAsia="zh-CN" w:bidi="ar-SA"/>
              </w:rPr>
            </w:pPr>
            <w:r>
              <w:rPr>
                <w:rFonts w:hint="eastAsia"/>
                <w:b/>
                <w:bCs/>
                <w:color w:val="auto"/>
                <w:sz w:val="21"/>
                <w:szCs w:val="21"/>
                <w:highlight w:val="none"/>
                <w:lang w:val="en-US" w:eastAsia="zh-CN"/>
              </w:rPr>
              <w:t>2</w:t>
            </w:r>
          </w:p>
        </w:tc>
        <w:tc>
          <w:tcPr>
            <w:tcW w:w="808" w:type="pct"/>
            <w:tcBorders>
              <w:tl2br w:val="nil"/>
              <w:tr2bl w:val="nil"/>
            </w:tcBorders>
            <w:shd w:val="clear" w:color="auto" w:fill="auto"/>
            <w:noWrap w:val="0"/>
            <w:vAlign w:val="center"/>
          </w:tcPr>
          <w:p w14:paraId="504F35CD">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宋体" w:hAnsi="Times New Roman" w:eastAsia="宋体" w:cs="Times New Roman"/>
                <w:b/>
                <w:bCs/>
                <w:color w:val="auto"/>
                <w:kern w:val="0"/>
                <w:sz w:val="21"/>
                <w:szCs w:val="21"/>
                <w:highlight w:val="none"/>
                <w:lang w:val="en-US" w:eastAsia="zh-CN" w:bidi="ar-SA"/>
              </w:rPr>
            </w:pPr>
            <w:r>
              <w:rPr>
                <w:rFonts w:hint="eastAsia" w:ascii="宋体" w:hAnsi="宋体" w:eastAsia="宋体" w:cs="宋体"/>
                <w:b/>
                <w:bCs/>
                <w:i w:val="0"/>
                <w:iCs w:val="0"/>
                <w:color w:val="auto"/>
                <w:kern w:val="0"/>
                <w:sz w:val="20"/>
                <w:szCs w:val="20"/>
                <w:highlight w:val="none"/>
                <w:u w:val="none"/>
                <w:lang w:val="en-US" w:eastAsia="zh-CN" w:bidi="ar"/>
              </w:rPr>
              <w:t>总砷</w:t>
            </w:r>
          </w:p>
        </w:tc>
        <w:tc>
          <w:tcPr>
            <w:tcW w:w="765" w:type="pct"/>
            <w:tcBorders>
              <w:tl2br w:val="nil"/>
              <w:tr2bl w:val="nil"/>
            </w:tcBorders>
            <w:shd w:val="clear" w:color="auto" w:fill="auto"/>
            <w:noWrap w:val="0"/>
            <w:vAlign w:val="center"/>
          </w:tcPr>
          <w:p w14:paraId="1956E6AA">
            <w:pPr>
              <w:keepNext w:val="0"/>
              <w:keepLines w:val="0"/>
              <w:widowControl/>
              <w:suppressLineNumbers w:val="0"/>
              <w:spacing w:before="0" w:beforeAutospacing="0" w:after="0" w:afterAutospacing="0"/>
              <w:ind w:left="0" w:leftChars="0" w:right="0" w:rightChars="0"/>
              <w:jc w:val="center"/>
              <w:textAlignment w:val="center"/>
              <w:rPr>
                <w:rFonts w:hint="default" w:ascii="宋体" w:hAnsi="宋体" w:eastAsia="宋体" w:cs="宋体"/>
                <w:b/>
                <w:bCs/>
                <w:i w:val="0"/>
                <w:iCs w:val="0"/>
                <w:color w:val="auto"/>
                <w:kern w:val="2"/>
                <w:sz w:val="20"/>
                <w:szCs w:val="20"/>
                <w:highlight w:val="none"/>
                <w:u w:val="none"/>
                <w:lang w:val="en-US" w:eastAsia="zh-CN" w:bidi="ar-SA"/>
              </w:rPr>
            </w:pPr>
            <w:r>
              <w:rPr>
                <w:rFonts w:hint="eastAsia" w:ascii="宋体" w:hAnsi="宋体" w:eastAsia="宋体" w:cs="宋体"/>
                <w:b/>
                <w:bCs/>
                <w:i w:val="0"/>
                <w:iCs w:val="0"/>
                <w:color w:val="auto"/>
                <w:sz w:val="20"/>
                <w:szCs w:val="20"/>
                <w:highlight w:val="none"/>
                <w:u w:val="none"/>
                <w:lang w:val="en-US" w:eastAsia="zh-CN"/>
              </w:rPr>
              <w:t>0.0</w:t>
            </w:r>
            <w:r>
              <w:rPr>
                <w:rFonts w:hint="eastAsia" w:hAnsi="宋体" w:cs="宋体"/>
                <w:b/>
                <w:bCs/>
                <w:i w:val="0"/>
                <w:iCs w:val="0"/>
                <w:color w:val="auto"/>
                <w:sz w:val="20"/>
                <w:szCs w:val="20"/>
                <w:highlight w:val="none"/>
                <w:u w:val="none"/>
                <w:lang w:val="en-US" w:eastAsia="zh-CN"/>
              </w:rPr>
              <w:t>358</w:t>
            </w:r>
          </w:p>
        </w:tc>
        <w:tc>
          <w:tcPr>
            <w:tcW w:w="547" w:type="pct"/>
            <w:tcBorders>
              <w:tl2br w:val="nil"/>
              <w:tr2bl w:val="nil"/>
            </w:tcBorders>
            <w:shd w:val="clear" w:color="auto" w:fill="auto"/>
            <w:noWrap w:val="0"/>
            <w:vAlign w:val="center"/>
          </w:tcPr>
          <w:p w14:paraId="494F73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bCs/>
                <w:color w:val="auto"/>
                <w:kern w:val="2"/>
                <w:sz w:val="21"/>
                <w:szCs w:val="21"/>
                <w:highlight w:val="none"/>
                <w:lang w:val="en-US" w:eastAsia="zh-CN" w:bidi="ar-SA"/>
              </w:rPr>
            </w:pPr>
            <w:r>
              <w:rPr>
                <w:b/>
                <w:bCs/>
                <w:color w:val="auto"/>
                <w:sz w:val="21"/>
                <w:szCs w:val="21"/>
                <w:highlight w:val="none"/>
              </w:rPr>
              <w:t>mg/L</w:t>
            </w:r>
          </w:p>
        </w:tc>
        <w:tc>
          <w:tcPr>
            <w:tcW w:w="653" w:type="pct"/>
            <w:tcBorders>
              <w:tl2br w:val="nil"/>
              <w:tr2bl w:val="nil"/>
            </w:tcBorders>
            <w:shd w:val="clear" w:color="auto" w:fill="auto"/>
            <w:noWrap w:val="0"/>
            <w:vAlign w:val="center"/>
          </w:tcPr>
          <w:p w14:paraId="2AF6E5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宋体" w:hAnsi="Times New Roman" w:eastAsia="宋体" w:cs="Times New Roman"/>
                <w:b/>
                <w:bCs/>
                <w:color w:val="auto"/>
                <w:kern w:val="2"/>
                <w:sz w:val="21"/>
                <w:szCs w:val="21"/>
                <w:highlight w:val="none"/>
                <w:lang w:val="en-US" w:eastAsia="zh-CN" w:bidi="ar-SA"/>
              </w:rPr>
            </w:pPr>
            <w:r>
              <w:rPr>
                <w:rFonts w:hint="eastAsia" w:asciiTheme="minorEastAsia" w:hAnsiTheme="minorEastAsia" w:eastAsiaTheme="minorEastAsia" w:cstheme="minorEastAsia"/>
                <w:b/>
                <w:bCs/>
                <w:color w:val="auto"/>
                <w:sz w:val="21"/>
                <w:szCs w:val="21"/>
                <w:highlight w:val="none"/>
              </w:rPr>
              <w:t>0.01</w:t>
            </w:r>
          </w:p>
        </w:tc>
        <w:tc>
          <w:tcPr>
            <w:tcW w:w="771" w:type="pct"/>
            <w:tcBorders>
              <w:tl2br w:val="nil"/>
              <w:tr2bl w:val="nil"/>
            </w:tcBorders>
            <w:shd w:val="clear" w:color="auto" w:fill="auto"/>
            <w:noWrap w:val="0"/>
            <w:vAlign w:val="center"/>
          </w:tcPr>
          <w:p w14:paraId="316D41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firstLine="0" w:firstLineChars="0"/>
              <w:jc w:val="center"/>
              <w:textAlignment w:val="center"/>
              <w:rPr>
                <w:rFonts w:hint="eastAsia" w:ascii="Times New Roman" w:hAnsi="Times New Roman" w:eastAsia="宋体" w:cs="Times New Roman"/>
                <w:b/>
                <w:bCs/>
                <w:color w:val="auto"/>
                <w:kern w:val="2"/>
                <w:sz w:val="21"/>
                <w:szCs w:val="21"/>
                <w:highlight w:val="none"/>
                <w:lang w:val="en-US" w:eastAsia="zh-CN" w:bidi="ar-SA"/>
              </w:rPr>
            </w:pPr>
            <w:r>
              <w:rPr>
                <w:rFonts w:hint="eastAsia" w:ascii="Times New Roman" w:cs="Times New Roman"/>
                <w:b/>
                <w:bCs/>
                <w:i w:val="0"/>
                <w:iCs w:val="0"/>
                <w:color w:val="auto"/>
                <w:kern w:val="0"/>
                <w:sz w:val="22"/>
                <w:szCs w:val="22"/>
                <w:highlight w:val="none"/>
                <w:u w:val="none"/>
                <w:lang w:val="en-US" w:eastAsia="zh-CN" w:bidi="ar"/>
              </w:rPr>
              <w:t>3.58</w:t>
            </w:r>
          </w:p>
        </w:tc>
        <w:tc>
          <w:tcPr>
            <w:tcW w:w="395" w:type="pct"/>
            <w:tcBorders>
              <w:tl2br w:val="nil"/>
              <w:tr2bl w:val="nil"/>
            </w:tcBorders>
            <w:shd w:val="clear" w:color="auto" w:fill="auto"/>
            <w:noWrap w:val="0"/>
            <w:vAlign w:val="center"/>
          </w:tcPr>
          <w:p w14:paraId="37F4AB86">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bCs/>
                <w:color w:val="auto"/>
                <w:kern w:val="0"/>
                <w:sz w:val="21"/>
                <w:szCs w:val="21"/>
                <w:highlight w:val="none"/>
                <w:lang w:val="en-US" w:eastAsia="zh-CN" w:bidi="ar-SA"/>
              </w:rPr>
            </w:pPr>
            <w:r>
              <w:rPr>
                <w:rFonts w:hint="eastAsia" w:ascii="Times New Roman" w:cs="Times New Roman"/>
                <w:b/>
                <w:bCs/>
                <w:color w:val="auto"/>
                <w:sz w:val="21"/>
                <w:szCs w:val="21"/>
                <w:highlight w:val="none"/>
                <w:lang w:val="en-US" w:eastAsia="zh-CN"/>
              </w:rPr>
              <w:t>2</w:t>
            </w:r>
          </w:p>
        </w:tc>
        <w:tc>
          <w:tcPr>
            <w:tcW w:w="686" w:type="pct"/>
            <w:tcBorders>
              <w:tl2br w:val="nil"/>
              <w:tr2bl w:val="nil"/>
            </w:tcBorders>
            <w:shd w:val="clear" w:color="auto" w:fill="auto"/>
            <w:noWrap w:val="0"/>
            <w:vAlign w:val="center"/>
          </w:tcPr>
          <w:p w14:paraId="5940DE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bCs/>
                <w:color w:val="auto"/>
                <w:kern w:val="2"/>
                <w:sz w:val="21"/>
                <w:szCs w:val="21"/>
                <w:highlight w:val="none"/>
                <w:lang w:val="en-US" w:eastAsia="zh-CN" w:bidi="ar-SA"/>
              </w:rPr>
            </w:pPr>
            <w:r>
              <w:rPr>
                <w:rFonts w:hint="eastAsia"/>
                <w:b/>
                <w:bCs/>
                <w:color w:val="auto"/>
                <w:kern w:val="0"/>
                <w:sz w:val="21"/>
                <w:szCs w:val="21"/>
                <w:highlight w:val="none"/>
                <w:lang w:val="en-US" w:eastAsia="zh-CN"/>
              </w:rPr>
              <w:t>重金属</w:t>
            </w:r>
          </w:p>
        </w:tc>
      </w:tr>
      <w:tr w14:paraId="661065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7" w:hRule="atLeast"/>
          <w:tblHeader/>
          <w:jc w:val="center"/>
        </w:trPr>
        <w:tc>
          <w:tcPr>
            <w:tcW w:w="371" w:type="pct"/>
            <w:tcBorders>
              <w:tl2br w:val="nil"/>
              <w:tr2bl w:val="nil"/>
            </w:tcBorders>
            <w:shd w:val="clear" w:color="auto" w:fill="auto"/>
            <w:noWrap w:val="0"/>
            <w:vAlign w:val="center"/>
          </w:tcPr>
          <w:p w14:paraId="4F547BC1">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eastAsia" w:ascii="宋体" w:hAnsi="Times New Roman" w:eastAsia="宋体" w:cs="Times New Roman"/>
                <w:b/>
                <w:bCs/>
                <w:color w:val="auto"/>
                <w:kern w:val="0"/>
                <w:sz w:val="21"/>
                <w:szCs w:val="21"/>
                <w:highlight w:val="none"/>
                <w:lang w:val="en-US" w:eastAsia="zh-CN" w:bidi="ar-SA"/>
              </w:rPr>
            </w:pPr>
            <w:r>
              <w:rPr>
                <w:rFonts w:hint="eastAsia"/>
                <w:b/>
                <w:bCs/>
                <w:color w:val="auto"/>
                <w:sz w:val="21"/>
                <w:szCs w:val="21"/>
                <w:highlight w:val="none"/>
                <w:lang w:val="en-US" w:eastAsia="zh-CN"/>
              </w:rPr>
              <w:t>3</w:t>
            </w:r>
          </w:p>
        </w:tc>
        <w:tc>
          <w:tcPr>
            <w:tcW w:w="808" w:type="pct"/>
            <w:tcBorders>
              <w:tl2br w:val="nil"/>
              <w:tr2bl w:val="nil"/>
            </w:tcBorders>
            <w:noWrap w:val="0"/>
            <w:vAlign w:val="center"/>
          </w:tcPr>
          <w:p w14:paraId="4A538CBF">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color w:val="auto"/>
                <w:sz w:val="21"/>
                <w:szCs w:val="21"/>
                <w:highlight w:val="none"/>
              </w:rPr>
            </w:pPr>
            <w:r>
              <w:rPr>
                <w:rFonts w:hint="eastAsia" w:ascii="宋体" w:hAnsi="宋体" w:eastAsia="宋体" w:cs="宋体"/>
                <w:i w:val="0"/>
                <w:iCs w:val="0"/>
                <w:color w:val="auto"/>
                <w:kern w:val="0"/>
                <w:sz w:val="20"/>
                <w:szCs w:val="20"/>
                <w:highlight w:val="none"/>
                <w:u w:val="none"/>
                <w:lang w:val="en-US" w:eastAsia="zh-CN" w:bidi="ar"/>
              </w:rPr>
              <w:t>六价铬</w:t>
            </w:r>
          </w:p>
        </w:tc>
        <w:tc>
          <w:tcPr>
            <w:tcW w:w="765" w:type="pct"/>
            <w:tcBorders>
              <w:tl2br w:val="nil"/>
              <w:tr2bl w:val="nil"/>
            </w:tcBorders>
            <w:noWrap w:val="0"/>
            <w:vAlign w:val="center"/>
          </w:tcPr>
          <w:p w14:paraId="6F339B57">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eastAsia="宋体"/>
                <w:color w:val="auto"/>
                <w:spacing w:val="9"/>
                <w:sz w:val="21"/>
                <w:szCs w:val="21"/>
                <w:highlight w:val="none"/>
              </w:rPr>
            </w:pPr>
            <w:r>
              <w:rPr>
                <w:rFonts w:hint="eastAsia" w:ascii="宋体" w:hAnsi="宋体" w:eastAsia="宋体" w:cs="宋体"/>
                <w:i w:val="0"/>
                <w:iCs w:val="0"/>
                <w:color w:val="auto"/>
                <w:kern w:val="0"/>
                <w:sz w:val="20"/>
                <w:szCs w:val="20"/>
                <w:highlight w:val="none"/>
                <w:u w:val="none"/>
                <w:lang w:val="en-US" w:eastAsia="zh-CN" w:bidi="ar"/>
              </w:rPr>
              <w:t>0.010</w:t>
            </w:r>
          </w:p>
        </w:tc>
        <w:tc>
          <w:tcPr>
            <w:tcW w:w="547" w:type="pct"/>
            <w:tcBorders>
              <w:tl2br w:val="nil"/>
              <w:tr2bl w:val="nil"/>
            </w:tcBorders>
            <w:noWrap w:val="0"/>
            <w:vAlign w:val="center"/>
          </w:tcPr>
          <w:p w14:paraId="09F835BB">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eastAsia"/>
                <w:color w:val="auto"/>
                <w:spacing w:val="9"/>
                <w:sz w:val="21"/>
                <w:szCs w:val="21"/>
                <w:highlight w:val="none"/>
                <w:lang w:val="en-US" w:eastAsia="zh-CN"/>
              </w:rPr>
            </w:pPr>
            <w:r>
              <w:rPr>
                <w:b/>
                <w:bCs/>
                <w:color w:val="auto"/>
                <w:sz w:val="21"/>
                <w:szCs w:val="21"/>
                <w:highlight w:val="none"/>
              </w:rPr>
              <w:t>mg/L</w:t>
            </w:r>
          </w:p>
        </w:tc>
        <w:tc>
          <w:tcPr>
            <w:tcW w:w="653" w:type="pct"/>
            <w:tcBorders>
              <w:tl2br w:val="nil"/>
              <w:tr2bl w:val="nil"/>
            </w:tcBorders>
            <w:noWrap w:val="0"/>
            <w:vAlign w:val="center"/>
          </w:tcPr>
          <w:p w14:paraId="1BA331B9">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color w:val="auto"/>
                <w:spacing w:val="9"/>
                <w:sz w:val="21"/>
                <w:szCs w:val="21"/>
                <w:highlight w:val="none"/>
                <w:lang w:val="en-US" w:eastAsia="zh-CN"/>
              </w:rPr>
            </w:pPr>
            <w:r>
              <w:rPr>
                <w:rFonts w:hint="eastAsia"/>
                <w:color w:val="auto"/>
                <w:spacing w:val="9"/>
                <w:sz w:val="21"/>
                <w:szCs w:val="21"/>
                <w:highlight w:val="none"/>
                <w:lang w:val="en-US" w:eastAsia="zh-CN"/>
              </w:rPr>
              <w:t>0.05</w:t>
            </w:r>
          </w:p>
        </w:tc>
        <w:tc>
          <w:tcPr>
            <w:tcW w:w="771" w:type="pct"/>
            <w:tcBorders>
              <w:tl2br w:val="nil"/>
              <w:tr2bl w:val="nil"/>
            </w:tcBorders>
            <w:noWrap w:val="0"/>
            <w:vAlign w:val="center"/>
          </w:tcPr>
          <w:p w14:paraId="150A80A9">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color w:val="auto"/>
                <w:spacing w:val="9"/>
                <w:sz w:val="21"/>
                <w:szCs w:val="21"/>
                <w:highlight w:val="none"/>
                <w:lang w:val="en-US" w:eastAsia="zh-CN"/>
              </w:rPr>
            </w:pPr>
            <w:r>
              <w:rPr>
                <w:rFonts w:hint="eastAsia"/>
                <w:color w:val="auto"/>
                <w:spacing w:val="9"/>
                <w:sz w:val="21"/>
                <w:szCs w:val="21"/>
                <w:highlight w:val="none"/>
                <w:lang w:val="en-US" w:eastAsia="zh-CN"/>
              </w:rPr>
              <w:t>0.2</w:t>
            </w:r>
          </w:p>
        </w:tc>
        <w:tc>
          <w:tcPr>
            <w:tcW w:w="395" w:type="pct"/>
            <w:tcBorders>
              <w:tl2br w:val="nil"/>
              <w:tr2bl w:val="nil"/>
            </w:tcBorders>
            <w:noWrap w:val="0"/>
            <w:vAlign w:val="center"/>
          </w:tcPr>
          <w:p w14:paraId="5098A4A3">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eastAsia" w:eastAsia="宋体"/>
                <w:color w:val="auto"/>
                <w:kern w:val="0"/>
                <w:sz w:val="21"/>
                <w:szCs w:val="21"/>
                <w:highlight w:val="none"/>
                <w:lang w:val="en-US" w:eastAsia="zh-CN"/>
              </w:rPr>
            </w:pPr>
            <w:r>
              <w:rPr>
                <w:rFonts w:hint="eastAsia"/>
                <w:color w:val="auto"/>
                <w:kern w:val="0"/>
                <w:sz w:val="21"/>
                <w:szCs w:val="21"/>
                <w:highlight w:val="none"/>
                <w:lang w:val="en-US" w:eastAsia="zh-CN"/>
              </w:rPr>
              <w:t>7</w:t>
            </w:r>
          </w:p>
        </w:tc>
        <w:tc>
          <w:tcPr>
            <w:tcW w:w="686" w:type="pct"/>
            <w:tcBorders>
              <w:tl2br w:val="nil"/>
              <w:tr2bl w:val="nil"/>
            </w:tcBorders>
            <w:noWrap w:val="0"/>
            <w:vAlign w:val="center"/>
          </w:tcPr>
          <w:p w14:paraId="5632B051">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eastAsia"/>
                <w:color w:val="auto"/>
                <w:kern w:val="0"/>
                <w:sz w:val="21"/>
                <w:szCs w:val="21"/>
                <w:highlight w:val="none"/>
                <w:lang w:val="en-US" w:eastAsia="zh-CN"/>
              </w:rPr>
            </w:pPr>
            <w:r>
              <w:rPr>
                <w:rFonts w:hint="eastAsia"/>
                <w:b/>
                <w:bCs/>
                <w:color w:val="auto"/>
                <w:kern w:val="0"/>
                <w:sz w:val="21"/>
                <w:szCs w:val="21"/>
                <w:highlight w:val="none"/>
                <w:lang w:val="en-US" w:eastAsia="zh-CN"/>
              </w:rPr>
              <w:t>重金属</w:t>
            </w:r>
          </w:p>
        </w:tc>
      </w:tr>
      <w:tr w14:paraId="4D4B87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0" w:hRule="atLeast"/>
          <w:tblHeader/>
          <w:jc w:val="center"/>
        </w:trPr>
        <w:tc>
          <w:tcPr>
            <w:tcW w:w="371" w:type="pct"/>
            <w:tcBorders>
              <w:tl2br w:val="nil"/>
              <w:tr2bl w:val="nil"/>
            </w:tcBorders>
            <w:shd w:val="clear" w:color="auto" w:fill="auto"/>
            <w:noWrap w:val="0"/>
            <w:vAlign w:val="center"/>
          </w:tcPr>
          <w:p w14:paraId="39780B8B">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hint="eastAsia" w:ascii="宋体" w:hAnsi="Times New Roman" w:eastAsia="宋体" w:cs="Times New Roman"/>
                <w:color w:val="auto"/>
                <w:kern w:val="0"/>
                <w:sz w:val="21"/>
                <w:szCs w:val="21"/>
                <w:highlight w:val="none"/>
                <w:lang w:val="en-US" w:eastAsia="zh-CN" w:bidi="ar-SA"/>
              </w:rPr>
            </w:pPr>
            <w:r>
              <w:rPr>
                <w:color w:val="auto"/>
                <w:sz w:val="21"/>
                <w:szCs w:val="21"/>
                <w:highlight w:val="none"/>
              </w:rPr>
              <w:t>4</w:t>
            </w:r>
          </w:p>
        </w:tc>
        <w:tc>
          <w:tcPr>
            <w:tcW w:w="808" w:type="pct"/>
            <w:tcBorders>
              <w:tl2br w:val="nil"/>
              <w:tr2bl w:val="nil"/>
            </w:tcBorders>
            <w:noWrap w:val="0"/>
            <w:vAlign w:val="center"/>
          </w:tcPr>
          <w:p w14:paraId="5401FE28">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b/>
                <w:bCs/>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总铍</w:t>
            </w:r>
          </w:p>
        </w:tc>
        <w:tc>
          <w:tcPr>
            <w:tcW w:w="765" w:type="pct"/>
            <w:tcBorders>
              <w:tl2br w:val="nil"/>
              <w:tr2bl w:val="nil"/>
            </w:tcBorders>
            <w:shd w:val="clear" w:color="auto" w:fill="auto"/>
            <w:noWrap w:val="0"/>
            <w:vAlign w:val="center"/>
          </w:tcPr>
          <w:p w14:paraId="7D43288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auto"/>
                <w:sz w:val="20"/>
                <w:szCs w:val="20"/>
                <w:highlight w:val="none"/>
                <w:u w:val="none"/>
                <w:lang w:val="en-US" w:eastAsia="zh-CN"/>
              </w:rPr>
            </w:pPr>
            <w:r>
              <w:rPr>
                <w:rFonts w:hint="eastAsia" w:ascii="宋体" w:hAnsi="宋体" w:eastAsia="宋体" w:cs="宋体"/>
                <w:i w:val="0"/>
                <w:iCs w:val="0"/>
                <w:color w:val="auto"/>
                <w:kern w:val="0"/>
                <w:sz w:val="20"/>
                <w:szCs w:val="20"/>
                <w:highlight w:val="none"/>
                <w:u w:val="none"/>
                <w:lang w:val="en-US" w:eastAsia="zh-CN" w:bidi="ar"/>
              </w:rPr>
              <w:t>0.0</w:t>
            </w:r>
            <w:r>
              <w:rPr>
                <w:rFonts w:hint="eastAsia" w:hAnsi="宋体" w:cs="宋体"/>
                <w:i w:val="0"/>
                <w:iCs w:val="0"/>
                <w:color w:val="auto"/>
                <w:kern w:val="0"/>
                <w:sz w:val="20"/>
                <w:szCs w:val="20"/>
                <w:highlight w:val="none"/>
                <w:u w:val="none"/>
                <w:lang w:val="en-US" w:eastAsia="zh-CN" w:bidi="ar"/>
              </w:rPr>
              <w:t>000</w:t>
            </w:r>
            <w:r>
              <w:rPr>
                <w:rFonts w:hint="eastAsia" w:ascii="宋体" w:hAnsi="宋体" w:eastAsia="宋体" w:cs="宋体"/>
                <w:i w:val="0"/>
                <w:iCs w:val="0"/>
                <w:color w:val="auto"/>
                <w:kern w:val="0"/>
                <w:sz w:val="20"/>
                <w:szCs w:val="20"/>
                <w:highlight w:val="none"/>
                <w:u w:val="none"/>
                <w:lang w:val="en-US" w:eastAsia="zh-CN" w:bidi="ar"/>
              </w:rPr>
              <w:t>5</w:t>
            </w:r>
          </w:p>
        </w:tc>
        <w:tc>
          <w:tcPr>
            <w:tcW w:w="547" w:type="pct"/>
            <w:tcBorders>
              <w:tl2br w:val="nil"/>
              <w:tr2bl w:val="nil"/>
            </w:tcBorders>
            <w:noWrap w:val="0"/>
            <w:vAlign w:val="center"/>
          </w:tcPr>
          <w:p w14:paraId="1B1A43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b/>
                <w:bCs/>
                <w:color w:val="auto"/>
                <w:sz w:val="21"/>
                <w:szCs w:val="21"/>
                <w:highlight w:val="none"/>
              </w:rPr>
            </w:pPr>
            <w:r>
              <w:rPr>
                <w:b/>
                <w:bCs/>
                <w:color w:val="auto"/>
                <w:sz w:val="21"/>
                <w:szCs w:val="21"/>
                <w:highlight w:val="none"/>
              </w:rPr>
              <w:t>mg/L</w:t>
            </w:r>
          </w:p>
        </w:tc>
        <w:tc>
          <w:tcPr>
            <w:tcW w:w="653" w:type="pct"/>
            <w:tcBorders>
              <w:tl2br w:val="nil"/>
              <w:tr2bl w:val="nil"/>
            </w:tcBorders>
            <w:noWrap w:val="0"/>
            <w:vAlign w:val="center"/>
          </w:tcPr>
          <w:p w14:paraId="3BA384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0.002</w:t>
            </w:r>
          </w:p>
        </w:tc>
        <w:tc>
          <w:tcPr>
            <w:tcW w:w="771" w:type="pct"/>
            <w:tcBorders>
              <w:tl2br w:val="nil"/>
              <w:tr2bl w:val="nil"/>
            </w:tcBorders>
            <w:noWrap w:val="0"/>
            <w:vAlign w:val="center"/>
          </w:tcPr>
          <w:p w14:paraId="367871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default" w:ascii="Times New Roman" w:cs="Times New Roman"/>
                <w:b/>
                <w:bCs/>
                <w:i w:val="0"/>
                <w:iCs w:val="0"/>
                <w:color w:val="auto"/>
                <w:kern w:val="0"/>
                <w:sz w:val="22"/>
                <w:szCs w:val="22"/>
                <w:highlight w:val="none"/>
                <w:u w:val="none"/>
                <w:lang w:val="en-US" w:eastAsia="zh-CN" w:bidi="ar"/>
              </w:rPr>
            </w:pPr>
            <w:r>
              <w:rPr>
                <w:rFonts w:hint="eastAsia" w:ascii="Times New Roman" w:cs="Times New Roman"/>
                <w:b/>
                <w:bCs/>
                <w:i w:val="0"/>
                <w:iCs w:val="0"/>
                <w:color w:val="auto"/>
                <w:kern w:val="0"/>
                <w:sz w:val="22"/>
                <w:szCs w:val="22"/>
                <w:highlight w:val="none"/>
                <w:u w:val="none"/>
                <w:lang w:val="en-US" w:eastAsia="zh-CN" w:bidi="ar"/>
              </w:rPr>
              <w:t>0.025</w:t>
            </w:r>
          </w:p>
        </w:tc>
        <w:tc>
          <w:tcPr>
            <w:tcW w:w="395" w:type="pct"/>
            <w:tcBorders>
              <w:tl2br w:val="nil"/>
              <w:tr2bl w:val="nil"/>
            </w:tcBorders>
            <w:noWrap w:val="0"/>
            <w:vAlign w:val="center"/>
          </w:tcPr>
          <w:p w14:paraId="01E6B67B">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cs="Times New Roman"/>
                <w:b/>
                <w:bCs/>
                <w:color w:val="auto"/>
                <w:sz w:val="21"/>
                <w:szCs w:val="21"/>
                <w:highlight w:val="none"/>
                <w:lang w:val="en-US" w:eastAsia="zh-CN"/>
              </w:rPr>
            </w:pPr>
            <w:r>
              <w:rPr>
                <w:rFonts w:hint="eastAsia" w:ascii="Times New Roman" w:cs="Times New Roman"/>
                <w:b/>
                <w:bCs/>
                <w:color w:val="auto"/>
                <w:sz w:val="21"/>
                <w:szCs w:val="21"/>
                <w:highlight w:val="none"/>
                <w:lang w:val="en-US" w:eastAsia="zh-CN"/>
              </w:rPr>
              <w:t>10</w:t>
            </w:r>
          </w:p>
        </w:tc>
        <w:tc>
          <w:tcPr>
            <w:tcW w:w="686" w:type="pct"/>
            <w:tcBorders>
              <w:tl2br w:val="nil"/>
              <w:tr2bl w:val="nil"/>
            </w:tcBorders>
            <w:noWrap w:val="0"/>
            <w:vAlign w:val="center"/>
          </w:tcPr>
          <w:p w14:paraId="61D70F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b/>
                <w:bCs/>
                <w:color w:val="auto"/>
                <w:kern w:val="0"/>
                <w:sz w:val="21"/>
                <w:szCs w:val="21"/>
                <w:highlight w:val="none"/>
                <w:lang w:val="en-US" w:eastAsia="zh-CN"/>
              </w:rPr>
            </w:pPr>
            <w:r>
              <w:rPr>
                <w:rFonts w:hint="eastAsia"/>
                <w:b/>
                <w:bCs/>
                <w:color w:val="auto"/>
                <w:kern w:val="0"/>
                <w:sz w:val="21"/>
                <w:szCs w:val="21"/>
                <w:highlight w:val="none"/>
                <w:lang w:val="en-US" w:eastAsia="zh-CN"/>
              </w:rPr>
              <w:t>重金属</w:t>
            </w:r>
          </w:p>
        </w:tc>
      </w:tr>
      <w:tr w14:paraId="586DE3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6" w:hRule="atLeast"/>
          <w:tblHeader/>
          <w:jc w:val="center"/>
        </w:trPr>
        <w:tc>
          <w:tcPr>
            <w:tcW w:w="371" w:type="pct"/>
            <w:tcBorders>
              <w:tl2br w:val="nil"/>
              <w:tr2bl w:val="nil"/>
            </w:tcBorders>
            <w:shd w:val="clear" w:color="auto" w:fill="auto"/>
            <w:noWrap w:val="0"/>
            <w:vAlign w:val="center"/>
          </w:tcPr>
          <w:p w14:paraId="68AAB1C4">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5</w:t>
            </w:r>
          </w:p>
        </w:tc>
        <w:tc>
          <w:tcPr>
            <w:tcW w:w="808" w:type="pct"/>
            <w:tcBorders>
              <w:tl2br w:val="nil"/>
              <w:tr2bl w:val="nil"/>
            </w:tcBorders>
            <w:noWrap w:val="0"/>
            <w:vAlign w:val="center"/>
          </w:tcPr>
          <w:p w14:paraId="00B257DE">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olor w:val="auto"/>
                <w:kern w:val="0"/>
                <w:sz w:val="21"/>
                <w:szCs w:val="21"/>
                <w:highlight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五日生化需氧量</w:t>
            </w:r>
          </w:p>
        </w:tc>
        <w:tc>
          <w:tcPr>
            <w:tcW w:w="765" w:type="pct"/>
            <w:tcBorders>
              <w:tl2br w:val="nil"/>
              <w:tr2bl w:val="nil"/>
            </w:tcBorders>
            <w:shd w:val="clear" w:color="auto" w:fill="auto"/>
            <w:noWrap w:val="0"/>
            <w:vAlign w:val="center"/>
          </w:tcPr>
          <w:p w14:paraId="3B5435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3.8</w:t>
            </w:r>
          </w:p>
        </w:tc>
        <w:tc>
          <w:tcPr>
            <w:tcW w:w="547" w:type="pct"/>
            <w:tcBorders>
              <w:tl2br w:val="nil"/>
              <w:tr2bl w:val="nil"/>
            </w:tcBorders>
            <w:noWrap w:val="0"/>
            <w:vAlign w:val="center"/>
          </w:tcPr>
          <w:p w14:paraId="518016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sz w:val="21"/>
                <w:szCs w:val="21"/>
                <w:highlight w:val="none"/>
                <w:lang w:val="en-US" w:eastAsia="zh-CN" w:bidi="ar-SA"/>
              </w:rPr>
            </w:pPr>
            <w:r>
              <w:rPr>
                <w:color w:val="auto"/>
                <w:sz w:val="21"/>
                <w:szCs w:val="21"/>
                <w:highlight w:val="none"/>
              </w:rPr>
              <w:t>mg/L</w:t>
            </w:r>
          </w:p>
        </w:tc>
        <w:tc>
          <w:tcPr>
            <w:tcW w:w="653" w:type="pct"/>
            <w:tcBorders>
              <w:tl2br w:val="nil"/>
              <w:tr2bl w:val="nil"/>
            </w:tcBorders>
            <w:noWrap w:val="0"/>
            <w:vAlign w:val="center"/>
          </w:tcPr>
          <w:p w14:paraId="74BBD9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olor w:val="auto"/>
                <w:sz w:val="21"/>
                <w:szCs w:val="21"/>
                <w:highlight w:val="none"/>
                <w:lang w:val="en-US" w:eastAsia="zh-CN" w:bidi="ar-SA"/>
              </w:rPr>
            </w:pPr>
            <w:r>
              <w:rPr>
                <w:rFonts w:hint="eastAsia"/>
                <w:color w:val="auto"/>
                <w:sz w:val="21"/>
                <w:szCs w:val="21"/>
                <w:highlight w:val="none"/>
                <w:lang w:val="en-US" w:eastAsia="zh-CN"/>
              </w:rPr>
              <w:t>4</w:t>
            </w:r>
          </w:p>
        </w:tc>
        <w:tc>
          <w:tcPr>
            <w:tcW w:w="771" w:type="pct"/>
            <w:tcBorders>
              <w:tl2br w:val="nil"/>
              <w:tr2bl w:val="nil"/>
            </w:tcBorders>
            <w:noWrap w:val="0"/>
            <w:vAlign w:val="center"/>
          </w:tcPr>
          <w:p w14:paraId="5F38BC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default" w:ascii="Times New Roman" w:hAnsi="Times New Roman" w:eastAsia="宋体" w:cs="Times New Roman"/>
                <w:color w:val="auto"/>
                <w:sz w:val="21"/>
                <w:szCs w:val="21"/>
                <w:highlight w:val="none"/>
                <w:lang w:val="en-US" w:eastAsia="zh-CN" w:bidi="ar-SA"/>
              </w:rPr>
            </w:pPr>
            <w:r>
              <w:rPr>
                <w:rFonts w:hint="eastAsia" w:ascii="Times New Roman" w:cs="Times New Roman"/>
                <w:i w:val="0"/>
                <w:iCs w:val="0"/>
                <w:color w:val="auto"/>
                <w:kern w:val="0"/>
                <w:sz w:val="22"/>
                <w:szCs w:val="22"/>
                <w:highlight w:val="none"/>
                <w:u w:val="none"/>
                <w:lang w:val="en-US" w:eastAsia="zh-CN" w:bidi="ar"/>
              </w:rPr>
              <w:t>0.95</w:t>
            </w:r>
          </w:p>
        </w:tc>
        <w:tc>
          <w:tcPr>
            <w:tcW w:w="395" w:type="pct"/>
            <w:tcBorders>
              <w:tl2br w:val="nil"/>
              <w:tr2bl w:val="nil"/>
            </w:tcBorders>
            <w:noWrap w:val="0"/>
            <w:vAlign w:val="center"/>
          </w:tcPr>
          <w:p w14:paraId="1E3FD55F">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cs="Times New Roman"/>
                <w:color w:val="auto"/>
                <w:kern w:val="0"/>
                <w:sz w:val="21"/>
                <w:szCs w:val="21"/>
                <w:highlight w:val="none"/>
                <w:lang w:val="en-US" w:eastAsia="zh-CN" w:bidi="ar-SA"/>
              </w:rPr>
              <w:t>5</w:t>
            </w:r>
          </w:p>
        </w:tc>
        <w:tc>
          <w:tcPr>
            <w:tcW w:w="686" w:type="pct"/>
            <w:tcBorders>
              <w:tl2br w:val="nil"/>
              <w:tr2bl w:val="nil"/>
            </w:tcBorders>
            <w:noWrap w:val="0"/>
            <w:vAlign w:val="center"/>
          </w:tcPr>
          <w:p w14:paraId="5E76D3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color w:val="auto"/>
                <w:kern w:val="0"/>
                <w:sz w:val="21"/>
                <w:szCs w:val="21"/>
                <w:highlight w:val="none"/>
              </w:rPr>
              <w:t>其他类别</w:t>
            </w:r>
          </w:p>
        </w:tc>
      </w:tr>
      <w:tr w14:paraId="20DA03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6" w:hRule="atLeast"/>
          <w:tblHeader/>
          <w:jc w:val="center"/>
        </w:trPr>
        <w:tc>
          <w:tcPr>
            <w:tcW w:w="371" w:type="pct"/>
            <w:tcBorders>
              <w:tl2br w:val="nil"/>
              <w:tr2bl w:val="nil"/>
            </w:tcBorders>
            <w:shd w:val="clear" w:color="auto" w:fill="auto"/>
            <w:noWrap w:val="0"/>
            <w:vAlign w:val="center"/>
          </w:tcPr>
          <w:p w14:paraId="1654BF08">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6</w:t>
            </w:r>
          </w:p>
        </w:tc>
        <w:tc>
          <w:tcPr>
            <w:tcW w:w="808" w:type="pct"/>
            <w:tcBorders>
              <w:tl2br w:val="nil"/>
              <w:tr2bl w:val="nil"/>
            </w:tcBorders>
            <w:noWrap w:val="0"/>
            <w:vAlign w:val="center"/>
          </w:tcPr>
          <w:p w14:paraId="1B14D219">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olor w:val="auto"/>
                <w:kern w:val="0"/>
                <w:sz w:val="21"/>
                <w:szCs w:val="21"/>
                <w:highlight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石油类</w:t>
            </w:r>
          </w:p>
        </w:tc>
        <w:tc>
          <w:tcPr>
            <w:tcW w:w="765" w:type="pct"/>
            <w:tcBorders>
              <w:tl2br w:val="nil"/>
              <w:tr2bl w:val="nil"/>
            </w:tcBorders>
            <w:shd w:val="clear" w:color="auto" w:fill="auto"/>
            <w:noWrap w:val="0"/>
            <w:vAlign w:val="center"/>
          </w:tcPr>
          <w:p w14:paraId="264C2188">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0.07</w:t>
            </w:r>
          </w:p>
        </w:tc>
        <w:tc>
          <w:tcPr>
            <w:tcW w:w="547" w:type="pct"/>
            <w:tcBorders>
              <w:tl2br w:val="nil"/>
              <w:tr2bl w:val="nil"/>
            </w:tcBorders>
            <w:noWrap w:val="0"/>
            <w:vAlign w:val="center"/>
          </w:tcPr>
          <w:p w14:paraId="6D3B58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sz w:val="21"/>
                <w:szCs w:val="21"/>
                <w:highlight w:val="none"/>
                <w:lang w:val="en-US" w:eastAsia="zh-CN" w:bidi="ar-SA"/>
              </w:rPr>
            </w:pPr>
            <w:r>
              <w:rPr>
                <w:color w:val="auto"/>
                <w:sz w:val="21"/>
                <w:szCs w:val="21"/>
                <w:highlight w:val="none"/>
              </w:rPr>
              <w:t>mg/L</w:t>
            </w:r>
          </w:p>
        </w:tc>
        <w:tc>
          <w:tcPr>
            <w:tcW w:w="653" w:type="pct"/>
            <w:tcBorders>
              <w:tl2br w:val="nil"/>
              <w:tr2bl w:val="nil"/>
            </w:tcBorders>
            <w:noWrap w:val="0"/>
            <w:vAlign w:val="center"/>
          </w:tcPr>
          <w:p w14:paraId="30B7FE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olor w:val="auto"/>
                <w:sz w:val="21"/>
                <w:szCs w:val="21"/>
                <w:highlight w:val="none"/>
                <w:lang w:val="en-US" w:eastAsia="zh-CN" w:bidi="ar-SA"/>
              </w:rPr>
            </w:pPr>
            <w:r>
              <w:rPr>
                <w:rFonts w:hint="eastAsia" w:eastAsia="宋体"/>
                <w:color w:val="auto"/>
                <w:sz w:val="21"/>
                <w:szCs w:val="21"/>
                <w:highlight w:val="none"/>
                <w:lang w:val="en-US" w:eastAsia="zh-CN"/>
              </w:rPr>
              <w:t>0.0</w:t>
            </w:r>
            <w:r>
              <w:rPr>
                <w:rFonts w:hint="eastAsia"/>
                <w:color w:val="auto"/>
                <w:sz w:val="21"/>
                <w:szCs w:val="21"/>
                <w:highlight w:val="none"/>
                <w:lang w:val="en-US" w:eastAsia="zh-CN"/>
              </w:rPr>
              <w:t>5</w:t>
            </w:r>
          </w:p>
        </w:tc>
        <w:tc>
          <w:tcPr>
            <w:tcW w:w="771" w:type="pct"/>
            <w:tcBorders>
              <w:tl2br w:val="nil"/>
              <w:tr2bl w:val="nil"/>
            </w:tcBorders>
            <w:noWrap w:val="0"/>
            <w:vAlign w:val="center"/>
          </w:tcPr>
          <w:p w14:paraId="2F62BF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default" w:ascii="Times New Roman" w:hAnsi="Times New Roman" w:eastAsia="宋体" w:cs="Times New Roman"/>
                <w:color w:val="auto"/>
                <w:sz w:val="21"/>
                <w:szCs w:val="21"/>
                <w:highlight w:val="none"/>
                <w:lang w:val="en-US" w:eastAsia="zh-CN" w:bidi="ar-SA"/>
              </w:rPr>
            </w:pPr>
            <w:r>
              <w:rPr>
                <w:rFonts w:hint="eastAsia" w:ascii="Times New Roman" w:cs="Times New Roman"/>
                <w:i w:val="0"/>
                <w:iCs w:val="0"/>
                <w:color w:val="auto"/>
                <w:kern w:val="0"/>
                <w:sz w:val="22"/>
                <w:szCs w:val="22"/>
                <w:highlight w:val="none"/>
                <w:u w:val="none"/>
                <w:lang w:val="en-US" w:eastAsia="zh-CN" w:bidi="ar"/>
              </w:rPr>
              <w:t>1.4</w:t>
            </w:r>
          </w:p>
        </w:tc>
        <w:tc>
          <w:tcPr>
            <w:tcW w:w="395" w:type="pct"/>
            <w:tcBorders>
              <w:tl2br w:val="nil"/>
              <w:tr2bl w:val="nil"/>
            </w:tcBorders>
            <w:noWrap w:val="0"/>
            <w:vAlign w:val="center"/>
          </w:tcPr>
          <w:p w14:paraId="114D7C9E">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cs="Times New Roman"/>
                <w:color w:val="auto"/>
                <w:kern w:val="0"/>
                <w:sz w:val="21"/>
                <w:szCs w:val="21"/>
                <w:highlight w:val="none"/>
                <w:lang w:val="en-US" w:eastAsia="zh-CN" w:bidi="ar-SA"/>
              </w:rPr>
              <w:t>3</w:t>
            </w:r>
          </w:p>
        </w:tc>
        <w:tc>
          <w:tcPr>
            <w:tcW w:w="686" w:type="pct"/>
            <w:tcBorders>
              <w:tl2br w:val="nil"/>
              <w:tr2bl w:val="nil"/>
            </w:tcBorders>
            <w:noWrap w:val="0"/>
            <w:vAlign w:val="center"/>
          </w:tcPr>
          <w:p w14:paraId="137993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color w:val="auto"/>
                <w:kern w:val="0"/>
                <w:sz w:val="21"/>
                <w:szCs w:val="21"/>
                <w:highlight w:val="none"/>
              </w:rPr>
              <w:t>其他类别</w:t>
            </w:r>
          </w:p>
        </w:tc>
      </w:tr>
      <w:tr w14:paraId="1AAE37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6" w:hRule="atLeast"/>
          <w:tblHeader/>
          <w:jc w:val="center"/>
        </w:trPr>
        <w:tc>
          <w:tcPr>
            <w:tcW w:w="371" w:type="pct"/>
            <w:tcBorders>
              <w:tl2br w:val="nil"/>
              <w:tr2bl w:val="nil"/>
            </w:tcBorders>
            <w:shd w:val="clear" w:color="auto" w:fill="auto"/>
            <w:noWrap w:val="0"/>
            <w:vAlign w:val="center"/>
          </w:tcPr>
          <w:p w14:paraId="3F39E393">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7</w:t>
            </w:r>
          </w:p>
        </w:tc>
        <w:tc>
          <w:tcPr>
            <w:tcW w:w="808" w:type="pct"/>
            <w:tcBorders>
              <w:tl2br w:val="nil"/>
              <w:tr2bl w:val="nil"/>
            </w:tcBorders>
            <w:noWrap w:val="0"/>
            <w:vAlign w:val="center"/>
          </w:tcPr>
          <w:p w14:paraId="22F77B24">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olor w:val="auto"/>
                <w:kern w:val="0"/>
                <w:sz w:val="21"/>
                <w:szCs w:val="21"/>
                <w:highlight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氟化物</w:t>
            </w:r>
          </w:p>
        </w:tc>
        <w:tc>
          <w:tcPr>
            <w:tcW w:w="765" w:type="pct"/>
            <w:tcBorders>
              <w:tl2br w:val="nil"/>
              <w:tr2bl w:val="nil"/>
            </w:tcBorders>
            <w:shd w:val="clear" w:color="auto" w:fill="auto"/>
            <w:noWrap w:val="0"/>
            <w:vAlign w:val="center"/>
          </w:tcPr>
          <w:p w14:paraId="64AFEA40">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0.12</w:t>
            </w:r>
          </w:p>
        </w:tc>
        <w:tc>
          <w:tcPr>
            <w:tcW w:w="547" w:type="pct"/>
            <w:tcBorders>
              <w:tl2br w:val="nil"/>
              <w:tr2bl w:val="nil"/>
            </w:tcBorders>
            <w:noWrap w:val="0"/>
            <w:vAlign w:val="center"/>
          </w:tcPr>
          <w:p w14:paraId="5B557F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color w:val="auto"/>
                <w:sz w:val="21"/>
                <w:szCs w:val="21"/>
                <w:highlight w:val="none"/>
              </w:rPr>
              <w:t>mg/L</w:t>
            </w:r>
          </w:p>
        </w:tc>
        <w:tc>
          <w:tcPr>
            <w:tcW w:w="653" w:type="pct"/>
            <w:tcBorders>
              <w:tl2br w:val="nil"/>
              <w:tr2bl w:val="nil"/>
            </w:tcBorders>
            <w:noWrap w:val="0"/>
            <w:vAlign w:val="center"/>
          </w:tcPr>
          <w:p w14:paraId="199F35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rFonts w:hint="eastAsia" w:ascii="Times New Roman" w:cs="Times New Roman"/>
                <w:color w:val="auto"/>
                <w:sz w:val="21"/>
                <w:szCs w:val="21"/>
                <w:highlight w:val="none"/>
                <w:lang w:val="en-US" w:eastAsia="zh-CN" w:bidi="ar-SA"/>
              </w:rPr>
              <w:t>1.0</w:t>
            </w:r>
          </w:p>
        </w:tc>
        <w:tc>
          <w:tcPr>
            <w:tcW w:w="771" w:type="pct"/>
            <w:tcBorders>
              <w:tl2br w:val="nil"/>
              <w:tr2bl w:val="nil"/>
            </w:tcBorders>
            <w:noWrap w:val="0"/>
            <w:vAlign w:val="center"/>
          </w:tcPr>
          <w:p w14:paraId="0FA79B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default" w:ascii="Times New Roman" w:hAnsi="Times New Roman" w:eastAsia="宋体" w:cs="Times New Roman"/>
                <w:color w:val="auto"/>
                <w:sz w:val="21"/>
                <w:szCs w:val="21"/>
                <w:highlight w:val="none"/>
                <w:lang w:val="en-US" w:eastAsia="zh-CN" w:bidi="ar-SA"/>
              </w:rPr>
            </w:pPr>
            <w:r>
              <w:rPr>
                <w:rFonts w:hint="eastAsia" w:ascii="Times New Roman" w:cs="Times New Roman"/>
                <w:i w:val="0"/>
                <w:iCs w:val="0"/>
                <w:color w:val="auto"/>
                <w:kern w:val="0"/>
                <w:sz w:val="22"/>
                <w:szCs w:val="22"/>
                <w:highlight w:val="none"/>
                <w:u w:val="none"/>
                <w:lang w:val="en-US" w:eastAsia="zh-CN" w:bidi="ar"/>
              </w:rPr>
              <w:t>0.12</w:t>
            </w:r>
          </w:p>
        </w:tc>
        <w:tc>
          <w:tcPr>
            <w:tcW w:w="395" w:type="pct"/>
            <w:tcBorders>
              <w:tl2br w:val="nil"/>
              <w:tr2bl w:val="nil"/>
            </w:tcBorders>
            <w:noWrap w:val="0"/>
            <w:vAlign w:val="center"/>
          </w:tcPr>
          <w:p w14:paraId="2681C8FF">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cs="Times New Roman"/>
                <w:color w:val="auto"/>
                <w:kern w:val="0"/>
                <w:sz w:val="21"/>
                <w:szCs w:val="21"/>
                <w:highlight w:val="none"/>
                <w:lang w:val="en-US" w:eastAsia="zh-CN" w:bidi="ar-SA"/>
              </w:rPr>
              <w:t>8</w:t>
            </w:r>
          </w:p>
        </w:tc>
        <w:tc>
          <w:tcPr>
            <w:tcW w:w="686" w:type="pct"/>
            <w:tcBorders>
              <w:tl2br w:val="nil"/>
              <w:tr2bl w:val="nil"/>
            </w:tcBorders>
            <w:noWrap w:val="0"/>
            <w:vAlign w:val="center"/>
          </w:tcPr>
          <w:p w14:paraId="0FD5F5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color w:val="auto"/>
                <w:kern w:val="0"/>
                <w:sz w:val="21"/>
                <w:szCs w:val="21"/>
                <w:highlight w:val="none"/>
              </w:rPr>
              <w:t>其他类别</w:t>
            </w:r>
          </w:p>
        </w:tc>
      </w:tr>
      <w:tr w14:paraId="2CBDE9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6" w:hRule="atLeast"/>
          <w:tblHeader/>
          <w:jc w:val="center"/>
        </w:trPr>
        <w:tc>
          <w:tcPr>
            <w:tcW w:w="371" w:type="pct"/>
            <w:tcBorders>
              <w:tl2br w:val="nil"/>
              <w:tr2bl w:val="nil"/>
            </w:tcBorders>
            <w:shd w:val="clear" w:color="auto" w:fill="auto"/>
            <w:noWrap w:val="0"/>
            <w:vAlign w:val="center"/>
          </w:tcPr>
          <w:p w14:paraId="0B32DFEF">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b/>
                <w:bCs/>
                <w:color w:val="auto"/>
                <w:kern w:val="0"/>
                <w:sz w:val="21"/>
                <w:szCs w:val="21"/>
                <w:highlight w:val="none"/>
                <w:lang w:val="en-US" w:eastAsia="zh-CN" w:bidi="ar-SA"/>
              </w:rPr>
            </w:pPr>
            <w:r>
              <w:rPr>
                <w:b/>
                <w:bCs/>
                <w:color w:val="auto"/>
                <w:sz w:val="21"/>
                <w:szCs w:val="21"/>
                <w:highlight w:val="none"/>
              </w:rPr>
              <w:t>8</w:t>
            </w:r>
          </w:p>
        </w:tc>
        <w:tc>
          <w:tcPr>
            <w:tcW w:w="808" w:type="pct"/>
            <w:tcBorders>
              <w:tl2br w:val="nil"/>
              <w:tr2bl w:val="nil"/>
            </w:tcBorders>
            <w:noWrap w:val="0"/>
            <w:vAlign w:val="center"/>
          </w:tcPr>
          <w:p w14:paraId="146DC87F">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olor w:val="auto"/>
                <w:kern w:val="0"/>
                <w:sz w:val="21"/>
                <w:szCs w:val="21"/>
                <w:highlight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磷酸盐</w:t>
            </w:r>
          </w:p>
        </w:tc>
        <w:tc>
          <w:tcPr>
            <w:tcW w:w="765" w:type="pct"/>
            <w:tcBorders>
              <w:tl2br w:val="nil"/>
              <w:tr2bl w:val="nil"/>
            </w:tcBorders>
            <w:shd w:val="clear" w:color="auto" w:fill="auto"/>
            <w:noWrap w:val="0"/>
            <w:vAlign w:val="center"/>
          </w:tcPr>
          <w:p w14:paraId="164331AD">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hAnsi="宋体" w:cs="宋体"/>
                <w:i w:val="0"/>
                <w:iCs w:val="0"/>
                <w:color w:val="auto"/>
                <w:sz w:val="20"/>
                <w:szCs w:val="20"/>
                <w:highlight w:val="none"/>
                <w:u w:val="none"/>
                <w:lang w:val="en-US" w:eastAsia="zh-CN"/>
              </w:rPr>
              <w:t>0.4</w:t>
            </w:r>
          </w:p>
        </w:tc>
        <w:tc>
          <w:tcPr>
            <w:tcW w:w="547" w:type="pct"/>
            <w:tcBorders>
              <w:tl2br w:val="nil"/>
              <w:tr2bl w:val="nil"/>
            </w:tcBorders>
            <w:noWrap w:val="0"/>
            <w:vAlign w:val="center"/>
          </w:tcPr>
          <w:p w14:paraId="7DF35C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color w:val="auto"/>
                <w:sz w:val="21"/>
                <w:szCs w:val="21"/>
                <w:highlight w:val="none"/>
                <w:lang w:val="en-US" w:eastAsia="zh-CN"/>
              </w:rPr>
              <w:t>m</w:t>
            </w:r>
            <w:r>
              <w:rPr>
                <w:color w:val="auto"/>
                <w:sz w:val="21"/>
                <w:szCs w:val="21"/>
                <w:highlight w:val="none"/>
              </w:rPr>
              <w:t>g/L</w:t>
            </w:r>
          </w:p>
        </w:tc>
        <w:tc>
          <w:tcPr>
            <w:tcW w:w="653" w:type="pct"/>
            <w:tcBorders>
              <w:tl2br w:val="nil"/>
              <w:tr2bl w:val="nil"/>
            </w:tcBorders>
            <w:noWrap w:val="0"/>
            <w:vAlign w:val="center"/>
          </w:tcPr>
          <w:p w14:paraId="7D5CAF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rFonts w:hint="eastAsia" w:ascii="Times New Roman" w:cs="Times New Roman"/>
                <w:color w:val="auto"/>
                <w:sz w:val="21"/>
                <w:szCs w:val="21"/>
                <w:highlight w:val="none"/>
                <w:lang w:val="en-US" w:eastAsia="zh-CN" w:bidi="ar-SA"/>
              </w:rPr>
              <w:t>250</w:t>
            </w:r>
          </w:p>
        </w:tc>
        <w:tc>
          <w:tcPr>
            <w:tcW w:w="771" w:type="pct"/>
            <w:tcBorders>
              <w:tl2br w:val="nil"/>
              <w:tr2bl w:val="nil"/>
            </w:tcBorders>
            <w:noWrap w:val="0"/>
            <w:vAlign w:val="center"/>
          </w:tcPr>
          <w:p w14:paraId="333571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default" w:ascii="Times New Roman" w:hAnsi="Times New Roman" w:eastAsia="宋体" w:cs="Times New Roman"/>
                <w:color w:val="auto"/>
                <w:sz w:val="21"/>
                <w:szCs w:val="21"/>
                <w:highlight w:val="none"/>
                <w:lang w:val="en-US" w:eastAsia="zh-CN" w:bidi="ar-SA"/>
              </w:rPr>
            </w:pPr>
            <w:r>
              <w:rPr>
                <w:rFonts w:hint="eastAsia" w:ascii="Times New Roman" w:cs="Times New Roman"/>
                <w:color w:val="auto"/>
                <w:sz w:val="21"/>
                <w:szCs w:val="21"/>
                <w:highlight w:val="none"/>
                <w:lang w:val="en-US" w:eastAsia="zh-CN" w:bidi="ar-SA"/>
              </w:rPr>
              <w:t>0.0016</w:t>
            </w:r>
          </w:p>
        </w:tc>
        <w:tc>
          <w:tcPr>
            <w:tcW w:w="395" w:type="pct"/>
            <w:tcBorders>
              <w:tl2br w:val="nil"/>
              <w:tr2bl w:val="nil"/>
            </w:tcBorders>
            <w:noWrap w:val="0"/>
            <w:vAlign w:val="center"/>
          </w:tcPr>
          <w:p w14:paraId="4ABEAB41">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cs="Times New Roman"/>
                <w:color w:val="auto"/>
                <w:kern w:val="0"/>
                <w:sz w:val="21"/>
                <w:szCs w:val="21"/>
                <w:highlight w:val="none"/>
                <w:lang w:val="en-US" w:eastAsia="zh-CN" w:bidi="ar-SA"/>
              </w:rPr>
              <w:t>12</w:t>
            </w:r>
          </w:p>
        </w:tc>
        <w:tc>
          <w:tcPr>
            <w:tcW w:w="686" w:type="pct"/>
            <w:tcBorders>
              <w:tl2br w:val="nil"/>
              <w:tr2bl w:val="nil"/>
            </w:tcBorders>
            <w:noWrap w:val="0"/>
            <w:vAlign w:val="center"/>
          </w:tcPr>
          <w:p w14:paraId="37F66F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color w:val="auto"/>
                <w:kern w:val="0"/>
                <w:sz w:val="21"/>
                <w:szCs w:val="21"/>
                <w:highlight w:val="none"/>
              </w:rPr>
              <w:t>其他类别</w:t>
            </w:r>
          </w:p>
        </w:tc>
      </w:tr>
      <w:tr w14:paraId="1BFBF7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6" w:hRule="atLeast"/>
          <w:tblHeader/>
          <w:jc w:val="center"/>
        </w:trPr>
        <w:tc>
          <w:tcPr>
            <w:tcW w:w="371" w:type="pct"/>
            <w:tcBorders>
              <w:tl2br w:val="nil"/>
              <w:tr2bl w:val="nil"/>
            </w:tcBorders>
            <w:shd w:val="clear" w:color="auto" w:fill="auto"/>
            <w:noWrap w:val="0"/>
            <w:vAlign w:val="center"/>
          </w:tcPr>
          <w:p w14:paraId="7CAAD3C6">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9</w:t>
            </w:r>
          </w:p>
        </w:tc>
        <w:tc>
          <w:tcPr>
            <w:tcW w:w="808" w:type="pct"/>
            <w:tcBorders>
              <w:tl2br w:val="nil"/>
              <w:tr2bl w:val="nil"/>
            </w:tcBorders>
            <w:noWrap w:val="0"/>
            <w:vAlign w:val="center"/>
          </w:tcPr>
          <w:p w14:paraId="68F4F783">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olor w:val="auto"/>
                <w:kern w:val="0"/>
                <w:sz w:val="21"/>
                <w:szCs w:val="21"/>
                <w:highlight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阴离子表面活性剂</w:t>
            </w:r>
          </w:p>
        </w:tc>
        <w:tc>
          <w:tcPr>
            <w:tcW w:w="765" w:type="pct"/>
            <w:tcBorders>
              <w:tl2br w:val="nil"/>
              <w:tr2bl w:val="nil"/>
            </w:tcBorders>
            <w:shd w:val="clear" w:color="auto" w:fill="auto"/>
            <w:noWrap w:val="0"/>
            <w:vAlign w:val="center"/>
          </w:tcPr>
          <w:p w14:paraId="1146FC8D">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0.184</w:t>
            </w:r>
          </w:p>
        </w:tc>
        <w:tc>
          <w:tcPr>
            <w:tcW w:w="547" w:type="pct"/>
            <w:tcBorders>
              <w:tl2br w:val="nil"/>
              <w:tr2bl w:val="nil"/>
            </w:tcBorders>
            <w:noWrap w:val="0"/>
            <w:vAlign w:val="center"/>
          </w:tcPr>
          <w:p w14:paraId="24BEB4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sz w:val="21"/>
                <w:szCs w:val="21"/>
                <w:highlight w:val="none"/>
                <w:lang w:val="en-US" w:eastAsia="zh-CN" w:bidi="ar-SA"/>
              </w:rPr>
            </w:pPr>
            <w:r>
              <w:rPr>
                <w:color w:val="auto"/>
                <w:sz w:val="21"/>
                <w:szCs w:val="21"/>
                <w:highlight w:val="none"/>
              </w:rPr>
              <w:t>mg/L</w:t>
            </w:r>
          </w:p>
        </w:tc>
        <w:tc>
          <w:tcPr>
            <w:tcW w:w="653" w:type="pct"/>
            <w:tcBorders>
              <w:tl2br w:val="nil"/>
              <w:tr2bl w:val="nil"/>
            </w:tcBorders>
            <w:noWrap w:val="0"/>
            <w:vAlign w:val="center"/>
          </w:tcPr>
          <w:p w14:paraId="20A341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olor w:val="auto"/>
                <w:sz w:val="21"/>
                <w:szCs w:val="21"/>
                <w:highlight w:val="none"/>
                <w:lang w:val="en-US" w:eastAsia="zh-CN" w:bidi="ar-SA"/>
              </w:rPr>
            </w:pPr>
            <w:r>
              <w:rPr>
                <w:rFonts w:hint="eastAsia"/>
                <w:color w:val="auto"/>
                <w:sz w:val="21"/>
                <w:szCs w:val="21"/>
                <w:highlight w:val="none"/>
                <w:lang w:val="en-US" w:eastAsia="zh-CN"/>
              </w:rPr>
              <w:t>0.2</w:t>
            </w:r>
          </w:p>
        </w:tc>
        <w:tc>
          <w:tcPr>
            <w:tcW w:w="771" w:type="pct"/>
            <w:tcBorders>
              <w:tl2br w:val="nil"/>
              <w:tr2bl w:val="nil"/>
            </w:tcBorders>
            <w:noWrap w:val="0"/>
            <w:vAlign w:val="center"/>
          </w:tcPr>
          <w:p w14:paraId="607A26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default" w:ascii="Times New Roman" w:hAnsi="Times New Roman" w:eastAsia="宋体" w:cs="Times New Roman"/>
                <w:color w:val="auto"/>
                <w:sz w:val="21"/>
                <w:szCs w:val="21"/>
                <w:highlight w:val="none"/>
                <w:lang w:val="en-US" w:eastAsia="zh-CN" w:bidi="ar-SA"/>
              </w:rPr>
            </w:pPr>
            <w:r>
              <w:rPr>
                <w:rFonts w:hint="eastAsia" w:ascii="Times New Roman" w:cs="Times New Roman"/>
                <w:i w:val="0"/>
                <w:iCs w:val="0"/>
                <w:color w:val="auto"/>
                <w:kern w:val="0"/>
                <w:sz w:val="22"/>
                <w:szCs w:val="22"/>
                <w:highlight w:val="none"/>
                <w:u w:val="none"/>
                <w:lang w:val="en-US" w:eastAsia="zh-CN" w:bidi="ar"/>
              </w:rPr>
              <w:t>0.92</w:t>
            </w:r>
          </w:p>
        </w:tc>
        <w:tc>
          <w:tcPr>
            <w:tcW w:w="395" w:type="pct"/>
            <w:tcBorders>
              <w:tl2br w:val="nil"/>
              <w:tr2bl w:val="nil"/>
            </w:tcBorders>
            <w:noWrap w:val="0"/>
            <w:vAlign w:val="center"/>
          </w:tcPr>
          <w:p w14:paraId="72D24D8E">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cs="Times New Roman"/>
                <w:color w:val="auto"/>
                <w:kern w:val="0"/>
                <w:sz w:val="21"/>
                <w:szCs w:val="21"/>
                <w:highlight w:val="none"/>
                <w:lang w:val="en-US" w:eastAsia="zh-CN" w:bidi="ar-SA"/>
              </w:rPr>
              <w:t>6</w:t>
            </w:r>
          </w:p>
        </w:tc>
        <w:tc>
          <w:tcPr>
            <w:tcW w:w="686" w:type="pct"/>
            <w:tcBorders>
              <w:tl2br w:val="nil"/>
              <w:tr2bl w:val="nil"/>
            </w:tcBorders>
            <w:noWrap w:val="0"/>
            <w:vAlign w:val="center"/>
          </w:tcPr>
          <w:p w14:paraId="52155B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color w:val="auto"/>
                <w:kern w:val="0"/>
                <w:sz w:val="21"/>
                <w:szCs w:val="21"/>
                <w:highlight w:val="none"/>
              </w:rPr>
              <w:t>其他类别</w:t>
            </w:r>
          </w:p>
        </w:tc>
      </w:tr>
      <w:tr w14:paraId="66A5F7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6" w:hRule="atLeast"/>
          <w:tblHeader/>
          <w:jc w:val="center"/>
        </w:trPr>
        <w:tc>
          <w:tcPr>
            <w:tcW w:w="371" w:type="pct"/>
            <w:tcBorders>
              <w:tl2br w:val="nil"/>
              <w:tr2bl w:val="nil"/>
            </w:tcBorders>
            <w:shd w:val="clear" w:color="auto" w:fill="auto"/>
            <w:noWrap w:val="0"/>
            <w:vAlign w:val="center"/>
          </w:tcPr>
          <w:p w14:paraId="31796592">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textAlignment w:val="auto"/>
              <w:rPr>
                <w:rFonts w:ascii="宋体" w:hAnsi="Times New Roman" w:eastAsia="宋体" w:cs="Times New Roman"/>
                <w:color w:val="auto"/>
                <w:kern w:val="0"/>
                <w:sz w:val="21"/>
                <w:szCs w:val="21"/>
                <w:highlight w:val="none"/>
                <w:lang w:val="en-US" w:eastAsia="zh-CN" w:bidi="ar-SA"/>
              </w:rPr>
            </w:pPr>
            <w:r>
              <w:rPr>
                <w:color w:val="auto"/>
                <w:sz w:val="21"/>
                <w:szCs w:val="21"/>
                <w:highlight w:val="none"/>
              </w:rPr>
              <w:t>10</w:t>
            </w:r>
          </w:p>
        </w:tc>
        <w:tc>
          <w:tcPr>
            <w:tcW w:w="808" w:type="pct"/>
            <w:tcBorders>
              <w:tl2br w:val="nil"/>
              <w:tr2bl w:val="nil"/>
            </w:tcBorders>
            <w:noWrap w:val="0"/>
            <w:vAlign w:val="center"/>
          </w:tcPr>
          <w:p w14:paraId="1C38DC6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b/>
                <w:bCs/>
                <w:color w:val="auto"/>
                <w:kern w:val="0"/>
                <w:sz w:val="21"/>
                <w:szCs w:val="21"/>
                <w:highlight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总锌</w:t>
            </w:r>
          </w:p>
        </w:tc>
        <w:tc>
          <w:tcPr>
            <w:tcW w:w="765" w:type="pct"/>
            <w:tcBorders>
              <w:tl2br w:val="nil"/>
              <w:tr2bl w:val="nil"/>
            </w:tcBorders>
            <w:shd w:val="clear" w:color="auto" w:fill="auto"/>
            <w:noWrap w:val="0"/>
            <w:vAlign w:val="center"/>
          </w:tcPr>
          <w:p w14:paraId="1E9BC7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0.055</w:t>
            </w:r>
          </w:p>
        </w:tc>
        <w:tc>
          <w:tcPr>
            <w:tcW w:w="547" w:type="pct"/>
            <w:tcBorders>
              <w:tl2br w:val="nil"/>
              <w:tr2bl w:val="nil"/>
            </w:tcBorders>
            <w:noWrap w:val="0"/>
            <w:vAlign w:val="center"/>
          </w:tcPr>
          <w:p w14:paraId="78894A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b w:val="0"/>
                <w:bCs w:val="0"/>
                <w:color w:val="auto"/>
                <w:sz w:val="21"/>
                <w:szCs w:val="21"/>
                <w:highlight w:val="none"/>
                <w:lang w:val="en-US" w:eastAsia="zh-CN" w:bidi="ar-SA"/>
              </w:rPr>
            </w:pPr>
            <w:r>
              <w:rPr>
                <w:b w:val="0"/>
                <w:bCs w:val="0"/>
                <w:color w:val="auto"/>
                <w:sz w:val="21"/>
                <w:szCs w:val="21"/>
                <w:highlight w:val="none"/>
              </w:rPr>
              <w:t>mg/L</w:t>
            </w:r>
          </w:p>
        </w:tc>
        <w:tc>
          <w:tcPr>
            <w:tcW w:w="653" w:type="pct"/>
            <w:tcBorders>
              <w:tl2br w:val="nil"/>
              <w:tr2bl w:val="nil"/>
            </w:tcBorders>
            <w:noWrap w:val="0"/>
            <w:vAlign w:val="center"/>
          </w:tcPr>
          <w:p w14:paraId="38B5BD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b w:val="0"/>
                <w:bCs w:val="0"/>
                <w:color w:val="auto"/>
                <w:sz w:val="21"/>
                <w:szCs w:val="21"/>
                <w:highlight w:val="none"/>
                <w:lang w:val="en-US" w:eastAsia="zh-CN" w:bidi="ar-SA"/>
              </w:rPr>
            </w:pPr>
            <w:r>
              <w:rPr>
                <w:rFonts w:hint="eastAsia"/>
                <w:b w:val="0"/>
                <w:bCs w:val="0"/>
                <w:color w:val="auto"/>
                <w:sz w:val="21"/>
                <w:szCs w:val="21"/>
                <w:highlight w:val="none"/>
                <w:lang w:val="en-US" w:eastAsia="zh-CN"/>
              </w:rPr>
              <w:t>1.0</w:t>
            </w:r>
          </w:p>
        </w:tc>
        <w:tc>
          <w:tcPr>
            <w:tcW w:w="771" w:type="pct"/>
            <w:tcBorders>
              <w:tl2br w:val="nil"/>
              <w:tr2bl w:val="nil"/>
            </w:tcBorders>
            <w:noWrap w:val="0"/>
            <w:vAlign w:val="center"/>
          </w:tcPr>
          <w:p w14:paraId="17E07F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default" w:ascii="Times New Roman" w:hAnsi="Times New Roman" w:eastAsia="宋体" w:cs="Times New Roman"/>
                <w:b w:val="0"/>
                <w:bCs w:val="0"/>
                <w:color w:val="auto"/>
                <w:sz w:val="21"/>
                <w:szCs w:val="21"/>
                <w:highlight w:val="none"/>
                <w:lang w:val="en-US" w:eastAsia="zh-CN" w:bidi="ar-SA"/>
              </w:rPr>
            </w:pPr>
            <w:r>
              <w:rPr>
                <w:rFonts w:hint="eastAsia" w:ascii="宋体" w:hAnsi="宋体" w:eastAsia="宋体" w:cs="宋体"/>
                <w:b w:val="0"/>
                <w:bCs w:val="0"/>
                <w:i w:val="0"/>
                <w:iCs w:val="0"/>
                <w:color w:val="auto"/>
                <w:kern w:val="0"/>
                <w:sz w:val="20"/>
                <w:szCs w:val="20"/>
                <w:highlight w:val="none"/>
                <w:u w:val="none"/>
                <w:lang w:val="en-US" w:eastAsia="zh-CN" w:bidi="ar"/>
              </w:rPr>
              <w:t>0.055</w:t>
            </w:r>
          </w:p>
        </w:tc>
        <w:tc>
          <w:tcPr>
            <w:tcW w:w="395" w:type="pct"/>
            <w:tcBorders>
              <w:tl2br w:val="nil"/>
              <w:tr2bl w:val="nil"/>
            </w:tcBorders>
            <w:noWrap w:val="0"/>
            <w:vAlign w:val="center"/>
          </w:tcPr>
          <w:p w14:paraId="14E4674A">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color w:val="auto"/>
                <w:kern w:val="0"/>
                <w:sz w:val="21"/>
                <w:szCs w:val="21"/>
                <w:highlight w:val="none"/>
                <w:lang w:val="en-US" w:eastAsia="zh-CN" w:bidi="ar-SA"/>
              </w:rPr>
            </w:pPr>
            <w:r>
              <w:rPr>
                <w:rFonts w:hint="eastAsia" w:ascii="Times New Roman" w:cs="Times New Roman"/>
                <w:b w:val="0"/>
                <w:bCs w:val="0"/>
                <w:color w:val="auto"/>
                <w:kern w:val="0"/>
                <w:sz w:val="21"/>
                <w:szCs w:val="21"/>
                <w:highlight w:val="none"/>
                <w:lang w:val="en-US" w:eastAsia="zh-CN" w:bidi="ar-SA"/>
              </w:rPr>
              <w:t>9</w:t>
            </w:r>
          </w:p>
        </w:tc>
        <w:tc>
          <w:tcPr>
            <w:tcW w:w="686" w:type="pct"/>
            <w:tcBorders>
              <w:tl2br w:val="nil"/>
              <w:tr2bl w:val="nil"/>
            </w:tcBorders>
            <w:noWrap w:val="0"/>
            <w:vAlign w:val="center"/>
          </w:tcPr>
          <w:p w14:paraId="50DE48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bidi="ar-SA"/>
              </w:rPr>
            </w:pPr>
            <w:r>
              <w:rPr>
                <w:b w:val="0"/>
                <w:bCs w:val="0"/>
                <w:color w:val="auto"/>
                <w:kern w:val="0"/>
                <w:sz w:val="21"/>
                <w:szCs w:val="21"/>
                <w:highlight w:val="none"/>
              </w:rPr>
              <w:t>重金属</w:t>
            </w:r>
          </w:p>
        </w:tc>
      </w:tr>
      <w:tr w14:paraId="7971A8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6" w:hRule="atLeast"/>
          <w:tblHeader/>
          <w:jc w:val="center"/>
        </w:trPr>
        <w:tc>
          <w:tcPr>
            <w:tcW w:w="371" w:type="pct"/>
            <w:tcBorders>
              <w:tl2br w:val="nil"/>
              <w:tr2bl w:val="nil"/>
            </w:tcBorders>
            <w:noWrap w:val="0"/>
            <w:vAlign w:val="center"/>
          </w:tcPr>
          <w:p w14:paraId="3897B053">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eastAsia="宋体"/>
                <w:color w:val="auto"/>
                <w:sz w:val="21"/>
                <w:szCs w:val="21"/>
                <w:highlight w:val="none"/>
                <w:lang w:val="en-US" w:eastAsia="zh-CN"/>
              </w:rPr>
            </w:pPr>
            <w:r>
              <w:rPr>
                <w:rFonts w:hint="eastAsia"/>
                <w:color w:val="auto"/>
                <w:sz w:val="21"/>
                <w:szCs w:val="21"/>
                <w:highlight w:val="none"/>
                <w:lang w:val="en-US" w:eastAsia="zh-CN"/>
              </w:rPr>
              <w:t>11</w:t>
            </w:r>
          </w:p>
        </w:tc>
        <w:tc>
          <w:tcPr>
            <w:tcW w:w="808" w:type="pct"/>
            <w:tcBorders>
              <w:tl2br w:val="nil"/>
              <w:tr2bl w:val="nil"/>
            </w:tcBorders>
            <w:noWrap w:val="0"/>
            <w:vAlign w:val="center"/>
          </w:tcPr>
          <w:p w14:paraId="38332D2A">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olor w:val="auto"/>
                <w:kern w:val="0"/>
                <w:sz w:val="21"/>
                <w:szCs w:val="21"/>
                <w:highlight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总锰</w:t>
            </w:r>
          </w:p>
        </w:tc>
        <w:tc>
          <w:tcPr>
            <w:tcW w:w="765" w:type="pct"/>
            <w:tcBorders>
              <w:tl2br w:val="nil"/>
              <w:tr2bl w:val="nil"/>
            </w:tcBorders>
            <w:shd w:val="clear" w:color="auto" w:fill="auto"/>
            <w:noWrap w:val="0"/>
            <w:vAlign w:val="center"/>
          </w:tcPr>
          <w:p w14:paraId="4656DA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0.10</w:t>
            </w:r>
          </w:p>
        </w:tc>
        <w:tc>
          <w:tcPr>
            <w:tcW w:w="547" w:type="pct"/>
            <w:tcBorders>
              <w:tl2br w:val="nil"/>
              <w:tr2bl w:val="nil"/>
            </w:tcBorders>
            <w:noWrap w:val="0"/>
            <w:vAlign w:val="center"/>
          </w:tcPr>
          <w:p w14:paraId="42ABE0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sz w:val="21"/>
                <w:szCs w:val="21"/>
                <w:highlight w:val="none"/>
                <w:lang w:val="en-US" w:eastAsia="zh-CN" w:bidi="ar-SA"/>
              </w:rPr>
            </w:pPr>
            <w:r>
              <w:rPr>
                <w:color w:val="auto"/>
                <w:sz w:val="21"/>
                <w:szCs w:val="21"/>
                <w:highlight w:val="none"/>
              </w:rPr>
              <w:t>mg/L</w:t>
            </w:r>
          </w:p>
        </w:tc>
        <w:tc>
          <w:tcPr>
            <w:tcW w:w="653" w:type="pct"/>
            <w:tcBorders>
              <w:tl2br w:val="nil"/>
              <w:tr2bl w:val="nil"/>
            </w:tcBorders>
            <w:noWrap w:val="0"/>
            <w:vAlign w:val="center"/>
          </w:tcPr>
          <w:p w14:paraId="315453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olor w:val="auto"/>
                <w:sz w:val="21"/>
                <w:szCs w:val="21"/>
                <w:highlight w:val="none"/>
                <w:lang w:val="en-US" w:eastAsia="zh-CN" w:bidi="ar-SA"/>
              </w:rPr>
            </w:pPr>
            <w:r>
              <w:rPr>
                <w:rFonts w:hint="eastAsia"/>
                <w:color w:val="auto"/>
                <w:sz w:val="21"/>
                <w:szCs w:val="21"/>
                <w:highlight w:val="none"/>
                <w:lang w:val="en-US" w:eastAsia="zh-CN"/>
              </w:rPr>
              <w:t>0.1</w:t>
            </w:r>
          </w:p>
        </w:tc>
        <w:tc>
          <w:tcPr>
            <w:tcW w:w="771" w:type="pct"/>
            <w:tcBorders>
              <w:tl2br w:val="nil"/>
              <w:tr2bl w:val="nil"/>
            </w:tcBorders>
            <w:noWrap w:val="0"/>
            <w:vAlign w:val="center"/>
          </w:tcPr>
          <w:p w14:paraId="12ADA0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default" w:ascii="Times New Roman" w:hAnsi="Times New Roman" w:eastAsia="宋体" w:cs="Times New Roman"/>
                <w:color w:val="auto"/>
                <w:sz w:val="21"/>
                <w:szCs w:val="21"/>
                <w:highlight w:val="none"/>
                <w:lang w:val="en-US" w:eastAsia="zh-CN" w:bidi="ar-SA"/>
              </w:rPr>
            </w:pPr>
            <w:r>
              <w:rPr>
                <w:rFonts w:hint="eastAsia" w:ascii="Times New Roman" w:cs="Times New Roman"/>
                <w:i w:val="0"/>
                <w:iCs w:val="0"/>
                <w:color w:val="auto"/>
                <w:kern w:val="0"/>
                <w:sz w:val="22"/>
                <w:szCs w:val="22"/>
                <w:highlight w:val="none"/>
                <w:u w:val="none"/>
                <w:lang w:val="en-US" w:eastAsia="zh-CN" w:bidi="ar"/>
              </w:rPr>
              <w:t>1</w:t>
            </w:r>
          </w:p>
        </w:tc>
        <w:tc>
          <w:tcPr>
            <w:tcW w:w="395" w:type="pct"/>
            <w:tcBorders>
              <w:tl2br w:val="nil"/>
              <w:tr2bl w:val="nil"/>
            </w:tcBorders>
            <w:noWrap w:val="0"/>
            <w:vAlign w:val="center"/>
          </w:tcPr>
          <w:p w14:paraId="31772AE1">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cs="Times New Roman"/>
                <w:color w:val="auto"/>
                <w:kern w:val="0"/>
                <w:sz w:val="21"/>
                <w:szCs w:val="21"/>
                <w:highlight w:val="none"/>
                <w:lang w:val="en-US" w:eastAsia="zh-CN" w:bidi="ar-SA"/>
              </w:rPr>
              <w:t>4</w:t>
            </w:r>
          </w:p>
        </w:tc>
        <w:tc>
          <w:tcPr>
            <w:tcW w:w="686" w:type="pct"/>
            <w:tcBorders>
              <w:tl2br w:val="nil"/>
              <w:tr2bl w:val="nil"/>
            </w:tcBorders>
            <w:noWrap w:val="0"/>
            <w:vAlign w:val="center"/>
          </w:tcPr>
          <w:p w14:paraId="68DFB8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color w:val="auto"/>
                <w:kern w:val="0"/>
                <w:sz w:val="21"/>
                <w:szCs w:val="21"/>
                <w:highlight w:val="none"/>
              </w:rPr>
              <w:t>重金属</w:t>
            </w:r>
          </w:p>
        </w:tc>
      </w:tr>
      <w:tr w14:paraId="5A8D12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6" w:hRule="atLeast"/>
          <w:tblHeader/>
          <w:jc w:val="center"/>
        </w:trPr>
        <w:tc>
          <w:tcPr>
            <w:tcW w:w="371" w:type="pct"/>
            <w:tcBorders>
              <w:tl2br w:val="nil"/>
              <w:tr2bl w:val="nil"/>
            </w:tcBorders>
            <w:noWrap w:val="0"/>
            <w:vAlign w:val="center"/>
          </w:tcPr>
          <w:p w14:paraId="15E11D9F">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eastAsia="宋体"/>
                <w:color w:val="auto"/>
                <w:sz w:val="21"/>
                <w:szCs w:val="21"/>
                <w:highlight w:val="none"/>
                <w:lang w:val="en-US" w:eastAsia="zh-CN"/>
              </w:rPr>
            </w:pPr>
            <w:r>
              <w:rPr>
                <w:rFonts w:hint="eastAsia"/>
                <w:color w:val="auto"/>
                <w:sz w:val="21"/>
                <w:szCs w:val="21"/>
                <w:highlight w:val="none"/>
                <w:lang w:val="en-US" w:eastAsia="zh-CN"/>
              </w:rPr>
              <w:t>12</w:t>
            </w:r>
          </w:p>
        </w:tc>
        <w:tc>
          <w:tcPr>
            <w:tcW w:w="808" w:type="pct"/>
            <w:tcBorders>
              <w:tl2br w:val="nil"/>
              <w:tr2bl w:val="nil"/>
            </w:tcBorders>
            <w:shd w:val="clear" w:color="auto" w:fill="auto"/>
            <w:noWrap w:val="0"/>
            <w:vAlign w:val="center"/>
          </w:tcPr>
          <w:p w14:paraId="4C8C78BC">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color w:val="auto"/>
                <w:kern w:val="0"/>
                <w:sz w:val="20"/>
                <w:szCs w:val="20"/>
                <w:highlight w:val="none"/>
                <w:u w:val="none"/>
                <w:lang w:val="en-US" w:eastAsia="zh-CN" w:bidi="ar"/>
              </w:rPr>
              <w:t>可吸附有机卤化物（AOX）（以Cl计）</w:t>
            </w:r>
          </w:p>
        </w:tc>
        <w:tc>
          <w:tcPr>
            <w:tcW w:w="765" w:type="pct"/>
            <w:tcBorders>
              <w:tl2br w:val="nil"/>
              <w:tr2bl w:val="nil"/>
            </w:tcBorders>
            <w:shd w:val="clear" w:color="auto" w:fill="auto"/>
            <w:noWrap w:val="0"/>
            <w:vAlign w:val="center"/>
          </w:tcPr>
          <w:p w14:paraId="267923DC">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snapToGrid w:val="0"/>
                <w:color w:val="auto"/>
                <w:sz w:val="21"/>
                <w:szCs w:val="21"/>
                <w:highlight w:val="none"/>
                <w:lang w:val="en-US" w:eastAsia="zh-CN"/>
              </w:rPr>
              <w:t>0.595</w:t>
            </w:r>
          </w:p>
        </w:tc>
        <w:tc>
          <w:tcPr>
            <w:tcW w:w="547" w:type="pct"/>
            <w:tcBorders>
              <w:tl2br w:val="nil"/>
              <w:tr2bl w:val="nil"/>
            </w:tcBorders>
            <w:noWrap w:val="0"/>
            <w:vAlign w:val="center"/>
          </w:tcPr>
          <w:p w14:paraId="3D8B1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ascii="Times New Roman" w:hAnsi="Times New Roman" w:eastAsia="宋体" w:cs="Times New Roman"/>
                <w:color w:val="auto"/>
                <w:kern w:val="0"/>
                <w:sz w:val="21"/>
                <w:szCs w:val="21"/>
                <w:highlight w:val="none"/>
                <w:lang w:val="en-US" w:eastAsia="zh-CN" w:bidi="ar-SA"/>
              </w:rPr>
            </w:pPr>
            <w:r>
              <w:rPr>
                <w:color w:val="auto"/>
                <w:sz w:val="21"/>
                <w:szCs w:val="21"/>
                <w:highlight w:val="none"/>
              </w:rPr>
              <w:t>mg/L</w:t>
            </w:r>
          </w:p>
        </w:tc>
        <w:tc>
          <w:tcPr>
            <w:tcW w:w="653" w:type="pct"/>
            <w:tcBorders>
              <w:tl2br w:val="nil"/>
              <w:tr2bl w:val="nil"/>
            </w:tcBorders>
            <w:noWrap w:val="0"/>
            <w:vAlign w:val="center"/>
          </w:tcPr>
          <w:p w14:paraId="35D2A9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olor w:val="auto"/>
                <w:sz w:val="21"/>
                <w:szCs w:val="21"/>
                <w:highlight w:val="none"/>
                <w:lang w:val="en-US" w:eastAsia="zh-CN" w:bidi="ar-SA"/>
              </w:rPr>
            </w:pPr>
            <w:r>
              <w:rPr>
                <w:rFonts w:hint="eastAsia" w:ascii="Times New Roman"/>
                <w:color w:val="auto"/>
                <w:sz w:val="21"/>
                <w:szCs w:val="21"/>
                <w:highlight w:val="none"/>
                <w:lang w:val="en-US" w:eastAsia="zh-CN" w:bidi="ar-SA"/>
              </w:rPr>
              <w:t>250</w:t>
            </w:r>
          </w:p>
        </w:tc>
        <w:tc>
          <w:tcPr>
            <w:tcW w:w="771" w:type="pct"/>
            <w:tcBorders>
              <w:tl2br w:val="nil"/>
              <w:tr2bl w:val="nil"/>
            </w:tcBorders>
            <w:noWrap w:val="0"/>
            <w:vAlign w:val="center"/>
          </w:tcPr>
          <w:p w14:paraId="6BF93C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center"/>
              <w:rPr>
                <w:rFonts w:hint="default" w:ascii="Times New Roman" w:hAnsi="Times New Roman" w:eastAsia="宋体" w:cs="Times New Roman"/>
                <w:color w:val="auto"/>
                <w:sz w:val="21"/>
                <w:szCs w:val="21"/>
                <w:highlight w:val="none"/>
                <w:lang w:val="en-US" w:eastAsia="zh-CN"/>
              </w:rPr>
            </w:pPr>
            <w:r>
              <w:rPr>
                <w:rFonts w:hint="eastAsia" w:ascii="Times New Roman" w:cs="Times New Roman"/>
                <w:i w:val="0"/>
                <w:iCs w:val="0"/>
                <w:color w:val="auto"/>
                <w:kern w:val="0"/>
                <w:sz w:val="22"/>
                <w:szCs w:val="22"/>
                <w:highlight w:val="none"/>
                <w:u w:val="none"/>
                <w:lang w:val="en-US" w:eastAsia="zh-CN" w:bidi="ar"/>
              </w:rPr>
              <w:t>0.00238</w:t>
            </w:r>
          </w:p>
        </w:tc>
        <w:tc>
          <w:tcPr>
            <w:tcW w:w="395" w:type="pct"/>
            <w:tcBorders>
              <w:tl2br w:val="nil"/>
              <w:tr2bl w:val="nil"/>
            </w:tcBorders>
            <w:noWrap w:val="0"/>
            <w:vAlign w:val="center"/>
          </w:tcPr>
          <w:p w14:paraId="248F57D1">
            <w:pPr>
              <w:pStyle w:val="108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11</w:t>
            </w:r>
          </w:p>
        </w:tc>
        <w:tc>
          <w:tcPr>
            <w:tcW w:w="686" w:type="pct"/>
            <w:tcBorders>
              <w:tl2br w:val="nil"/>
              <w:tr2bl w:val="nil"/>
            </w:tcBorders>
            <w:noWrap w:val="0"/>
            <w:vAlign w:val="center"/>
          </w:tcPr>
          <w:p w14:paraId="0B4104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color w:val="auto"/>
                <w:kern w:val="0"/>
                <w:sz w:val="21"/>
                <w:szCs w:val="21"/>
                <w:highlight w:val="none"/>
              </w:rPr>
              <w:t>其他类别</w:t>
            </w:r>
          </w:p>
        </w:tc>
      </w:tr>
    </w:tbl>
    <w:p w14:paraId="2DAD3119">
      <w:pPr>
        <w:widowControl/>
        <w:snapToGrid w:val="0"/>
        <w:ind w:left="480" w:leftChars="200" w:firstLine="0" w:firstLineChars="0"/>
        <w:textAlignment w:val="baseline"/>
        <w:rPr>
          <w:color w:val="auto"/>
          <w:highlight w:val="none"/>
        </w:rPr>
      </w:pPr>
      <w:r>
        <w:rPr>
          <w:rFonts w:hint="eastAsia"/>
          <w:color w:val="auto"/>
          <w:highlight w:val="none"/>
        </w:rPr>
        <w:t>（</w:t>
      </w:r>
      <w:r>
        <w:rPr>
          <w:rFonts w:hint="eastAsia"/>
          <w:color w:val="auto"/>
          <w:highlight w:val="none"/>
          <w:lang w:val="en-US" w:eastAsia="zh-CN"/>
        </w:rPr>
        <w:t>6</w:t>
      </w:r>
      <w:r>
        <w:rPr>
          <w:rFonts w:hint="eastAsia"/>
          <w:color w:val="auto"/>
          <w:highlight w:val="none"/>
        </w:rPr>
        <w:t>）预测模型</w:t>
      </w:r>
    </w:p>
    <w:p w14:paraId="07F3AA51">
      <w:pPr>
        <w:pStyle w:val="217"/>
        <w:ind w:firstLine="480"/>
        <w:rPr>
          <w:rFonts w:cs="Times New Roman"/>
          <w:color w:val="auto"/>
          <w:highlight w:val="none"/>
        </w:rPr>
      </w:pPr>
      <w:r>
        <w:rPr>
          <w:rFonts w:hint="eastAsia"/>
          <w:color w:val="auto"/>
          <w:highlight w:val="none"/>
        </w:rPr>
        <w:fldChar w:fldCharType="begin"/>
      </w:r>
      <w:r>
        <w:rPr>
          <w:rFonts w:hint="eastAsia"/>
          <w:color w:val="auto"/>
          <w:highlight w:val="none"/>
        </w:rPr>
        <w:instrText xml:space="preserve"> = 1 \* GB3 \* MERGEFORMAT </w:instrText>
      </w:r>
      <w:r>
        <w:rPr>
          <w:rFonts w:hint="eastAsia"/>
          <w:color w:val="auto"/>
          <w:highlight w:val="none"/>
        </w:rPr>
        <w:fldChar w:fldCharType="separate"/>
      </w:r>
      <w:r>
        <w:rPr>
          <w:rFonts w:hint="eastAsia"/>
          <w:color w:val="auto"/>
          <w:highlight w:val="none"/>
        </w:rPr>
        <w:t>①</w:t>
      </w:r>
      <w:r>
        <w:rPr>
          <w:rFonts w:hint="eastAsia"/>
          <w:color w:val="auto"/>
          <w:highlight w:val="none"/>
        </w:rPr>
        <w:fldChar w:fldCharType="end"/>
      </w:r>
      <w:r>
        <w:rPr>
          <w:rFonts w:cs="Times New Roman"/>
          <w:color w:val="auto"/>
          <w:highlight w:val="none"/>
        </w:rPr>
        <w:t>根据《环境影响评价技术导则地下水环境》（HJ610-2016）要求，地下水环境影响评价三级评价预测方法可以选用解析法。根据本项目地下水的污染特性选用一维预测模型，公式如下。</w:t>
      </w:r>
    </w:p>
    <w:p w14:paraId="2BDB6C0D">
      <w:pPr>
        <w:ind w:firstLine="480"/>
        <w:jc w:val="center"/>
        <w:rPr>
          <w:rFonts w:ascii="Times New Roman"/>
          <w:color w:val="auto"/>
          <w:kern w:val="2"/>
          <w:szCs w:val="24"/>
          <w:highlight w:val="none"/>
        </w:rPr>
      </w:pPr>
      <w:r>
        <w:rPr>
          <w:rFonts w:cs="Times New Roman"/>
          <w:color w:val="auto"/>
          <w:highlight w:val="none"/>
        </w:rPr>
        <w:drawing>
          <wp:inline distT="0" distB="0" distL="114300" distR="114300">
            <wp:extent cx="3219450" cy="752475"/>
            <wp:effectExtent l="0" t="0" r="6350" b="9525"/>
            <wp:docPr id="17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
                    <pic:cNvPicPr>
                      <a:picLocks noChangeAspect="1"/>
                    </pic:cNvPicPr>
                  </pic:nvPicPr>
                  <pic:blipFill>
                    <a:blip r:embed="rId57"/>
                    <a:stretch>
                      <a:fillRect/>
                    </a:stretch>
                  </pic:blipFill>
                  <pic:spPr>
                    <a:xfrm>
                      <a:off x="0" y="0"/>
                      <a:ext cx="3219450" cy="752475"/>
                    </a:xfrm>
                    <a:prstGeom prst="rect">
                      <a:avLst/>
                    </a:prstGeom>
                    <a:noFill/>
                    <a:ln>
                      <a:noFill/>
                    </a:ln>
                  </pic:spPr>
                </pic:pic>
              </a:graphicData>
            </a:graphic>
          </wp:inline>
        </w:drawing>
      </w:r>
    </w:p>
    <w:p w14:paraId="327BC1A2">
      <w:pPr>
        <w:pStyle w:val="217"/>
        <w:ind w:firstLine="480"/>
        <w:rPr>
          <w:rFonts w:cs="Times New Roman"/>
          <w:color w:val="auto"/>
          <w:highlight w:val="none"/>
        </w:rPr>
      </w:pPr>
      <w:r>
        <w:rPr>
          <w:rFonts w:cs="Times New Roman"/>
          <w:color w:val="auto"/>
          <w:highlight w:val="none"/>
        </w:rPr>
        <w:t>式中：x—距注入点的距离，m；</w:t>
      </w:r>
    </w:p>
    <w:p w14:paraId="5DEB6450">
      <w:pPr>
        <w:pStyle w:val="217"/>
        <w:ind w:firstLine="480"/>
        <w:rPr>
          <w:rFonts w:cs="Times New Roman"/>
          <w:color w:val="auto"/>
          <w:highlight w:val="none"/>
        </w:rPr>
      </w:pPr>
      <w:r>
        <w:rPr>
          <w:rFonts w:cs="Times New Roman"/>
          <w:color w:val="auto"/>
          <w:highlight w:val="none"/>
        </w:rPr>
        <w:t>t—时间，d；</w:t>
      </w:r>
    </w:p>
    <w:p w14:paraId="4EE54422">
      <w:pPr>
        <w:pStyle w:val="217"/>
        <w:ind w:firstLine="480"/>
        <w:rPr>
          <w:rFonts w:cs="Times New Roman"/>
          <w:color w:val="auto"/>
          <w:highlight w:val="none"/>
        </w:rPr>
      </w:pPr>
      <w:r>
        <w:rPr>
          <w:rFonts w:cs="Times New Roman"/>
          <w:color w:val="auto"/>
          <w:highlight w:val="none"/>
        </w:rPr>
        <w:t>C（x,t）—t时刻点x处的示踪剂浓度，g/L；</w:t>
      </w:r>
    </w:p>
    <w:p w14:paraId="389255B9">
      <w:pPr>
        <w:pStyle w:val="217"/>
        <w:ind w:firstLine="480"/>
        <w:rPr>
          <w:rFonts w:cs="Times New Roman"/>
          <w:color w:val="auto"/>
          <w:highlight w:val="none"/>
        </w:rPr>
      </w:pPr>
      <w:r>
        <w:rPr>
          <w:rFonts w:cs="Times New Roman"/>
          <w:color w:val="auto"/>
          <w:highlight w:val="none"/>
        </w:rPr>
        <w:t>C</w:t>
      </w:r>
      <w:r>
        <w:rPr>
          <w:rFonts w:cs="Times New Roman"/>
          <w:color w:val="auto"/>
          <w:highlight w:val="none"/>
          <w:vertAlign w:val="subscript"/>
        </w:rPr>
        <w:t>0</w:t>
      </w:r>
      <w:r>
        <w:rPr>
          <w:rFonts w:cs="Times New Roman"/>
          <w:color w:val="auto"/>
          <w:highlight w:val="none"/>
        </w:rPr>
        <w:t>—注入示踪剂浓度，g/L，根据表</w:t>
      </w:r>
      <w:r>
        <w:rPr>
          <w:rFonts w:hint="eastAsia" w:cs="Times New Roman"/>
          <w:color w:val="auto"/>
          <w:highlight w:val="none"/>
          <w:lang w:val="en-US" w:eastAsia="zh-CN"/>
        </w:rPr>
        <w:t>5.2</w:t>
      </w:r>
      <w:r>
        <w:rPr>
          <w:rFonts w:cs="Times New Roman"/>
          <w:color w:val="auto"/>
          <w:highlight w:val="none"/>
        </w:rPr>
        <w:t>-</w:t>
      </w:r>
      <w:r>
        <w:rPr>
          <w:rFonts w:hint="eastAsia" w:cs="Times New Roman"/>
          <w:color w:val="auto"/>
          <w:highlight w:val="none"/>
          <w:lang w:val="en-US" w:eastAsia="zh-CN"/>
        </w:rPr>
        <w:t>3</w:t>
      </w:r>
      <w:r>
        <w:rPr>
          <w:rFonts w:cs="Times New Roman"/>
          <w:color w:val="auto"/>
          <w:highlight w:val="none"/>
        </w:rPr>
        <w:t>取值；</w:t>
      </w:r>
    </w:p>
    <w:p w14:paraId="53F86433">
      <w:pPr>
        <w:pStyle w:val="217"/>
        <w:ind w:firstLine="480"/>
        <w:rPr>
          <w:rFonts w:cs="Times New Roman"/>
          <w:color w:val="auto"/>
          <w:highlight w:val="none"/>
        </w:rPr>
      </w:pPr>
      <w:r>
        <w:rPr>
          <w:rFonts w:cs="Times New Roman"/>
          <w:color w:val="auto"/>
          <w:highlight w:val="none"/>
        </w:rPr>
        <w:t>u—水流速度，m/d；</w:t>
      </w:r>
    </w:p>
    <w:p w14:paraId="1220F3BB">
      <w:pPr>
        <w:pStyle w:val="217"/>
        <w:ind w:firstLine="480"/>
        <w:rPr>
          <w:rFonts w:cs="Times New Roman"/>
          <w:color w:val="auto"/>
          <w:highlight w:val="none"/>
        </w:rPr>
      </w:pPr>
      <w:r>
        <w:rPr>
          <w:rFonts w:cs="Times New Roman"/>
          <w:color w:val="auto"/>
          <w:highlight w:val="none"/>
        </w:rPr>
        <mc:AlternateContent>
          <mc:Choice Requires="wps">
            <w:drawing>
              <wp:anchor distT="0" distB="0" distL="114300" distR="114300" simplePos="0" relativeHeight="251723776" behindDoc="1" locked="0" layoutInCell="1" allowOverlap="1">
                <wp:simplePos x="0" y="0"/>
                <wp:positionH relativeFrom="page">
                  <wp:posOffset>1970405</wp:posOffset>
                </wp:positionH>
                <wp:positionV relativeFrom="paragraph">
                  <wp:posOffset>159385</wp:posOffset>
                </wp:positionV>
                <wp:extent cx="38100" cy="76200"/>
                <wp:effectExtent l="0" t="0" r="0" b="0"/>
                <wp:wrapNone/>
                <wp:docPr id="169" name="文本框 169"/>
                <wp:cNvGraphicFramePr/>
                <a:graphic xmlns:a="http://schemas.openxmlformats.org/drawingml/2006/main">
                  <a:graphicData uri="http://schemas.microsoft.com/office/word/2010/wordprocessingShape">
                    <wps:wsp>
                      <wps:cNvSpPr txBox="1"/>
                      <wps:spPr>
                        <a:xfrm>
                          <a:off x="0" y="0"/>
                          <a:ext cx="38100" cy="76200"/>
                        </a:xfrm>
                        <a:prstGeom prst="rect">
                          <a:avLst/>
                        </a:prstGeom>
                        <a:noFill/>
                        <a:ln>
                          <a:noFill/>
                        </a:ln>
                        <a:effectLst/>
                      </wps:spPr>
                      <wps:txbx>
                        <w:txbxContent>
                          <w:p w14:paraId="662B53F5">
                            <w:pPr>
                              <w:spacing w:line="120" w:lineRule="exact"/>
                              <w:ind w:firstLine="240"/>
                              <w:rPr>
                                <w:rFonts w:ascii="宋体" w:hAnsi="宋体" w:cs="宋体"/>
                                <w:sz w:val="12"/>
                                <w:szCs w:val="12"/>
                              </w:rPr>
                            </w:pPr>
                            <w:r>
                              <w:rPr>
                                <w:rFonts w:hint="eastAsia" w:ascii="宋体"/>
                                <w:sz w:val="12"/>
                              </w:rPr>
                              <w:t>L</w:t>
                            </w:r>
                          </w:p>
                        </w:txbxContent>
                      </wps:txbx>
                      <wps:bodyPr lIns="0" tIns="0" rIns="0" bIns="0" upright="1"/>
                    </wps:wsp>
                  </a:graphicData>
                </a:graphic>
              </wp:anchor>
            </w:drawing>
          </mc:Choice>
          <mc:Fallback>
            <w:pict>
              <v:shape id="_x0000_s1026" o:spid="_x0000_s1026" o:spt="202" type="#_x0000_t202" style="position:absolute;left:0pt;margin-left:155.15pt;margin-top:12.55pt;height:6pt;width:3pt;mso-position-horizontal-relative:page;z-index:-251592704;mso-width-relative:page;mso-height-relative:page;" filled="f" stroked="f" coordsize="21600,21600" o:gfxdata="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BGa8iN1wAAAAkBAAAPAAAAAAAAAAEAIAAAACIAAABkcnMvZG93bnJldi54bWxQSwEC&#10;FAAUAAAACACHTuJAd9KQ17wBAACBAwAADgAAAAAAAAABACAAAAAmAQAAZHJzL2Uyb0RvYy54bWxQ&#10;SwUGAAAAAAYABgBZAQAAVAUAAAAA&#10;">
                <v:fill on="f" focussize="0,0"/>
                <v:stroke on="f"/>
                <v:imagedata o:title=""/>
                <o:lock v:ext="edit" aspectratio="f"/>
                <v:textbox inset="0mm,0mm,0mm,0mm">
                  <w:txbxContent>
                    <w:p w14:paraId="662B53F5">
                      <w:pPr>
                        <w:spacing w:line="120" w:lineRule="exact"/>
                        <w:ind w:firstLine="240"/>
                        <w:rPr>
                          <w:rFonts w:ascii="宋体" w:hAnsi="宋体" w:cs="宋体"/>
                          <w:sz w:val="12"/>
                          <w:szCs w:val="12"/>
                        </w:rPr>
                      </w:pPr>
                      <w:r>
                        <w:rPr>
                          <w:rFonts w:hint="eastAsia" w:ascii="宋体"/>
                          <w:sz w:val="12"/>
                        </w:rPr>
                        <w:t>L</w:t>
                      </w:r>
                    </w:p>
                  </w:txbxContent>
                </v:textbox>
              </v:shape>
            </w:pict>
          </mc:Fallback>
        </mc:AlternateContent>
      </w:r>
      <w:r>
        <w:rPr>
          <w:rFonts w:cs="Times New Roman"/>
          <w:color w:val="auto"/>
          <w:highlight w:val="none"/>
        </w:rPr>
        <w:t>D—纵向弥散系数，m</w:t>
      </w:r>
      <w:r>
        <w:rPr>
          <w:rFonts w:cs="Times New Roman"/>
          <w:color w:val="auto"/>
          <w:highlight w:val="none"/>
          <w:vertAlign w:val="superscript"/>
        </w:rPr>
        <w:t>2</w:t>
      </w:r>
      <w:r>
        <w:rPr>
          <w:rFonts w:cs="Times New Roman"/>
          <w:color w:val="auto"/>
          <w:highlight w:val="none"/>
        </w:rPr>
        <w:t>/d；</w:t>
      </w:r>
    </w:p>
    <w:p w14:paraId="355A5938">
      <w:pPr>
        <w:pStyle w:val="217"/>
        <w:ind w:firstLine="480"/>
        <w:rPr>
          <w:rFonts w:ascii="Times New Roman"/>
          <w:color w:val="auto"/>
          <w:kern w:val="2"/>
          <w:szCs w:val="24"/>
          <w:highlight w:val="none"/>
        </w:rPr>
      </w:pPr>
      <w:r>
        <w:rPr>
          <w:rFonts w:cs="Times New Roman"/>
          <w:color w:val="auto"/>
          <w:highlight w:val="none"/>
        </w:rPr>
        <w:t>erfc（）—余差数函数；</w:t>
      </w:r>
    </w:p>
    <w:p w14:paraId="2527E889">
      <w:pPr>
        <w:ind w:firstLine="480"/>
        <w:rPr>
          <w:rFonts w:ascii="Times New Roman"/>
          <w:color w:val="auto"/>
          <w:kern w:val="2"/>
          <w:szCs w:val="24"/>
          <w:highlight w:val="none"/>
        </w:rPr>
      </w:pPr>
      <w:r>
        <w:rPr>
          <w:rFonts w:hint="default" w:ascii="Times New Roman" w:hAnsi="Times New Roman" w:cs="Times New Roman"/>
          <w:color w:val="auto"/>
          <w:kern w:val="2"/>
          <w:szCs w:val="24"/>
          <w:highlight w:val="none"/>
        </w:rPr>
        <w:t>②</w:t>
      </w:r>
      <w:r>
        <w:rPr>
          <w:rFonts w:ascii="Times New Roman"/>
          <w:color w:val="auto"/>
          <w:kern w:val="2"/>
          <w:szCs w:val="24"/>
          <w:highlight w:val="none"/>
        </w:rPr>
        <w:t>模型参数确定</w:t>
      </w:r>
    </w:p>
    <w:p w14:paraId="47CF6388">
      <w:pPr>
        <w:spacing w:line="360" w:lineRule="auto"/>
        <w:ind w:firstLine="523" w:firstLineChars="218"/>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根据达西定律u=含水层渗透系数×地下水水力坡度</w:t>
      </w:r>
      <w:r>
        <w:rPr>
          <w:rFonts w:hint="eastAsia" w:ascii="Times New Roman" w:hAnsi="Times New Roman" w:eastAsia="宋体" w:cs="Times New Roman"/>
          <w:color w:val="auto"/>
          <w:sz w:val="24"/>
          <w:highlight w:val="none"/>
          <w:lang w:eastAsia="zh-CN"/>
        </w:rPr>
        <w:t>。</w:t>
      </w:r>
      <w:r>
        <w:rPr>
          <w:rFonts w:hint="eastAsia" w:ascii="Times New Roman" w:hAnsi="Times New Roman" w:eastAsia="宋体" w:cs="Times New Roman"/>
          <w:color w:val="auto"/>
          <w:sz w:val="24"/>
          <w:highlight w:val="none"/>
          <w:lang w:val="en-US" w:eastAsia="zh-CN"/>
        </w:rPr>
        <w:t>根据项目所在区域水文地质资料的初步判断，根据</w:t>
      </w:r>
      <w:r>
        <w:rPr>
          <w:rFonts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val="en-US" w:eastAsia="zh-CN"/>
        </w:rPr>
        <w:t>黑龙江</w:t>
      </w:r>
      <w:r>
        <w:rPr>
          <w:rFonts w:hint="eastAsia" w:ascii="Times New Roman" w:hAnsi="Times New Roman" w:eastAsia="宋体" w:cs="Times New Roman"/>
          <w:color w:val="auto"/>
          <w:sz w:val="24"/>
          <w:szCs w:val="24"/>
          <w:highlight w:val="none"/>
        </w:rPr>
        <w:t>嘉龙环保科技有限公司灰渣回填复垦</w:t>
      </w:r>
      <w:r>
        <w:rPr>
          <w:rFonts w:hint="eastAsia" w:ascii="Times New Roman" w:hAnsi="Times New Roman" w:eastAsia="宋体" w:cs="Times New Roman"/>
          <w:color w:val="auto"/>
          <w:sz w:val="24"/>
          <w:szCs w:val="24"/>
          <w:highlight w:val="none"/>
          <w:lang w:val="en-US" w:eastAsia="zh-CN"/>
        </w:rPr>
        <w:t>利用</w:t>
      </w:r>
      <w:r>
        <w:rPr>
          <w:rFonts w:ascii="Times New Roman" w:hAnsi="Times New Roman" w:eastAsia="宋体" w:cs="Times New Roman"/>
          <w:color w:val="auto"/>
          <w:sz w:val="24"/>
          <w:szCs w:val="24"/>
          <w:highlight w:val="none"/>
        </w:rPr>
        <w:t>项目岩土工程勘察报告》</w:t>
      </w:r>
      <w:r>
        <w:rPr>
          <w:rFonts w:hint="eastAsia" w:ascii="Times New Roman" w:hAnsi="Times New Roman" w:eastAsia="宋体" w:cs="Times New Roman"/>
          <w:color w:val="auto"/>
          <w:sz w:val="24"/>
          <w:highlight w:val="none"/>
          <w:lang w:val="en-US" w:eastAsia="zh-CN"/>
        </w:rPr>
        <w:t>可知，</w:t>
      </w:r>
      <w:r>
        <w:rPr>
          <w:rFonts w:hint="default" w:ascii="Times New Roman" w:hAnsi="Times New Roman" w:cs="Times New Roman"/>
          <w:color w:val="auto"/>
          <w:sz w:val="24"/>
          <w:highlight w:val="none"/>
        </w:rPr>
        <w:t>本项目含水层</w:t>
      </w:r>
      <w:r>
        <w:rPr>
          <w:rFonts w:hint="eastAsia" w:ascii="Times New Roman" w:hAnsi="Times New Roman" w:cs="Times New Roman"/>
          <w:color w:val="auto"/>
          <w:sz w:val="24"/>
          <w:highlight w:val="none"/>
          <w:lang w:val="en-US" w:eastAsia="zh-CN"/>
        </w:rPr>
        <w:t>岩性为</w:t>
      </w:r>
      <w:r>
        <w:rPr>
          <w:rFonts w:hint="default"/>
          <w:color w:val="auto"/>
          <w:highlight w:val="none"/>
        </w:rPr>
        <w:t>砾砂</w:t>
      </w:r>
      <w:r>
        <w:rPr>
          <w:rFonts w:hint="eastAsia"/>
          <w:color w:val="auto"/>
          <w:highlight w:val="none"/>
          <w:lang w:eastAsia="zh-CN"/>
        </w:rPr>
        <w:t>，</w:t>
      </w:r>
      <w:r>
        <w:rPr>
          <w:rFonts w:hint="default" w:ascii="Times New Roman" w:hAnsi="Times New Roman" w:cs="Times New Roman"/>
          <w:color w:val="auto"/>
          <w:sz w:val="24"/>
          <w:highlight w:val="none"/>
        </w:rPr>
        <w:t>渗透系数</w:t>
      </w:r>
      <w:r>
        <w:rPr>
          <w:rFonts w:hint="eastAsia" w:ascii="Times New Roman" w:hAnsi="Times New Roman" w:eastAsia="宋体" w:cs="Times New Roman"/>
          <w:color w:val="auto"/>
          <w:sz w:val="24"/>
          <w:highlight w:val="none"/>
          <w:lang w:val="en-US" w:eastAsia="zh-CN"/>
        </w:rPr>
        <w:t>K</w:t>
      </w:r>
      <w:r>
        <w:rPr>
          <w:rFonts w:hint="default" w:ascii="Times New Roman" w:hAnsi="Times New Roman" w:cs="Times New Roman"/>
          <w:color w:val="auto"/>
          <w:sz w:val="24"/>
          <w:highlight w:val="none"/>
        </w:rPr>
        <w:t>取</w:t>
      </w:r>
      <w:r>
        <w:rPr>
          <w:rFonts w:hint="eastAsia" w:ascii="Times New Roman" w:hAnsi="Times New Roman" w:eastAsia="宋体" w:cs="Times New Roman"/>
          <w:color w:val="auto"/>
          <w:sz w:val="24"/>
          <w:highlight w:val="none"/>
          <w:lang w:val="en-US" w:eastAsia="zh-CN"/>
        </w:rPr>
        <w:t>70</w:t>
      </w:r>
      <w:r>
        <w:rPr>
          <w:rFonts w:hint="default" w:ascii="Times New Roman" w:hAnsi="Times New Roman" w:cs="Times New Roman"/>
          <w:color w:val="auto"/>
          <w:sz w:val="24"/>
          <w:highlight w:val="none"/>
        </w:rPr>
        <w:t>m/d；水力坡度取I=</w:t>
      </w:r>
      <w:r>
        <w:rPr>
          <w:rFonts w:hint="eastAsia" w:ascii="Times New Roman" w:hAnsi="Times New Roman" w:eastAsia="宋体" w:cs="Times New Roman"/>
          <w:color w:val="auto"/>
          <w:sz w:val="24"/>
          <w:highlight w:val="none"/>
          <w:lang w:val="en-US" w:eastAsia="zh-CN"/>
        </w:rPr>
        <w:t>0.1%</w:t>
      </w:r>
      <w:r>
        <w:rPr>
          <w:rFonts w:hint="default" w:ascii="Times New Roman" w:hAnsi="Times New Roman" w:cs="Times New Roman"/>
          <w:color w:val="auto"/>
          <w:sz w:val="24"/>
          <w:highlight w:val="none"/>
        </w:rPr>
        <w:t>；水流速度</w:t>
      </w:r>
      <w:r>
        <w:rPr>
          <w:rFonts w:hint="eastAsia" w:ascii="Times New Roman" w:hAnsi="Times New Roman" w:eastAsia="宋体" w:cs="Times New Roman"/>
          <w:color w:val="auto"/>
          <w:sz w:val="24"/>
          <w:highlight w:val="none"/>
          <w:lang w:val="en-US" w:eastAsia="zh-CN"/>
        </w:rPr>
        <w:t>u</w:t>
      </w:r>
      <w:r>
        <w:rPr>
          <w:rFonts w:hint="default" w:ascii="Times New Roman" w:hAnsi="Times New Roman" w:cs="Times New Roman"/>
          <w:color w:val="auto"/>
          <w:sz w:val="24"/>
          <w:highlight w:val="none"/>
        </w:rPr>
        <w:t>为</w:t>
      </w:r>
      <w:r>
        <w:rPr>
          <w:rFonts w:hint="eastAsia" w:ascii="Times New Roman" w:hAnsi="Times New Roman" w:eastAsia="宋体" w:cs="Times New Roman"/>
          <w:color w:val="auto"/>
          <w:sz w:val="24"/>
          <w:highlight w:val="none"/>
          <w:lang w:val="en-US" w:eastAsia="zh-CN"/>
        </w:rPr>
        <w:t>0.07</w:t>
      </w:r>
      <w:r>
        <w:rPr>
          <w:rFonts w:hint="default" w:ascii="Times New Roman" w:hAnsi="Times New Roman" w:cs="Times New Roman"/>
          <w:color w:val="auto"/>
          <w:sz w:val="24"/>
          <w:highlight w:val="none"/>
        </w:rPr>
        <w:t>m/d。本项目有效孔隙度取</w:t>
      </w:r>
      <w:r>
        <w:rPr>
          <w:rFonts w:hint="eastAsia" w:ascii="Times New Roman" w:hAnsi="Times New Roman" w:eastAsia="宋体" w:cs="Times New Roman"/>
          <w:color w:val="auto"/>
          <w:sz w:val="24"/>
          <w:highlight w:val="none"/>
          <w:lang w:val="en-US" w:eastAsia="zh-CN"/>
        </w:rPr>
        <w:t>0.3</w:t>
      </w:r>
      <w:r>
        <w:rPr>
          <w:rFonts w:hint="default" w:ascii="Times New Roman" w:hAnsi="Times New Roman" w:cs="Times New Roman"/>
          <w:color w:val="auto"/>
          <w:sz w:val="24"/>
          <w:highlight w:val="none"/>
        </w:rPr>
        <w:t>。弥散系数：纵横弥散系数根据含水层岩性及渗透系数、水力坡度等因素，</w:t>
      </w:r>
      <w:r>
        <w:rPr>
          <w:rFonts w:hint="eastAsia" w:ascii="Times New Roman" w:hAnsi="Times New Roman" w:cs="Times New Roman"/>
          <w:color w:val="auto"/>
          <w:sz w:val="24"/>
          <w:highlight w:val="none"/>
        </w:rPr>
        <w:t>本项目</w:t>
      </w:r>
      <w:r>
        <w:rPr>
          <w:rFonts w:hint="default" w:ascii="Times New Roman" w:hAnsi="Times New Roman" w:cs="Times New Roman"/>
          <w:color w:val="auto"/>
          <w:sz w:val="24"/>
          <w:highlight w:val="none"/>
        </w:rPr>
        <w:t>参</w:t>
      </w:r>
      <w:r>
        <w:rPr>
          <w:rFonts w:hint="eastAsia" w:ascii="Times New Roman" w:hAnsi="Times New Roman" w:cs="Times New Roman"/>
          <w:color w:val="auto"/>
          <w:sz w:val="24"/>
          <w:highlight w:val="none"/>
        </w:rPr>
        <w:t>考《海岸工程》第17卷第3期</w:t>
      </w:r>
      <w:r>
        <w:rPr>
          <w:rFonts w:hint="eastAsia" w:ascii="Times New Roman" w:hAnsi="Times New Roman" w:cs="Times New Roman"/>
          <w:color w:val="auto"/>
          <w:sz w:val="24"/>
          <w:highlight w:val="none"/>
          <w:lang w:eastAsia="zh-CN"/>
        </w:rPr>
        <w:t>－</w:t>
      </w:r>
      <w:r>
        <w:rPr>
          <w:rFonts w:hint="eastAsia" w:ascii="Times New Roman" w:hAnsi="Times New Roman" w:cs="Times New Roman"/>
          <w:color w:val="auto"/>
          <w:sz w:val="24"/>
          <w:highlight w:val="none"/>
        </w:rPr>
        <w:t>地下水弥散系数的测定中表3弥散系数参考表，具体见下表</w:t>
      </w:r>
      <w:r>
        <w:rPr>
          <w:rFonts w:hint="default" w:ascii="Times New Roman" w:hAnsi="Times New Roman" w:cs="Times New Roman"/>
          <w:color w:val="auto"/>
          <w:sz w:val="24"/>
          <w:highlight w:val="none"/>
        </w:rPr>
        <w:t>。</w:t>
      </w:r>
    </w:p>
    <w:p w14:paraId="2D44F11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val="0"/>
          <w:color w:val="auto"/>
          <w:sz w:val="24"/>
          <w:highlight w:val="none"/>
          <w:lang w:val="en-US" w:eastAsia="zh-CN"/>
        </w:rPr>
      </w:pPr>
      <w:r>
        <w:rPr>
          <w:rFonts w:hint="eastAsia" w:ascii="Times New Roman" w:hAnsi="Times New Roman" w:eastAsia="宋体" w:cs="Times New Roman"/>
          <w:b/>
          <w:bCs w:val="0"/>
          <w:color w:val="auto"/>
          <w:sz w:val="24"/>
          <w:highlight w:val="none"/>
          <w:lang w:val="en-US" w:eastAsia="zh-CN"/>
        </w:rPr>
        <w:t>表5.2-</w:t>
      </w:r>
      <w:r>
        <w:rPr>
          <w:rFonts w:hint="eastAsia" w:ascii="Times New Roman" w:cs="Times New Roman"/>
          <w:b/>
          <w:bCs w:val="0"/>
          <w:color w:val="auto"/>
          <w:sz w:val="24"/>
          <w:highlight w:val="none"/>
          <w:lang w:val="en-US" w:eastAsia="zh-CN"/>
        </w:rPr>
        <w:t xml:space="preserve">6  </w:t>
      </w:r>
      <w:r>
        <w:rPr>
          <w:rFonts w:hint="eastAsia" w:ascii="Times New Roman" w:hAnsi="Times New Roman" w:eastAsia="宋体" w:cs="Times New Roman"/>
          <w:b/>
          <w:bCs w:val="0"/>
          <w:color w:val="auto"/>
          <w:sz w:val="24"/>
          <w:highlight w:val="none"/>
          <w:lang w:val="en-US" w:eastAsia="zh-CN"/>
        </w:rPr>
        <w:t>弥散系数参考表</w:t>
      </w:r>
    </w:p>
    <w:tbl>
      <w:tblPr>
        <w:tblStyle w:val="84"/>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168"/>
        <w:gridCol w:w="2044"/>
        <w:gridCol w:w="2665"/>
        <w:gridCol w:w="2884"/>
      </w:tblGrid>
      <w:tr w14:paraId="14F5E1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667" w:type="pct"/>
            <w:vMerge w:val="restart"/>
            <w:tcBorders>
              <w:tl2br w:val="nil"/>
              <w:tr2bl w:val="nil"/>
            </w:tcBorders>
            <w:noWrap w:val="0"/>
            <w:vAlign w:val="center"/>
          </w:tcPr>
          <w:p w14:paraId="2DDEFC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国内外经验系数</w:t>
            </w:r>
          </w:p>
        </w:tc>
        <w:tc>
          <w:tcPr>
            <w:tcW w:w="1166" w:type="pct"/>
            <w:tcBorders>
              <w:tl2br w:val="nil"/>
              <w:tr2bl w:val="nil"/>
            </w:tcBorders>
            <w:noWrap w:val="0"/>
            <w:vAlign w:val="center"/>
          </w:tcPr>
          <w:p w14:paraId="4E9CB9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含水层类型</w:t>
            </w:r>
          </w:p>
        </w:tc>
        <w:tc>
          <w:tcPr>
            <w:tcW w:w="1520" w:type="pct"/>
            <w:tcBorders>
              <w:tl2br w:val="nil"/>
              <w:tr2bl w:val="nil"/>
            </w:tcBorders>
            <w:noWrap w:val="0"/>
            <w:vAlign w:val="center"/>
          </w:tcPr>
          <w:p w14:paraId="29F867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纵向弥散系数（m</w:t>
            </w:r>
            <w:r>
              <w:rPr>
                <w:rFonts w:hint="default" w:ascii="Times New Roman" w:hAnsi="Times New Roman" w:cs="Times New Roman"/>
                <w:color w:val="auto"/>
                <w:sz w:val="21"/>
                <w:szCs w:val="21"/>
                <w:highlight w:val="none"/>
                <w:vertAlign w:val="superscript"/>
              </w:rPr>
              <w:t>2</w:t>
            </w:r>
            <w:r>
              <w:rPr>
                <w:rFonts w:hint="default" w:ascii="Times New Roman" w:hAnsi="Times New Roman" w:cs="Times New Roman"/>
                <w:color w:val="auto"/>
                <w:sz w:val="21"/>
                <w:szCs w:val="21"/>
                <w:highlight w:val="none"/>
              </w:rPr>
              <w:t>/d）</w:t>
            </w:r>
          </w:p>
        </w:tc>
        <w:tc>
          <w:tcPr>
            <w:tcW w:w="1645" w:type="pct"/>
            <w:tcBorders>
              <w:tl2br w:val="nil"/>
              <w:tr2bl w:val="nil"/>
            </w:tcBorders>
            <w:noWrap w:val="0"/>
            <w:vAlign w:val="center"/>
          </w:tcPr>
          <w:p w14:paraId="069422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横向弥散系数（m</w:t>
            </w:r>
            <w:r>
              <w:rPr>
                <w:rFonts w:hint="default" w:ascii="Times New Roman" w:hAnsi="Times New Roman" w:cs="Times New Roman"/>
                <w:color w:val="auto"/>
                <w:sz w:val="21"/>
                <w:szCs w:val="21"/>
                <w:highlight w:val="none"/>
                <w:vertAlign w:val="superscript"/>
              </w:rPr>
              <w:t>2</w:t>
            </w:r>
            <w:r>
              <w:rPr>
                <w:rFonts w:hint="default" w:ascii="Times New Roman" w:hAnsi="Times New Roman" w:cs="Times New Roman"/>
                <w:color w:val="auto"/>
                <w:sz w:val="21"/>
                <w:szCs w:val="21"/>
                <w:highlight w:val="none"/>
              </w:rPr>
              <w:t>/d）</w:t>
            </w:r>
          </w:p>
        </w:tc>
      </w:tr>
      <w:tr w14:paraId="7EF792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667" w:type="pct"/>
            <w:vMerge w:val="continue"/>
            <w:tcBorders>
              <w:tl2br w:val="nil"/>
              <w:tr2bl w:val="nil"/>
            </w:tcBorders>
            <w:noWrap w:val="0"/>
            <w:vAlign w:val="center"/>
          </w:tcPr>
          <w:p w14:paraId="44018A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p>
        </w:tc>
        <w:tc>
          <w:tcPr>
            <w:tcW w:w="1166" w:type="pct"/>
            <w:tcBorders>
              <w:tl2br w:val="nil"/>
              <w:tr2bl w:val="nil"/>
            </w:tcBorders>
            <w:noWrap w:val="0"/>
            <w:vAlign w:val="center"/>
          </w:tcPr>
          <w:p w14:paraId="6DAB62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细砂</w:t>
            </w:r>
          </w:p>
        </w:tc>
        <w:tc>
          <w:tcPr>
            <w:tcW w:w="1520" w:type="pct"/>
            <w:tcBorders>
              <w:tl2br w:val="nil"/>
              <w:tr2bl w:val="nil"/>
            </w:tcBorders>
            <w:noWrap w:val="0"/>
            <w:vAlign w:val="center"/>
          </w:tcPr>
          <w:p w14:paraId="7EF7EF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0.05~0.5</w:t>
            </w:r>
          </w:p>
        </w:tc>
        <w:tc>
          <w:tcPr>
            <w:tcW w:w="1645" w:type="pct"/>
            <w:tcBorders>
              <w:tl2br w:val="nil"/>
              <w:tr2bl w:val="nil"/>
            </w:tcBorders>
            <w:noWrap w:val="0"/>
            <w:vAlign w:val="center"/>
          </w:tcPr>
          <w:p w14:paraId="3CA1EF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0.005~0.01</w:t>
            </w:r>
          </w:p>
        </w:tc>
      </w:tr>
      <w:tr w14:paraId="07237F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667" w:type="pct"/>
            <w:vMerge w:val="continue"/>
            <w:tcBorders>
              <w:tl2br w:val="nil"/>
              <w:tr2bl w:val="nil"/>
            </w:tcBorders>
            <w:noWrap w:val="0"/>
            <w:vAlign w:val="center"/>
          </w:tcPr>
          <w:p w14:paraId="4BF5CA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p>
        </w:tc>
        <w:tc>
          <w:tcPr>
            <w:tcW w:w="1166" w:type="pct"/>
            <w:tcBorders>
              <w:tl2br w:val="nil"/>
              <w:tr2bl w:val="nil"/>
            </w:tcBorders>
            <w:noWrap w:val="0"/>
            <w:vAlign w:val="center"/>
          </w:tcPr>
          <w:p w14:paraId="1DF469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中粗砂</w:t>
            </w:r>
          </w:p>
        </w:tc>
        <w:tc>
          <w:tcPr>
            <w:tcW w:w="1520" w:type="pct"/>
            <w:tcBorders>
              <w:tl2br w:val="nil"/>
              <w:tr2bl w:val="nil"/>
            </w:tcBorders>
            <w:noWrap w:val="0"/>
            <w:vAlign w:val="center"/>
          </w:tcPr>
          <w:p w14:paraId="516A58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0.2~1</w:t>
            </w:r>
          </w:p>
        </w:tc>
        <w:tc>
          <w:tcPr>
            <w:tcW w:w="1645" w:type="pct"/>
            <w:tcBorders>
              <w:tl2br w:val="nil"/>
              <w:tr2bl w:val="nil"/>
            </w:tcBorders>
            <w:noWrap w:val="0"/>
            <w:vAlign w:val="center"/>
          </w:tcPr>
          <w:p w14:paraId="5903BF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0.05~0.1</w:t>
            </w:r>
          </w:p>
        </w:tc>
      </w:tr>
      <w:tr w14:paraId="393E81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667" w:type="pct"/>
            <w:vMerge w:val="continue"/>
            <w:tcBorders>
              <w:tl2br w:val="nil"/>
              <w:tr2bl w:val="nil"/>
            </w:tcBorders>
            <w:noWrap w:val="0"/>
            <w:vAlign w:val="center"/>
          </w:tcPr>
          <w:p w14:paraId="72BFB3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p>
        </w:tc>
        <w:tc>
          <w:tcPr>
            <w:tcW w:w="1166" w:type="pct"/>
            <w:tcBorders>
              <w:tl2br w:val="nil"/>
              <w:tr2bl w:val="nil"/>
            </w:tcBorders>
            <w:noWrap w:val="0"/>
            <w:vAlign w:val="center"/>
          </w:tcPr>
          <w:p w14:paraId="0EABE2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砂砾</w:t>
            </w:r>
          </w:p>
        </w:tc>
        <w:tc>
          <w:tcPr>
            <w:tcW w:w="1520" w:type="pct"/>
            <w:tcBorders>
              <w:tl2br w:val="nil"/>
              <w:tr2bl w:val="nil"/>
            </w:tcBorders>
            <w:noWrap w:val="0"/>
            <w:vAlign w:val="center"/>
          </w:tcPr>
          <w:p w14:paraId="53640B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1~5</w:t>
            </w:r>
          </w:p>
        </w:tc>
        <w:tc>
          <w:tcPr>
            <w:tcW w:w="1645" w:type="pct"/>
            <w:tcBorders>
              <w:tl2br w:val="nil"/>
              <w:tr2bl w:val="nil"/>
            </w:tcBorders>
            <w:noWrap w:val="0"/>
            <w:vAlign w:val="center"/>
          </w:tcPr>
          <w:p w14:paraId="53D28E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0.2~1</w:t>
            </w:r>
          </w:p>
        </w:tc>
      </w:tr>
    </w:tbl>
    <w:p w14:paraId="4C199E7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val="0"/>
          <w:color w:val="auto"/>
          <w:sz w:val="24"/>
          <w:highlight w:val="none"/>
        </w:rPr>
      </w:pPr>
      <w:r>
        <w:rPr>
          <w:rFonts w:hint="default" w:ascii="Times New Roman" w:hAnsi="Times New Roman" w:cs="Times New Roman"/>
          <w:b/>
          <w:bCs w:val="0"/>
          <w:color w:val="auto"/>
          <w:sz w:val="24"/>
          <w:highlight w:val="none"/>
        </w:rPr>
        <w:t>表</w:t>
      </w:r>
      <w:r>
        <w:rPr>
          <w:rFonts w:hint="eastAsia" w:ascii="Times New Roman" w:hAnsi="Times New Roman" w:cs="Times New Roman"/>
          <w:b/>
          <w:bCs w:val="0"/>
          <w:color w:val="auto"/>
          <w:sz w:val="24"/>
          <w:highlight w:val="none"/>
          <w:lang w:val="en-US" w:eastAsia="zh-CN"/>
        </w:rPr>
        <w:t>5.2-</w:t>
      </w:r>
      <w:r>
        <w:rPr>
          <w:rFonts w:hint="eastAsia" w:ascii="Times New Roman" w:cs="Times New Roman"/>
          <w:b/>
          <w:bCs w:val="0"/>
          <w:color w:val="auto"/>
          <w:sz w:val="24"/>
          <w:highlight w:val="none"/>
          <w:lang w:val="en-US" w:eastAsia="zh-CN"/>
        </w:rPr>
        <w:t xml:space="preserve">7  </w:t>
      </w:r>
      <w:r>
        <w:rPr>
          <w:rFonts w:hint="default" w:ascii="Times New Roman" w:hAnsi="Times New Roman" w:cs="Times New Roman"/>
          <w:b/>
          <w:bCs w:val="0"/>
          <w:color w:val="auto"/>
          <w:sz w:val="24"/>
          <w:highlight w:val="none"/>
        </w:rPr>
        <w:t>预测参数</w:t>
      </w:r>
    </w:p>
    <w:tbl>
      <w:tblPr>
        <w:tblStyle w:val="84"/>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242"/>
        <w:gridCol w:w="2242"/>
        <w:gridCol w:w="2244"/>
        <w:gridCol w:w="2247"/>
      </w:tblGrid>
      <w:tr w14:paraId="26EABE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 w:hRule="atLeast"/>
          <w:jc w:val="center"/>
        </w:trPr>
        <w:tc>
          <w:tcPr>
            <w:tcW w:w="1249" w:type="pct"/>
            <w:tcBorders>
              <w:tl2br w:val="nil"/>
              <w:tr2bl w:val="nil"/>
            </w:tcBorders>
            <w:noWrap w:val="0"/>
            <w:vAlign w:val="center"/>
          </w:tcPr>
          <w:p w14:paraId="3F32ED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bookmarkStart w:id="672" w:name="_Hlk522485953"/>
            <w:r>
              <w:rPr>
                <w:rFonts w:hint="default" w:ascii="Times New Roman" w:hAnsi="Times New Roman" w:eastAsia="宋体" w:cs="Times New Roman"/>
                <w:color w:val="auto"/>
                <w:sz w:val="21"/>
                <w:szCs w:val="21"/>
                <w:highlight w:val="none"/>
              </w:rPr>
              <w:t>含水层参数</w:t>
            </w:r>
          </w:p>
        </w:tc>
        <w:tc>
          <w:tcPr>
            <w:tcW w:w="1249" w:type="pct"/>
            <w:tcBorders>
              <w:tl2br w:val="nil"/>
              <w:tr2bl w:val="nil"/>
            </w:tcBorders>
            <w:noWrap w:val="0"/>
            <w:vAlign w:val="center"/>
          </w:tcPr>
          <w:p w14:paraId="1993DD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取值</w:t>
            </w:r>
          </w:p>
        </w:tc>
        <w:tc>
          <w:tcPr>
            <w:tcW w:w="1250" w:type="pct"/>
            <w:tcBorders>
              <w:tl2br w:val="nil"/>
              <w:tr2bl w:val="nil"/>
            </w:tcBorders>
            <w:noWrap w:val="0"/>
            <w:vAlign w:val="center"/>
          </w:tcPr>
          <w:p w14:paraId="11AF78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含水层参数</w:t>
            </w:r>
          </w:p>
        </w:tc>
        <w:tc>
          <w:tcPr>
            <w:tcW w:w="1250" w:type="pct"/>
            <w:tcBorders>
              <w:tl2br w:val="nil"/>
              <w:tr2bl w:val="nil"/>
            </w:tcBorders>
            <w:noWrap w:val="0"/>
            <w:vAlign w:val="center"/>
          </w:tcPr>
          <w:p w14:paraId="1BDB50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取值</w:t>
            </w:r>
          </w:p>
        </w:tc>
      </w:tr>
      <w:tr w14:paraId="06B72C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9" w:type="pct"/>
            <w:tcBorders>
              <w:tl2br w:val="nil"/>
              <w:tr2bl w:val="nil"/>
            </w:tcBorders>
            <w:noWrap w:val="0"/>
            <w:vAlign w:val="center"/>
          </w:tcPr>
          <w:p w14:paraId="6C5617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渗透系数</w:t>
            </w:r>
          </w:p>
        </w:tc>
        <w:tc>
          <w:tcPr>
            <w:tcW w:w="1249" w:type="pct"/>
            <w:tcBorders>
              <w:tl2br w:val="nil"/>
              <w:tr2bl w:val="nil"/>
            </w:tcBorders>
            <w:noWrap w:val="0"/>
            <w:vAlign w:val="center"/>
          </w:tcPr>
          <w:p w14:paraId="7E074E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70</w:t>
            </w:r>
            <w:r>
              <w:rPr>
                <w:rFonts w:hint="default" w:ascii="Times New Roman" w:hAnsi="Times New Roman" w:eastAsia="宋体" w:cs="Times New Roman"/>
                <w:color w:val="auto"/>
                <w:sz w:val="21"/>
                <w:szCs w:val="21"/>
                <w:highlight w:val="none"/>
              </w:rPr>
              <w:t>m/d</w:t>
            </w:r>
          </w:p>
        </w:tc>
        <w:tc>
          <w:tcPr>
            <w:tcW w:w="1250" w:type="pct"/>
            <w:tcBorders>
              <w:tl2br w:val="nil"/>
              <w:tr2bl w:val="nil"/>
            </w:tcBorders>
            <w:noWrap w:val="0"/>
            <w:vAlign w:val="center"/>
          </w:tcPr>
          <w:p w14:paraId="7C4055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水</w:t>
            </w:r>
            <w:r>
              <w:rPr>
                <w:rFonts w:hint="eastAsia" w:ascii="Times New Roman" w:hAnsi="Times New Roman" w:eastAsia="宋体" w:cs="Times New Roman"/>
                <w:color w:val="auto"/>
                <w:sz w:val="21"/>
                <w:szCs w:val="21"/>
                <w:highlight w:val="none"/>
                <w:lang w:val="en-US" w:eastAsia="zh-CN"/>
              </w:rPr>
              <w:t>力</w:t>
            </w:r>
            <w:r>
              <w:rPr>
                <w:rFonts w:hint="default" w:ascii="Times New Roman" w:hAnsi="Times New Roman" w:eastAsia="宋体" w:cs="Times New Roman"/>
                <w:color w:val="auto"/>
                <w:sz w:val="21"/>
                <w:szCs w:val="21"/>
                <w:highlight w:val="none"/>
              </w:rPr>
              <w:t>坡度</w:t>
            </w:r>
          </w:p>
        </w:tc>
        <w:tc>
          <w:tcPr>
            <w:tcW w:w="1250" w:type="pct"/>
            <w:tcBorders>
              <w:tl2br w:val="nil"/>
              <w:tr2bl w:val="nil"/>
            </w:tcBorders>
            <w:noWrap w:val="0"/>
            <w:vAlign w:val="center"/>
          </w:tcPr>
          <w:p w14:paraId="4785B8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0.</w:t>
            </w:r>
            <w:r>
              <w:rPr>
                <w:rFonts w:hint="default" w:ascii="Times New Roman" w:hAnsi="Times New Roman" w:eastAsia="宋体" w:cs="Times New Roman"/>
                <w:color w:val="auto"/>
                <w:sz w:val="21"/>
                <w:szCs w:val="21"/>
                <w:highlight w:val="none"/>
              </w:rPr>
              <w:t>1%</w:t>
            </w:r>
          </w:p>
        </w:tc>
      </w:tr>
      <w:tr w14:paraId="5A0046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49" w:type="pct"/>
            <w:tcBorders>
              <w:tl2br w:val="nil"/>
              <w:tr2bl w:val="nil"/>
            </w:tcBorders>
            <w:noWrap w:val="0"/>
            <w:vAlign w:val="center"/>
          </w:tcPr>
          <w:p w14:paraId="03B34D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有效孔隙率</w:t>
            </w:r>
          </w:p>
        </w:tc>
        <w:tc>
          <w:tcPr>
            <w:tcW w:w="1249" w:type="pct"/>
            <w:tcBorders>
              <w:tl2br w:val="nil"/>
              <w:tr2bl w:val="nil"/>
            </w:tcBorders>
            <w:noWrap w:val="0"/>
            <w:vAlign w:val="center"/>
          </w:tcPr>
          <w:p w14:paraId="0B2D72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0.3</w:t>
            </w:r>
          </w:p>
        </w:tc>
        <w:tc>
          <w:tcPr>
            <w:tcW w:w="1250" w:type="pct"/>
            <w:tcBorders>
              <w:tl2br w:val="nil"/>
              <w:tr2bl w:val="nil"/>
            </w:tcBorders>
            <w:noWrap w:val="0"/>
            <w:vAlign w:val="center"/>
          </w:tcPr>
          <w:p w14:paraId="3B0B31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弥散系数</w:t>
            </w:r>
          </w:p>
        </w:tc>
        <w:tc>
          <w:tcPr>
            <w:tcW w:w="1250" w:type="pct"/>
            <w:tcBorders>
              <w:tl2br w:val="nil"/>
              <w:tr2bl w:val="nil"/>
            </w:tcBorders>
            <w:noWrap w:val="0"/>
            <w:vAlign w:val="center"/>
          </w:tcPr>
          <w:p w14:paraId="6BAFAC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z w:val="21"/>
                <w:szCs w:val="21"/>
                <w:highlight w:val="none"/>
                <w:vertAlign w:val="superscript"/>
              </w:rPr>
              <w:t>2</w:t>
            </w:r>
            <w:r>
              <w:rPr>
                <w:rFonts w:hint="default" w:ascii="Times New Roman" w:hAnsi="Times New Roman" w:eastAsia="宋体" w:cs="Times New Roman"/>
                <w:color w:val="auto"/>
                <w:sz w:val="21"/>
                <w:szCs w:val="21"/>
                <w:highlight w:val="none"/>
              </w:rPr>
              <w:t>/d</w:t>
            </w:r>
          </w:p>
        </w:tc>
      </w:tr>
      <w:tr w14:paraId="282A9C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9" w:hRule="atLeast"/>
          <w:jc w:val="center"/>
        </w:trPr>
        <w:tc>
          <w:tcPr>
            <w:tcW w:w="1249" w:type="pct"/>
            <w:tcBorders>
              <w:tl2br w:val="nil"/>
              <w:tr2bl w:val="nil"/>
            </w:tcBorders>
            <w:noWrap w:val="0"/>
            <w:vAlign w:val="center"/>
          </w:tcPr>
          <w:p w14:paraId="72EF46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流速</w:t>
            </w:r>
          </w:p>
        </w:tc>
        <w:tc>
          <w:tcPr>
            <w:tcW w:w="3750" w:type="pct"/>
            <w:gridSpan w:val="3"/>
            <w:tcBorders>
              <w:tl2br w:val="nil"/>
              <w:tr2bl w:val="nil"/>
            </w:tcBorders>
            <w:noWrap w:val="0"/>
            <w:vAlign w:val="center"/>
          </w:tcPr>
          <w:p w14:paraId="23042D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0.0</w:t>
            </w:r>
            <w:r>
              <w:rPr>
                <w:rFonts w:hint="eastAsia" w:ascii="Times New Roman" w:hAnsi="Times New Roman" w:eastAsia="宋体" w:cs="Times New Roman"/>
                <w:color w:val="auto"/>
                <w:sz w:val="21"/>
                <w:szCs w:val="21"/>
                <w:highlight w:val="none"/>
                <w:lang w:val="en-US" w:eastAsia="zh-CN"/>
              </w:rPr>
              <w:t>7</w:t>
            </w:r>
            <w:r>
              <w:rPr>
                <w:rFonts w:hint="default" w:ascii="Times New Roman" w:hAnsi="Times New Roman" w:eastAsia="宋体" w:cs="Times New Roman"/>
                <w:color w:val="auto"/>
                <w:sz w:val="21"/>
                <w:szCs w:val="21"/>
                <w:highlight w:val="none"/>
              </w:rPr>
              <w:t>m/d</w:t>
            </w:r>
          </w:p>
        </w:tc>
      </w:tr>
      <w:bookmarkEnd w:id="672"/>
    </w:tbl>
    <w:p w14:paraId="5217B78F">
      <w:pPr>
        <w:widowControl/>
        <w:ind w:firstLine="480" w:firstLineChars="200"/>
        <w:jc w:val="left"/>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预测计算结果见下表。</w:t>
      </w:r>
    </w:p>
    <w:p w14:paraId="148A3F44">
      <w:pPr>
        <w:widowControl/>
        <w:ind w:firstLine="0" w:firstLineChars="0"/>
        <w:jc w:val="center"/>
        <w:rPr>
          <w:rFonts w:hint="eastAsia" w:eastAsia="宋体"/>
          <w:b/>
          <w:bCs w:val="0"/>
          <w:color w:val="auto"/>
          <w:sz w:val="24"/>
          <w:szCs w:val="24"/>
          <w:highlight w:val="none"/>
          <w:lang w:eastAsia="zh-CN"/>
        </w:rPr>
      </w:pPr>
      <w:r>
        <w:rPr>
          <w:rFonts w:hint="eastAsia" w:ascii="Times New Roman" w:hAnsi="Times New Roman" w:eastAsia="宋体" w:cs="Times New Roman"/>
          <w:b/>
          <w:bCs w:val="0"/>
          <w:color w:val="auto"/>
          <w:sz w:val="24"/>
          <w:highlight w:val="none"/>
          <w:lang w:val="en-US" w:eastAsia="zh-CN"/>
        </w:rPr>
        <w:t>表5.2-</w:t>
      </w:r>
      <w:r>
        <w:rPr>
          <w:rFonts w:hint="eastAsia" w:ascii="Times New Roman" w:cs="Times New Roman"/>
          <w:b/>
          <w:bCs w:val="0"/>
          <w:color w:val="auto"/>
          <w:sz w:val="24"/>
          <w:highlight w:val="none"/>
          <w:lang w:val="en-US" w:eastAsia="zh-CN"/>
        </w:rPr>
        <w:t xml:space="preserve">8  </w:t>
      </w:r>
      <w:r>
        <w:rPr>
          <w:rFonts w:hint="eastAsia" w:ascii="Times New Roman" w:hAnsi="Times New Roman" w:eastAsia="宋体" w:cs="Times New Roman"/>
          <w:b/>
          <w:bCs w:val="0"/>
          <w:color w:val="auto"/>
          <w:sz w:val="24"/>
          <w:highlight w:val="none"/>
          <w:lang w:val="en-US" w:eastAsia="zh-CN"/>
        </w:rPr>
        <w:t>污染物超标扩散距离表</w:t>
      </w:r>
    </w:p>
    <w:tbl>
      <w:tblPr>
        <w:tblStyle w:val="85"/>
        <w:tblW w:w="4984" w:type="pct"/>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58"/>
        <w:gridCol w:w="898"/>
        <w:gridCol w:w="1658"/>
        <w:gridCol w:w="1871"/>
        <w:gridCol w:w="1633"/>
        <w:gridCol w:w="1735"/>
      </w:tblGrid>
      <w:tr w14:paraId="47400E9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tcBorders>
              <w:tl2br w:val="nil"/>
              <w:tr2bl w:val="nil"/>
            </w:tcBorders>
            <w:noWrap w:val="0"/>
            <w:vAlign w:val="center"/>
          </w:tcPr>
          <w:p w14:paraId="1C7B54FC">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预测单元</w:t>
            </w:r>
          </w:p>
        </w:tc>
        <w:tc>
          <w:tcPr>
            <w:tcW w:w="501" w:type="pct"/>
            <w:tcBorders>
              <w:tl2br w:val="nil"/>
              <w:tr2bl w:val="nil"/>
            </w:tcBorders>
            <w:noWrap w:val="0"/>
            <w:vAlign w:val="center"/>
          </w:tcPr>
          <w:p w14:paraId="4021569F">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污染物</w:t>
            </w:r>
          </w:p>
        </w:tc>
        <w:tc>
          <w:tcPr>
            <w:tcW w:w="925" w:type="pct"/>
            <w:tcBorders>
              <w:tl2br w:val="nil"/>
              <w:tr2bl w:val="nil"/>
            </w:tcBorders>
            <w:noWrap w:val="0"/>
            <w:vAlign w:val="center"/>
          </w:tcPr>
          <w:p w14:paraId="4DF85F1E">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标准值（mg/L）</w:t>
            </w:r>
          </w:p>
        </w:tc>
        <w:tc>
          <w:tcPr>
            <w:tcW w:w="1044" w:type="pct"/>
            <w:tcBorders>
              <w:tl2br w:val="nil"/>
              <w:tr2bl w:val="nil"/>
            </w:tcBorders>
            <w:noWrap w:val="0"/>
            <w:vAlign w:val="center"/>
          </w:tcPr>
          <w:p w14:paraId="27DCFB1F">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时间（d）</w:t>
            </w:r>
          </w:p>
        </w:tc>
        <w:tc>
          <w:tcPr>
            <w:tcW w:w="911" w:type="pct"/>
            <w:tcBorders>
              <w:tl2br w:val="nil"/>
              <w:tr2bl w:val="nil"/>
            </w:tcBorders>
            <w:noWrap w:val="0"/>
            <w:vAlign w:val="center"/>
          </w:tcPr>
          <w:p w14:paraId="77C64D6A">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超标距离（m）</w:t>
            </w:r>
          </w:p>
        </w:tc>
        <w:tc>
          <w:tcPr>
            <w:tcW w:w="968" w:type="pct"/>
            <w:tcBorders>
              <w:tl2br w:val="nil"/>
              <w:tr2bl w:val="nil"/>
            </w:tcBorders>
            <w:noWrap w:val="0"/>
            <w:vAlign w:val="center"/>
          </w:tcPr>
          <w:p w14:paraId="407C546E">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影响距离（m）</w:t>
            </w:r>
          </w:p>
        </w:tc>
      </w:tr>
      <w:tr w14:paraId="216CAE9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vMerge w:val="restart"/>
            <w:tcBorders>
              <w:tl2br w:val="nil"/>
              <w:tr2bl w:val="nil"/>
            </w:tcBorders>
            <w:noWrap w:val="0"/>
            <w:vAlign w:val="center"/>
          </w:tcPr>
          <w:p w14:paraId="1B23C335">
            <w:pPr>
              <w:pStyle w:val="1080"/>
              <w:keepNext w:val="0"/>
              <w:keepLines w:val="0"/>
              <w:pageBreakBefore w:val="0"/>
              <w:widowControl w:val="0"/>
              <w:suppressLineNumbers w:val="0"/>
              <w:kinsoku/>
              <w:wordWrap/>
              <w:overflowPunct/>
              <w:topLinePunct w:val="0"/>
              <w:bidi w:val="0"/>
              <w:adjustRightInd/>
              <w:snapToGrid/>
              <w:spacing w:before="0" w:beforeAutospacing="0" w:after="0" w:afterAutospacing="0"/>
              <w:ind w:left="0" w:leftChars="0" w:right="0" w:firstLine="0" w:firstLineChars="0"/>
              <w:contextualSpacing/>
              <w:jc w:val="center"/>
              <w:rPr>
                <w:rFonts w:hint="default" w:ascii="Times New Roman" w:hAnsi="Times New Roman" w:eastAsia="宋体" w:cs="Times New Roman"/>
                <w:color w:val="auto"/>
                <w:sz w:val="21"/>
                <w:szCs w:val="21"/>
                <w:highlight w:val="none"/>
                <w:lang w:val="en-US" w:eastAsia="zh-CN"/>
              </w:rPr>
            </w:pPr>
            <w:r>
              <w:rPr>
                <w:rFonts w:hint="eastAsia" w:ascii="Times New Roman"/>
                <w:color w:val="auto"/>
                <w:highlight w:val="none"/>
                <w:lang w:val="en-US" w:eastAsia="zh-CN"/>
              </w:rPr>
              <w:t>采砂坑</w:t>
            </w:r>
            <w:r>
              <w:rPr>
                <w:rFonts w:hint="eastAsia" w:ascii="Times New Roman" w:hAnsi="Times New Roman" w:eastAsia="宋体" w:cs="Times New Roman"/>
                <w:snapToGrid w:val="0"/>
                <w:color w:val="auto"/>
                <w:sz w:val="21"/>
                <w:szCs w:val="21"/>
                <w:highlight w:val="none"/>
                <w:lang w:val="en-US" w:eastAsia="zh-CN"/>
              </w:rPr>
              <w:t>回填区</w:t>
            </w:r>
          </w:p>
        </w:tc>
        <w:tc>
          <w:tcPr>
            <w:tcW w:w="501" w:type="pct"/>
            <w:vMerge w:val="restart"/>
            <w:tcBorders>
              <w:tl2br w:val="nil"/>
              <w:tr2bl w:val="nil"/>
            </w:tcBorders>
            <w:noWrap w:val="0"/>
            <w:vAlign w:val="center"/>
          </w:tcPr>
          <w:p w14:paraId="30007C36">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auto"/>
                <w:sz w:val="21"/>
                <w:szCs w:val="21"/>
                <w:highlight w:val="none"/>
                <w:lang w:val="en-US" w:eastAsia="zh-CN"/>
              </w:rPr>
            </w:pPr>
            <w:r>
              <w:rPr>
                <w:rFonts w:hint="eastAsia" w:ascii="宋体" w:hAnsi="宋体" w:eastAsia="宋体" w:cs="宋体"/>
                <w:b w:val="0"/>
                <w:bCs w:val="0"/>
                <w:i w:val="0"/>
                <w:iCs w:val="0"/>
                <w:color w:val="auto"/>
                <w:kern w:val="0"/>
                <w:sz w:val="20"/>
                <w:szCs w:val="20"/>
                <w:highlight w:val="none"/>
                <w:u w:val="none"/>
                <w:lang w:val="en-US" w:eastAsia="zh-CN" w:bidi="ar"/>
              </w:rPr>
              <w:t>总砷</w:t>
            </w:r>
          </w:p>
        </w:tc>
        <w:tc>
          <w:tcPr>
            <w:tcW w:w="925" w:type="pct"/>
            <w:vMerge w:val="restart"/>
            <w:tcBorders>
              <w:tl2br w:val="nil"/>
              <w:tr2bl w:val="nil"/>
            </w:tcBorders>
            <w:noWrap w:val="0"/>
            <w:vAlign w:val="center"/>
          </w:tcPr>
          <w:p w14:paraId="5ED6DCB0">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0.01</w:t>
            </w:r>
          </w:p>
        </w:tc>
        <w:tc>
          <w:tcPr>
            <w:tcW w:w="1044" w:type="pct"/>
            <w:tcBorders>
              <w:tl2br w:val="nil"/>
              <w:tr2bl w:val="nil"/>
            </w:tcBorders>
            <w:noWrap w:val="0"/>
            <w:vAlign w:val="center"/>
          </w:tcPr>
          <w:p w14:paraId="552AA320">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100</w:t>
            </w:r>
          </w:p>
        </w:tc>
        <w:tc>
          <w:tcPr>
            <w:tcW w:w="911" w:type="pct"/>
            <w:tcBorders>
              <w:tl2br w:val="nil"/>
              <w:tr2bl w:val="nil"/>
            </w:tcBorders>
            <w:noWrap w:val="0"/>
            <w:vAlign w:val="center"/>
          </w:tcPr>
          <w:p w14:paraId="336B8869">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16</w:t>
            </w:r>
          </w:p>
        </w:tc>
        <w:tc>
          <w:tcPr>
            <w:tcW w:w="968" w:type="pct"/>
            <w:tcBorders>
              <w:tl2br w:val="nil"/>
              <w:tr2bl w:val="nil"/>
            </w:tcBorders>
            <w:noWrap w:val="0"/>
            <w:vAlign w:val="center"/>
          </w:tcPr>
          <w:p w14:paraId="3F13DA51">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41</w:t>
            </w:r>
          </w:p>
        </w:tc>
      </w:tr>
      <w:tr w14:paraId="2595D20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vMerge w:val="continue"/>
            <w:tcBorders>
              <w:tl2br w:val="nil"/>
              <w:tr2bl w:val="nil"/>
            </w:tcBorders>
            <w:noWrap w:val="0"/>
            <w:vAlign w:val="center"/>
          </w:tcPr>
          <w:p w14:paraId="42C0B523">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p>
        </w:tc>
        <w:tc>
          <w:tcPr>
            <w:tcW w:w="501" w:type="pct"/>
            <w:vMerge w:val="continue"/>
            <w:tcBorders>
              <w:tl2br w:val="nil"/>
              <w:tr2bl w:val="nil"/>
            </w:tcBorders>
            <w:noWrap w:val="0"/>
            <w:vAlign w:val="center"/>
          </w:tcPr>
          <w:p w14:paraId="66F7952F">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b w:val="0"/>
                <w:bCs w:val="0"/>
                <w:color w:val="auto"/>
                <w:sz w:val="21"/>
                <w:szCs w:val="21"/>
                <w:highlight w:val="none"/>
              </w:rPr>
            </w:pPr>
          </w:p>
        </w:tc>
        <w:tc>
          <w:tcPr>
            <w:tcW w:w="925" w:type="pct"/>
            <w:vMerge w:val="continue"/>
            <w:tcBorders>
              <w:tl2br w:val="nil"/>
              <w:tr2bl w:val="nil"/>
            </w:tcBorders>
            <w:noWrap w:val="0"/>
            <w:vAlign w:val="center"/>
          </w:tcPr>
          <w:p w14:paraId="355BE554">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p>
        </w:tc>
        <w:tc>
          <w:tcPr>
            <w:tcW w:w="1044" w:type="pct"/>
            <w:tcBorders>
              <w:tl2br w:val="nil"/>
              <w:tr2bl w:val="nil"/>
            </w:tcBorders>
            <w:noWrap w:val="0"/>
            <w:vAlign w:val="center"/>
          </w:tcPr>
          <w:p w14:paraId="15423B01">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1000</w:t>
            </w:r>
          </w:p>
        </w:tc>
        <w:tc>
          <w:tcPr>
            <w:tcW w:w="911" w:type="pct"/>
            <w:tcBorders>
              <w:tl2br w:val="nil"/>
              <w:tr2bl w:val="nil"/>
            </w:tcBorders>
            <w:noWrap w:val="0"/>
            <w:vAlign w:val="center"/>
          </w:tcPr>
          <w:p w14:paraId="4ECC90AB">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92</w:t>
            </w:r>
          </w:p>
        </w:tc>
        <w:tc>
          <w:tcPr>
            <w:tcW w:w="968" w:type="pct"/>
            <w:tcBorders>
              <w:tl2br w:val="nil"/>
              <w:tr2bl w:val="nil"/>
            </w:tcBorders>
            <w:noWrap w:val="0"/>
            <w:vAlign w:val="center"/>
          </w:tcPr>
          <w:p w14:paraId="0B2A2B2E">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177</w:t>
            </w:r>
          </w:p>
        </w:tc>
      </w:tr>
      <w:tr w14:paraId="0BC1D38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vMerge w:val="continue"/>
            <w:tcBorders>
              <w:tl2br w:val="nil"/>
              <w:tr2bl w:val="nil"/>
            </w:tcBorders>
            <w:noWrap w:val="0"/>
            <w:vAlign w:val="center"/>
          </w:tcPr>
          <w:p w14:paraId="4C7E6177">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p>
        </w:tc>
        <w:tc>
          <w:tcPr>
            <w:tcW w:w="501" w:type="pct"/>
            <w:vMerge w:val="continue"/>
            <w:tcBorders>
              <w:tl2br w:val="nil"/>
              <w:tr2bl w:val="nil"/>
            </w:tcBorders>
            <w:noWrap w:val="0"/>
            <w:vAlign w:val="center"/>
          </w:tcPr>
          <w:p w14:paraId="1B026360">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b w:val="0"/>
                <w:bCs w:val="0"/>
                <w:color w:val="auto"/>
                <w:sz w:val="21"/>
                <w:szCs w:val="21"/>
                <w:highlight w:val="none"/>
              </w:rPr>
            </w:pPr>
          </w:p>
        </w:tc>
        <w:tc>
          <w:tcPr>
            <w:tcW w:w="925" w:type="pct"/>
            <w:vMerge w:val="continue"/>
            <w:tcBorders>
              <w:tl2br w:val="nil"/>
              <w:tr2bl w:val="nil"/>
            </w:tcBorders>
            <w:noWrap w:val="0"/>
            <w:vAlign w:val="center"/>
          </w:tcPr>
          <w:p w14:paraId="312A0BFF">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p>
        </w:tc>
        <w:tc>
          <w:tcPr>
            <w:tcW w:w="1044" w:type="pct"/>
            <w:tcBorders>
              <w:tl2br w:val="nil"/>
              <w:tr2bl w:val="nil"/>
            </w:tcBorders>
            <w:noWrap w:val="0"/>
            <w:vAlign w:val="center"/>
          </w:tcPr>
          <w:p w14:paraId="588F937C">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5000</w:t>
            </w:r>
          </w:p>
        </w:tc>
        <w:tc>
          <w:tcPr>
            <w:tcW w:w="911" w:type="pct"/>
            <w:tcBorders>
              <w:tl2br w:val="nil"/>
              <w:tr2bl w:val="nil"/>
            </w:tcBorders>
            <w:noWrap w:val="0"/>
            <w:vAlign w:val="center"/>
          </w:tcPr>
          <w:p w14:paraId="4D96952C">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389</w:t>
            </w:r>
          </w:p>
        </w:tc>
        <w:tc>
          <w:tcPr>
            <w:tcW w:w="968" w:type="pct"/>
            <w:tcBorders>
              <w:tl2br w:val="nil"/>
              <w:tr2bl w:val="nil"/>
            </w:tcBorders>
            <w:noWrap w:val="0"/>
            <w:vAlign w:val="center"/>
          </w:tcPr>
          <w:p w14:paraId="0053D36B">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575</w:t>
            </w:r>
          </w:p>
        </w:tc>
      </w:tr>
      <w:tr w14:paraId="148412F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647" w:type="pct"/>
            <w:vMerge w:val="continue"/>
            <w:tcBorders>
              <w:tl2br w:val="nil"/>
              <w:tr2bl w:val="nil"/>
            </w:tcBorders>
            <w:noWrap w:val="0"/>
            <w:vAlign w:val="center"/>
          </w:tcPr>
          <w:p w14:paraId="23222E09">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p>
        </w:tc>
        <w:tc>
          <w:tcPr>
            <w:tcW w:w="501" w:type="pct"/>
            <w:vMerge w:val="restart"/>
            <w:tcBorders>
              <w:tl2br w:val="nil"/>
              <w:tr2bl w:val="nil"/>
            </w:tcBorders>
            <w:noWrap w:val="0"/>
            <w:vAlign w:val="center"/>
          </w:tcPr>
          <w:p w14:paraId="33D068DE">
            <w:pPr>
              <w:keepNext w:val="0"/>
              <w:keepLines w:val="0"/>
              <w:widowControl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val="0"/>
                <w:bCs w:val="0"/>
                <w:color w:val="auto"/>
                <w:sz w:val="21"/>
                <w:szCs w:val="21"/>
                <w:highlight w:val="none"/>
                <w:lang w:eastAsia="zh-CN"/>
              </w:rPr>
            </w:pPr>
            <w:r>
              <w:rPr>
                <w:rFonts w:hint="eastAsia" w:ascii="宋体" w:hAnsi="宋体" w:eastAsia="宋体" w:cs="宋体"/>
                <w:b w:val="0"/>
                <w:bCs w:val="0"/>
                <w:i w:val="0"/>
                <w:iCs w:val="0"/>
                <w:color w:val="auto"/>
                <w:kern w:val="0"/>
                <w:sz w:val="20"/>
                <w:szCs w:val="20"/>
                <w:highlight w:val="none"/>
                <w:u w:val="none"/>
                <w:lang w:val="en-US" w:eastAsia="zh-CN" w:bidi="ar"/>
              </w:rPr>
              <w:t>化学需氧量</w:t>
            </w:r>
          </w:p>
        </w:tc>
        <w:tc>
          <w:tcPr>
            <w:tcW w:w="925" w:type="pct"/>
            <w:vMerge w:val="restart"/>
            <w:tcBorders>
              <w:tl2br w:val="nil"/>
              <w:tr2bl w:val="nil"/>
            </w:tcBorders>
            <w:noWrap w:val="0"/>
            <w:vAlign w:val="center"/>
          </w:tcPr>
          <w:p w14:paraId="025C5CA4">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20</w:t>
            </w:r>
          </w:p>
        </w:tc>
        <w:tc>
          <w:tcPr>
            <w:tcW w:w="1044" w:type="pct"/>
            <w:tcBorders>
              <w:tl2br w:val="nil"/>
              <w:tr2bl w:val="nil"/>
            </w:tcBorders>
            <w:noWrap w:val="0"/>
            <w:vAlign w:val="center"/>
          </w:tcPr>
          <w:p w14:paraId="0666F296">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100</w:t>
            </w:r>
          </w:p>
        </w:tc>
        <w:tc>
          <w:tcPr>
            <w:tcW w:w="911" w:type="pct"/>
            <w:tcBorders>
              <w:tl2br w:val="nil"/>
              <w:tr2bl w:val="nil"/>
            </w:tcBorders>
            <w:noWrap w:val="0"/>
            <w:vAlign w:val="center"/>
          </w:tcPr>
          <w:p w14:paraId="293BC22B">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22</w:t>
            </w:r>
          </w:p>
        </w:tc>
        <w:tc>
          <w:tcPr>
            <w:tcW w:w="968" w:type="pct"/>
            <w:tcBorders>
              <w:tl2br w:val="nil"/>
              <w:tr2bl w:val="nil"/>
            </w:tcBorders>
            <w:shd w:val="clear" w:color="auto" w:fill="auto"/>
            <w:noWrap w:val="0"/>
            <w:vAlign w:val="center"/>
          </w:tcPr>
          <w:p w14:paraId="1A4D48A7">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cs="Times New Roman"/>
                <w:color w:val="auto"/>
                <w:sz w:val="21"/>
                <w:szCs w:val="21"/>
                <w:highlight w:val="none"/>
                <w:lang w:val="en-US" w:eastAsia="zh-CN"/>
              </w:rPr>
              <w:t>34</w:t>
            </w:r>
          </w:p>
        </w:tc>
      </w:tr>
      <w:tr w14:paraId="19CE021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vMerge w:val="continue"/>
            <w:tcBorders>
              <w:tl2br w:val="nil"/>
              <w:tr2bl w:val="nil"/>
            </w:tcBorders>
            <w:noWrap w:val="0"/>
            <w:vAlign w:val="center"/>
          </w:tcPr>
          <w:p w14:paraId="60F6BE8C">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p>
        </w:tc>
        <w:tc>
          <w:tcPr>
            <w:tcW w:w="501" w:type="pct"/>
            <w:vMerge w:val="continue"/>
            <w:tcBorders>
              <w:tl2br w:val="nil"/>
              <w:tr2bl w:val="nil"/>
            </w:tcBorders>
            <w:noWrap w:val="0"/>
            <w:vAlign w:val="center"/>
          </w:tcPr>
          <w:p w14:paraId="3B8B07CD">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p>
        </w:tc>
        <w:tc>
          <w:tcPr>
            <w:tcW w:w="925" w:type="pct"/>
            <w:vMerge w:val="continue"/>
            <w:tcBorders>
              <w:tl2br w:val="nil"/>
              <w:tr2bl w:val="nil"/>
            </w:tcBorders>
            <w:noWrap w:val="0"/>
            <w:vAlign w:val="center"/>
          </w:tcPr>
          <w:p w14:paraId="67B434A9">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p>
        </w:tc>
        <w:tc>
          <w:tcPr>
            <w:tcW w:w="1044" w:type="pct"/>
            <w:tcBorders>
              <w:tl2br w:val="nil"/>
              <w:tr2bl w:val="nil"/>
            </w:tcBorders>
            <w:noWrap w:val="0"/>
            <w:vAlign w:val="center"/>
          </w:tcPr>
          <w:p w14:paraId="47038036">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1000</w:t>
            </w:r>
          </w:p>
        </w:tc>
        <w:tc>
          <w:tcPr>
            <w:tcW w:w="911" w:type="pct"/>
            <w:tcBorders>
              <w:tl2br w:val="nil"/>
              <w:tr2bl w:val="nil"/>
            </w:tcBorders>
            <w:noWrap w:val="0"/>
            <w:vAlign w:val="center"/>
          </w:tcPr>
          <w:p w14:paraId="2797F9F1">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111</w:t>
            </w:r>
          </w:p>
        </w:tc>
        <w:tc>
          <w:tcPr>
            <w:tcW w:w="968" w:type="pct"/>
            <w:tcBorders>
              <w:tl2br w:val="nil"/>
              <w:tr2bl w:val="nil"/>
            </w:tcBorders>
            <w:shd w:val="clear" w:color="auto" w:fill="auto"/>
            <w:noWrap w:val="0"/>
            <w:vAlign w:val="center"/>
          </w:tcPr>
          <w:p w14:paraId="061BF0F6">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cs="Times New Roman"/>
                <w:color w:val="auto"/>
                <w:sz w:val="21"/>
                <w:szCs w:val="21"/>
                <w:highlight w:val="none"/>
                <w:lang w:val="en-US" w:eastAsia="zh-CN"/>
              </w:rPr>
              <w:t>152</w:t>
            </w:r>
          </w:p>
        </w:tc>
      </w:tr>
      <w:tr w14:paraId="7BEA9D7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vMerge w:val="continue"/>
            <w:tcBorders>
              <w:tl2br w:val="nil"/>
              <w:tr2bl w:val="nil"/>
            </w:tcBorders>
            <w:noWrap w:val="0"/>
            <w:vAlign w:val="center"/>
          </w:tcPr>
          <w:p w14:paraId="0253CAD9">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p>
        </w:tc>
        <w:tc>
          <w:tcPr>
            <w:tcW w:w="501" w:type="pct"/>
            <w:vMerge w:val="continue"/>
            <w:tcBorders>
              <w:tl2br w:val="nil"/>
              <w:tr2bl w:val="nil"/>
            </w:tcBorders>
            <w:noWrap w:val="0"/>
            <w:vAlign w:val="center"/>
          </w:tcPr>
          <w:p w14:paraId="56C1E1A6">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p>
        </w:tc>
        <w:tc>
          <w:tcPr>
            <w:tcW w:w="925" w:type="pct"/>
            <w:vMerge w:val="continue"/>
            <w:tcBorders>
              <w:tl2br w:val="nil"/>
              <w:tr2bl w:val="nil"/>
            </w:tcBorders>
            <w:noWrap w:val="0"/>
            <w:vAlign w:val="center"/>
          </w:tcPr>
          <w:p w14:paraId="77FACE7E">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rPr>
            </w:pPr>
          </w:p>
        </w:tc>
        <w:tc>
          <w:tcPr>
            <w:tcW w:w="1044" w:type="pct"/>
            <w:tcBorders>
              <w:tl2br w:val="nil"/>
              <w:tr2bl w:val="nil"/>
            </w:tcBorders>
            <w:noWrap w:val="0"/>
            <w:vAlign w:val="center"/>
          </w:tcPr>
          <w:p w14:paraId="65954E29">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5000</w:t>
            </w:r>
          </w:p>
        </w:tc>
        <w:tc>
          <w:tcPr>
            <w:tcW w:w="911" w:type="pct"/>
            <w:tcBorders>
              <w:tl2br w:val="nil"/>
              <w:tr2bl w:val="nil"/>
            </w:tcBorders>
            <w:noWrap w:val="0"/>
            <w:vAlign w:val="center"/>
          </w:tcPr>
          <w:p w14:paraId="4C17E548">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433</w:t>
            </w:r>
          </w:p>
        </w:tc>
        <w:tc>
          <w:tcPr>
            <w:tcW w:w="968" w:type="pct"/>
            <w:tcBorders>
              <w:tl2br w:val="nil"/>
              <w:tr2bl w:val="nil"/>
            </w:tcBorders>
            <w:noWrap w:val="0"/>
            <w:vAlign w:val="center"/>
          </w:tcPr>
          <w:p w14:paraId="6596B2D2">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highlight w:val="none"/>
                <w:lang w:val="en-US" w:eastAsia="zh-CN"/>
              </w:rPr>
            </w:pPr>
            <w:r>
              <w:rPr>
                <w:rFonts w:hint="eastAsia" w:ascii="Times New Roman" w:cs="Times New Roman"/>
                <w:color w:val="auto"/>
                <w:sz w:val="21"/>
                <w:szCs w:val="21"/>
                <w:highlight w:val="none"/>
                <w:lang w:val="en-US" w:eastAsia="zh-CN"/>
              </w:rPr>
              <w:t>516</w:t>
            </w:r>
          </w:p>
        </w:tc>
      </w:tr>
    </w:tbl>
    <w:p w14:paraId="3EF0CDA7">
      <w:pPr>
        <w:jc w:val="both"/>
        <w:rPr>
          <w:color w:val="auto"/>
          <w:highlight w:val="none"/>
        </w:rPr>
      </w:pPr>
    </w:p>
    <w:p w14:paraId="3CCA5B58">
      <w:pPr>
        <w:ind w:left="0" w:leftChars="0" w:firstLine="0" w:firstLineChars="0"/>
        <w:jc w:val="center"/>
        <w:rPr>
          <w:rFonts w:ascii="Times New Roman"/>
          <w:color w:val="auto"/>
          <w:kern w:val="2"/>
          <w:szCs w:val="24"/>
          <w:highlight w:val="none"/>
        </w:rPr>
      </w:pPr>
      <w:r>
        <w:rPr>
          <w:color w:val="auto"/>
          <w:highlight w:val="none"/>
        </w:rPr>
        <w:drawing>
          <wp:inline distT="0" distB="0" distL="114300" distR="114300">
            <wp:extent cx="5359400" cy="3295650"/>
            <wp:effectExtent l="0" t="0" r="0" b="635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58"/>
                    <a:stretch>
                      <a:fillRect/>
                    </a:stretch>
                  </pic:blipFill>
                  <pic:spPr>
                    <a:xfrm>
                      <a:off x="0" y="0"/>
                      <a:ext cx="5359400" cy="3295650"/>
                    </a:xfrm>
                    <a:prstGeom prst="rect">
                      <a:avLst/>
                    </a:prstGeom>
                    <a:noFill/>
                    <a:ln>
                      <a:noFill/>
                    </a:ln>
                  </pic:spPr>
                </pic:pic>
              </a:graphicData>
            </a:graphic>
          </wp:inline>
        </w:drawing>
      </w:r>
    </w:p>
    <w:p w14:paraId="46E9049E">
      <w:pPr>
        <w:pStyle w:val="146"/>
        <w:jc w:val="center"/>
        <w:rPr>
          <w:rFonts w:hint="eastAsia" w:ascii="Times New Roman" w:hAnsi="Times New Roman" w:eastAsia="宋体" w:cs="Times New Roman"/>
          <w:b/>
          <w:bCs/>
          <w:color w:val="auto"/>
          <w:kern w:val="0"/>
          <w:sz w:val="24"/>
          <w:szCs w:val="24"/>
          <w:highlight w:val="none"/>
          <w:lang w:eastAsia="zh-CN" w:bidi="ar"/>
        </w:rPr>
      </w:pPr>
      <w:r>
        <w:rPr>
          <w:rFonts w:hint="eastAsia" w:ascii="Times New Roman" w:hAnsi="Times New Roman" w:cs="Times New Roman"/>
          <w:b/>
          <w:bCs/>
          <w:color w:val="auto"/>
          <w:kern w:val="0"/>
          <w:sz w:val="24"/>
          <w:szCs w:val="24"/>
          <w:highlight w:val="none"/>
          <w:lang w:val="en-US" w:eastAsia="zh-CN" w:bidi="ar"/>
        </w:rPr>
        <w:t>图5.2-1</w:t>
      </w:r>
      <w:r>
        <w:rPr>
          <w:rFonts w:hint="eastAsia" w:ascii="Times New Roman" w:cs="Times New Roman"/>
          <w:b/>
          <w:bCs/>
          <w:color w:val="auto"/>
          <w:kern w:val="0"/>
          <w:sz w:val="24"/>
          <w:szCs w:val="24"/>
          <w:highlight w:val="none"/>
          <w:lang w:val="en-US" w:eastAsia="zh-CN" w:bidi="ar"/>
        </w:rPr>
        <w:t xml:space="preserve"> 总砷</w:t>
      </w:r>
      <w:r>
        <w:rPr>
          <w:rFonts w:hint="eastAsia" w:ascii="Times New Roman" w:hAnsi="Times New Roman" w:cs="Times New Roman"/>
          <w:b/>
          <w:bCs/>
          <w:color w:val="auto"/>
          <w:kern w:val="0"/>
          <w:sz w:val="24"/>
          <w:szCs w:val="24"/>
          <w:highlight w:val="none"/>
          <w:lang w:val="en-US" w:eastAsia="zh-CN" w:bidi="ar"/>
        </w:rPr>
        <w:t>泄漏</w:t>
      </w:r>
      <w:r>
        <w:rPr>
          <w:rFonts w:hint="default" w:ascii="Times New Roman" w:hAnsi="Times New Roman" w:cs="Times New Roman"/>
          <w:b/>
          <w:bCs/>
          <w:color w:val="auto"/>
          <w:kern w:val="0"/>
          <w:sz w:val="24"/>
          <w:szCs w:val="24"/>
          <w:highlight w:val="none"/>
          <w:lang w:bidi="ar"/>
        </w:rPr>
        <w:t>预测</w:t>
      </w:r>
      <w:r>
        <w:rPr>
          <w:rFonts w:hint="eastAsia" w:ascii="Times New Roman" w:hAnsi="Times New Roman" w:cs="Times New Roman"/>
          <w:b/>
          <w:bCs/>
          <w:color w:val="auto"/>
          <w:kern w:val="0"/>
          <w:sz w:val="24"/>
          <w:szCs w:val="24"/>
          <w:highlight w:val="none"/>
          <w:lang w:val="en-US" w:eastAsia="zh-CN" w:bidi="ar"/>
        </w:rPr>
        <w:t>100天溶质迁移图</w:t>
      </w:r>
    </w:p>
    <w:p w14:paraId="55258810">
      <w:pPr>
        <w:pStyle w:val="146"/>
        <w:jc w:val="center"/>
        <w:rPr>
          <w:color w:val="auto"/>
          <w:highlight w:val="none"/>
        </w:rPr>
      </w:pPr>
      <w:r>
        <w:rPr>
          <w:color w:val="auto"/>
          <w:highlight w:val="none"/>
        </w:rPr>
        <w:drawing>
          <wp:inline distT="0" distB="0" distL="114300" distR="114300">
            <wp:extent cx="5467350" cy="3314700"/>
            <wp:effectExtent l="0" t="0" r="635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59"/>
                    <a:stretch>
                      <a:fillRect/>
                    </a:stretch>
                  </pic:blipFill>
                  <pic:spPr>
                    <a:xfrm>
                      <a:off x="0" y="0"/>
                      <a:ext cx="5467350" cy="3314700"/>
                    </a:xfrm>
                    <a:prstGeom prst="rect">
                      <a:avLst/>
                    </a:prstGeom>
                    <a:noFill/>
                    <a:ln>
                      <a:noFill/>
                    </a:ln>
                  </pic:spPr>
                </pic:pic>
              </a:graphicData>
            </a:graphic>
          </wp:inline>
        </w:drawing>
      </w:r>
    </w:p>
    <w:p w14:paraId="1E255F33">
      <w:pPr>
        <w:pStyle w:val="146"/>
        <w:jc w:val="center"/>
        <w:rPr>
          <w:rFonts w:hint="eastAsia" w:ascii="Times New Roman" w:hAnsi="Times New Roman" w:eastAsia="宋体" w:cs="Times New Roman"/>
          <w:b/>
          <w:bCs/>
          <w:color w:val="auto"/>
          <w:kern w:val="0"/>
          <w:sz w:val="24"/>
          <w:szCs w:val="24"/>
          <w:highlight w:val="none"/>
          <w:lang w:eastAsia="zh-CN" w:bidi="ar"/>
        </w:rPr>
      </w:pPr>
      <w:r>
        <w:rPr>
          <w:rFonts w:hint="eastAsia" w:ascii="Times New Roman" w:hAnsi="Times New Roman" w:cs="Times New Roman"/>
          <w:b/>
          <w:bCs/>
          <w:color w:val="auto"/>
          <w:kern w:val="0"/>
          <w:sz w:val="24"/>
          <w:szCs w:val="24"/>
          <w:highlight w:val="none"/>
          <w:lang w:val="en-US" w:eastAsia="zh-CN" w:bidi="ar"/>
        </w:rPr>
        <w:t>5.2-2</w:t>
      </w:r>
      <w:r>
        <w:rPr>
          <w:rFonts w:hint="eastAsia" w:ascii="Times New Roman" w:cs="Times New Roman"/>
          <w:b/>
          <w:bCs/>
          <w:color w:val="auto"/>
          <w:kern w:val="0"/>
          <w:sz w:val="24"/>
          <w:szCs w:val="24"/>
          <w:highlight w:val="none"/>
          <w:lang w:val="en-US" w:eastAsia="zh-CN" w:bidi="ar"/>
        </w:rPr>
        <w:t xml:space="preserve"> 总砷</w:t>
      </w:r>
      <w:r>
        <w:rPr>
          <w:rFonts w:hint="eastAsia" w:ascii="Times New Roman" w:hAnsi="Times New Roman" w:cs="Times New Roman"/>
          <w:b/>
          <w:bCs/>
          <w:color w:val="auto"/>
          <w:kern w:val="0"/>
          <w:sz w:val="24"/>
          <w:szCs w:val="24"/>
          <w:highlight w:val="none"/>
          <w:lang w:val="en-US" w:eastAsia="zh-CN" w:bidi="ar"/>
        </w:rPr>
        <w:t>泄漏</w:t>
      </w:r>
      <w:r>
        <w:rPr>
          <w:rFonts w:hint="default" w:ascii="Times New Roman" w:hAnsi="Times New Roman" w:cs="Times New Roman"/>
          <w:b/>
          <w:bCs/>
          <w:color w:val="auto"/>
          <w:kern w:val="0"/>
          <w:sz w:val="24"/>
          <w:szCs w:val="24"/>
          <w:highlight w:val="none"/>
          <w:lang w:bidi="ar"/>
        </w:rPr>
        <w:t>预测</w:t>
      </w:r>
      <w:r>
        <w:rPr>
          <w:rFonts w:hint="eastAsia" w:ascii="Times New Roman" w:hAnsi="Times New Roman" w:cs="Times New Roman"/>
          <w:b/>
          <w:bCs/>
          <w:color w:val="auto"/>
          <w:kern w:val="0"/>
          <w:sz w:val="24"/>
          <w:szCs w:val="24"/>
          <w:highlight w:val="none"/>
          <w:lang w:val="en-US" w:eastAsia="zh-CN" w:bidi="ar"/>
        </w:rPr>
        <w:t>1000天溶质迁移图</w:t>
      </w:r>
    </w:p>
    <w:p w14:paraId="65407CE3">
      <w:pPr>
        <w:pStyle w:val="146"/>
        <w:jc w:val="center"/>
        <w:rPr>
          <w:color w:val="auto"/>
          <w:highlight w:val="none"/>
        </w:rPr>
      </w:pPr>
      <w:r>
        <w:rPr>
          <w:color w:val="auto"/>
          <w:highlight w:val="none"/>
        </w:rPr>
        <w:drawing>
          <wp:inline distT="0" distB="0" distL="114300" distR="114300">
            <wp:extent cx="5435600" cy="3390900"/>
            <wp:effectExtent l="0" t="0" r="0" b="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60"/>
                    <a:stretch>
                      <a:fillRect/>
                    </a:stretch>
                  </pic:blipFill>
                  <pic:spPr>
                    <a:xfrm>
                      <a:off x="0" y="0"/>
                      <a:ext cx="5435600" cy="3390900"/>
                    </a:xfrm>
                    <a:prstGeom prst="rect">
                      <a:avLst/>
                    </a:prstGeom>
                    <a:noFill/>
                    <a:ln>
                      <a:noFill/>
                    </a:ln>
                  </pic:spPr>
                </pic:pic>
              </a:graphicData>
            </a:graphic>
          </wp:inline>
        </w:drawing>
      </w:r>
    </w:p>
    <w:p w14:paraId="594A0C7C">
      <w:pPr>
        <w:pStyle w:val="146"/>
        <w:jc w:val="center"/>
        <w:rPr>
          <w:rFonts w:hint="eastAsia" w:ascii="Times New Roman" w:hAnsi="Times New Roman" w:eastAsia="宋体" w:cs="Times New Roman"/>
          <w:b/>
          <w:bCs/>
          <w:color w:val="auto"/>
          <w:kern w:val="0"/>
          <w:sz w:val="24"/>
          <w:szCs w:val="24"/>
          <w:highlight w:val="none"/>
          <w:lang w:eastAsia="zh-CN" w:bidi="ar"/>
        </w:rPr>
      </w:pPr>
      <w:r>
        <w:rPr>
          <w:rFonts w:hint="eastAsia"/>
          <w:b/>
          <w:bCs/>
          <w:color w:val="auto"/>
          <w:highlight w:val="none"/>
          <w:lang w:val="en-US" w:eastAsia="zh-CN"/>
        </w:rPr>
        <w:t>图</w:t>
      </w:r>
      <w:r>
        <w:rPr>
          <w:rFonts w:hint="eastAsia" w:ascii="Times New Roman" w:hAnsi="Times New Roman" w:cs="Times New Roman"/>
          <w:b/>
          <w:bCs/>
          <w:color w:val="auto"/>
          <w:kern w:val="0"/>
          <w:sz w:val="24"/>
          <w:szCs w:val="24"/>
          <w:highlight w:val="none"/>
          <w:lang w:val="en-US" w:eastAsia="zh-CN" w:bidi="ar"/>
        </w:rPr>
        <w:t>5.2-3</w:t>
      </w:r>
      <w:r>
        <w:rPr>
          <w:rFonts w:hint="eastAsia" w:ascii="Times New Roman" w:cs="Times New Roman"/>
          <w:b/>
          <w:bCs/>
          <w:color w:val="auto"/>
          <w:kern w:val="0"/>
          <w:sz w:val="24"/>
          <w:szCs w:val="24"/>
          <w:highlight w:val="none"/>
          <w:lang w:val="en-US" w:eastAsia="zh-CN" w:bidi="ar"/>
        </w:rPr>
        <w:t xml:space="preserve"> 总砷</w:t>
      </w:r>
      <w:r>
        <w:rPr>
          <w:rFonts w:hint="eastAsia" w:ascii="Times New Roman" w:hAnsi="Times New Roman" w:cs="Times New Roman"/>
          <w:b/>
          <w:bCs/>
          <w:color w:val="auto"/>
          <w:kern w:val="0"/>
          <w:sz w:val="24"/>
          <w:szCs w:val="24"/>
          <w:highlight w:val="none"/>
          <w:lang w:val="en-US" w:eastAsia="zh-CN" w:bidi="ar"/>
        </w:rPr>
        <w:t>泄漏</w:t>
      </w:r>
      <w:r>
        <w:rPr>
          <w:rFonts w:hint="default" w:ascii="Times New Roman" w:hAnsi="Times New Roman" w:cs="Times New Roman"/>
          <w:b/>
          <w:bCs/>
          <w:color w:val="auto"/>
          <w:kern w:val="0"/>
          <w:sz w:val="24"/>
          <w:szCs w:val="24"/>
          <w:highlight w:val="none"/>
          <w:lang w:bidi="ar"/>
        </w:rPr>
        <w:t>预测</w:t>
      </w:r>
      <w:r>
        <w:rPr>
          <w:rFonts w:hint="eastAsia" w:ascii="Times New Roman" w:hAnsi="Times New Roman" w:cs="Times New Roman"/>
          <w:b/>
          <w:bCs/>
          <w:color w:val="auto"/>
          <w:kern w:val="0"/>
          <w:sz w:val="24"/>
          <w:szCs w:val="24"/>
          <w:highlight w:val="none"/>
          <w:lang w:val="en-US" w:eastAsia="zh-CN" w:bidi="ar"/>
        </w:rPr>
        <w:t>5000天溶质迁移图</w:t>
      </w:r>
    </w:p>
    <w:p w14:paraId="064D608B">
      <w:pPr>
        <w:ind w:firstLine="0" w:firstLineChars="0"/>
        <w:jc w:val="center"/>
        <w:rPr>
          <w:rFonts w:ascii="Times New Roman"/>
          <w:color w:val="auto"/>
          <w:spacing w:val="8"/>
          <w:kern w:val="21"/>
          <w:szCs w:val="24"/>
          <w:highlight w:val="none"/>
        </w:rPr>
      </w:pPr>
      <w:r>
        <w:rPr>
          <w:color w:val="auto"/>
          <w:highlight w:val="none"/>
        </w:rPr>
        <w:drawing>
          <wp:inline distT="0" distB="0" distL="114300" distR="114300">
            <wp:extent cx="5416550" cy="3359150"/>
            <wp:effectExtent l="0" t="0" r="6350" b="635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61"/>
                    <a:stretch>
                      <a:fillRect/>
                    </a:stretch>
                  </pic:blipFill>
                  <pic:spPr>
                    <a:xfrm>
                      <a:off x="0" y="0"/>
                      <a:ext cx="5416550" cy="3359150"/>
                    </a:xfrm>
                    <a:prstGeom prst="rect">
                      <a:avLst/>
                    </a:prstGeom>
                    <a:noFill/>
                    <a:ln>
                      <a:noFill/>
                    </a:ln>
                  </pic:spPr>
                </pic:pic>
              </a:graphicData>
            </a:graphic>
          </wp:inline>
        </w:drawing>
      </w:r>
    </w:p>
    <w:p w14:paraId="021C0889">
      <w:pPr>
        <w:pStyle w:val="146"/>
        <w:jc w:val="center"/>
        <w:rPr>
          <w:rFonts w:hint="eastAsia" w:ascii="Times New Roman" w:hAnsi="Times New Roman" w:cs="Times New Roman"/>
          <w:b/>
          <w:bCs/>
          <w:color w:val="auto"/>
          <w:kern w:val="0"/>
          <w:sz w:val="24"/>
          <w:szCs w:val="24"/>
          <w:highlight w:val="none"/>
          <w:lang w:val="en-US" w:eastAsia="zh-CN" w:bidi="ar"/>
        </w:rPr>
      </w:pPr>
      <w:r>
        <w:rPr>
          <w:rFonts w:hint="eastAsia" w:ascii="Times New Roman" w:hAnsi="Times New Roman" w:cs="Times New Roman"/>
          <w:b/>
          <w:bCs/>
          <w:color w:val="auto"/>
          <w:kern w:val="0"/>
          <w:sz w:val="24"/>
          <w:szCs w:val="24"/>
          <w:highlight w:val="none"/>
          <w:lang w:val="en-US" w:eastAsia="zh-CN" w:bidi="ar"/>
        </w:rPr>
        <w:t>图5.2-4</w:t>
      </w:r>
      <w:r>
        <w:rPr>
          <w:rFonts w:hint="eastAsia" w:ascii="Times New Roman" w:cs="Times New Roman"/>
          <w:b/>
          <w:bCs/>
          <w:color w:val="auto"/>
          <w:kern w:val="0"/>
          <w:sz w:val="24"/>
          <w:szCs w:val="24"/>
          <w:highlight w:val="none"/>
          <w:lang w:val="en-US" w:eastAsia="zh-CN" w:bidi="ar"/>
        </w:rPr>
        <w:t xml:space="preserve"> </w:t>
      </w:r>
      <w:r>
        <w:rPr>
          <w:rFonts w:hint="eastAsia" w:ascii="宋体" w:hAnsi="宋体" w:eastAsia="宋体" w:cs="宋体"/>
          <w:b/>
          <w:bCs/>
          <w:i w:val="0"/>
          <w:iCs w:val="0"/>
          <w:color w:val="auto"/>
          <w:kern w:val="0"/>
          <w:sz w:val="24"/>
          <w:szCs w:val="24"/>
          <w:highlight w:val="none"/>
          <w:u w:val="none"/>
          <w:lang w:val="en-US" w:eastAsia="zh-CN" w:bidi="ar"/>
        </w:rPr>
        <w:t>化学需氧量</w:t>
      </w:r>
      <w:r>
        <w:rPr>
          <w:rFonts w:hint="eastAsia" w:ascii="Times New Roman" w:hAnsi="Times New Roman" w:cs="Times New Roman"/>
          <w:b/>
          <w:bCs/>
          <w:color w:val="auto"/>
          <w:kern w:val="0"/>
          <w:sz w:val="24"/>
          <w:szCs w:val="24"/>
          <w:highlight w:val="none"/>
          <w:lang w:val="en-US" w:eastAsia="zh-CN" w:bidi="ar"/>
        </w:rPr>
        <w:t>泄漏</w:t>
      </w:r>
      <w:r>
        <w:rPr>
          <w:rFonts w:hint="default" w:ascii="Times New Roman" w:hAnsi="Times New Roman" w:cs="Times New Roman"/>
          <w:b/>
          <w:bCs/>
          <w:color w:val="auto"/>
          <w:kern w:val="0"/>
          <w:sz w:val="24"/>
          <w:szCs w:val="24"/>
          <w:highlight w:val="none"/>
          <w:lang w:bidi="ar"/>
        </w:rPr>
        <w:t>预测</w:t>
      </w:r>
      <w:r>
        <w:rPr>
          <w:rFonts w:hint="eastAsia" w:ascii="Times New Roman" w:hAnsi="Times New Roman" w:cs="Times New Roman"/>
          <w:b/>
          <w:bCs/>
          <w:color w:val="auto"/>
          <w:kern w:val="0"/>
          <w:sz w:val="24"/>
          <w:szCs w:val="24"/>
          <w:highlight w:val="none"/>
          <w:lang w:val="en-US" w:eastAsia="zh-CN" w:bidi="ar"/>
        </w:rPr>
        <w:t>100天溶质迁移图</w:t>
      </w:r>
    </w:p>
    <w:p w14:paraId="757AA2C0">
      <w:pPr>
        <w:pStyle w:val="147"/>
        <w:ind w:left="0" w:leftChars="0" w:firstLine="0" w:firstLineChars="0"/>
        <w:jc w:val="center"/>
        <w:rPr>
          <w:rFonts w:hint="eastAsia" w:ascii="Times New Roman" w:hAnsi="Times New Roman" w:cs="Times New Roman"/>
          <w:b w:val="0"/>
          <w:bCs w:val="0"/>
          <w:color w:val="auto"/>
          <w:kern w:val="0"/>
          <w:sz w:val="24"/>
          <w:szCs w:val="24"/>
          <w:highlight w:val="none"/>
          <w:lang w:val="en-US" w:eastAsia="zh-CN" w:bidi="ar"/>
        </w:rPr>
      </w:pPr>
      <w:r>
        <w:rPr>
          <w:color w:val="auto"/>
          <w:highlight w:val="none"/>
        </w:rPr>
        <w:drawing>
          <wp:inline distT="0" distB="0" distL="114300" distR="114300">
            <wp:extent cx="5492750" cy="3321050"/>
            <wp:effectExtent l="0" t="0" r="6350" b="635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62"/>
                    <a:stretch>
                      <a:fillRect/>
                    </a:stretch>
                  </pic:blipFill>
                  <pic:spPr>
                    <a:xfrm>
                      <a:off x="0" y="0"/>
                      <a:ext cx="5492750" cy="3321050"/>
                    </a:xfrm>
                    <a:prstGeom prst="rect">
                      <a:avLst/>
                    </a:prstGeom>
                    <a:noFill/>
                    <a:ln>
                      <a:noFill/>
                    </a:ln>
                  </pic:spPr>
                </pic:pic>
              </a:graphicData>
            </a:graphic>
          </wp:inline>
        </w:drawing>
      </w:r>
    </w:p>
    <w:p w14:paraId="694DA14C">
      <w:pPr>
        <w:pStyle w:val="146"/>
        <w:jc w:val="center"/>
        <w:rPr>
          <w:rFonts w:ascii="Times New Roman"/>
          <w:b/>
          <w:bCs/>
          <w:color w:val="auto"/>
          <w:spacing w:val="8"/>
          <w:kern w:val="21"/>
          <w:szCs w:val="24"/>
          <w:highlight w:val="none"/>
        </w:rPr>
      </w:pPr>
      <w:r>
        <w:rPr>
          <w:rFonts w:hint="eastAsia" w:ascii="Times New Roman" w:hAnsi="Times New Roman" w:cs="Times New Roman"/>
          <w:b/>
          <w:bCs/>
          <w:color w:val="auto"/>
          <w:kern w:val="0"/>
          <w:sz w:val="24"/>
          <w:szCs w:val="24"/>
          <w:highlight w:val="none"/>
          <w:lang w:val="en-US" w:eastAsia="zh-CN" w:bidi="ar"/>
        </w:rPr>
        <w:t>图5.2-5</w:t>
      </w:r>
      <w:r>
        <w:rPr>
          <w:rFonts w:hint="eastAsia" w:ascii="Times New Roman" w:cs="Times New Roman"/>
          <w:b/>
          <w:bCs/>
          <w:color w:val="auto"/>
          <w:kern w:val="0"/>
          <w:sz w:val="24"/>
          <w:szCs w:val="24"/>
          <w:highlight w:val="none"/>
          <w:lang w:val="en-US" w:eastAsia="zh-CN" w:bidi="ar"/>
        </w:rPr>
        <w:t xml:space="preserve"> </w:t>
      </w:r>
      <w:r>
        <w:rPr>
          <w:rFonts w:hint="eastAsia" w:ascii="宋体" w:hAnsi="宋体" w:eastAsia="宋体" w:cs="宋体"/>
          <w:b/>
          <w:bCs/>
          <w:i w:val="0"/>
          <w:iCs w:val="0"/>
          <w:color w:val="auto"/>
          <w:kern w:val="0"/>
          <w:sz w:val="24"/>
          <w:szCs w:val="24"/>
          <w:highlight w:val="none"/>
          <w:u w:val="none"/>
          <w:lang w:val="en-US" w:eastAsia="zh-CN" w:bidi="ar"/>
        </w:rPr>
        <w:t>化学需氧量</w:t>
      </w:r>
      <w:r>
        <w:rPr>
          <w:rFonts w:hint="eastAsia" w:ascii="Times New Roman" w:hAnsi="Times New Roman" w:cs="Times New Roman"/>
          <w:b/>
          <w:bCs/>
          <w:color w:val="auto"/>
          <w:kern w:val="0"/>
          <w:sz w:val="24"/>
          <w:szCs w:val="24"/>
          <w:highlight w:val="none"/>
          <w:lang w:val="en-US" w:eastAsia="zh-CN" w:bidi="ar"/>
        </w:rPr>
        <w:t>泄漏</w:t>
      </w:r>
      <w:r>
        <w:rPr>
          <w:rFonts w:hint="default" w:ascii="Times New Roman" w:hAnsi="Times New Roman" w:cs="Times New Roman"/>
          <w:b/>
          <w:bCs/>
          <w:color w:val="auto"/>
          <w:kern w:val="0"/>
          <w:sz w:val="24"/>
          <w:szCs w:val="24"/>
          <w:highlight w:val="none"/>
          <w:lang w:bidi="ar"/>
        </w:rPr>
        <w:t>预测</w:t>
      </w:r>
      <w:r>
        <w:rPr>
          <w:rFonts w:hint="eastAsia" w:ascii="Times New Roman" w:hAnsi="Times New Roman" w:cs="Times New Roman"/>
          <w:b/>
          <w:bCs/>
          <w:color w:val="auto"/>
          <w:kern w:val="0"/>
          <w:sz w:val="24"/>
          <w:szCs w:val="24"/>
          <w:highlight w:val="none"/>
          <w:lang w:val="en-US" w:eastAsia="zh-CN" w:bidi="ar"/>
        </w:rPr>
        <w:t>1000天溶质迁移图</w:t>
      </w:r>
    </w:p>
    <w:p w14:paraId="4793B0AE">
      <w:pPr>
        <w:rPr>
          <w:rFonts w:hint="eastAsia" w:ascii="Times New Roman" w:hAnsi="Times New Roman" w:cs="Times New Roman"/>
          <w:b w:val="0"/>
          <w:bCs w:val="0"/>
          <w:color w:val="auto"/>
          <w:kern w:val="0"/>
          <w:sz w:val="24"/>
          <w:szCs w:val="24"/>
          <w:highlight w:val="none"/>
          <w:lang w:val="en-US" w:eastAsia="zh-CN" w:bidi="ar"/>
        </w:rPr>
      </w:pPr>
      <w:r>
        <w:rPr>
          <w:color w:val="auto"/>
          <w:highlight w:val="none"/>
        </w:rPr>
        <w:drawing>
          <wp:inline distT="0" distB="0" distL="114300" distR="114300">
            <wp:extent cx="5435600" cy="3371850"/>
            <wp:effectExtent l="0" t="0" r="0" b="635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63"/>
                    <a:stretch>
                      <a:fillRect/>
                    </a:stretch>
                  </pic:blipFill>
                  <pic:spPr>
                    <a:xfrm>
                      <a:off x="0" y="0"/>
                      <a:ext cx="5435600" cy="3371850"/>
                    </a:xfrm>
                    <a:prstGeom prst="rect">
                      <a:avLst/>
                    </a:prstGeom>
                    <a:noFill/>
                    <a:ln>
                      <a:noFill/>
                    </a:ln>
                  </pic:spPr>
                </pic:pic>
              </a:graphicData>
            </a:graphic>
          </wp:inline>
        </w:drawing>
      </w:r>
    </w:p>
    <w:p w14:paraId="54657493">
      <w:pPr>
        <w:pStyle w:val="146"/>
        <w:jc w:val="center"/>
        <w:rPr>
          <w:rFonts w:hint="eastAsia" w:ascii="Times New Roman" w:hAnsi="Times New Roman" w:cs="Times New Roman"/>
          <w:b/>
          <w:bCs/>
          <w:color w:val="auto"/>
          <w:kern w:val="0"/>
          <w:sz w:val="24"/>
          <w:szCs w:val="24"/>
          <w:highlight w:val="none"/>
          <w:lang w:val="en-US" w:eastAsia="zh-CN" w:bidi="ar"/>
        </w:rPr>
      </w:pPr>
      <w:r>
        <w:rPr>
          <w:rFonts w:hint="eastAsia" w:ascii="Times New Roman" w:hAnsi="Times New Roman" w:cs="Times New Roman"/>
          <w:b/>
          <w:bCs/>
          <w:color w:val="auto"/>
          <w:kern w:val="0"/>
          <w:sz w:val="24"/>
          <w:szCs w:val="24"/>
          <w:highlight w:val="none"/>
          <w:lang w:val="en-US" w:eastAsia="zh-CN" w:bidi="ar"/>
        </w:rPr>
        <w:t>图5.2-6</w:t>
      </w:r>
      <w:r>
        <w:rPr>
          <w:rFonts w:hint="eastAsia" w:ascii="Times New Roman" w:cs="Times New Roman"/>
          <w:b/>
          <w:bCs/>
          <w:color w:val="auto"/>
          <w:kern w:val="0"/>
          <w:sz w:val="24"/>
          <w:szCs w:val="24"/>
          <w:highlight w:val="none"/>
          <w:lang w:val="en-US" w:eastAsia="zh-CN" w:bidi="ar"/>
        </w:rPr>
        <w:t xml:space="preserve"> </w:t>
      </w:r>
      <w:r>
        <w:rPr>
          <w:rFonts w:hint="eastAsia" w:ascii="宋体" w:hAnsi="宋体" w:eastAsia="宋体" w:cs="宋体"/>
          <w:b/>
          <w:bCs/>
          <w:i w:val="0"/>
          <w:iCs w:val="0"/>
          <w:color w:val="auto"/>
          <w:kern w:val="0"/>
          <w:sz w:val="24"/>
          <w:szCs w:val="24"/>
          <w:highlight w:val="none"/>
          <w:u w:val="none"/>
          <w:lang w:val="en-US" w:eastAsia="zh-CN" w:bidi="ar"/>
        </w:rPr>
        <w:t>化学需氧量</w:t>
      </w:r>
      <w:r>
        <w:rPr>
          <w:rFonts w:hint="eastAsia" w:ascii="Times New Roman" w:hAnsi="Times New Roman" w:cs="Times New Roman"/>
          <w:b/>
          <w:bCs/>
          <w:color w:val="auto"/>
          <w:kern w:val="0"/>
          <w:sz w:val="24"/>
          <w:szCs w:val="24"/>
          <w:highlight w:val="none"/>
          <w:lang w:val="en-US" w:eastAsia="zh-CN" w:bidi="ar"/>
        </w:rPr>
        <w:t>泄漏</w:t>
      </w:r>
      <w:r>
        <w:rPr>
          <w:rFonts w:hint="default" w:ascii="Times New Roman" w:hAnsi="Times New Roman" w:cs="Times New Roman"/>
          <w:b/>
          <w:bCs/>
          <w:color w:val="auto"/>
          <w:kern w:val="0"/>
          <w:sz w:val="24"/>
          <w:szCs w:val="24"/>
          <w:highlight w:val="none"/>
          <w:lang w:bidi="ar"/>
        </w:rPr>
        <w:t>预测</w:t>
      </w:r>
      <w:r>
        <w:rPr>
          <w:rFonts w:hint="eastAsia" w:ascii="Times New Roman" w:hAnsi="Times New Roman" w:cs="Times New Roman"/>
          <w:b/>
          <w:bCs/>
          <w:color w:val="auto"/>
          <w:kern w:val="0"/>
          <w:sz w:val="24"/>
          <w:szCs w:val="24"/>
          <w:highlight w:val="none"/>
          <w:lang w:val="en-US" w:eastAsia="zh-CN" w:bidi="ar"/>
        </w:rPr>
        <w:t>5000天溶质迁移图</w:t>
      </w:r>
    </w:p>
    <w:p w14:paraId="59AE4294">
      <w:pPr>
        <w:spacing w:line="360" w:lineRule="auto"/>
        <w:ind w:firstLine="480" w:firstLineChars="200"/>
        <w:contextualSpacing/>
        <w:rPr>
          <w:rFonts w:hint="default" w:ascii="Times New Roman" w:hAnsi="Times New Roman" w:cs="Times New Roman" w:eastAsiaTheme="minorEastAsia"/>
          <w:color w:val="auto"/>
          <w:kern w:val="0"/>
          <w:sz w:val="24"/>
          <w:highlight w:val="none"/>
        </w:rPr>
      </w:pPr>
    </w:p>
    <w:p w14:paraId="79042E97">
      <w:pPr>
        <w:spacing w:line="360" w:lineRule="auto"/>
        <w:ind w:firstLine="480" w:firstLineChars="200"/>
        <w:contextualSpacing/>
        <w:rPr>
          <w:rFonts w:hint="default" w:ascii="Times New Roman" w:hAnsi="Times New Roman" w:cs="Times New Roman" w:eastAsiaTheme="minorEastAsia"/>
          <w:bCs/>
          <w:color w:val="auto"/>
          <w:sz w:val="24"/>
          <w:highlight w:val="none"/>
        </w:rPr>
      </w:pPr>
      <w:r>
        <w:rPr>
          <w:rFonts w:hint="default" w:ascii="Times New Roman" w:hAnsi="Times New Roman" w:cs="Times New Roman" w:eastAsiaTheme="minorEastAsia"/>
          <w:color w:val="auto"/>
          <w:kern w:val="0"/>
          <w:sz w:val="24"/>
          <w:highlight w:val="none"/>
        </w:rPr>
        <w:t>综上，本项目发生泄漏情况下，</w:t>
      </w:r>
      <w:r>
        <w:rPr>
          <w:rFonts w:hint="eastAsia" w:ascii="Times New Roman" w:hAnsi="Times New Roman" w:cs="Times New Roman" w:eastAsiaTheme="minorEastAsia"/>
          <w:color w:val="auto"/>
          <w:kern w:val="0"/>
          <w:sz w:val="24"/>
          <w:highlight w:val="none"/>
          <w:lang w:val="en-US" w:eastAsia="zh-CN"/>
        </w:rPr>
        <w:t>总砷</w:t>
      </w:r>
      <w:r>
        <w:rPr>
          <w:rFonts w:hint="default" w:ascii="Times New Roman" w:hAnsi="Times New Roman" w:cs="Times New Roman" w:eastAsiaTheme="minorEastAsia"/>
          <w:color w:val="auto"/>
          <w:kern w:val="0"/>
          <w:sz w:val="24"/>
          <w:highlight w:val="none"/>
          <w:lang w:val="en-US" w:eastAsia="zh-CN"/>
        </w:rPr>
        <w:t>：100d，</w:t>
      </w:r>
      <w:r>
        <w:rPr>
          <w:rFonts w:hint="default" w:ascii="Times New Roman" w:hAnsi="Times New Roman" w:cs="Times New Roman" w:eastAsiaTheme="minorEastAsia"/>
          <w:color w:val="auto"/>
          <w:kern w:val="0"/>
          <w:sz w:val="24"/>
          <w:highlight w:val="none"/>
        </w:rPr>
        <w:t>在下游</w:t>
      </w:r>
      <w:r>
        <w:rPr>
          <w:rFonts w:hint="eastAsia" w:ascii="Times New Roman" w:hAnsi="Times New Roman" w:cs="Times New Roman" w:eastAsiaTheme="minorEastAsia"/>
          <w:color w:val="auto"/>
          <w:kern w:val="0"/>
          <w:sz w:val="24"/>
          <w:highlight w:val="none"/>
          <w:lang w:val="en-US" w:eastAsia="zh-CN"/>
        </w:rPr>
        <w:t>17</w:t>
      </w:r>
      <w:r>
        <w:rPr>
          <w:rFonts w:hint="default" w:ascii="Times New Roman" w:hAnsi="Times New Roman" w:cs="Times New Roman" w:eastAsiaTheme="minorEastAsia"/>
          <w:color w:val="auto"/>
          <w:kern w:val="0"/>
          <w:sz w:val="24"/>
          <w:highlight w:val="none"/>
        </w:rPr>
        <w:t>m处达到标准值</w:t>
      </w:r>
      <w:r>
        <w:rPr>
          <w:rFonts w:hint="default" w:ascii="Times New Roman" w:hAnsi="Times New Roman" w:cs="Times New Roman" w:eastAsiaTheme="minorEastAsia"/>
          <w:color w:val="auto"/>
          <w:kern w:val="0"/>
          <w:sz w:val="24"/>
          <w:highlight w:val="none"/>
          <w:lang w:eastAsia="zh-CN"/>
        </w:rPr>
        <w:t>，</w:t>
      </w:r>
      <w:r>
        <w:rPr>
          <w:rFonts w:hint="eastAsia" w:ascii="Times New Roman" w:hAnsi="Times New Roman" w:cs="Times New Roman" w:eastAsiaTheme="minorEastAsia"/>
          <w:color w:val="auto"/>
          <w:kern w:val="0"/>
          <w:sz w:val="24"/>
          <w:highlight w:val="none"/>
          <w:lang w:val="en-US" w:eastAsia="zh-CN"/>
        </w:rPr>
        <w:t>42</w:t>
      </w:r>
      <w:r>
        <w:rPr>
          <w:rFonts w:hint="default" w:ascii="Times New Roman" w:hAnsi="Times New Roman" w:cs="Times New Roman" w:eastAsiaTheme="minorEastAsia"/>
          <w:color w:val="auto"/>
          <w:kern w:val="0"/>
          <w:sz w:val="24"/>
          <w:highlight w:val="none"/>
          <w:lang w:val="en-US" w:eastAsia="zh-CN"/>
        </w:rPr>
        <w:t>m处低于检出限</w:t>
      </w:r>
      <w:r>
        <w:rPr>
          <w:rFonts w:hint="default" w:ascii="Times New Roman" w:hAnsi="Times New Roman" w:cs="Times New Roman" w:eastAsiaTheme="minorEastAsia"/>
          <w:color w:val="auto"/>
          <w:kern w:val="0"/>
          <w:sz w:val="24"/>
          <w:highlight w:val="none"/>
        </w:rPr>
        <w:t>；1000d，在下游</w:t>
      </w:r>
      <w:r>
        <w:rPr>
          <w:rFonts w:hint="eastAsia" w:ascii="Times New Roman" w:hAnsi="Times New Roman" w:cs="Times New Roman" w:eastAsiaTheme="minorEastAsia"/>
          <w:color w:val="auto"/>
          <w:kern w:val="0"/>
          <w:sz w:val="24"/>
          <w:highlight w:val="none"/>
          <w:lang w:val="en-US" w:eastAsia="zh-CN"/>
        </w:rPr>
        <w:t>93</w:t>
      </w:r>
      <w:r>
        <w:rPr>
          <w:rFonts w:hint="default" w:ascii="Times New Roman" w:hAnsi="Times New Roman" w:cs="Times New Roman" w:eastAsiaTheme="minorEastAsia"/>
          <w:color w:val="auto"/>
          <w:kern w:val="0"/>
          <w:sz w:val="24"/>
          <w:highlight w:val="none"/>
        </w:rPr>
        <w:t>m处达到标准值</w:t>
      </w:r>
      <w:r>
        <w:rPr>
          <w:rFonts w:hint="default" w:ascii="Times New Roman" w:hAnsi="Times New Roman" w:cs="Times New Roman" w:eastAsiaTheme="minorEastAsia"/>
          <w:color w:val="auto"/>
          <w:kern w:val="0"/>
          <w:sz w:val="24"/>
          <w:highlight w:val="none"/>
          <w:lang w:eastAsia="zh-CN"/>
        </w:rPr>
        <w:t>，</w:t>
      </w:r>
      <w:r>
        <w:rPr>
          <w:rFonts w:hint="eastAsia" w:ascii="Times New Roman" w:hAnsi="Times New Roman" w:cs="Times New Roman" w:eastAsiaTheme="minorEastAsia"/>
          <w:color w:val="auto"/>
          <w:kern w:val="0"/>
          <w:sz w:val="24"/>
          <w:highlight w:val="none"/>
          <w:lang w:val="en-US" w:eastAsia="zh-CN"/>
        </w:rPr>
        <w:t>178</w:t>
      </w:r>
      <w:r>
        <w:rPr>
          <w:rFonts w:hint="default" w:ascii="Times New Roman" w:hAnsi="Times New Roman" w:cs="Times New Roman" w:eastAsiaTheme="minorEastAsia"/>
          <w:color w:val="auto"/>
          <w:kern w:val="0"/>
          <w:sz w:val="24"/>
          <w:highlight w:val="none"/>
          <w:lang w:val="en-US" w:eastAsia="zh-CN"/>
        </w:rPr>
        <w:t>m处低于检出限</w:t>
      </w:r>
      <w:r>
        <w:rPr>
          <w:rFonts w:hint="eastAsia" w:ascii="Times New Roman" w:hAnsi="Times New Roman" w:cs="Times New Roman" w:eastAsiaTheme="minorEastAsia"/>
          <w:color w:val="auto"/>
          <w:kern w:val="0"/>
          <w:sz w:val="24"/>
          <w:highlight w:val="none"/>
          <w:lang w:val="en-US" w:eastAsia="zh-CN"/>
        </w:rPr>
        <w:t>；5</w:t>
      </w:r>
      <w:r>
        <w:rPr>
          <w:rFonts w:hint="default" w:ascii="Times New Roman" w:hAnsi="Times New Roman" w:cs="Times New Roman" w:eastAsiaTheme="minorEastAsia"/>
          <w:color w:val="auto"/>
          <w:kern w:val="0"/>
          <w:sz w:val="24"/>
          <w:highlight w:val="none"/>
        </w:rPr>
        <w:t>000d，在下游</w:t>
      </w:r>
      <w:r>
        <w:rPr>
          <w:rFonts w:hint="eastAsia" w:ascii="Times New Roman" w:hAnsi="Times New Roman" w:cs="Times New Roman" w:eastAsiaTheme="minorEastAsia"/>
          <w:color w:val="auto"/>
          <w:kern w:val="0"/>
          <w:sz w:val="24"/>
          <w:highlight w:val="none"/>
          <w:lang w:val="en-US" w:eastAsia="zh-CN"/>
        </w:rPr>
        <w:t>434</w:t>
      </w:r>
      <w:r>
        <w:rPr>
          <w:rFonts w:hint="default" w:ascii="Times New Roman" w:hAnsi="Times New Roman" w:cs="Times New Roman" w:eastAsiaTheme="minorEastAsia"/>
          <w:color w:val="auto"/>
          <w:kern w:val="0"/>
          <w:sz w:val="24"/>
          <w:highlight w:val="none"/>
        </w:rPr>
        <w:t>m处达到标准值</w:t>
      </w:r>
      <w:r>
        <w:rPr>
          <w:rFonts w:hint="default" w:ascii="Times New Roman" w:hAnsi="Times New Roman" w:cs="Times New Roman" w:eastAsiaTheme="minorEastAsia"/>
          <w:color w:val="auto"/>
          <w:kern w:val="0"/>
          <w:sz w:val="24"/>
          <w:highlight w:val="none"/>
          <w:lang w:eastAsia="zh-CN"/>
        </w:rPr>
        <w:t>，</w:t>
      </w:r>
      <w:r>
        <w:rPr>
          <w:rFonts w:hint="eastAsia" w:ascii="Times New Roman" w:hAnsi="Times New Roman" w:cs="Times New Roman" w:eastAsiaTheme="minorEastAsia"/>
          <w:color w:val="auto"/>
          <w:kern w:val="0"/>
          <w:sz w:val="24"/>
          <w:highlight w:val="none"/>
          <w:lang w:val="en-US" w:eastAsia="zh-CN"/>
        </w:rPr>
        <w:t>576</w:t>
      </w:r>
      <w:r>
        <w:rPr>
          <w:rFonts w:hint="default" w:ascii="Times New Roman" w:hAnsi="Times New Roman" w:cs="Times New Roman" w:eastAsiaTheme="minorEastAsia"/>
          <w:color w:val="auto"/>
          <w:kern w:val="0"/>
          <w:sz w:val="24"/>
          <w:highlight w:val="none"/>
          <w:lang w:val="en-US" w:eastAsia="zh-CN"/>
        </w:rPr>
        <w:t>m处低于检出限</w:t>
      </w:r>
      <w:r>
        <w:rPr>
          <w:rFonts w:hint="default" w:ascii="Times New Roman" w:hAnsi="Times New Roman" w:cs="Times New Roman" w:eastAsiaTheme="minorEastAsia"/>
          <w:color w:val="auto"/>
          <w:kern w:val="0"/>
          <w:sz w:val="24"/>
          <w:highlight w:val="none"/>
        </w:rPr>
        <w:t>。</w:t>
      </w:r>
      <w:r>
        <w:rPr>
          <w:rFonts w:hint="eastAsia" w:ascii="Times New Roman" w:hAnsi="Times New Roman" w:cs="Times New Roman" w:eastAsiaTheme="minorEastAsia"/>
          <w:color w:val="auto"/>
          <w:kern w:val="0"/>
          <w:sz w:val="24"/>
          <w:highlight w:val="none"/>
          <w:lang w:val="en-US" w:eastAsia="zh-CN"/>
        </w:rPr>
        <w:t>化学需氧量</w:t>
      </w:r>
      <w:r>
        <w:rPr>
          <w:rFonts w:hint="default" w:ascii="Times New Roman" w:hAnsi="Times New Roman" w:cs="Times New Roman" w:eastAsiaTheme="minorEastAsia"/>
          <w:color w:val="auto"/>
          <w:kern w:val="0"/>
          <w:sz w:val="24"/>
          <w:highlight w:val="none"/>
        </w:rPr>
        <w:t>：100d，在下游</w:t>
      </w:r>
      <w:r>
        <w:rPr>
          <w:rFonts w:hint="eastAsia" w:ascii="Times New Roman" w:hAnsi="Times New Roman" w:cs="Times New Roman" w:eastAsiaTheme="minorEastAsia"/>
          <w:color w:val="auto"/>
          <w:kern w:val="0"/>
          <w:sz w:val="24"/>
          <w:highlight w:val="none"/>
          <w:lang w:val="en-US" w:eastAsia="zh-CN"/>
        </w:rPr>
        <w:t>23</w:t>
      </w:r>
      <w:r>
        <w:rPr>
          <w:rFonts w:hint="default" w:ascii="Times New Roman" w:hAnsi="Times New Roman" w:cs="Times New Roman" w:eastAsiaTheme="minorEastAsia"/>
          <w:color w:val="auto"/>
          <w:kern w:val="0"/>
          <w:sz w:val="24"/>
          <w:highlight w:val="none"/>
        </w:rPr>
        <w:t>m处达到标准值</w:t>
      </w:r>
      <w:r>
        <w:rPr>
          <w:rFonts w:hint="default" w:ascii="Times New Roman" w:hAnsi="Times New Roman" w:cs="Times New Roman" w:eastAsiaTheme="minorEastAsia"/>
          <w:color w:val="auto"/>
          <w:kern w:val="0"/>
          <w:sz w:val="24"/>
          <w:highlight w:val="none"/>
          <w:lang w:eastAsia="zh-CN"/>
        </w:rPr>
        <w:t>，</w:t>
      </w:r>
      <w:r>
        <w:rPr>
          <w:rFonts w:hint="eastAsia" w:ascii="Times New Roman" w:hAnsi="Times New Roman" w:cs="Times New Roman" w:eastAsiaTheme="minorEastAsia"/>
          <w:color w:val="auto"/>
          <w:kern w:val="0"/>
          <w:sz w:val="24"/>
          <w:highlight w:val="none"/>
          <w:lang w:val="en-US" w:eastAsia="zh-CN"/>
        </w:rPr>
        <w:t>34</w:t>
      </w:r>
      <w:r>
        <w:rPr>
          <w:rFonts w:hint="default" w:ascii="Times New Roman" w:hAnsi="Times New Roman" w:cs="Times New Roman" w:eastAsiaTheme="minorEastAsia"/>
          <w:color w:val="auto"/>
          <w:kern w:val="0"/>
          <w:sz w:val="24"/>
          <w:highlight w:val="none"/>
          <w:lang w:val="en-US" w:eastAsia="zh-CN"/>
        </w:rPr>
        <w:t>m处低于检出限</w:t>
      </w:r>
      <w:r>
        <w:rPr>
          <w:rFonts w:hint="default" w:ascii="Times New Roman" w:hAnsi="Times New Roman" w:cs="Times New Roman" w:eastAsiaTheme="minorEastAsia"/>
          <w:color w:val="auto"/>
          <w:kern w:val="0"/>
          <w:sz w:val="24"/>
          <w:highlight w:val="none"/>
        </w:rPr>
        <w:t>；1000d，在下游</w:t>
      </w:r>
      <w:r>
        <w:rPr>
          <w:rFonts w:hint="eastAsia" w:ascii="Times New Roman" w:hAnsi="Times New Roman" w:cs="Times New Roman" w:eastAsiaTheme="minorEastAsia"/>
          <w:color w:val="auto"/>
          <w:kern w:val="0"/>
          <w:sz w:val="24"/>
          <w:highlight w:val="none"/>
          <w:lang w:val="en-US" w:eastAsia="zh-CN"/>
        </w:rPr>
        <w:t>93</w:t>
      </w:r>
      <w:r>
        <w:rPr>
          <w:rFonts w:hint="default" w:ascii="Times New Roman" w:hAnsi="Times New Roman" w:cs="Times New Roman" w:eastAsiaTheme="minorEastAsia"/>
          <w:color w:val="auto"/>
          <w:kern w:val="0"/>
          <w:sz w:val="24"/>
          <w:highlight w:val="none"/>
        </w:rPr>
        <w:t>m处达到标准值</w:t>
      </w:r>
      <w:r>
        <w:rPr>
          <w:rFonts w:hint="default" w:ascii="Times New Roman" w:hAnsi="Times New Roman" w:cs="Times New Roman" w:eastAsiaTheme="minorEastAsia"/>
          <w:color w:val="auto"/>
          <w:kern w:val="0"/>
          <w:sz w:val="24"/>
          <w:highlight w:val="none"/>
          <w:lang w:eastAsia="zh-CN"/>
        </w:rPr>
        <w:t>，</w:t>
      </w:r>
      <w:r>
        <w:rPr>
          <w:rFonts w:hint="eastAsia" w:ascii="Times New Roman" w:hAnsi="Times New Roman" w:cs="Times New Roman" w:eastAsiaTheme="minorEastAsia"/>
          <w:color w:val="auto"/>
          <w:kern w:val="0"/>
          <w:sz w:val="24"/>
          <w:highlight w:val="none"/>
          <w:lang w:val="en-US" w:eastAsia="zh-CN"/>
        </w:rPr>
        <w:t>153</w:t>
      </w:r>
      <w:r>
        <w:rPr>
          <w:rFonts w:hint="default" w:ascii="Times New Roman" w:hAnsi="Times New Roman" w:cs="Times New Roman" w:eastAsiaTheme="minorEastAsia"/>
          <w:color w:val="auto"/>
          <w:kern w:val="0"/>
          <w:sz w:val="24"/>
          <w:highlight w:val="none"/>
          <w:lang w:val="en-US" w:eastAsia="zh-CN"/>
        </w:rPr>
        <w:t>m处低于检出限</w:t>
      </w:r>
      <w:r>
        <w:rPr>
          <w:rFonts w:hint="eastAsia" w:ascii="Times New Roman" w:hAnsi="Times New Roman" w:cs="Times New Roman" w:eastAsiaTheme="minorEastAsia"/>
          <w:color w:val="auto"/>
          <w:kern w:val="0"/>
          <w:sz w:val="24"/>
          <w:highlight w:val="none"/>
          <w:lang w:val="en-US" w:eastAsia="zh-CN"/>
        </w:rPr>
        <w:t>；5</w:t>
      </w:r>
      <w:r>
        <w:rPr>
          <w:rFonts w:hint="default" w:ascii="Times New Roman" w:hAnsi="Times New Roman" w:cs="Times New Roman" w:eastAsiaTheme="minorEastAsia"/>
          <w:color w:val="auto"/>
          <w:kern w:val="0"/>
          <w:sz w:val="24"/>
          <w:highlight w:val="none"/>
        </w:rPr>
        <w:t>000d，在下游</w:t>
      </w:r>
      <w:r>
        <w:rPr>
          <w:rFonts w:hint="eastAsia" w:ascii="Times New Roman" w:hAnsi="Times New Roman" w:cs="Times New Roman" w:eastAsiaTheme="minorEastAsia"/>
          <w:color w:val="auto"/>
          <w:kern w:val="0"/>
          <w:sz w:val="24"/>
          <w:highlight w:val="none"/>
          <w:lang w:val="en-US" w:eastAsia="zh-CN"/>
        </w:rPr>
        <w:t>434</w:t>
      </w:r>
      <w:r>
        <w:rPr>
          <w:rFonts w:hint="default" w:ascii="Times New Roman" w:hAnsi="Times New Roman" w:cs="Times New Roman" w:eastAsiaTheme="minorEastAsia"/>
          <w:color w:val="auto"/>
          <w:kern w:val="0"/>
          <w:sz w:val="24"/>
          <w:highlight w:val="none"/>
        </w:rPr>
        <w:t>m处达到标准值</w:t>
      </w:r>
      <w:r>
        <w:rPr>
          <w:rFonts w:hint="default" w:ascii="Times New Roman" w:hAnsi="Times New Roman" w:cs="Times New Roman" w:eastAsiaTheme="minorEastAsia"/>
          <w:color w:val="auto"/>
          <w:kern w:val="0"/>
          <w:sz w:val="24"/>
          <w:highlight w:val="none"/>
          <w:lang w:eastAsia="zh-CN"/>
        </w:rPr>
        <w:t>，</w:t>
      </w:r>
      <w:r>
        <w:rPr>
          <w:rFonts w:hint="eastAsia" w:ascii="Times New Roman" w:hAnsi="Times New Roman" w:cs="Times New Roman" w:eastAsiaTheme="minorEastAsia"/>
          <w:color w:val="auto"/>
          <w:kern w:val="0"/>
          <w:sz w:val="24"/>
          <w:highlight w:val="none"/>
          <w:lang w:val="en-US" w:eastAsia="zh-CN"/>
        </w:rPr>
        <w:t>517</w:t>
      </w:r>
      <w:r>
        <w:rPr>
          <w:rFonts w:hint="default" w:ascii="Times New Roman" w:hAnsi="Times New Roman" w:cs="Times New Roman" w:eastAsiaTheme="minorEastAsia"/>
          <w:color w:val="auto"/>
          <w:kern w:val="0"/>
          <w:sz w:val="24"/>
          <w:highlight w:val="none"/>
          <w:lang w:val="en-US" w:eastAsia="zh-CN"/>
        </w:rPr>
        <w:t>m处低于检出限</w:t>
      </w:r>
      <w:r>
        <w:rPr>
          <w:rFonts w:hint="default" w:ascii="Times New Roman" w:hAnsi="Times New Roman" w:cs="Times New Roman" w:eastAsiaTheme="minorEastAsia"/>
          <w:bCs/>
          <w:color w:val="auto"/>
          <w:sz w:val="24"/>
          <w:highlight w:val="none"/>
        </w:rPr>
        <w:t>。</w:t>
      </w:r>
    </w:p>
    <w:p w14:paraId="1110B905">
      <w:pPr>
        <w:spacing w:line="360" w:lineRule="auto"/>
        <w:ind w:firstLine="480" w:firstLineChars="200"/>
        <w:rPr>
          <w:rFonts w:hint="default" w:ascii="Times New Roman" w:hAnsi="Times New Roman" w:cs="Times New Roman"/>
          <w:b w:val="0"/>
          <w:bCs w:val="0"/>
          <w:color w:val="auto"/>
          <w:kern w:val="0"/>
          <w:sz w:val="24"/>
          <w:highlight w:val="none"/>
        </w:rPr>
      </w:pPr>
      <w:r>
        <w:rPr>
          <w:rFonts w:hint="default" w:ascii="Times New Roman" w:hAnsi="Times New Roman" w:cs="Times New Roman"/>
          <w:b w:val="0"/>
          <w:bCs w:val="0"/>
          <w:color w:val="auto"/>
          <w:kern w:val="0"/>
          <w:sz w:val="24"/>
          <w:highlight w:val="none"/>
        </w:rPr>
        <w:t>本项目</w:t>
      </w:r>
      <w:r>
        <w:rPr>
          <w:rFonts w:hint="eastAsia" w:ascii="Times New Roman" w:hAnsi="Times New Roman" w:cs="Times New Roman"/>
          <w:b w:val="0"/>
          <w:bCs w:val="0"/>
          <w:color w:val="auto"/>
          <w:kern w:val="0"/>
          <w:sz w:val="24"/>
          <w:highlight w:val="none"/>
          <w:lang w:val="en-US" w:eastAsia="zh-CN"/>
        </w:rPr>
        <w:t>在回填前，底部已做基础防渗层</w:t>
      </w:r>
      <w:r>
        <w:rPr>
          <w:rFonts w:hint="eastAsia" w:ascii="Times New Roman" w:hAnsi="Times New Roman" w:eastAsia="宋体" w:cs="Times New Roman"/>
          <w:b w:val="0"/>
          <w:bCs w:val="0"/>
          <w:color w:val="auto"/>
          <w:kern w:val="0"/>
          <w:sz w:val="24"/>
          <w:highlight w:val="none"/>
          <w:lang w:val="en-US" w:eastAsia="zh-CN"/>
        </w:rPr>
        <w:t>等</w:t>
      </w:r>
      <w:r>
        <w:rPr>
          <w:rFonts w:hint="default" w:ascii="Times New Roman" w:hAnsi="Times New Roman" w:cs="Times New Roman"/>
          <w:b w:val="0"/>
          <w:bCs w:val="0"/>
          <w:color w:val="auto"/>
          <w:kern w:val="0"/>
          <w:sz w:val="24"/>
          <w:highlight w:val="none"/>
        </w:rPr>
        <w:t>防渗措施，并在厂区地下水下游</w:t>
      </w:r>
      <w:r>
        <w:rPr>
          <w:rFonts w:hint="default" w:ascii="Times New Roman" w:hAnsi="Times New Roman" w:cs="Times New Roman"/>
          <w:b w:val="0"/>
          <w:bCs w:val="0"/>
          <w:color w:val="auto"/>
          <w:kern w:val="0"/>
          <w:sz w:val="24"/>
          <w:highlight w:val="none"/>
          <w:lang w:val="en-GB"/>
        </w:rPr>
        <w:t>设置一个跟踪监测井，每</w:t>
      </w:r>
      <w:r>
        <w:rPr>
          <w:rFonts w:hint="eastAsia" w:ascii="Times New Roman" w:hAnsi="Times New Roman" w:cs="Times New Roman"/>
          <w:b w:val="0"/>
          <w:bCs w:val="0"/>
          <w:color w:val="auto"/>
          <w:kern w:val="0"/>
          <w:sz w:val="24"/>
          <w:highlight w:val="none"/>
          <w:lang w:val="en-GB"/>
        </w:rPr>
        <w:t>1年监测一次，可及时发现污水泄漏情况，并及时检修，因此不会</w:t>
      </w:r>
      <w:r>
        <w:rPr>
          <w:rFonts w:hint="default" w:ascii="Times New Roman" w:hAnsi="Times New Roman" w:cs="Times New Roman"/>
          <w:b w:val="0"/>
          <w:bCs w:val="0"/>
          <w:color w:val="auto"/>
          <w:kern w:val="0"/>
          <w:sz w:val="24"/>
          <w:highlight w:val="none"/>
        </w:rPr>
        <w:t>对</w:t>
      </w:r>
      <w:r>
        <w:rPr>
          <w:rFonts w:hint="default" w:ascii="Times New Roman" w:hAnsi="Times New Roman" w:cs="Times New Roman" w:eastAsiaTheme="minorEastAsia"/>
          <w:snapToGrid w:val="0"/>
          <w:color w:val="auto"/>
          <w:kern w:val="0"/>
          <w:sz w:val="24"/>
          <w:highlight w:val="none"/>
        </w:rPr>
        <w:t>区域地下水环境</w:t>
      </w:r>
      <w:r>
        <w:rPr>
          <w:rFonts w:hint="default" w:ascii="Times New Roman" w:hAnsi="Times New Roman" w:cs="Times New Roman"/>
          <w:b w:val="0"/>
          <w:bCs w:val="0"/>
          <w:color w:val="auto"/>
          <w:kern w:val="0"/>
          <w:sz w:val="24"/>
          <w:highlight w:val="none"/>
        </w:rPr>
        <w:t>造成影响</w:t>
      </w:r>
      <w:r>
        <w:rPr>
          <w:rFonts w:hint="eastAsia" w:ascii="Times New Roman" w:hAnsi="Times New Roman" w:cs="Times New Roman"/>
          <w:b w:val="0"/>
          <w:bCs w:val="0"/>
          <w:color w:val="auto"/>
          <w:kern w:val="0"/>
          <w:sz w:val="24"/>
          <w:highlight w:val="none"/>
        </w:rPr>
        <w:t>。综上</w:t>
      </w:r>
      <w:r>
        <w:rPr>
          <w:rFonts w:hint="default" w:ascii="Times New Roman" w:hAnsi="Times New Roman" w:cs="Times New Roman"/>
          <w:b w:val="0"/>
          <w:bCs w:val="0"/>
          <w:color w:val="auto"/>
          <w:kern w:val="0"/>
          <w:sz w:val="24"/>
          <w:highlight w:val="none"/>
        </w:rPr>
        <w:t>项目建设对区域地下水环境影响较小。</w:t>
      </w:r>
    </w:p>
    <w:p w14:paraId="78E024F5">
      <w:pPr>
        <w:pStyle w:val="7"/>
        <w:numPr>
          <w:ilvl w:val="0"/>
          <w:numId w:val="0"/>
        </w:numPr>
        <w:bidi w:val="0"/>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5.2.6</w:t>
      </w:r>
      <w:r>
        <w:rPr>
          <w:rFonts w:hint="eastAsia" w:asciiTheme="minorEastAsia" w:hAnsiTheme="minorEastAsia" w:eastAsiaTheme="minorEastAsia" w:cstheme="minorEastAsia"/>
          <w:color w:val="auto"/>
          <w:highlight w:val="none"/>
        </w:rPr>
        <w:t>土壤环境影响分析</w:t>
      </w:r>
    </w:p>
    <w:p w14:paraId="7DA73756">
      <w:pPr>
        <w:pStyle w:val="3"/>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jc w:val="both"/>
        <w:textAlignment w:val="auto"/>
        <w:rPr>
          <w:rFonts w:hint="default" w:asciiTheme="minorEastAsia" w:hAnsiTheme="minorEastAsia" w:eastAsiaTheme="minorEastAsia" w:cstheme="minorEastAsia"/>
          <w:color w:val="auto"/>
          <w:sz w:val="24"/>
          <w:szCs w:val="24"/>
          <w:highlight w:val="none"/>
          <w:lang w:val="en-US" w:eastAsia="zh-CN" w:bidi="ar"/>
        </w:rPr>
      </w:pPr>
      <w:r>
        <w:rPr>
          <w:rFonts w:cs="Times New Roman"/>
          <w:color w:val="auto"/>
          <w:highlight w:val="none"/>
        </w:rPr>
        <w:t>本项目为</w:t>
      </w:r>
      <w:r>
        <w:rPr>
          <w:rFonts w:hint="eastAsia" w:ascii="Times New Roman" w:hAnsi="宋体" w:eastAsia="宋体" w:cs="Times New Roman"/>
          <w:color w:val="auto"/>
          <w:kern w:val="0"/>
          <w:sz w:val="24"/>
          <w:szCs w:val="24"/>
          <w:highlight w:val="none"/>
          <w:lang w:val="en-US" w:eastAsia="zh-CN"/>
        </w:rPr>
        <w:t>灰渣回填复垦利用项目</w:t>
      </w:r>
      <w:r>
        <w:rPr>
          <w:rFonts w:cs="Times New Roman"/>
          <w:color w:val="auto"/>
          <w:highlight w:val="none"/>
        </w:rPr>
        <w:t>，土壤环境影响主要是</w:t>
      </w:r>
      <w:r>
        <w:rPr>
          <w:rFonts w:hint="eastAsia" w:cs="Times New Roman"/>
          <w:color w:val="auto"/>
          <w:highlight w:val="none"/>
          <w:lang w:val="en-US" w:eastAsia="zh-CN"/>
        </w:rPr>
        <w:t>灰渣</w:t>
      </w:r>
      <w:r>
        <w:rPr>
          <w:rFonts w:cs="Times New Roman"/>
          <w:color w:val="auto"/>
          <w:highlight w:val="none"/>
        </w:rPr>
        <w:t>在回填过程中，一是由于雨水渗透淋溶作用对附近土壤产生有毒有害影响，二是</w:t>
      </w:r>
      <w:r>
        <w:rPr>
          <w:rFonts w:hint="eastAsia" w:cs="Times New Roman"/>
          <w:color w:val="auto"/>
          <w:highlight w:val="none"/>
          <w:lang w:val="en-US" w:eastAsia="zh-CN"/>
        </w:rPr>
        <w:t>灰渣</w:t>
      </w:r>
      <w:r>
        <w:rPr>
          <w:rFonts w:cs="Times New Roman"/>
          <w:color w:val="auto"/>
          <w:highlight w:val="none"/>
        </w:rPr>
        <w:t>在回填过程</w:t>
      </w:r>
      <w:r>
        <w:rPr>
          <w:rFonts w:hint="eastAsia" w:cs="Times New Roman"/>
          <w:color w:val="auto"/>
          <w:highlight w:val="none"/>
          <w:lang w:val="en-US" w:eastAsia="zh-CN"/>
        </w:rPr>
        <w:t>中</w:t>
      </w:r>
      <w:r>
        <w:rPr>
          <w:rFonts w:cs="Times New Roman"/>
          <w:color w:val="auto"/>
          <w:highlight w:val="none"/>
        </w:rPr>
        <w:t>产生的扬尘会对附近土壤产生影响。</w:t>
      </w:r>
      <w:r>
        <w:rPr>
          <w:rFonts w:hint="eastAsia" w:asciiTheme="minorEastAsia" w:hAnsiTheme="minorEastAsia" w:eastAsiaTheme="minorEastAsia" w:cstheme="minorEastAsia"/>
          <w:color w:val="auto"/>
          <w:sz w:val="24"/>
          <w:szCs w:val="24"/>
          <w:highlight w:val="none"/>
          <w:lang w:val="en-US" w:eastAsia="zh-CN" w:bidi="ar"/>
        </w:rPr>
        <w:t>因此本次主要考虑大气沉降和垂直入渗情况对土壤产生的影响进行分析。</w:t>
      </w:r>
    </w:p>
    <w:p w14:paraId="4A78F7C0">
      <w:pPr>
        <w:pStyle w:val="3"/>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jc w:val="both"/>
        <w:textAlignment w:val="auto"/>
        <w:rPr>
          <w:rFonts w:hint="default" w:asciiTheme="minorEastAsia" w:hAnsiTheme="minorEastAsia" w:eastAsiaTheme="minorEastAsia" w:cstheme="minorEastAsia"/>
          <w:color w:val="auto"/>
          <w:szCs w:val="24"/>
          <w:highlight w:val="none"/>
          <w:lang w:val="en-US" w:eastAsia="zh-CN" w:bidi="ar"/>
        </w:rPr>
      </w:pPr>
      <w:r>
        <w:rPr>
          <w:rFonts w:hint="eastAsia" w:asciiTheme="minorEastAsia" w:hAnsiTheme="minorEastAsia" w:eastAsiaTheme="minorEastAsia" w:cstheme="minorEastAsia"/>
          <w:color w:val="auto"/>
          <w:szCs w:val="24"/>
          <w:highlight w:val="none"/>
          <w:lang w:val="en-US" w:eastAsia="zh-CN" w:bidi="ar"/>
        </w:rPr>
        <w:t>1.大气沉降土壤影响分析</w:t>
      </w:r>
    </w:p>
    <w:p w14:paraId="6D41CBA2">
      <w:pPr>
        <w:pStyle w:val="3"/>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Theme="minorEastAsia" w:hAnsiTheme="minorEastAsia" w:eastAsiaTheme="minorEastAsia" w:cstheme="minorEastAsia"/>
          <w:color w:val="auto"/>
          <w:szCs w:val="24"/>
          <w:highlight w:val="none"/>
          <w:lang w:val="en-US" w:eastAsia="zh-CN" w:bidi="ar"/>
        </w:rPr>
      </w:pPr>
      <w:r>
        <w:rPr>
          <w:rFonts w:hint="eastAsia" w:asciiTheme="minorEastAsia" w:hAnsiTheme="minorEastAsia" w:eastAsiaTheme="minorEastAsia" w:cstheme="minorEastAsia"/>
          <w:color w:val="auto"/>
          <w:szCs w:val="24"/>
          <w:highlight w:val="none"/>
          <w:lang w:val="en-US" w:eastAsia="zh-CN" w:bidi="ar"/>
        </w:rPr>
        <w:t>发生大气沉降的区域主要为作业区的无组织废气。项目大气污染为运输及贮存时产生的少量扬尘；由于工程对粉尘排放都采取严格的防治措施，实际增加的污染物排放量很小，且根据项目的回填材料成分可知，回填材料主要成为SiO2、Al2O3、Fe2O3、MgO、CaO等，</w:t>
      </w:r>
      <w:r>
        <w:rPr>
          <w:rFonts w:hint="eastAsia" w:ascii="宋体" w:hAnsi="宋体" w:eastAsia="宋体" w:cs="宋体"/>
          <w:b w:val="0"/>
          <w:bCs w:val="0"/>
          <w:color w:val="auto"/>
          <w:kern w:val="0"/>
          <w:sz w:val="24"/>
          <w:szCs w:val="24"/>
          <w:highlight w:val="none"/>
          <w:lang w:val="en-US" w:eastAsia="zh-CN" w:bidi="ar"/>
        </w:rPr>
        <w:t>且依据灰渣浸出液监测结果，</w:t>
      </w:r>
      <w:r>
        <w:rPr>
          <w:rFonts w:hint="eastAsia" w:asciiTheme="minorEastAsia" w:hAnsiTheme="minorEastAsia" w:eastAsiaTheme="minorEastAsia" w:cstheme="minorEastAsia"/>
          <w:color w:val="auto"/>
          <w:spacing w:val="-3"/>
          <w:szCs w:val="24"/>
          <w:highlight w:val="none"/>
          <w:lang w:eastAsia="zh-CN"/>
        </w:rPr>
        <w:t>关注的铅、铬、镉、铜、镍、锌等均</w:t>
      </w:r>
      <w:r>
        <w:rPr>
          <w:rFonts w:hint="eastAsia" w:ascii="宋体" w:hAnsi="宋体" w:eastAsia="宋体" w:cs="宋体"/>
          <w:b w:val="0"/>
          <w:bCs w:val="0"/>
          <w:color w:val="auto"/>
          <w:kern w:val="0"/>
          <w:sz w:val="24"/>
          <w:szCs w:val="24"/>
          <w:highlight w:val="none"/>
          <w:lang w:val="en-US" w:eastAsia="zh-CN" w:bidi="ar"/>
        </w:rPr>
        <w:t>满足</w:t>
      </w:r>
      <w:r>
        <w:rPr>
          <w:rFonts w:hint="eastAsia" w:ascii="宋体" w:hAnsi="宋体" w:eastAsia="宋体" w:cs="宋体"/>
          <w:color w:val="auto"/>
          <w:kern w:val="0"/>
          <w:sz w:val="24"/>
          <w:szCs w:val="24"/>
          <w:highlight w:val="none"/>
          <w:lang w:val="en-US" w:eastAsia="zh-CN" w:bidi="ar"/>
        </w:rPr>
        <w:t>《土壤环境质量 农用地土壤污染风险管控标准（试行）》（GB 15618-2018 ）表1 农用地土壤污染风险筛选值（基本项目）要求</w:t>
      </w:r>
      <w:r>
        <w:rPr>
          <w:rFonts w:hint="eastAsia" w:asciiTheme="minorEastAsia" w:hAnsiTheme="minorEastAsia" w:eastAsiaTheme="minorEastAsia" w:cstheme="minorEastAsia"/>
          <w:color w:val="auto"/>
          <w:szCs w:val="24"/>
          <w:highlight w:val="none"/>
          <w:lang w:val="en-US" w:eastAsia="zh-CN" w:bidi="ar"/>
        </w:rPr>
        <w:t>，因此发生大气沉降时不会对土壤产生影响。项目回填过程中严格落实各项大气污染防治措施，确保达标排放，大气沉降对项目厂区及周边的表层土壤影响甚微，预计对土壤质量的影响仍将维持在现有水平。</w:t>
      </w:r>
    </w:p>
    <w:p w14:paraId="393CCF81">
      <w:pPr>
        <w:pStyle w:val="3"/>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jc w:val="both"/>
        <w:textAlignment w:val="auto"/>
        <w:rPr>
          <w:rFonts w:hint="default" w:asciiTheme="minorEastAsia" w:hAnsiTheme="minorEastAsia" w:eastAsiaTheme="minorEastAsia" w:cstheme="minorEastAsia"/>
          <w:color w:val="auto"/>
          <w:szCs w:val="24"/>
          <w:highlight w:val="none"/>
          <w:lang w:val="en-US" w:eastAsia="zh-CN" w:bidi="ar"/>
        </w:rPr>
      </w:pPr>
      <w:r>
        <w:rPr>
          <w:rFonts w:hint="eastAsia" w:asciiTheme="minorEastAsia" w:hAnsiTheme="minorEastAsia" w:eastAsiaTheme="minorEastAsia" w:cstheme="minorEastAsia"/>
          <w:color w:val="auto"/>
          <w:szCs w:val="24"/>
          <w:highlight w:val="none"/>
          <w:lang w:val="en-US" w:eastAsia="zh-CN" w:bidi="ar"/>
        </w:rPr>
        <w:t>2.垂直入渗土壤影响分析</w:t>
      </w:r>
    </w:p>
    <w:p w14:paraId="41AE9D8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因本项目利用灰渣进行回填覆土后</w:t>
      </w:r>
      <w:r>
        <w:rPr>
          <w:rFonts w:hint="eastAsia" w:asciiTheme="minorEastAsia" w:hAnsiTheme="minorEastAsia" w:eastAsiaTheme="minorEastAsia" w:cstheme="minorEastAsia"/>
          <w:color w:val="auto"/>
          <w:highlight w:val="none"/>
          <w:lang w:val="en-US" w:eastAsia="zh-CN"/>
        </w:rPr>
        <w:t>恢复为林地</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lang w:val="en-US" w:eastAsia="zh-CN"/>
        </w:rPr>
        <w:t>林地土壤执行标准参照农作物土壤执行标准，</w:t>
      </w:r>
      <w:r>
        <w:rPr>
          <w:rFonts w:hint="eastAsia" w:asciiTheme="minorEastAsia" w:hAnsiTheme="minorEastAsia" w:eastAsiaTheme="minorEastAsia" w:cstheme="minorEastAsia"/>
          <w:color w:val="auto"/>
          <w:highlight w:val="none"/>
        </w:rPr>
        <w:t>根据《一般工业固体废物贮存和填埋污染控制标准》（GB 18599-2020）中“土地复垦后用作农用地的还应满足GB 15618的要求”。对照《土壤环境质量 农用地土壤污染风险管控标准（试行）》（GB 15618-2018 ）表1 农用地土壤污染风险筛选值（基本项目）进行分析本项目灰渣</w:t>
      </w:r>
      <w:r>
        <w:rPr>
          <w:rFonts w:hint="eastAsia" w:asciiTheme="minorEastAsia" w:hAnsiTheme="minorEastAsia" w:eastAsiaTheme="minorEastAsia" w:cstheme="minorEastAsia"/>
          <w:color w:val="auto"/>
          <w:highlight w:val="none"/>
          <w:lang w:val="en-US" w:eastAsia="zh-CN"/>
        </w:rPr>
        <w:t>中重金属</w:t>
      </w:r>
      <w:r>
        <w:rPr>
          <w:rFonts w:hint="eastAsia" w:asciiTheme="minorEastAsia" w:hAnsiTheme="minorEastAsia" w:eastAsiaTheme="minorEastAsia" w:cstheme="minorEastAsia"/>
          <w:color w:val="auto"/>
          <w:highlight w:val="none"/>
        </w:rPr>
        <w:t>达标情况。</w:t>
      </w:r>
    </w:p>
    <w:p w14:paraId="0A7AEC3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b/>
          <w:bCs/>
          <w:color w:val="auto"/>
          <w:highlight w:val="none"/>
          <w:lang w:val="en-US" w:eastAsia="zh-CN"/>
        </w:rPr>
        <w:t xml:space="preserve">表5.2-9  </w:t>
      </w:r>
      <w:r>
        <w:rPr>
          <w:rFonts w:hint="eastAsia" w:asciiTheme="minorEastAsia" w:hAnsiTheme="minorEastAsia" w:eastAsiaTheme="minorEastAsia" w:cstheme="minorEastAsia"/>
          <w:b/>
          <w:bCs/>
          <w:color w:val="auto"/>
          <w:sz w:val="24"/>
          <w:szCs w:val="24"/>
          <w:highlight w:val="none"/>
        </w:rPr>
        <w:t>土壤风险评估关注污染物筛选</w:t>
      </w:r>
    </w:p>
    <w:tbl>
      <w:tblPr>
        <w:tblStyle w:val="84"/>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82"/>
        <w:gridCol w:w="1866"/>
        <w:gridCol w:w="1396"/>
        <w:gridCol w:w="3539"/>
        <w:gridCol w:w="794"/>
      </w:tblGrid>
      <w:tr w14:paraId="01026F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637" w:hRule="atLeast"/>
          <w:jc w:val="center"/>
        </w:trPr>
        <w:tc>
          <w:tcPr>
            <w:tcW w:w="770" w:type="pct"/>
            <w:vMerge w:val="restart"/>
            <w:tcBorders>
              <w:tl2br w:val="nil"/>
              <w:tr2bl w:val="nil"/>
            </w:tcBorders>
            <w:noWrap w:val="0"/>
            <w:vAlign w:val="center"/>
          </w:tcPr>
          <w:p w14:paraId="142DB7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检测项目</w:t>
            </w:r>
          </w:p>
        </w:tc>
        <w:tc>
          <w:tcPr>
            <w:tcW w:w="1816" w:type="pct"/>
            <w:gridSpan w:val="2"/>
            <w:tcBorders>
              <w:tl2br w:val="nil"/>
              <w:tr2bl w:val="nil"/>
            </w:tcBorders>
            <w:shd w:val="clear" w:color="auto" w:fill="auto"/>
            <w:noWrap w:val="0"/>
            <w:vAlign w:val="center"/>
          </w:tcPr>
          <w:p w14:paraId="565FC2C5">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auto"/>
                <w:kern w:val="2"/>
                <w:sz w:val="20"/>
                <w:szCs w:val="20"/>
                <w:highlight w:val="none"/>
                <w:u w:val="none"/>
                <w:lang w:val="en-US" w:eastAsia="zh-CN" w:bidi="ar-SA"/>
              </w:rPr>
            </w:pPr>
            <w:r>
              <w:rPr>
                <w:rFonts w:hint="default" w:ascii="Times New Roman" w:hAnsi="Times New Roman" w:cs="Times New Roman"/>
                <w:b/>
                <w:bCs/>
                <w:i w:val="0"/>
                <w:iCs w:val="0"/>
                <w:color w:val="auto"/>
                <w:kern w:val="2"/>
                <w:sz w:val="20"/>
                <w:szCs w:val="20"/>
                <w:highlight w:val="none"/>
                <w:u w:val="none"/>
                <w:lang w:val="en-US" w:eastAsia="zh-CN" w:bidi="ar-SA"/>
              </w:rPr>
              <w:t>样品</w:t>
            </w:r>
          </w:p>
        </w:tc>
        <w:tc>
          <w:tcPr>
            <w:tcW w:w="1970" w:type="pct"/>
            <w:vMerge w:val="restart"/>
            <w:tcBorders>
              <w:tl2br w:val="nil"/>
              <w:tr2bl w:val="nil"/>
            </w:tcBorders>
            <w:shd w:val="clear" w:color="auto" w:fill="auto"/>
            <w:noWrap w:val="0"/>
            <w:vAlign w:val="center"/>
          </w:tcPr>
          <w:p w14:paraId="394E288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color w:val="auto"/>
                <w:kern w:val="2"/>
                <w:sz w:val="21"/>
                <w:szCs w:val="22"/>
                <w:highlight w:val="none"/>
                <w:lang w:val="en-US" w:eastAsia="zh-CN" w:bidi="ar-SA"/>
              </w:rPr>
            </w:pPr>
            <w:r>
              <w:rPr>
                <w:rFonts w:hint="default" w:ascii="Times New Roman" w:hAnsi="Times New Roman" w:eastAsia="宋体" w:cs="Times New Roman"/>
                <w:b w:val="0"/>
                <w:bCs/>
                <w:color w:val="auto"/>
                <w:sz w:val="21"/>
                <w:szCs w:val="18"/>
                <w:highlight w:val="none"/>
                <w:lang w:val="en-US" w:eastAsia="zh-CN" w:bidi="ar-SA"/>
              </w:rPr>
              <w:t>《土壤环境质量 农用地土壤污染风险管控标准（试行）》（GB 36600-2018）表1农用地土壤污染风险筛选值（5.5&lt;pH≤6.5）</w:t>
            </w:r>
            <w:r>
              <w:rPr>
                <w:rFonts w:hint="default" w:ascii="Times New Roman" w:hAnsi="Times New Roman" w:eastAsia="宋体" w:cs="Times New Roman"/>
                <w:b w:val="0"/>
                <w:bCs/>
                <w:color w:val="auto"/>
                <w:sz w:val="21"/>
                <w:szCs w:val="22"/>
                <w:highlight w:val="none"/>
                <w:lang w:val="en-US" w:eastAsia="zh-CN" w:bidi="en-US"/>
              </w:rPr>
              <w:t>（mg/kg）</w:t>
            </w:r>
          </w:p>
        </w:tc>
        <w:tc>
          <w:tcPr>
            <w:tcW w:w="442" w:type="pct"/>
            <w:vMerge w:val="restart"/>
            <w:tcBorders>
              <w:tl2br w:val="nil"/>
              <w:tr2bl w:val="nil"/>
            </w:tcBorders>
            <w:noWrap w:val="0"/>
            <w:vAlign w:val="center"/>
          </w:tcPr>
          <w:p w14:paraId="4A14E6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单位</w:t>
            </w:r>
          </w:p>
        </w:tc>
      </w:tr>
      <w:tr w14:paraId="0784E5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44" w:hRule="atLeast"/>
          <w:jc w:val="center"/>
        </w:trPr>
        <w:tc>
          <w:tcPr>
            <w:tcW w:w="770" w:type="pct"/>
            <w:vMerge w:val="continue"/>
            <w:tcBorders>
              <w:tl2br w:val="nil"/>
              <w:tr2bl w:val="nil"/>
            </w:tcBorders>
            <w:noWrap w:val="0"/>
            <w:vAlign w:val="center"/>
          </w:tcPr>
          <w:p w14:paraId="407CED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1039" w:type="pct"/>
            <w:tcBorders>
              <w:tl2br w:val="nil"/>
              <w:tr2bl w:val="nil"/>
            </w:tcBorders>
            <w:shd w:val="clear" w:color="auto" w:fill="auto"/>
            <w:noWrap w:val="0"/>
            <w:vAlign w:val="center"/>
          </w:tcPr>
          <w:p w14:paraId="40FE317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auto"/>
                <w:kern w:val="2"/>
                <w:sz w:val="20"/>
                <w:szCs w:val="20"/>
                <w:highlight w:val="none"/>
                <w:u w:val="none"/>
                <w:lang w:val="en-US" w:eastAsia="zh-CN" w:bidi="ar-SA"/>
              </w:rPr>
            </w:pPr>
            <w:r>
              <w:rPr>
                <w:rFonts w:hint="default" w:ascii="Times New Roman" w:hAnsi="Times New Roman" w:eastAsia="宋体" w:cs="Times New Roman"/>
                <w:b/>
                <w:bCs/>
                <w:i w:val="0"/>
                <w:iCs w:val="0"/>
                <w:color w:val="auto"/>
                <w:kern w:val="0"/>
                <w:sz w:val="20"/>
                <w:szCs w:val="20"/>
                <w:highlight w:val="none"/>
                <w:u w:val="none"/>
                <w:lang w:val="en-US" w:eastAsia="zh-CN" w:bidi="ar"/>
              </w:rPr>
              <w:t>生物质灰渣</w:t>
            </w:r>
          </w:p>
        </w:tc>
        <w:tc>
          <w:tcPr>
            <w:tcW w:w="777" w:type="pct"/>
            <w:tcBorders>
              <w:tl2br w:val="nil"/>
              <w:tr2bl w:val="nil"/>
            </w:tcBorders>
            <w:shd w:val="clear" w:color="auto" w:fill="auto"/>
            <w:noWrap w:val="0"/>
            <w:vAlign w:val="center"/>
          </w:tcPr>
          <w:p w14:paraId="7501C11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color w:val="auto"/>
                <w:kern w:val="2"/>
                <w:sz w:val="20"/>
                <w:szCs w:val="20"/>
                <w:highlight w:val="none"/>
                <w:u w:val="none"/>
                <w:lang w:val="en-US" w:eastAsia="zh-CN" w:bidi="ar-SA"/>
              </w:rPr>
            </w:pPr>
            <w:r>
              <w:rPr>
                <w:rFonts w:hint="default" w:ascii="Times New Roman" w:hAnsi="Times New Roman" w:eastAsia="宋体" w:cs="Times New Roman"/>
                <w:b/>
                <w:bCs/>
                <w:i w:val="0"/>
                <w:iCs w:val="0"/>
                <w:color w:val="auto"/>
                <w:kern w:val="0"/>
                <w:sz w:val="20"/>
                <w:szCs w:val="20"/>
                <w:highlight w:val="none"/>
                <w:u w:val="none"/>
                <w:lang w:val="en-US" w:eastAsia="zh-CN" w:bidi="ar"/>
              </w:rPr>
              <w:t>燃煤炉渣</w:t>
            </w:r>
          </w:p>
        </w:tc>
        <w:tc>
          <w:tcPr>
            <w:tcW w:w="1970" w:type="pct"/>
            <w:vMerge w:val="continue"/>
            <w:tcBorders>
              <w:tl2br w:val="nil"/>
              <w:tr2bl w:val="nil"/>
            </w:tcBorders>
            <w:shd w:val="clear" w:color="auto" w:fill="auto"/>
            <w:noWrap w:val="0"/>
            <w:vAlign w:val="center"/>
          </w:tcPr>
          <w:p w14:paraId="746732D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bCs/>
                <w:color w:val="auto"/>
                <w:sz w:val="21"/>
                <w:szCs w:val="18"/>
                <w:highlight w:val="none"/>
                <w:lang w:val="en-US" w:eastAsia="zh-CN" w:bidi="ar-SA"/>
              </w:rPr>
            </w:pPr>
          </w:p>
        </w:tc>
        <w:tc>
          <w:tcPr>
            <w:tcW w:w="442" w:type="pct"/>
            <w:vMerge w:val="continue"/>
            <w:tcBorders>
              <w:tl2br w:val="nil"/>
              <w:tr2bl w:val="nil"/>
            </w:tcBorders>
            <w:noWrap w:val="0"/>
            <w:vAlign w:val="center"/>
          </w:tcPr>
          <w:p w14:paraId="63F538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p>
        </w:tc>
      </w:tr>
      <w:tr w14:paraId="17F2B9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noWrap w:val="0"/>
            <w:vAlign w:val="center"/>
          </w:tcPr>
          <w:p w14:paraId="756E07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汞</w:t>
            </w:r>
          </w:p>
        </w:tc>
        <w:tc>
          <w:tcPr>
            <w:tcW w:w="1039" w:type="pct"/>
            <w:tcBorders>
              <w:tl2br w:val="nil"/>
              <w:tr2bl w:val="nil"/>
            </w:tcBorders>
            <w:noWrap w:val="0"/>
            <w:vAlign w:val="center"/>
          </w:tcPr>
          <w:p w14:paraId="0514B4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0.0</w:t>
            </w:r>
            <w:r>
              <w:rPr>
                <w:rFonts w:hint="default" w:ascii="Times New Roman" w:hAnsi="Times New Roman" w:cs="Times New Roman"/>
                <w:color w:val="auto"/>
                <w:kern w:val="0"/>
                <w:sz w:val="21"/>
                <w:szCs w:val="21"/>
                <w:highlight w:val="none"/>
                <w:lang w:val="en-US" w:eastAsia="zh-CN" w:bidi="ar-SA"/>
              </w:rPr>
              <w:t>14</w:t>
            </w:r>
          </w:p>
        </w:tc>
        <w:tc>
          <w:tcPr>
            <w:tcW w:w="777" w:type="pct"/>
            <w:tcBorders>
              <w:tl2br w:val="nil"/>
              <w:tr2bl w:val="nil"/>
            </w:tcBorders>
            <w:shd w:val="clear" w:color="auto" w:fill="auto"/>
            <w:noWrap w:val="0"/>
            <w:vAlign w:val="center"/>
          </w:tcPr>
          <w:p w14:paraId="0EB13A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0.021</w:t>
            </w:r>
          </w:p>
        </w:tc>
        <w:tc>
          <w:tcPr>
            <w:tcW w:w="1970" w:type="pct"/>
            <w:tcBorders>
              <w:tl2br w:val="nil"/>
              <w:tr2bl w:val="nil"/>
            </w:tcBorders>
            <w:shd w:val="clear" w:color="auto" w:fill="auto"/>
            <w:noWrap w:val="0"/>
            <w:vAlign w:val="center"/>
          </w:tcPr>
          <w:p w14:paraId="6FED8E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1.8</w:t>
            </w:r>
          </w:p>
        </w:tc>
        <w:tc>
          <w:tcPr>
            <w:tcW w:w="442" w:type="pct"/>
            <w:tcBorders>
              <w:tl2br w:val="nil"/>
              <w:tr2bl w:val="nil"/>
            </w:tcBorders>
            <w:noWrap w:val="0"/>
            <w:vAlign w:val="center"/>
          </w:tcPr>
          <w:p w14:paraId="0833D9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r w14:paraId="413AB2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noWrap w:val="0"/>
            <w:vAlign w:val="center"/>
          </w:tcPr>
          <w:p w14:paraId="0AF451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砷</w:t>
            </w:r>
          </w:p>
        </w:tc>
        <w:tc>
          <w:tcPr>
            <w:tcW w:w="1039" w:type="pct"/>
            <w:tcBorders>
              <w:tl2br w:val="nil"/>
              <w:tr2bl w:val="nil"/>
            </w:tcBorders>
            <w:noWrap w:val="0"/>
            <w:vAlign w:val="center"/>
          </w:tcPr>
          <w:p w14:paraId="17A830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2.00</w:t>
            </w:r>
          </w:p>
        </w:tc>
        <w:tc>
          <w:tcPr>
            <w:tcW w:w="777" w:type="pct"/>
            <w:tcBorders>
              <w:tl2br w:val="nil"/>
              <w:tr2bl w:val="nil"/>
            </w:tcBorders>
            <w:shd w:val="clear" w:color="auto" w:fill="auto"/>
            <w:noWrap w:val="0"/>
            <w:vAlign w:val="center"/>
          </w:tcPr>
          <w:p w14:paraId="58612A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13.9</w:t>
            </w:r>
          </w:p>
        </w:tc>
        <w:tc>
          <w:tcPr>
            <w:tcW w:w="1970" w:type="pct"/>
            <w:tcBorders>
              <w:tl2br w:val="nil"/>
              <w:tr2bl w:val="nil"/>
            </w:tcBorders>
            <w:shd w:val="clear" w:color="auto" w:fill="auto"/>
            <w:noWrap w:val="0"/>
            <w:vAlign w:val="center"/>
          </w:tcPr>
          <w:p w14:paraId="0D6286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40</w:t>
            </w:r>
          </w:p>
        </w:tc>
        <w:tc>
          <w:tcPr>
            <w:tcW w:w="442" w:type="pct"/>
            <w:tcBorders>
              <w:tl2br w:val="nil"/>
              <w:tr2bl w:val="nil"/>
            </w:tcBorders>
            <w:noWrap w:val="0"/>
            <w:vAlign w:val="center"/>
          </w:tcPr>
          <w:p w14:paraId="4984ED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r w14:paraId="65106E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noWrap w:val="0"/>
            <w:vAlign w:val="center"/>
          </w:tcPr>
          <w:p w14:paraId="0BBBF8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铅</w:t>
            </w:r>
          </w:p>
        </w:tc>
        <w:tc>
          <w:tcPr>
            <w:tcW w:w="1039" w:type="pct"/>
            <w:tcBorders>
              <w:tl2br w:val="nil"/>
              <w:tr2bl w:val="nil"/>
            </w:tcBorders>
            <w:noWrap w:val="0"/>
            <w:vAlign w:val="center"/>
          </w:tcPr>
          <w:p w14:paraId="5E679F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3.05</w:t>
            </w:r>
          </w:p>
        </w:tc>
        <w:tc>
          <w:tcPr>
            <w:tcW w:w="777" w:type="pct"/>
            <w:tcBorders>
              <w:tl2br w:val="nil"/>
              <w:tr2bl w:val="nil"/>
            </w:tcBorders>
            <w:shd w:val="clear" w:color="auto" w:fill="auto"/>
            <w:noWrap w:val="0"/>
            <w:vAlign w:val="center"/>
          </w:tcPr>
          <w:p w14:paraId="40F865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5.90</w:t>
            </w:r>
          </w:p>
        </w:tc>
        <w:tc>
          <w:tcPr>
            <w:tcW w:w="1970" w:type="pct"/>
            <w:tcBorders>
              <w:tl2br w:val="nil"/>
              <w:tr2bl w:val="nil"/>
            </w:tcBorders>
            <w:shd w:val="clear" w:color="auto" w:fill="auto"/>
            <w:noWrap w:val="0"/>
            <w:vAlign w:val="center"/>
          </w:tcPr>
          <w:p w14:paraId="48F729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90</w:t>
            </w:r>
          </w:p>
        </w:tc>
        <w:tc>
          <w:tcPr>
            <w:tcW w:w="442" w:type="pct"/>
            <w:tcBorders>
              <w:tl2br w:val="nil"/>
              <w:tr2bl w:val="nil"/>
            </w:tcBorders>
            <w:noWrap w:val="0"/>
            <w:vAlign w:val="center"/>
          </w:tcPr>
          <w:p w14:paraId="1164CF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r w14:paraId="7A9D7D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shd w:val="clear" w:color="auto" w:fill="auto"/>
            <w:noWrap w:val="0"/>
            <w:vAlign w:val="center"/>
          </w:tcPr>
          <w:p w14:paraId="4FD2D3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rPr>
              <w:t>镉</w:t>
            </w:r>
          </w:p>
        </w:tc>
        <w:tc>
          <w:tcPr>
            <w:tcW w:w="1039" w:type="pct"/>
            <w:tcBorders>
              <w:tl2br w:val="nil"/>
              <w:tr2bl w:val="nil"/>
            </w:tcBorders>
            <w:shd w:val="clear" w:color="auto" w:fill="auto"/>
            <w:noWrap w:val="0"/>
            <w:vAlign w:val="center"/>
          </w:tcPr>
          <w:p w14:paraId="347D54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0.08</w:t>
            </w:r>
          </w:p>
        </w:tc>
        <w:tc>
          <w:tcPr>
            <w:tcW w:w="777" w:type="pct"/>
            <w:tcBorders>
              <w:tl2br w:val="nil"/>
              <w:tr2bl w:val="nil"/>
            </w:tcBorders>
            <w:shd w:val="clear" w:color="auto" w:fill="auto"/>
            <w:noWrap w:val="0"/>
            <w:vAlign w:val="center"/>
          </w:tcPr>
          <w:p w14:paraId="4488C7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0.08</w:t>
            </w:r>
          </w:p>
        </w:tc>
        <w:tc>
          <w:tcPr>
            <w:tcW w:w="1970" w:type="pct"/>
            <w:tcBorders>
              <w:tl2br w:val="nil"/>
              <w:tr2bl w:val="nil"/>
            </w:tcBorders>
            <w:shd w:val="clear" w:color="auto" w:fill="auto"/>
            <w:noWrap w:val="0"/>
            <w:vAlign w:val="center"/>
          </w:tcPr>
          <w:p w14:paraId="3934D1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0.3</w:t>
            </w:r>
          </w:p>
        </w:tc>
        <w:tc>
          <w:tcPr>
            <w:tcW w:w="442" w:type="pct"/>
            <w:tcBorders>
              <w:tl2br w:val="nil"/>
              <w:tr2bl w:val="nil"/>
            </w:tcBorders>
            <w:shd w:val="clear" w:color="auto" w:fill="auto"/>
            <w:noWrap w:val="0"/>
            <w:vAlign w:val="center"/>
          </w:tcPr>
          <w:p w14:paraId="7628BF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r w14:paraId="091DA1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noWrap w:val="0"/>
            <w:vAlign w:val="center"/>
          </w:tcPr>
          <w:p w14:paraId="0479A5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铜</w:t>
            </w:r>
          </w:p>
        </w:tc>
        <w:tc>
          <w:tcPr>
            <w:tcW w:w="1039" w:type="pct"/>
            <w:tcBorders>
              <w:tl2br w:val="nil"/>
              <w:tr2bl w:val="nil"/>
            </w:tcBorders>
            <w:noWrap w:val="0"/>
            <w:vAlign w:val="center"/>
          </w:tcPr>
          <w:p w14:paraId="1752D4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9</w:t>
            </w:r>
          </w:p>
        </w:tc>
        <w:tc>
          <w:tcPr>
            <w:tcW w:w="777" w:type="pct"/>
            <w:tcBorders>
              <w:tl2br w:val="nil"/>
              <w:tr2bl w:val="nil"/>
            </w:tcBorders>
            <w:shd w:val="clear" w:color="auto" w:fill="auto"/>
            <w:noWrap w:val="0"/>
            <w:vAlign w:val="center"/>
          </w:tcPr>
          <w:p w14:paraId="2B4CA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22</w:t>
            </w:r>
          </w:p>
        </w:tc>
        <w:tc>
          <w:tcPr>
            <w:tcW w:w="1970" w:type="pct"/>
            <w:tcBorders>
              <w:tl2br w:val="nil"/>
              <w:tr2bl w:val="nil"/>
            </w:tcBorders>
            <w:shd w:val="clear" w:color="auto" w:fill="auto"/>
            <w:noWrap w:val="0"/>
            <w:vAlign w:val="center"/>
          </w:tcPr>
          <w:p w14:paraId="0EF32A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50</w:t>
            </w:r>
          </w:p>
        </w:tc>
        <w:tc>
          <w:tcPr>
            <w:tcW w:w="442" w:type="pct"/>
            <w:tcBorders>
              <w:tl2br w:val="nil"/>
              <w:tr2bl w:val="nil"/>
            </w:tcBorders>
            <w:noWrap w:val="0"/>
            <w:vAlign w:val="center"/>
          </w:tcPr>
          <w:p w14:paraId="0905A0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r w14:paraId="3365ED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shd w:val="clear" w:color="auto" w:fill="auto"/>
            <w:noWrap w:val="0"/>
            <w:vAlign w:val="center"/>
          </w:tcPr>
          <w:p w14:paraId="34509A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rPr>
              <w:t>铬</w:t>
            </w:r>
          </w:p>
        </w:tc>
        <w:tc>
          <w:tcPr>
            <w:tcW w:w="1039" w:type="pct"/>
            <w:tcBorders>
              <w:tl2br w:val="nil"/>
              <w:tr2bl w:val="nil"/>
            </w:tcBorders>
            <w:shd w:val="clear" w:color="auto" w:fill="auto"/>
            <w:noWrap w:val="0"/>
            <w:vAlign w:val="center"/>
          </w:tcPr>
          <w:p w14:paraId="187F6C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ND</w:t>
            </w:r>
          </w:p>
        </w:tc>
        <w:tc>
          <w:tcPr>
            <w:tcW w:w="777" w:type="pct"/>
            <w:tcBorders>
              <w:tl2br w:val="nil"/>
              <w:tr2bl w:val="nil"/>
            </w:tcBorders>
            <w:shd w:val="clear" w:color="auto" w:fill="auto"/>
            <w:noWrap w:val="0"/>
            <w:vAlign w:val="center"/>
          </w:tcPr>
          <w:p w14:paraId="00DB92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66</w:t>
            </w:r>
          </w:p>
        </w:tc>
        <w:tc>
          <w:tcPr>
            <w:tcW w:w="1970" w:type="pct"/>
            <w:tcBorders>
              <w:tl2br w:val="nil"/>
              <w:tr2bl w:val="nil"/>
            </w:tcBorders>
            <w:shd w:val="clear" w:color="auto" w:fill="auto"/>
            <w:noWrap w:val="0"/>
            <w:vAlign w:val="center"/>
          </w:tcPr>
          <w:p w14:paraId="49B843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150</w:t>
            </w:r>
          </w:p>
        </w:tc>
        <w:tc>
          <w:tcPr>
            <w:tcW w:w="442" w:type="pct"/>
            <w:tcBorders>
              <w:tl2br w:val="nil"/>
              <w:tr2bl w:val="nil"/>
            </w:tcBorders>
            <w:shd w:val="clear" w:color="auto" w:fill="auto"/>
            <w:noWrap w:val="0"/>
            <w:vAlign w:val="center"/>
          </w:tcPr>
          <w:p w14:paraId="5F28B1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r w14:paraId="07C132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70" w:type="pct"/>
            <w:tcBorders>
              <w:tl2br w:val="nil"/>
              <w:tr2bl w:val="nil"/>
            </w:tcBorders>
            <w:noWrap w:val="0"/>
            <w:vAlign w:val="center"/>
          </w:tcPr>
          <w:p w14:paraId="63DA2A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镍</w:t>
            </w:r>
          </w:p>
        </w:tc>
        <w:tc>
          <w:tcPr>
            <w:tcW w:w="1039" w:type="pct"/>
            <w:tcBorders>
              <w:tl2br w:val="nil"/>
              <w:tr2bl w:val="nil"/>
            </w:tcBorders>
            <w:noWrap w:val="0"/>
            <w:vAlign w:val="center"/>
          </w:tcPr>
          <w:p w14:paraId="29B857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ND</w:t>
            </w:r>
          </w:p>
        </w:tc>
        <w:tc>
          <w:tcPr>
            <w:tcW w:w="777" w:type="pct"/>
            <w:tcBorders>
              <w:tl2br w:val="nil"/>
              <w:tr2bl w:val="nil"/>
            </w:tcBorders>
            <w:shd w:val="clear" w:color="auto" w:fill="auto"/>
            <w:noWrap w:val="0"/>
            <w:vAlign w:val="center"/>
          </w:tcPr>
          <w:p w14:paraId="417066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29</w:t>
            </w:r>
          </w:p>
        </w:tc>
        <w:tc>
          <w:tcPr>
            <w:tcW w:w="1970" w:type="pct"/>
            <w:tcBorders>
              <w:tl2br w:val="nil"/>
              <w:tr2bl w:val="nil"/>
            </w:tcBorders>
            <w:shd w:val="clear" w:color="auto" w:fill="auto"/>
            <w:noWrap w:val="0"/>
            <w:vAlign w:val="center"/>
          </w:tcPr>
          <w:p w14:paraId="0C306C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color w:val="auto"/>
                <w:kern w:val="2"/>
                <w:sz w:val="21"/>
                <w:szCs w:val="24"/>
                <w:highlight w:val="none"/>
                <w:lang w:val="en-US" w:eastAsia="zh-CN" w:bidi="ar-SA"/>
              </w:rPr>
            </w:pPr>
            <w:r>
              <w:rPr>
                <w:rFonts w:hint="default" w:ascii="Times New Roman" w:hAnsi="Times New Roman" w:eastAsia="宋体" w:cs="Times New Roman"/>
                <w:b w:val="0"/>
                <w:bCs/>
                <w:color w:val="auto"/>
                <w:sz w:val="21"/>
                <w:highlight w:val="none"/>
                <w:lang w:val="en-US" w:eastAsia="zh-CN"/>
              </w:rPr>
              <w:t>70</w:t>
            </w:r>
          </w:p>
        </w:tc>
        <w:tc>
          <w:tcPr>
            <w:tcW w:w="442" w:type="pct"/>
            <w:tcBorders>
              <w:tl2br w:val="nil"/>
              <w:tr2bl w:val="nil"/>
            </w:tcBorders>
            <w:noWrap w:val="0"/>
            <w:vAlign w:val="center"/>
          </w:tcPr>
          <w:p w14:paraId="70853F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val="0"/>
                <w:bCs/>
                <w:color w:val="auto"/>
                <w:sz w:val="21"/>
                <w:szCs w:val="21"/>
                <w:highlight w:val="none"/>
              </w:rPr>
              <w:t>mg/kg</w:t>
            </w:r>
          </w:p>
        </w:tc>
      </w:tr>
    </w:tbl>
    <w:p w14:paraId="72A3191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bookmarkStart w:id="966" w:name="_GoBack"/>
      <w:bookmarkEnd w:id="966"/>
      <w:r>
        <w:rPr>
          <w:rFonts w:hint="eastAsia" w:ascii="宋体" w:hAnsi="宋体" w:eastAsia="宋体" w:cs="宋体"/>
          <w:b w:val="0"/>
          <w:bCs w:val="0"/>
          <w:color w:val="auto"/>
          <w:kern w:val="0"/>
          <w:sz w:val="24"/>
          <w:szCs w:val="24"/>
          <w:highlight w:val="none"/>
          <w:lang w:val="en-US" w:eastAsia="zh-CN" w:bidi="ar"/>
        </w:rPr>
        <w:t>本项目回填所用的灰渣中</w:t>
      </w:r>
      <w:r>
        <w:rPr>
          <w:rFonts w:hint="eastAsia" w:asciiTheme="minorEastAsia" w:hAnsiTheme="minorEastAsia" w:eastAsiaTheme="minorEastAsia" w:cstheme="minorEastAsia"/>
          <w:color w:val="auto"/>
          <w:spacing w:val="-3"/>
          <w:szCs w:val="24"/>
          <w:highlight w:val="none"/>
          <w:lang w:eastAsia="zh-CN"/>
        </w:rPr>
        <w:t>关注的铅、铬、镉、铜、镍、锌等均</w:t>
      </w:r>
      <w:r>
        <w:rPr>
          <w:rFonts w:hint="eastAsia" w:ascii="宋体" w:hAnsi="宋体" w:eastAsia="宋体" w:cs="宋体"/>
          <w:b w:val="0"/>
          <w:bCs w:val="0"/>
          <w:color w:val="auto"/>
          <w:kern w:val="0"/>
          <w:sz w:val="24"/>
          <w:szCs w:val="24"/>
          <w:highlight w:val="none"/>
          <w:lang w:val="en-US" w:eastAsia="zh-CN" w:bidi="ar"/>
        </w:rPr>
        <w:t>满足</w:t>
      </w:r>
      <w:r>
        <w:rPr>
          <w:rFonts w:hint="eastAsia" w:ascii="宋体" w:hAnsi="宋体" w:eastAsia="宋体" w:cs="宋体"/>
          <w:color w:val="auto"/>
          <w:kern w:val="0"/>
          <w:sz w:val="24"/>
          <w:szCs w:val="24"/>
          <w:highlight w:val="none"/>
          <w:lang w:val="en-US" w:eastAsia="zh-CN" w:bidi="ar"/>
        </w:rPr>
        <w:t>《土壤环境质量 农用地土壤污染风险管控标准（试行）》（GB 15618-2018 ）表1 农用地土壤污染风险筛选值（基本项目）要求。</w:t>
      </w:r>
      <w:r>
        <w:rPr>
          <w:rFonts w:hint="eastAsia" w:ascii="Times New Roman" w:hAnsi="Times New Roman" w:cs="Times New Roman"/>
          <w:color w:val="auto"/>
          <w:sz w:val="24"/>
          <w:szCs w:val="24"/>
          <w:highlight w:val="none"/>
          <w:lang w:val="en-US" w:eastAsia="zh-CN"/>
        </w:rPr>
        <w:t>同时本项目在场地底部及边坡做基础防渗层，K≤1.0×10</w:t>
      </w:r>
      <w:r>
        <w:rPr>
          <w:rFonts w:hint="eastAsia" w:ascii="Times New Roman" w:hAnsi="Times New Roman" w:cs="Times New Roman"/>
          <w:color w:val="auto"/>
          <w:sz w:val="24"/>
          <w:szCs w:val="24"/>
          <w:highlight w:val="none"/>
          <w:vertAlign w:val="superscript"/>
          <w:lang w:val="en-US" w:eastAsia="zh-CN"/>
        </w:rPr>
        <w:t>-7</w:t>
      </w:r>
      <w:r>
        <w:rPr>
          <w:rFonts w:hint="eastAsia" w:ascii="Times New Roman" w:hAnsi="Times New Roman" w:cs="Times New Roman"/>
          <w:color w:val="auto"/>
          <w:sz w:val="24"/>
          <w:szCs w:val="24"/>
          <w:highlight w:val="none"/>
          <w:lang w:val="en-US" w:eastAsia="zh-CN"/>
        </w:rPr>
        <w:t>cm/s，能够满足《一般工业固体废物贮存和填埋污染控制标准》（GB18599-2020）I类一般工业固体废物填埋场设置要求</w:t>
      </w:r>
      <w:r>
        <w:rPr>
          <w:rFonts w:hint="eastAsia" w:asciiTheme="minorEastAsia" w:hAnsiTheme="minorEastAsia" w:eastAsiaTheme="minorEastAsia" w:cstheme="minorEastAsia"/>
          <w:color w:val="auto"/>
          <w:highlight w:val="none"/>
        </w:rPr>
        <w:t>。</w:t>
      </w:r>
      <w:r>
        <w:rPr>
          <w:rFonts w:hint="eastAsia" w:ascii="宋体" w:hAnsi="宋体" w:eastAsia="宋体" w:cs="宋体"/>
          <w:color w:val="auto"/>
          <w:kern w:val="0"/>
          <w:sz w:val="24"/>
          <w:szCs w:val="24"/>
          <w:highlight w:val="none"/>
          <w:lang w:val="en-US" w:eastAsia="zh-CN" w:bidi="ar"/>
        </w:rPr>
        <w:t>因此</w:t>
      </w:r>
      <w:r>
        <w:rPr>
          <w:rFonts w:hint="eastAsia" w:asciiTheme="minorEastAsia" w:hAnsiTheme="minorEastAsia" w:eastAsiaTheme="minorEastAsia" w:cstheme="minorEastAsia"/>
          <w:color w:val="auto"/>
          <w:highlight w:val="none"/>
          <w:lang w:val="en-US" w:eastAsia="zh-CN"/>
        </w:rPr>
        <w:t>不会对土壤产生影响</w:t>
      </w:r>
      <w:r>
        <w:rPr>
          <w:rFonts w:hint="eastAsia" w:asciiTheme="minorEastAsia" w:hAnsiTheme="minorEastAsia" w:eastAsiaTheme="minorEastAsia" w:cstheme="minorEastAsia"/>
          <w:color w:val="auto"/>
          <w:highlight w:val="none"/>
        </w:rPr>
        <w:t>。</w:t>
      </w:r>
    </w:p>
    <w:p w14:paraId="015C12DF">
      <w:pPr>
        <w:pStyle w:val="3"/>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Theme="minorEastAsia" w:hAnsiTheme="minorEastAsia" w:eastAsiaTheme="minorEastAsia" w:cstheme="minorEastAsia"/>
          <w:color w:val="auto"/>
          <w:szCs w:val="24"/>
          <w:highlight w:val="none"/>
          <w:lang w:val="en-US" w:eastAsia="zh-CN" w:bidi="ar"/>
        </w:rPr>
      </w:pPr>
      <w:r>
        <w:rPr>
          <w:rFonts w:hint="eastAsia" w:asciiTheme="minorEastAsia" w:hAnsiTheme="minorEastAsia" w:eastAsiaTheme="minorEastAsia" w:cstheme="minorEastAsia"/>
          <w:color w:val="auto"/>
          <w:szCs w:val="24"/>
          <w:highlight w:val="none"/>
          <w:lang w:val="en-US" w:eastAsia="zh-CN" w:bidi="ar"/>
        </w:rPr>
        <w:t>4、评价结论</w:t>
      </w:r>
    </w:p>
    <w:p w14:paraId="1DB685AD">
      <w:pPr>
        <w:pStyle w:val="3"/>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jc w:val="both"/>
        <w:textAlignment w:val="auto"/>
        <w:rPr>
          <w:rFonts w:hint="eastAsia" w:asciiTheme="minorEastAsia" w:hAnsiTheme="minorEastAsia" w:eastAsiaTheme="minorEastAsia" w:cstheme="minorEastAsia"/>
          <w:color w:val="auto"/>
          <w:szCs w:val="24"/>
          <w:highlight w:val="none"/>
          <w:lang w:val="en-US" w:eastAsia="zh-CN" w:bidi="ar"/>
        </w:rPr>
      </w:pPr>
      <w:r>
        <w:rPr>
          <w:rFonts w:hint="eastAsia" w:asciiTheme="minorEastAsia" w:hAnsiTheme="minorEastAsia" w:eastAsiaTheme="minorEastAsia" w:cstheme="minorEastAsia"/>
          <w:color w:val="auto"/>
          <w:szCs w:val="24"/>
          <w:highlight w:val="none"/>
          <w:lang w:val="en-US" w:eastAsia="zh-CN" w:bidi="ar"/>
        </w:rPr>
        <w:t>综上所述，本项目在认真落实上述提出的各项土壤及地下水污染防治措施的基础上，项目建设不会对当地土壤环境产生明显不利影响，结合环境风险评估报告，</w:t>
      </w:r>
      <w:r>
        <w:rPr>
          <w:rFonts w:hint="eastAsia" w:ascii="宋体" w:hAnsi="宋体" w:eastAsia="宋体" w:cs="宋体"/>
          <w:b w:val="0"/>
          <w:bCs w:val="0"/>
          <w:color w:val="auto"/>
          <w:kern w:val="0"/>
          <w:sz w:val="24"/>
          <w:szCs w:val="24"/>
          <w:highlight w:val="none"/>
          <w:lang w:val="en-US" w:eastAsia="zh-CN" w:bidi="ar"/>
        </w:rPr>
        <w:t>本项目回填所用的灰渣中</w:t>
      </w:r>
      <w:r>
        <w:rPr>
          <w:rFonts w:hint="eastAsia" w:asciiTheme="minorEastAsia" w:hAnsiTheme="minorEastAsia" w:eastAsiaTheme="minorEastAsia" w:cstheme="minorEastAsia"/>
          <w:color w:val="auto"/>
          <w:spacing w:val="-3"/>
          <w:szCs w:val="24"/>
          <w:highlight w:val="none"/>
          <w:lang w:eastAsia="zh-CN"/>
        </w:rPr>
        <w:t>关注的铅、铬、镉、铜、镍、锌等均</w:t>
      </w:r>
      <w:r>
        <w:rPr>
          <w:rFonts w:hint="eastAsia" w:ascii="宋体" w:hAnsi="宋体" w:eastAsia="宋体" w:cs="宋体"/>
          <w:b w:val="0"/>
          <w:bCs w:val="0"/>
          <w:color w:val="auto"/>
          <w:kern w:val="0"/>
          <w:sz w:val="24"/>
          <w:szCs w:val="24"/>
          <w:highlight w:val="none"/>
          <w:lang w:val="en-US" w:eastAsia="zh-CN" w:bidi="ar"/>
        </w:rPr>
        <w:t>满足</w:t>
      </w:r>
      <w:r>
        <w:rPr>
          <w:rFonts w:hint="eastAsia" w:ascii="宋体" w:hAnsi="宋体" w:eastAsia="宋体" w:cs="宋体"/>
          <w:color w:val="auto"/>
          <w:kern w:val="0"/>
          <w:sz w:val="24"/>
          <w:szCs w:val="24"/>
          <w:highlight w:val="none"/>
          <w:lang w:val="en-US" w:eastAsia="zh-CN" w:bidi="ar"/>
        </w:rPr>
        <w:t>《土壤环境质量 农用地土壤污染风险管控标准（试行）》（GB 15618-2018 ）表1 农用地土壤污染风险筛选值（基本项目）要求</w:t>
      </w:r>
      <w:r>
        <w:rPr>
          <w:rFonts w:hint="eastAsia" w:asciiTheme="minorEastAsia" w:hAnsiTheme="minorEastAsia" w:eastAsiaTheme="minorEastAsia" w:cstheme="minorEastAsia"/>
          <w:color w:val="auto"/>
          <w:szCs w:val="24"/>
          <w:highlight w:val="none"/>
          <w:lang w:val="en-US" w:eastAsia="zh-CN" w:bidi="ar"/>
        </w:rPr>
        <w:t>，对周边环境风险可接受，因此不会对土壤产生影响。</w:t>
      </w:r>
    </w:p>
    <w:p w14:paraId="23690A5D">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bCs/>
          <w:snapToGrid w:val="0"/>
          <w:color w:val="auto"/>
          <w:sz w:val="24"/>
          <w:szCs w:val="24"/>
          <w:highlight w:val="none"/>
        </w:rPr>
      </w:pPr>
      <w:r>
        <w:rPr>
          <w:rFonts w:hint="eastAsia" w:asciiTheme="minorEastAsia" w:hAnsiTheme="minorEastAsia" w:eastAsiaTheme="minorEastAsia" w:cstheme="minorEastAsia"/>
          <w:color w:val="auto"/>
          <w:highlight w:val="none"/>
        </w:rPr>
        <w:t>5.2.</w:t>
      </w:r>
      <w:r>
        <w:rPr>
          <w:rFonts w:hint="eastAsia" w:asciiTheme="minorEastAsia" w:hAnsiTheme="minorEastAsia" w:eastAsiaTheme="minorEastAsia" w:cstheme="minorEastAsia"/>
          <w:color w:val="auto"/>
          <w:highlight w:val="none"/>
          <w:lang w:val="en-US" w:eastAsia="zh-CN"/>
        </w:rPr>
        <w:t>7</w:t>
      </w:r>
      <w:r>
        <w:rPr>
          <w:rFonts w:hint="eastAsia" w:asciiTheme="minorEastAsia" w:hAnsiTheme="minorEastAsia" w:eastAsiaTheme="minorEastAsia" w:cstheme="minorEastAsia"/>
          <w:color w:val="auto"/>
          <w:highlight w:val="none"/>
        </w:rPr>
        <w:t>生态环境影响评价</w:t>
      </w:r>
    </w:p>
    <w:p w14:paraId="067010E1">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cs="Times New Roman"/>
          <w:color w:val="auto"/>
          <w:highlight w:val="none"/>
        </w:rPr>
      </w:pPr>
      <w:r>
        <w:rPr>
          <w:rFonts w:hint="eastAsia" w:ascii="Times New Roman" w:hAnsi="Times New Roman" w:eastAsia="宋体" w:cs="Times New Roman"/>
          <w:color w:val="auto"/>
          <w:highlight w:val="none"/>
        </w:rPr>
        <w:t>本</w:t>
      </w:r>
      <w:r>
        <w:rPr>
          <w:rFonts w:hint="eastAsia" w:ascii="Times New Roman" w:hAnsi="Times New Roman" w:eastAsia="宋体" w:cs="Times New Roman"/>
          <w:color w:val="auto"/>
          <w:highlight w:val="none"/>
          <w:lang w:val="en-US" w:eastAsia="zh-CN"/>
        </w:rPr>
        <w:t>项目为</w:t>
      </w:r>
      <w:r>
        <w:rPr>
          <w:rFonts w:hint="eastAsia" w:ascii="Times New Roman" w:hAnsi="宋体" w:eastAsia="宋体" w:cs="Times New Roman"/>
          <w:color w:val="auto"/>
          <w:kern w:val="0"/>
          <w:sz w:val="24"/>
          <w:szCs w:val="24"/>
          <w:highlight w:val="none"/>
          <w:lang w:val="en-US" w:eastAsia="zh-CN"/>
        </w:rPr>
        <w:t>灰渣回填复垦利用项目，</w:t>
      </w:r>
      <w:r>
        <w:rPr>
          <w:rFonts w:hint="eastAsia" w:ascii="Times New Roman" w:hAnsi="Times New Roman" w:eastAsia="宋体" w:cs="Times New Roman"/>
          <w:color w:val="auto"/>
          <w:highlight w:val="none"/>
          <w:lang w:val="en-US" w:eastAsia="zh-CN"/>
        </w:rPr>
        <w:t>主要对废弃</w:t>
      </w:r>
      <w:r>
        <w:rPr>
          <w:rFonts w:hint="eastAsia" w:ascii="Times New Roman"/>
          <w:color w:val="auto"/>
          <w:highlight w:val="none"/>
          <w:lang w:val="en-US" w:eastAsia="zh-CN"/>
        </w:rPr>
        <w:t>采砂坑</w:t>
      </w:r>
      <w:r>
        <w:rPr>
          <w:rFonts w:hint="eastAsia" w:ascii="Times New Roman" w:hAnsi="Times New Roman" w:eastAsia="宋体" w:cs="Times New Roman"/>
          <w:color w:val="auto"/>
          <w:highlight w:val="none"/>
        </w:rPr>
        <w:t>进行生态修复</w:t>
      </w:r>
      <w:r>
        <w:rPr>
          <w:rFonts w:hint="eastAsia"/>
          <w:color w:val="auto"/>
          <w:highlight w:val="none"/>
          <w:lang w:val="en-US" w:eastAsia="zh-CN"/>
        </w:rPr>
        <w:t>，</w:t>
      </w:r>
      <w:r>
        <w:rPr>
          <w:rFonts w:cs="Times New Roman"/>
          <w:color w:val="auto"/>
          <w:highlight w:val="none"/>
        </w:rPr>
        <w:t>回填期会对地表植被、野生动物、生物多样性、土地利用功能、</w:t>
      </w:r>
      <w:r>
        <w:rPr>
          <w:rFonts w:cs="Times New Roman"/>
          <w:color w:val="auto"/>
          <w:highlight w:val="none"/>
          <w:lang w:bidi="en-US"/>
        </w:rPr>
        <w:t>水土流失</w:t>
      </w:r>
      <w:r>
        <w:rPr>
          <w:rFonts w:hint="eastAsia" w:cs="Times New Roman"/>
          <w:color w:val="auto"/>
          <w:highlight w:val="none"/>
          <w:lang w:eastAsia="zh-CN" w:bidi="en-US"/>
        </w:rPr>
        <w:t>、</w:t>
      </w:r>
      <w:r>
        <w:rPr>
          <w:rFonts w:cs="Times New Roman"/>
          <w:color w:val="auto"/>
          <w:highlight w:val="none"/>
        </w:rPr>
        <w:t>自然景观等产生影响。</w:t>
      </w:r>
    </w:p>
    <w:p w14:paraId="2529BFE7">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hint="eastAsia" w:cs="Times New Roman"/>
          <w:color w:val="auto"/>
          <w:highlight w:val="none"/>
        </w:rPr>
      </w:pPr>
      <w:r>
        <w:rPr>
          <w:rFonts w:hint="eastAsia" w:cs="Times New Roman"/>
          <w:color w:val="auto"/>
          <w:highlight w:val="none"/>
        </w:rPr>
        <w:t>本项目区域的生态系统服务功能在矿山修复前后发生明显变化。修复前，由于长期</w:t>
      </w:r>
      <w:r>
        <w:rPr>
          <w:rFonts w:hint="eastAsia" w:ascii="Times New Roman"/>
          <w:color w:val="auto"/>
          <w:highlight w:val="none"/>
          <w:lang w:val="en-US" w:eastAsia="zh-CN"/>
        </w:rPr>
        <w:t>采砂</w:t>
      </w:r>
      <w:r>
        <w:rPr>
          <w:rFonts w:hint="eastAsia" w:cs="Times New Roman"/>
          <w:color w:val="auto"/>
          <w:highlight w:val="none"/>
        </w:rPr>
        <w:t>活动导致植被破坏、土壤裸露和水土流失加剧，生态系统的水源涵养、土壤保持、生物多样性维持及碳汇能力均受到严重削弱，生态系统服务功能整体较低。修复后，通过植被恢复、水土保持及生态修复工程，区域生态系统功能将得到显著提升，具体表现为供给服务的增强，如提高土地生产力、优化生物栖息环境；调节服务的改善，包括植被恢复促进碳固存、水源涵养及土壤稳固能力的提升；支持服务的优化，如增加生物多样性，提供适宜的栖息生境；文化服务的拓展，如生态景观优化、生态教育功能增强等。</w:t>
      </w:r>
    </w:p>
    <w:p w14:paraId="083BA6F5">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hint="eastAsia" w:cs="Times New Roman"/>
          <w:color w:val="auto"/>
          <w:highlight w:val="none"/>
        </w:rPr>
      </w:pPr>
      <w:r>
        <w:rPr>
          <w:rFonts w:hint="eastAsia" w:cs="Times New Roman"/>
          <w:color w:val="auto"/>
          <w:highlight w:val="none"/>
        </w:rPr>
        <w:t>本项目建设对土地利用类型产生一定影响，施工</w:t>
      </w:r>
      <w:r>
        <w:rPr>
          <w:rFonts w:hint="eastAsia" w:cs="Times New Roman"/>
          <w:color w:val="auto"/>
          <w:highlight w:val="none"/>
          <w:lang w:val="en-US" w:eastAsia="zh-CN"/>
        </w:rPr>
        <w:t>期间</w:t>
      </w:r>
      <w:r>
        <w:rPr>
          <w:rFonts w:hint="eastAsia" w:cs="Times New Roman"/>
          <w:color w:val="auto"/>
          <w:highlight w:val="none"/>
        </w:rPr>
        <w:t>需占用</w:t>
      </w:r>
      <w:r>
        <w:rPr>
          <w:rFonts w:hint="eastAsia" w:cs="Times New Roman"/>
          <w:color w:val="auto"/>
          <w:highlight w:val="none"/>
          <w:lang w:val="en-US" w:eastAsia="zh-CN"/>
        </w:rPr>
        <w:t>裸土地</w:t>
      </w:r>
      <w:r>
        <w:rPr>
          <w:rFonts w:hint="eastAsia" w:cs="Times New Roman"/>
          <w:color w:val="auto"/>
          <w:highlight w:val="none"/>
        </w:rPr>
        <w:t>，共计</w:t>
      </w:r>
      <w:r>
        <w:rPr>
          <w:rFonts w:hint="eastAsia" w:ascii="Times New Roman" w:hAnsi="宋体" w:eastAsia="宋体" w:cs="Times New Roman"/>
          <w:color w:val="auto"/>
          <w:kern w:val="0"/>
          <w:sz w:val="24"/>
          <w:szCs w:val="24"/>
          <w:highlight w:val="none"/>
          <w:lang w:val="en-US" w:eastAsia="zh-CN"/>
        </w:rPr>
        <w:t>1.129610</w:t>
      </w:r>
      <w:r>
        <w:rPr>
          <w:rFonts w:hint="eastAsia" w:cs="Times New Roman"/>
          <w:color w:val="auto"/>
          <w:highlight w:val="none"/>
        </w:rPr>
        <w:t>公顷，短期内导致土地利用格局的局部调整。通过生态修复及土地整治，采矿用地将恢复为林地，优化区域土地利用结构。</w:t>
      </w:r>
    </w:p>
    <w:p w14:paraId="6EC65200">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cs="Times New Roman"/>
          <w:color w:val="auto"/>
          <w:highlight w:val="none"/>
        </w:rPr>
      </w:pPr>
      <w:r>
        <w:rPr>
          <w:rFonts w:cs="Times New Roman"/>
          <w:color w:val="auto"/>
          <w:highlight w:val="none"/>
        </w:rPr>
        <w:t>（1）对地表植被的影响分析</w:t>
      </w:r>
    </w:p>
    <w:p w14:paraId="1786DCD2">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hint="eastAsia" w:cs="Times New Roman"/>
          <w:color w:val="auto"/>
          <w:highlight w:val="none"/>
        </w:rPr>
      </w:pPr>
      <w:r>
        <w:rPr>
          <w:rFonts w:hint="eastAsia" w:cs="Times New Roman"/>
          <w:color w:val="auto"/>
          <w:highlight w:val="none"/>
        </w:rPr>
        <w:t>植被方面，施工由于机械作业、土方开挖及物料堆存，短期内将降低植被覆盖率，但通过后期植被恢复工程（如高羊茅草播种、乔灌草混合种植、土壤改良），植被覆盖度将逐步提升，并形成稳定的乔灌草复合生态系统，增强区域生态系统稳定性。</w:t>
      </w:r>
    </w:p>
    <w:p w14:paraId="1A1A92F3">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回填</w:t>
      </w:r>
      <w:r>
        <w:rPr>
          <w:rFonts w:hint="default" w:ascii="Times New Roman" w:hAnsi="Times New Roman" w:eastAsia="宋体" w:cs="Times New Roman"/>
          <w:color w:val="auto"/>
          <w:highlight w:val="none"/>
          <w:lang w:val="en-US" w:eastAsia="zh-CN"/>
        </w:rPr>
        <w:t>过程中不可避免对陆生植物产生一定的影响，为了减缓影响，应明确施工用地范围，禁止施工人员、车辆进入非施工占地区域。</w:t>
      </w:r>
      <w:r>
        <w:rPr>
          <w:rFonts w:hint="eastAsia" w:ascii="Times New Roman" w:hAnsi="Times New Roman" w:eastAsia="宋体" w:cs="Times New Roman"/>
          <w:color w:val="auto"/>
          <w:highlight w:val="none"/>
          <w:lang w:val="en-US" w:eastAsia="zh-CN"/>
        </w:rPr>
        <w:t>回填达到设计标高后，进行覆土绿化</w:t>
      </w:r>
      <w:r>
        <w:rPr>
          <w:rFonts w:hint="default" w:ascii="Times New Roman" w:hAnsi="Times New Roman" w:eastAsia="宋体" w:cs="Times New Roman"/>
          <w:color w:val="auto"/>
          <w:highlight w:val="none"/>
          <w:lang w:val="en-US" w:eastAsia="zh-CN"/>
        </w:rPr>
        <w:t>，项目建成后</w:t>
      </w:r>
      <w:r>
        <w:rPr>
          <w:rFonts w:hint="eastAsia" w:ascii="Times New Roman" w:hAnsi="Times New Roman" w:eastAsia="宋体" w:cs="Times New Roman"/>
          <w:color w:val="auto"/>
          <w:highlight w:val="none"/>
          <w:lang w:val="en-US" w:eastAsia="zh-CN"/>
        </w:rPr>
        <w:t>恢复为林地</w:t>
      </w:r>
      <w:r>
        <w:rPr>
          <w:rFonts w:hint="default" w:ascii="Times New Roman" w:hAnsi="Times New Roman" w:eastAsia="宋体" w:cs="Times New Roman"/>
          <w:color w:val="auto"/>
          <w:highlight w:val="none"/>
          <w:lang w:val="en-US" w:eastAsia="zh-CN"/>
        </w:rPr>
        <w:t>，项目</w:t>
      </w:r>
      <w:r>
        <w:rPr>
          <w:rFonts w:hint="eastAsia" w:ascii="Times New Roman" w:hAnsi="Times New Roman" w:eastAsia="宋体" w:cs="Times New Roman"/>
          <w:color w:val="auto"/>
          <w:highlight w:val="none"/>
          <w:lang w:val="en-US" w:eastAsia="zh-CN"/>
        </w:rPr>
        <w:t>区</w:t>
      </w:r>
      <w:r>
        <w:rPr>
          <w:rFonts w:hint="default" w:ascii="Times New Roman" w:hAnsi="Times New Roman" w:eastAsia="宋体" w:cs="Times New Roman"/>
          <w:color w:val="auto"/>
          <w:highlight w:val="none"/>
          <w:lang w:val="en-US" w:eastAsia="zh-CN"/>
        </w:rPr>
        <w:t>的植被盖度将会增加，有利于生态环境的提升。</w:t>
      </w:r>
    </w:p>
    <w:p w14:paraId="23BC6A17">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cs="Times New Roman"/>
          <w:color w:val="auto"/>
          <w:highlight w:val="none"/>
        </w:rPr>
      </w:pPr>
      <w:r>
        <w:rPr>
          <w:rFonts w:cs="Times New Roman"/>
          <w:color w:val="auto"/>
          <w:highlight w:val="none"/>
        </w:rPr>
        <w:t>（</w:t>
      </w:r>
      <w:r>
        <w:rPr>
          <w:rFonts w:hint="eastAsia" w:cs="Times New Roman"/>
          <w:color w:val="auto"/>
          <w:highlight w:val="none"/>
          <w:lang w:val="en-US" w:eastAsia="zh-CN"/>
        </w:rPr>
        <w:t>2</w:t>
      </w:r>
      <w:r>
        <w:rPr>
          <w:rFonts w:cs="Times New Roman"/>
          <w:color w:val="auto"/>
          <w:highlight w:val="none"/>
        </w:rPr>
        <w:t>）对</w:t>
      </w:r>
      <w:r>
        <w:rPr>
          <w:rFonts w:hint="eastAsia" w:cs="Times New Roman"/>
          <w:color w:val="auto"/>
          <w:highlight w:val="none"/>
          <w:lang w:val="en-US" w:eastAsia="zh-CN"/>
        </w:rPr>
        <w:t>动物</w:t>
      </w:r>
      <w:r>
        <w:rPr>
          <w:rFonts w:cs="Times New Roman"/>
          <w:color w:val="auto"/>
          <w:highlight w:val="none"/>
        </w:rPr>
        <w:t>的影响分析</w:t>
      </w:r>
    </w:p>
    <w:p w14:paraId="0C385732">
      <w:pPr>
        <w:pStyle w:val="217"/>
        <w:keepNext w:val="0"/>
        <w:keepLines w:val="0"/>
        <w:pageBreakBefore w:val="0"/>
        <w:numPr>
          <w:ilvl w:val="0"/>
          <w:numId w:val="0"/>
        </w:numPr>
        <w:kinsoku/>
        <w:wordWrap/>
        <w:overflowPunct/>
        <w:topLinePunct w:val="0"/>
        <w:autoSpaceDE/>
        <w:autoSpaceDN/>
        <w:bidi w:val="0"/>
        <w:spacing w:beforeAutospacing="0" w:afterAutospacing="0"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项目附近生境主要为耕地及林地，</w:t>
      </w:r>
      <w:r>
        <w:rPr>
          <w:rFonts w:hint="eastAsia" w:ascii="Times New Roman" w:hAnsi="Times New Roman" w:eastAsia="宋体" w:cs="Times New Roman"/>
          <w:color w:val="auto"/>
          <w:highlight w:val="none"/>
          <w:lang w:val="en-US" w:eastAsia="zh-CN"/>
        </w:rPr>
        <w:t>回填作业</w:t>
      </w:r>
      <w:r>
        <w:rPr>
          <w:rFonts w:hint="default" w:ascii="Times New Roman" w:hAnsi="Times New Roman" w:eastAsia="宋体" w:cs="Times New Roman"/>
          <w:color w:val="auto"/>
          <w:highlight w:val="none"/>
          <w:lang w:val="en-US" w:eastAsia="zh-CN"/>
        </w:rPr>
        <w:t>区域主要为</w:t>
      </w:r>
      <w:r>
        <w:rPr>
          <w:rFonts w:hint="eastAsia" w:ascii="Times New Roman" w:hAnsi="Times New Roman" w:eastAsia="宋体" w:cs="Times New Roman"/>
          <w:color w:val="auto"/>
          <w:highlight w:val="none"/>
          <w:lang w:val="en-US" w:eastAsia="zh-CN"/>
        </w:rPr>
        <w:t>历史遗留</w:t>
      </w:r>
      <w:r>
        <w:rPr>
          <w:rFonts w:hint="eastAsia" w:ascii="Times New Roman"/>
          <w:color w:val="auto"/>
          <w:highlight w:val="none"/>
          <w:lang w:val="en-US" w:eastAsia="zh-CN"/>
        </w:rPr>
        <w:t>采砂坑</w:t>
      </w:r>
      <w:r>
        <w:rPr>
          <w:rFonts w:hint="default" w:ascii="Times New Roman" w:hAnsi="Times New Roman" w:eastAsia="宋体" w:cs="Times New Roman"/>
          <w:color w:val="auto"/>
          <w:highlight w:val="none"/>
          <w:lang w:val="en-US" w:eastAsia="zh-CN"/>
        </w:rPr>
        <w:t>，而且周边区域均受人工开发的影响，</w:t>
      </w:r>
      <w:r>
        <w:rPr>
          <w:rFonts w:hint="eastAsia" w:ascii="Times New Roman" w:hAnsi="Times New Roman" w:eastAsia="宋体" w:cs="Times New Roman"/>
          <w:color w:val="auto"/>
          <w:highlight w:val="none"/>
          <w:lang w:val="en-US" w:eastAsia="zh-CN"/>
        </w:rPr>
        <w:t>回填</w:t>
      </w:r>
      <w:r>
        <w:rPr>
          <w:rFonts w:hint="default" w:ascii="Times New Roman" w:hAnsi="Times New Roman" w:eastAsia="宋体" w:cs="Times New Roman"/>
          <w:color w:val="auto"/>
          <w:highlight w:val="none"/>
          <w:lang w:val="en-US" w:eastAsia="zh-CN"/>
        </w:rPr>
        <w:t>施工开始后少量的鸟类、哺乳动物及爬行动物可将栖息地转移到附近其他地域上。场区作业及运输车辆噪声可能会对区域动物造成惊扰，导致动物向别处迁移，但不会造成野生动物数量、种类的减少。</w:t>
      </w:r>
    </w:p>
    <w:p w14:paraId="46A007E1">
      <w:pPr>
        <w:pStyle w:val="217"/>
        <w:keepNext w:val="0"/>
        <w:keepLines w:val="0"/>
        <w:pageBreakBefore w:val="0"/>
        <w:widowControl w:val="0"/>
        <w:numPr>
          <w:ilvl w:val="0"/>
          <w:numId w:val="0"/>
        </w:numPr>
        <w:kinsoku/>
        <w:wordWrap/>
        <w:overflowPunct/>
        <w:topLinePunct w:val="0"/>
        <w:autoSpaceDE/>
        <w:autoSpaceDN/>
        <w:bidi w:val="0"/>
        <w:adjustRightInd w:val="0"/>
        <w:snapToGrid w:val="0"/>
        <w:spacing w:beforeAutospacing="0" w:afterAutospacing="0"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通过调查了解，项目区域动物主要为一些小型鼠、兔以及鸟类等常见野生动物，这些动物生存适应性较强，且周边区域有相同的生态环境，动物比较容易找到栖息场所。</w:t>
      </w:r>
    </w:p>
    <w:p w14:paraId="0187C5B3">
      <w:pPr>
        <w:pStyle w:val="77"/>
        <w:keepNext w:val="0"/>
        <w:keepLines w:val="0"/>
        <w:pageBreakBefore w:val="0"/>
        <w:widowControl/>
        <w:suppressLineNumbers w:val="0"/>
        <w:kinsoku/>
        <w:wordWrap/>
        <w:overflowPunct/>
        <w:topLinePunct w:val="0"/>
        <w:autoSpaceDE/>
        <w:autoSpaceDN/>
        <w:bidi w:val="0"/>
        <w:spacing w:before="0" w:beforeLines="0" w:beforeAutospacing="0" w:after="0" w:afterLines="0" w:afterAutospacing="0"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回填</w:t>
      </w:r>
      <w:r>
        <w:rPr>
          <w:rFonts w:hint="default" w:ascii="Times New Roman" w:hAnsi="Times New Roman" w:eastAsia="宋体" w:cs="Times New Roman"/>
          <w:color w:val="auto"/>
          <w:highlight w:val="none"/>
          <w:lang w:val="en-US" w:eastAsia="zh-CN"/>
        </w:rPr>
        <w:t>期间，噪声源主要为施工机械作业及交通噪声，受施工噪声影响，工程沿线及临时设施附近一定范围内将不适合动物的栖息和觅食。根据调查，工程施工区内无自然保护区，该地区分布的兽类为穴居和地面活动为主的啮齿类和爬行类动物，这类动物适应性强且数量比较少，无珍稀野生动物分布。工程施工机械车辆往来及施工人员进驻，将对一些听觉和视觉灵敏的动物一定程度上起到驱赶作用，迫使其转向</w:t>
      </w:r>
      <w:r>
        <w:rPr>
          <w:rFonts w:hint="eastAsia" w:ascii="Times New Roman" w:hAnsi="Times New Roman" w:eastAsia="宋体" w:cs="Times New Roman"/>
          <w:color w:val="auto"/>
          <w:highlight w:val="none"/>
          <w:lang w:val="en-US" w:eastAsia="zh-CN"/>
        </w:rPr>
        <w:t>其他</w:t>
      </w:r>
      <w:r>
        <w:rPr>
          <w:rFonts w:hint="default" w:ascii="Times New Roman" w:hAnsi="Times New Roman" w:eastAsia="宋体" w:cs="Times New Roman"/>
          <w:color w:val="auto"/>
          <w:highlight w:val="none"/>
          <w:lang w:val="en-US" w:eastAsia="zh-CN"/>
        </w:rPr>
        <w:t>区域予以回避，其生存空间受到一定压缩。而动物具有一定的迁移能力，特别是鸟类和兽类，周边相似生境也较多，动物可以较轻松地就近寻找到其它适于栖息的地方。</w:t>
      </w:r>
    </w:p>
    <w:p w14:paraId="2E8B4B29">
      <w:pPr>
        <w:keepNext w:val="0"/>
        <w:keepLines w:val="0"/>
        <w:pageBreakBefore w:val="0"/>
        <w:kinsoku/>
        <w:wordWrap/>
        <w:overflowPunct/>
        <w:topLinePunct w:val="0"/>
        <w:autoSpaceDE/>
        <w:autoSpaceDN/>
        <w:bidi w:val="0"/>
        <w:spacing w:beforeAutospacing="0" w:afterAutospacing="0" w:line="360" w:lineRule="auto"/>
        <w:textAlignment w:val="auto"/>
        <w:rPr>
          <w:rFonts w:hint="default"/>
          <w:color w:val="auto"/>
          <w:highlight w:val="none"/>
          <w:lang w:val="en-US" w:eastAsia="zh-CN"/>
        </w:rPr>
      </w:pPr>
      <w:r>
        <w:rPr>
          <w:rFonts w:hint="default"/>
          <w:color w:val="auto"/>
          <w:highlight w:val="none"/>
          <w:lang w:val="en-US" w:eastAsia="zh-CN"/>
        </w:rPr>
        <w:t>项目对野生动物的影响主要体现在施工</w:t>
      </w:r>
      <w:r>
        <w:rPr>
          <w:rFonts w:hint="eastAsia"/>
          <w:color w:val="auto"/>
          <w:highlight w:val="none"/>
          <w:lang w:val="en-US" w:eastAsia="zh-CN"/>
        </w:rPr>
        <w:t>时</w:t>
      </w:r>
      <w:r>
        <w:rPr>
          <w:rFonts w:hint="default"/>
          <w:color w:val="auto"/>
          <w:highlight w:val="none"/>
          <w:lang w:val="en-US" w:eastAsia="zh-CN"/>
        </w:rPr>
        <w:t>的噪声、光污染及人为干扰，可能导致部分鸟类、啮齿类动物短期内迁移，栖息密度降低。由于区域内无大型野生动物，受影响的主要为普通田鼠（Microtus fortis）等。运行期随着植被恢复，生态系统连通性增强，可为鸟类及哺乳动物提供更加适宜的生境，提高物种多样性。</w:t>
      </w:r>
      <w:r>
        <w:rPr>
          <w:rFonts w:hint="eastAsia"/>
          <w:color w:val="auto"/>
          <w:highlight w:val="none"/>
          <w:lang w:val="en-US" w:eastAsia="zh-CN"/>
        </w:rPr>
        <w:t>经调查，施工范围未见</w:t>
      </w:r>
      <w:r>
        <w:rPr>
          <w:rFonts w:hint="default"/>
          <w:color w:val="auto"/>
          <w:highlight w:val="none"/>
          <w:lang w:val="en-US" w:eastAsia="zh-CN"/>
        </w:rPr>
        <w:t>保护物种，项目采取禁止夜间施工、设立生态缓冲区等措施，以减少施工期对</w:t>
      </w:r>
      <w:r>
        <w:rPr>
          <w:rFonts w:hint="eastAsia"/>
          <w:color w:val="auto"/>
          <w:highlight w:val="none"/>
          <w:lang w:val="en-US" w:eastAsia="zh-CN"/>
        </w:rPr>
        <w:t>野生动物</w:t>
      </w:r>
      <w:r>
        <w:rPr>
          <w:rFonts w:hint="default"/>
          <w:color w:val="auto"/>
          <w:highlight w:val="none"/>
          <w:lang w:val="en-US" w:eastAsia="zh-CN"/>
        </w:rPr>
        <w:t>繁殖和觅食的影响，并在植被恢复区提供适宜的栖息环境。</w:t>
      </w:r>
    </w:p>
    <w:p w14:paraId="1B02F446">
      <w:pPr>
        <w:pStyle w:val="217"/>
        <w:keepNext w:val="0"/>
        <w:keepLines w:val="0"/>
        <w:pageBreakBefore w:val="0"/>
        <w:widowControl w:val="0"/>
        <w:numPr>
          <w:ilvl w:val="0"/>
          <w:numId w:val="0"/>
        </w:numPr>
        <w:kinsoku/>
        <w:wordWrap/>
        <w:overflowPunct/>
        <w:topLinePunct w:val="0"/>
        <w:autoSpaceDE/>
        <w:autoSpaceDN/>
        <w:bidi w:val="0"/>
        <w:adjustRightInd w:val="0"/>
        <w:snapToGrid w:val="0"/>
        <w:spacing w:beforeAutospacing="0" w:afterAutospacing="0"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这种影响范围有限，多局限于</w:t>
      </w:r>
      <w:r>
        <w:rPr>
          <w:rFonts w:hint="eastAsia" w:ascii="Times New Roman" w:hAnsi="Times New Roman" w:eastAsia="宋体" w:cs="Times New Roman"/>
          <w:color w:val="auto"/>
          <w:highlight w:val="none"/>
          <w:lang w:val="en-US" w:eastAsia="zh-CN"/>
        </w:rPr>
        <w:t>回填</w:t>
      </w:r>
      <w:r>
        <w:rPr>
          <w:rFonts w:hint="default" w:ascii="Times New Roman" w:hAnsi="Times New Roman" w:eastAsia="宋体" w:cs="Times New Roman"/>
          <w:color w:val="auto"/>
          <w:highlight w:val="none"/>
          <w:lang w:val="en-US" w:eastAsia="zh-CN"/>
        </w:rPr>
        <w:t>区域内，不会造成动物种群数量的改变，且此类影响将随着</w:t>
      </w:r>
      <w:r>
        <w:rPr>
          <w:rFonts w:hint="eastAsia" w:ascii="Times New Roman" w:hAnsi="Times New Roman" w:eastAsia="宋体" w:cs="Times New Roman"/>
          <w:color w:val="auto"/>
          <w:highlight w:val="none"/>
          <w:lang w:val="en-US" w:eastAsia="zh-CN"/>
        </w:rPr>
        <w:t>回填</w:t>
      </w:r>
      <w:r>
        <w:rPr>
          <w:rFonts w:hint="default" w:ascii="Times New Roman" w:hAnsi="Times New Roman" w:eastAsia="宋体" w:cs="Times New Roman"/>
          <w:color w:val="auto"/>
          <w:highlight w:val="none"/>
          <w:lang w:val="en-US" w:eastAsia="zh-CN"/>
        </w:rPr>
        <w:t>活动的结束而消失。项目</w:t>
      </w:r>
      <w:r>
        <w:rPr>
          <w:rFonts w:hint="eastAsia" w:ascii="Times New Roman" w:hAnsi="Times New Roman" w:eastAsia="宋体" w:cs="Times New Roman"/>
          <w:color w:val="auto"/>
          <w:highlight w:val="none"/>
          <w:lang w:val="en-US" w:eastAsia="zh-CN"/>
        </w:rPr>
        <w:t>绿化</w:t>
      </w:r>
      <w:r>
        <w:rPr>
          <w:rFonts w:hint="default" w:ascii="Times New Roman" w:hAnsi="Times New Roman" w:eastAsia="宋体" w:cs="Times New Roman"/>
          <w:color w:val="auto"/>
          <w:highlight w:val="none"/>
          <w:lang w:val="en-US" w:eastAsia="zh-CN"/>
        </w:rPr>
        <w:t>生态恢复后，这些动物还会回来，因此，项目建设对区域野生动物影响较小。</w:t>
      </w:r>
    </w:p>
    <w:p w14:paraId="331D7D40">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hint="default" w:ascii="Times New Roman" w:hAnsi="Times New Roman" w:eastAsia="宋体" w:cs="Times New Roman"/>
          <w:color w:val="auto"/>
          <w:sz w:val="24"/>
          <w:highlight w:val="none"/>
          <w:lang w:val="en-US" w:eastAsia="zh-CN"/>
        </w:rPr>
      </w:pPr>
      <w:r>
        <w:rPr>
          <w:rFonts w:cs="Times New Roman"/>
          <w:color w:val="auto"/>
          <w:highlight w:val="none"/>
        </w:rPr>
        <w:t>（</w:t>
      </w:r>
      <w:r>
        <w:rPr>
          <w:rFonts w:hint="eastAsia" w:cs="Times New Roman"/>
          <w:color w:val="auto"/>
          <w:highlight w:val="none"/>
          <w:lang w:val="en-US" w:eastAsia="zh-CN"/>
        </w:rPr>
        <w:t>3</w:t>
      </w:r>
      <w:r>
        <w:rPr>
          <w:rFonts w:cs="Times New Roman"/>
          <w:color w:val="auto"/>
          <w:highlight w:val="none"/>
        </w:rPr>
        <w:t>）</w:t>
      </w:r>
      <w:r>
        <w:rPr>
          <w:rFonts w:hint="default" w:ascii="Times New Roman" w:hAnsi="Times New Roman" w:eastAsia="宋体" w:cs="Times New Roman"/>
          <w:color w:val="auto"/>
          <w:sz w:val="24"/>
          <w:highlight w:val="none"/>
          <w:lang w:val="en-US" w:eastAsia="zh-CN"/>
        </w:rPr>
        <w:t>水土流失影响分析</w:t>
      </w:r>
    </w:p>
    <w:p w14:paraId="6D7A4239">
      <w:pPr>
        <w:pStyle w:val="217"/>
        <w:keepNext w:val="0"/>
        <w:keepLines w:val="0"/>
        <w:pageBreakBefore w:val="0"/>
        <w:numPr>
          <w:ilvl w:val="0"/>
          <w:numId w:val="0"/>
        </w:numPr>
        <w:kinsoku/>
        <w:wordWrap/>
        <w:overflowPunct/>
        <w:topLinePunct w:val="0"/>
        <w:autoSpaceDE/>
        <w:autoSpaceDN/>
        <w:bidi w:val="0"/>
        <w:spacing w:beforeAutospacing="0" w:afterAutospacing="0"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回填工作主要在</w:t>
      </w:r>
      <w:r>
        <w:rPr>
          <w:rFonts w:hint="eastAsia" w:ascii="Times New Roman"/>
          <w:color w:val="auto"/>
          <w:highlight w:val="none"/>
          <w:lang w:val="en-US" w:eastAsia="zh-CN"/>
        </w:rPr>
        <w:t>采砂坑</w:t>
      </w:r>
      <w:r>
        <w:rPr>
          <w:rFonts w:hint="default" w:ascii="Times New Roman" w:hAnsi="Times New Roman" w:eastAsia="宋体" w:cs="Times New Roman"/>
          <w:color w:val="auto"/>
          <w:highlight w:val="none"/>
          <w:lang w:val="en-US" w:eastAsia="zh-CN"/>
        </w:rPr>
        <w:t>中进行，因此，回填阶段不会形成水土流失</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工程建成后，不再扰动地表，不会新增水土流失，地表恢复成</w:t>
      </w:r>
      <w:r>
        <w:rPr>
          <w:rFonts w:hint="eastAsia" w:ascii="Times New Roman" w:hAnsi="Times New Roman" w:eastAsia="宋体" w:cs="Times New Roman"/>
          <w:color w:val="auto"/>
          <w:highlight w:val="none"/>
          <w:lang w:val="en-US" w:eastAsia="zh-CN"/>
        </w:rPr>
        <w:t>林地</w:t>
      </w:r>
      <w:r>
        <w:rPr>
          <w:rFonts w:hint="default" w:ascii="Times New Roman" w:hAnsi="Times New Roman" w:eastAsia="宋体" w:cs="Times New Roman"/>
          <w:color w:val="auto"/>
          <w:highlight w:val="none"/>
          <w:lang w:val="en-US" w:eastAsia="zh-CN"/>
        </w:rPr>
        <w:t>，植被基本恢复，</w:t>
      </w:r>
      <w:r>
        <w:rPr>
          <w:rFonts w:hint="eastAsia" w:ascii="Times New Roman" w:hAnsi="Times New Roman" w:eastAsia="宋体" w:cs="Times New Roman"/>
          <w:color w:val="auto"/>
          <w:highlight w:val="none"/>
          <w:lang w:val="en-US" w:eastAsia="zh-CN"/>
        </w:rPr>
        <w:t>水土流失</w:t>
      </w:r>
      <w:r>
        <w:rPr>
          <w:rFonts w:hint="default" w:ascii="Times New Roman" w:hAnsi="Times New Roman" w:eastAsia="宋体" w:cs="Times New Roman"/>
          <w:color w:val="auto"/>
          <w:highlight w:val="none"/>
          <w:lang w:val="en-US" w:eastAsia="zh-CN"/>
        </w:rPr>
        <w:t>现状改善。</w:t>
      </w:r>
    </w:p>
    <w:p w14:paraId="4C41C07A">
      <w:pPr>
        <w:pStyle w:val="217"/>
        <w:keepNext w:val="0"/>
        <w:keepLines w:val="0"/>
        <w:pageBreakBefore w:val="0"/>
        <w:numPr>
          <w:ilvl w:val="0"/>
          <w:numId w:val="0"/>
        </w:numPr>
        <w:kinsoku/>
        <w:wordWrap/>
        <w:overflowPunct/>
        <w:topLinePunct w:val="0"/>
        <w:autoSpaceDE/>
        <w:autoSpaceDN/>
        <w:bidi w:val="0"/>
        <w:spacing w:beforeAutospacing="0" w:afterAutospacing="0" w:line="360" w:lineRule="auto"/>
        <w:ind w:firstLine="480" w:firstLineChars="200"/>
        <w:jc w:val="both"/>
        <w:textAlignment w:val="auto"/>
        <w:rPr>
          <w:rFonts w:hint="default" w:ascii="Times New Roman" w:hAnsi="Times New Roman" w:eastAsia="宋体" w:cs="Times New Roman"/>
          <w:color w:val="auto"/>
          <w:sz w:val="24"/>
          <w:szCs w:val="24"/>
          <w:highlight w:val="none"/>
          <w:lang w:val="en-US" w:eastAsia="zh-CN"/>
        </w:rPr>
      </w:pPr>
      <w:r>
        <w:rPr>
          <w:b w:val="0"/>
          <w:bCs w:val="0"/>
          <w:color w:val="auto"/>
          <w:sz w:val="24"/>
          <w:szCs w:val="24"/>
          <w:highlight w:val="none"/>
        </w:rPr>
        <w:t>为减少项目建设对水土环境的不利影响，拟采取</w:t>
      </w:r>
      <w:r>
        <w:rPr>
          <w:rStyle w:val="130"/>
          <w:b w:val="0"/>
          <w:bCs w:val="0"/>
          <w:color w:val="auto"/>
          <w:sz w:val="24"/>
          <w:szCs w:val="24"/>
          <w:highlight w:val="none"/>
        </w:rPr>
        <w:t>水土保持与土壤修复措施</w:t>
      </w:r>
      <w:r>
        <w:rPr>
          <w:b w:val="0"/>
          <w:bCs w:val="0"/>
          <w:color w:val="auto"/>
          <w:sz w:val="24"/>
          <w:szCs w:val="24"/>
          <w:highlight w:val="none"/>
        </w:rPr>
        <w:t>。水土保持措施包括</w:t>
      </w:r>
      <w:r>
        <w:rPr>
          <w:rStyle w:val="130"/>
          <w:b w:val="0"/>
          <w:bCs w:val="0"/>
          <w:color w:val="auto"/>
          <w:sz w:val="24"/>
          <w:szCs w:val="24"/>
          <w:highlight w:val="none"/>
        </w:rPr>
        <w:t>构建植被护坡、修建水平沟渠、设置雨水截流沟</w:t>
      </w:r>
      <w:r>
        <w:rPr>
          <w:b w:val="0"/>
          <w:bCs w:val="0"/>
          <w:color w:val="auto"/>
          <w:sz w:val="24"/>
          <w:szCs w:val="24"/>
          <w:highlight w:val="none"/>
        </w:rPr>
        <w:t>，减少降雨径流带来的土壤侵蚀。土壤修复措施包括</w:t>
      </w:r>
      <w:r>
        <w:rPr>
          <w:rStyle w:val="130"/>
          <w:b w:val="0"/>
          <w:bCs w:val="0"/>
          <w:color w:val="auto"/>
          <w:sz w:val="24"/>
          <w:szCs w:val="24"/>
          <w:highlight w:val="none"/>
        </w:rPr>
        <w:t>深翻土壤、施用有机肥和微生物菌剂</w:t>
      </w:r>
      <w:r>
        <w:rPr>
          <w:b w:val="0"/>
          <w:bCs w:val="0"/>
          <w:color w:val="auto"/>
          <w:sz w:val="24"/>
          <w:szCs w:val="24"/>
          <w:highlight w:val="none"/>
        </w:rPr>
        <w:t>，提高土壤肥力，增强水分保持能力，促进植被恢复。生态保护措施的可行性较高，所采用的</w:t>
      </w:r>
      <w:r>
        <w:rPr>
          <w:rStyle w:val="130"/>
          <w:b w:val="0"/>
          <w:bCs w:val="0"/>
          <w:color w:val="auto"/>
          <w:sz w:val="24"/>
          <w:szCs w:val="24"/>
          <w:highlight w:val="none"/>
        </w:rPr>
        <w:t>水土保持、植被恢复及野生动物保护</w:t>
      </w:r>
      <w:r>
        <w:rPr>
          <w:b w:val="0"/>
          <w:bCs w:val="0"/>
          <w:color w:val="auto"/>
          <w:sz w:val="24"/>
          <w:szCs w:val="24"/>
          <w:highlight w:val="none"/>
        </w:rPr>
        <w:t>措施均经过实践验证，并在</w:t>
      </w:r>
      <w:r>
        <w:rPr>
          <w:rStyle w:val="130"/>
          <w:b w:val="0"/>
          <w:bCs w:val="0"/>
          <w:color w:val="auto"/>
          <w:sz w:val="24"/>
          <w:szCs w:val="24"/>
          <w:highlight w:val="none"/>
        </w:rPr>
        <w:t>矿山生态修复领域</w:t>
      </w:r>
      <w:r>
        <w:rPr>
          <w:b w:val="0"/>
          <w:bCs w:val="0"/>
          <w:color w:val="auto"/>
          <w:sz w:val="24"/>
          <w:szCs w:val="24"/>
          <w:highlight w:val="none"/>
        </w:rPr>
        <w:t>具有成功案例，具备良好的</w:t>
      </w:r>
      <w:r>
        <w:rPr>
          <w:rStyle w:val="130"/>
          <w:b w:val="0"/>
          <w:bCs w:val="0"/>
          <w:color w:val="auto"/>
          <w:sz w:val="24"/>
          <w:szCs w:val="24"/>
          <w:highlight w:val="none"/>
        </w:rPr>
        <w:t>技术、经济及管理可行性</w:t>
      </w:r>
      <w:r>
        <w:rPr>
          <w:b w:val="0"/>
          <w:bCs w:val="0"/>
          <w:color w:val="auto"/>
          <w:sz w:val="24"/>
          <w:szCs w:val="24"/>
          <w:highlight w:val="none"/>
        </w:rPr>
        <w:t>。</w:t>
      </w:r>
    </w:p>
    <w:p w14:paraId="7E047586">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hint="default" w:ascii="Times New Roman" w:hAnsi="Times New Roman" w:eastAsia="宋体" w:cs="Times New Roman"/>
          <w:color w:val="auto"/>
          <w:sz w:val="24"/>
          <w:highlight w:val="none"/>
          <w:lang w:val="en-US" w:eastAsia="zh-CN"/>
        </w:rPr>
      </w:pPr>
      <w:r>
        <w:rPr>
          <w:rFonts w:cs="Times New Roman"/>
          <w:color w:val="auto"/>
          <w:highlight w:val="none"/>
        </w:rPr>
        <w:t>（</w:t>
      </w:r>
      <w:r>
        <w:rPr>
          <w:rFonts w:hint="eastAsia" w:cs="Times New Roman"/>
          <w:color w:val="auto"/>
          <w:highlight w:val="none"/>
          <w:lang w:val="en-US" w:eastAsia="zh-CN"/>
        </w:rPr>
        <w:t>4</w:t>
      </w:r>
      <w:r>
        <w:rPr>
          <w:rFonts w:cs="Times New Roman"/>
          <w:color w:val="auto"/>
          <w:highlight w:val="none"/>
        </w:rPr>
        <w:t>）</w:t>
      </w:r>
      <w:r>
        <w:rPr>
          <w:rFonts w:hint="default" w:ascii="Times New Roman" w:hAnsi="Times New Roman" w:eastAsia="宋体" w:cs="Times New Roman"/>
          <w:color w:val="auto"/>
          <w:sz w:val="24"/>
          <w:highlight w:val="none"/>
          <w:lang w:val="en-US" w:eastAsia="zh-CN"/>
        </w:rPr>
        <w:t>对土地利用的影响分析</w:t>
      </w:r>
    </w:p>
    <w:p w14:paraId="0BFD3F77">
      <w:pPr>
        <w:pStyle w:val="77"/>
        <w:keepNext w:val="0"/>
        <w:keepLines w:val="0"/>
        <w:pageBreakBefore w:val="0"/>
        <w:widowControl/>
        <w:suppressLineNumbers w:val="0"/>
        <w:kinsoku/>
        <w:wordWrap/>
        <w:overflowPunct/>
        <w:topLinePunct w:val="0"/>
        <w:autoSpaceDE/>
        <w:autoSpaceDN/>
        <w:bidi w:val="0"/>
        <w:spacing w:before="0" w:beforeLines="0" w:beforeAutospacing="0" w:after="0" w:afterLines="0" w:afterAutospacing="0"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本项目</w:t>
      </w:r>
      <w:r>
        <w:rPr>
          <w:rFonts w:hint="eastAsia" w:ascii="Times New Roman" w:hAnsi="Times New Roman" w:eastAsia="宋体"/>
          <w:color w:val="auto"/>
          <w:sz w:val="24"/>
          <w:highlight w:val="none"/>
          <w:lang w:val="en-US" w:eastAsia="zh-CN"/>
        </w:rPr>
        <w:t>修复</w:t>
      </w:r>
      <w:r>
        <w:rPr>
          <w:rFonts w:hint="default" w:ascii="Times New Roman" w:hAnsi="Times New Roman" w:eastAsia="宋体"/>
          <w:color w:val="auto"/>
          <w:sz w:val="24"/>
          <w:highlight w:val="none"/>
          <w:lang w:val="en-US" w:eastAsia="zh-CN"/>
        </w:rPr>
        <w:t>区</w:t>
      </w:r>
      <w:r>
        <w:rPr>
          <w:rFonts w:hint="default" w:ascii="Times New Roman" w:hAnsi="Times New Roman" w:eastAsia="宋体" w:cs="Times New Roman"/>
          <w:color w:val="auto"/>
          <w:highlight w:val="none"/>
          <w:lang w:val="en-US" w:eastAsia="zh-CN"/>
        </w:rPr>
        <w:t>占地约</w:t>
      </w:r>
      <w:r>
        <w:rPr>
          <w:rFonts w:hint="eastAsia" w:ascii="Times New Roman" w:hAnsi="宋体" w:eastAsia="宋体" w:cs="Times New Roman"/>
          <w:color w:val="auto"/>
          <w:kern w:val="0"/>
          <w:sz w:val="24"/>
          <w:szCs w:val="24"/>
          <w:highlight w:val="none"/>
          <w:lang w:val="en-US" w:eastAsia="zh-CN"/>
        </w:rPr>
        <w:t>1.129610</w:t>
      </w:r>
      <w:r>
        <w:rPr>
          <w:rFonts w:hint="default" w:ascii="Times New Roman" w:hAnsi="Times New Roman" w:eastAsia="宋体" w:cs="Times New Roman"/>
          <w:color w:val="auto"/>
          <w:highlight w:val="none"/>
          <w:lang w:val="en-US" w:eastAsia="zh-CN"/>
        </w:rPr>
        <w:t>公顷，未治理前</w:t>
      </w:r>
      <w:r>
        <w:rPr>
          <w:rFonts w:hint="eastAsia" w:ascii="Times New Roman" w:hAnsi="Times New Roman" w:eastAsia="宋体" w:cs="Times New Roman"/>
          <w:color w:val="auto"/>
          <w:highlight w:val="none"/>
          <w:lang w:val="en-US" w:eastAsia="zh-CN"/>
        </w:rPr>
        <w:t>为</w:t>
      </w:r>
      <w:r>
        <w:rPr>
          <w:rFonts w:hint="default" w:ascii="Times New Roman" w:hAnsi="Times New Roman" w:eastAsia="宋体" w:cs="Times New Roman"/>
          <w:color w:val="auto"/>
          <w:highlight w:val="none"/>
          <w:lang w:val="en-US" w:eastAsia="zh-CN"/>
        </w:rPr>
        <w:t>露天废弃的</w:t>
      </w:r>
      <w:r>
        <w:rPr>
          <w:rFonts w:hint="eastAsia" w:ascii="Times New Roman"/>
          <w:color w:val="auto"/>
          <w:highlight w:val="none"/>
          <w:lang w:val="en-US" w:eastAsia="zh-CN"/>
        </w:rPr>
        <w:t>采砂坑</w:t>
      </w:r>
      <w:r>
        <w:rPr>
          <w:rFonts w:hint="default" w:ascii="Times New Roman" w:hAnsi="Times New Roman" w:eastAsia="宋体" w:cs="Times New Roman"/>
          <w:color w:val="auto"/>
          <w:highlight w:val="none"/>
          <w:lang w:val="en-US" w:eastAsia="zh-CN"/>
        </w:rPr>
        <w:t>，本项目对现有</w:t>
      </w:r>
      <w:r>
        <w:rPr>
          <w:rFonts w:hint="eastAsia" w:ascii="Times New Roman"/>
          <w:color w:val="auto"/>
          <w:highlight w:val="none"/>
          <w:lang w:eastAsia="zh-CN"/>
        </w:rPr>
        <w:t>历史遗留</w:t>
      </w:r>
      <w:r>
        <w:rPr>
          <w:rFonts w:hint="eastAsia" w:ascii="Times New Roman"/>
          <w:color w:val="auto"/>
          <w:highlight w:val="none"/>
          <w:lang w:val="en-US" w:eastAsia="zh-CN"/>
        </w:rPr>
        <w:t>采砂坑</w:t>
      </w:r>
      <w:r>
        <w:rPr>
          <w:rFonts w:hint="default" w:ascii="Times New Roman" w:hAnsi="Times New Roman" w:eastAsia="宋体" w:cs="Times New Roman"/>
          <w:color w:val="auto"/>
          <w:highlight w:val="none"/>
          <w:lang w:val="en-US" w:eastAsia="zh-CN"/>
        </w:rPr>
        <w:t>进行回填后</w:t>
      </w:r>
      <w:r>
        <w:rPr>
          <w:rFonts w:hint="eastAsia" w:ascii="Times New Roman" w:hAnsi="Times New Roman" w:eastAsia="宋体" w:cs="Times New Roman"/>
          <w:color w:val="auto"/>
          <w:highlight w:val="none"/>
          <w:lang w:val="en-US" w:eastAsia="zh-CN"/>
        </w:rPr>
        <w:t>覆土绿化</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恢复</w:t>
      </w:r>
      <w:r>
        <w:rPr>
          <w:rFonts w:hint="default" w:ascii="Times New Roman" w:hAnsi="Times New Roman" w:eastAsia="宋体" w:cs="Times New Roman"/>
          <w:color w:val="auto"/>
          <w:highlight w:val="none"/>
          <w:lang w:val="en-US" w:eastAsia="zh-CN"/>
        </w:rPr>
        <w:t>为</w:t>
      </w:r>
      <w:r>
        <w:rPr>
          <w:rFonts w:hint="eastAsia" w:ascii="Times New Roman" w:hAnsi="Times New Roman" w:eastAsia="宋体" w:cs="Times New Roman"/>
          <w:color w:val="auto"/>
          <w:highlight w:val="none"/>
          <w:lang w:val="en-US" w:eastAsia="zh-CN"/>
        </w:rPr>
        <w:t>原有地貌林地</w:t>
      </w:r>
      <w:r>
        <w:rPr>
          <w:rFonts w:hint="default" w:ascii="Times New Roman" w:hAnsi="Times New Roman" w:eastAsia="宋体" w:cs="Times New Roman"/>
          <w:color w:val="auto"/>
          <w:highlight w:val="none"/>
          <w:lang w:val="en-US" w:eastAsia="zh-CN"/>
        </w:rPr>
        <w:t>，因此，本项目实施对整合土地资源，增加区域内绿化率，治理水土流失</w:t>
      </w:r>
      <w:r>
        <w:rPr>
          <w:rFonts w:hint="eastAsia" w:ascii="Times New Roman" w:hAnsi="Times New Roman" w:eastAsia="宋体" w:cs="Times New Roman"/>
          <w:color w:val="auto"/>
          <w:highlight w:val="none"/>
          <w:lang w:val="en-US" w:eastAsia="zh-CN"/>
        </w:rPr>
        <w:t>大</w:t>
      </w:r>
      <w:r>
        <w:rPr>
          <w:rFonts w:hint="default" w:ascii="Times New Roman" w:hAnsi="Times New Roman" w:eastAsia="宋体" w:cs="Times New Roman"/>
          <w:color w:val="auto"/>
          <w:highlight w:val="none"/>
          <w:lang w:val="en-US" w:eastAsia="zh-CN"/>
        </w:rPr>
        <w:t>有裨益。</w:t>
      </w:r>
    </w:p>
    <w:p w14:paraId="210BF376">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b w:val="0"/>
          <w:bCs w:val="0"/>
          <w:color w:val="auto"/>
          <w:highlight w:val="none"/>
        </w:rPr>
      </w:pPr>
      <w:r>
        <w:rPr>
          <w:b w:val="0"/>
          <w:bCs w:val="0"/>
          <w:color w:val="auto"/>
          <w:highlight w:val="none"/>
        </w:rPr>
        <w:t>本项目建设</w:t>
      </w:r>
      <w:r>
        <w:rPr>
          <w:b w:val="0"/>
          <w:bCs w:val="0"/>
          <w:color w:val="auto"/>
          <w:sz w:val="24"/>
          <w:szCs w:val="24"/>
          <w:highlight w:val="none"/>
        </w:rPr>
        <w:t>对</w:t>
      </w:r>
      <w:r>
        <w:rPr>
          <w:rStyle w:val="130"/>
          <w:b w:val="0"/>
          <w:bCs w:val="0"/>
          <w:color w:val="auto"/>
          <w:sz w:val="24"/>
          <w:szCs w:val="24"/>
          <w:highlight w:val="none"/>
        </w:rPr>
        <w:t>土地利用类型</w:t>
      </w:r>
      <w:r>
        <w:rPr>
          <w:b w:val="0"/>
          <w:bCs w:val="0"/>
          <w:color w:val="auto"/>
          <w:sz w:val="24"/>
          <w:szCs w:val="24"/>
          <w:highlight w:val="none"/>
        </w:rPr>
        <w:t>产生</w:t>
      </w:r>
      <w:r>
        <w:rPr>
          <w:b w:val="0"/>
          <w:bCs w:val="0"/>
          <w:color w:val="auto"/>
          <w:highlight w:val="none"/>
        </w:rPr>
        <w:t>一定影响，</w:t>
      </w:r>
      <w:r>
        <w:rPr>
          <w:rFonts w:hint="eastAsia"/>
          <w:b w:val="0"/>
          <w:bCs w:val="0"/>
          <w:color w:val="auto"/>
          <w:highlight w:val="none"/>
          <w:lang w:val="en-US" w:eastAsia="zh-CN"/>
        </w:rPr>
        <w:t>回填修复</w:t>
      </w:r>
      <w:r>
        <w:rPr>
          <w:b w:val="0"/>
          <w:bCs w:val="0"/>
          <w:color w:val="auto"/>
          <w:sz w:val="24"/>
          <w:szCs w:val="24"/>
          <w:highlight w:val="none"/>
        </w:rPr>
        <w:t>期</w:t>
      </w:r>
      <w:r>
        <w:rPr>
          <w:rFonts w:hint="eastAsia"/>
          <w:b w:val="0"/>
          <w:bCs w:val="0"/>
          <w:color w:val="auto"/>
          <w:sz w:val="24"/>
          <w:szCs w:val="24"/>
          <w:highlight w:val="none"/>
          <w:lang w:val="en-US" w:eastAsia="zh-CN"/>
        </w:rPr>
        <w:t>间</w:t>
      </w:r>
      <w:r>
        <w:rPr>
          <w:b w:val="0"/>
          <w:bCs w:val="0"/>
          <w:color w:val="auto"/>
          <w:sz w:val="24"/>
          <w:szCs w:val="24"/>
          <w:highlight w:val="none"/>
        </w:rPr>
        <w:t>需占用</w:t>
      </w:r>
      <w:r>
        <w:rPr>
          <w:rStyle w:val="130"/>
          <w:rFonts w:hint="eastAsia"/>
          <w:b w:val="0"/>
          <w:bCs w:val="0"/>
          <w:color w:val="auto"/>
          <w:sz w:val="24"/>
          <w:szCs w:val="24"/>
          <w:highlight w:val="none"/>
          <w:lang w:val="en-US" w:eastAsia="zh-CN"/>
        </w:rPr>
        <w:t>裸土地</w:t>
      </w:r>
      <w:r>
        <w:rPr>
          <w:rStyle w:val="130"/>
          <w:b w:val="0"/>
          <w:bCs w:val="0"/>
          <w:color w:val="auto"/>
          <w:sz w:val="24"/>
          <w:szCs w:val="24"/>
          <w:highlight w:val="none"/>
        </w:rPr>
        <w:t>，共计</w:t>
      </w:r>
      <w:r>
        <w:rPr>
          <w:rFonts w:hint="eastAsia" w:ascii="Times New Roman" w:hAnsi="宋体" w:eastAsia="宋体" w:cs="Times New Roman"/>
          <w:color w:val="auto"/>
          <w:kern w:val="0"/>
          <w:sz w:val="24"/>
          <w:szCs w:val="24"/>
          <w:highlight w:val="none"/>
          <w:lang w:val="en-US" w:eastAsia="zh-CN"/>
        </w:rPr>
        <w:t>1.129610</w:t>
      </w:r>
      <w:r>
        <w:rPr>
          <w:rFonts w:hint="default" w:ascii="Times New Roman" w:hAnsi="Times New Roman" w:eastAsia="宋体"/>
          <w:color w:val="auto"/>
          <w:sz w:val="24"/>
          <w:highlight w:val="none"/>
          <w:lang w:val="en-US" w:eastAsia="zh-CN"/>
        </w:rPr>
        <w:t>hm</w:t>
      </w:r>
      <w:r>
        <w:rPr>
          <w:rFonts w:hint="default" w:ascii="Times New Roman" w:hAnsi="Times New Roman" w:eastAsia="宋体"/>
          <w:color w:val="auto"/>
          <w:sz w:val="24"/>
          <w:highlight w:val="none"/>
          <w:vertAlign w:val="superscript"/>
          <w:lang w:val="en-US" w:eastAsia="zh-CN"/>
        </w:rPr>
        <w:t>2</w:t>
      </w:r>
      <w:r>
        <w:rPr>
          <w:b w:val="0"/>
          <w:bCs w:val="0"/>
          <w:color w:val="auto"/>
          <w:highlight w:val="none"/>
        </w:rPr>
        <w:t>，短期内导致土地利用格局的局部调整。</w:t>
      </w:r>
      <w:r>
        <w:rPr>
          <w:rFonts w:hint="eastAsia"/>
          <w:b w:val="0"/>
          <w:bCs w:val="0"/>
          <w:color w:val="auto"/>
          <w:highlight w:val="none"/>
          <w:lang w:val="en-US" w:eastAsia="zh-CN"/>
        </w:rPr>
        <w:t>回填</w:t>
      </w:r>
      <w:r>
        <w:rPr>
          <w:b w:val="0"/>
          <w:bCs w:val="0"/>
          <w:color w:val="auto"/>
          <w:highlight w:val="none"/>
        </w:rPr>
        <w:t>期</w:t>
      </w:r>
      <w:r>
        <w:rPr>
          <w:rFonts w:hint="eastAsia"/>
          <w:b w:val="0"/>
          <w:bCs w:val="0"/>
          <w:color w:val="auto"/>
          <w:highlight w:val="none"/>
          <w:lang w:val="en-US" w:eastAsia="zh-CN"/>
        </w:rPr>
        <w:t>间</w:t>
      </w:r>
      <w:r>
        <w:rPr>
          <w:b w:val="0"/>
          <w:bCs w:val="0"/>
          <w:color w:val="auto"/>
          <w:highlight w:val="none"/>
        </w:rPr>
        <w:t>，</w:t>
      </w:r>
      <w:r>
        <w:rPr>
          <w:b w:val="0"/>
          <w:bCs w:val="0"/>
          <w:color w:val="auto"/>
          <w:sz w:val="24"/>
          <w:szCs w:val="24"/>
          <w:highlight w:val="none"/>
        </w:rPr>
        <w:t>通过</w:t>
      </w:r>
      <w:r>
        <w:rPr>
          <w:rStyle w:val="130"/>
          <w:b w:val="0"/>
          <w:bCs w:val="0"/>
          <w:color w:val="auto"/>
          <w:sz w:val="24"/>
          <w:szCs w:val="24"/>
          <w:highlight w:val="none"/>
        </w:rPr>
        <w:t>生态修复及土地整治</w:t>
      </w:r>
      <w:r>
        <w:rPr>
          <w:b w:val="0"/>
          <w:bCs w:val="0"/>
          <w:color w:val="auto"/>
          <w:sz w:val="24"/>
          <w:szCs w:val="24"/>
          <w:highlight w:val="none"/>
        </w:rPr>
        <w:t>，</w:t>
      </w:r>
      <w:r>
        <w:rPr>
          <w:rStyle w:val="130"/>
          <w:b w:val="0"/>
          <w:bCs w:val="0"/>
          <w:color w:val="auto"/>
          <w:sz w:val="24"/>
          <w:szCs w:val="24"/>
          <w:highlight w:val="none"/>
        </w:rPr>
        <w:t>采矿用地将恢复为林地</w:t>
      </w:r>
      <w:r>
        <w:rPr>
          <w:b w:val="0"/>
          <w:bCs w:val="0"/>
          <w:color w:val="auto"/>
          <w:sz w:val="24"/>
          <w:szCs w:val="24"/>
          <w:highlight w:val="none"/>
        </w:rPr>
        <w:t>，优化区域土地利用结构。植被方面，施工期由于</w:t>
      </w:r>
      <w:r>
        <w:rPr>
          <w:rStyle w:val="130"/>
          <w:b w:val="0"/>
          <w:bCs w:val="0"/>
          <w:color w:val="auto"/>
          <w:sz w:val="24"/>
          <w:szCs w:val="24"/>
          <w:highlight w:val="none"/>
        </w:rPr>
        <w:t>机械作业、土方开挖及物料堆存</w:t>
      </w:r>
      <w:r>
        <w:rPr>
          <w:b w:val="0"/>
          <w:bCs w:val="0"/>
          <w:color w:val="auto"/>
          <w:sz w:val="24"/>
          <w:szCs w:val="24"/>
          <w:highlight w:val="none"/>
        </w:rPr>
        <w:t>，短期内将降低植被覆盖率，但通过后期</w:t>
      </w:r>
      <w:r>
        <w:rPr>
          <w:rStyle w:val="130"/>
          <w:b w:val="0"/>
          <w:bCs w:val="0"/>
          <w:color w:val="auto"/>
          <w:sz w:val="24"/>
          <w:szCs w:val="24"/>
          <w:highlight w:val="none"/>
        </w:rPr>
        <w:t>植被恢复工程（乔灌草混合种植、土壤改良）</w:t>
      </w:r>
      <w:r>
        <w:rPr>
          <w:b w:val="0"/>
          <w:bCs w:val="0"/>
          <w:color w:val="auto"/>
          <w:sz w:val="24"/>
          <w:szCs w:val="24"/>
          <w:highlight w:val="none"/>
        </w:rPr>
        <w:t>，植被覆盖度将逐步提升，并形成稳定的</w:t>
      </w:r>
      <w:r>
        <w:rPr>
          <w:rStyle w:val="130"/>
          <w:b w:val="0"/>
          <w:bCs w:val="0"/>
          <w:color w:val="auto"/>
          <w:sz w:val="24"/>
          <w:szCs w:val="24"/>
          <w:highlight w:val="none"/>
        </w:rPr>
        <w:t>乔灌草复合生态系统</w:t>
      </w:r>
      <w:r>
        <w:rPr>
          <w:b w:val="0"/>
          <w:bCs w:val="0"/>
          <w:color w:val="auto"/>
          <w:sz w:val="24"/>
          <w:szCs w:val="24"/>
          <w:highlight w:val="none"/>
        </w:rPr>
        <w:t>，增强区域生态系统稳定性。</w:t>
      </w:r>
    </w:p>
    <w:p w14:paraId="748C6FEB">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hint="default" w:ascii="Times New Roman" w:hAnsi="Times New Roman" w:eastAsia="宋体" w:cs="Times New Roman"/>
          <w:color w:val="auto"/>
          <w:sz w:val="24"/>
          <w:highlight w:val="none"/>
          <w:lang w:val="en-US" w:eastAsia="zh-CN"/>
        </w:rPr>
      </w:pPr>
      <w:r>
        <w:rPr>
          <w:rFonts w:cs="Times New Roman"/>
          <w:color w:val="auto"/>
          <w:highlight w:val="none"/>
        </w:rPr>
        <w:t>（</w:t>
      </w:r>
      <w:r>
        <w:rPr>
          <w:rFonts w:hint="eastAsia" w:cs="Times New Roman"/>
          <w:color w:val="auto"/>
          <w:highlight w:val="none"/>
          <w:lang w:val="en-US" w:eastAsia="zh-CN"/>
        </w:rPr>
        <w:t>5</w:t>
      </w:r>
      <w:r>
        <w:rPr>
          <w:rFonts w:cs="Times New Roman"/>
          <w:color w:val="auto"/>
          <w:highlight w:val="none"/>
        </w:rPr>
        <w:t>）</w:t>
      </w:r>
      <w:r>
        <w:rPr>
          <w:rFonts w:hint="default" w:ascii="Times New Roman" w:hAnsi="Times New Roman" w:eastAsia="宋体" w:cs="Times New Roman"/>
          <w:color w:val="auto"/>
          <w:sz w:val="24"/>
          <w:highlight w:val="none"/>
          <w:lang w:val="en-US" w:eastAsia="zh-CN"/>
        </w:rPr>
        <w:t>对生物多样性的影响分析</w:t>
      </w:r>
    </w:p>
    <w:p w14:paraId="6BB8424D">
      <w:pPr>
        <w:pStyle w:val="217"/>
        <w:keepNext w:val="0"/>
        <w:keepLines w:val="0"/>
        <w:pageBreakBefore w:val="0"/>
        <w:numPr>
          <w:ilvl w:val="0"/>
          <w:numId w:val="0"/>
        </w:numPr>
        <w:kinsoku/>
        <w:wordWrap/>
        <w:overflowPunct/>
        <w:topLinePunct w:val="0"/>
        <w:autoSpaceDE/>
        <w:autoSpaceDN/>
        <w:bidi w:val="0"/>
        <w:spacing w:beforeAutospacing="0" w:afterAutospacing="0"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本项目</w:t>
      </w:r>
      <w:r>
        <w:rPr>
          <w:rFonts w:hint="eastAsia" w:ascii="Times New Roman" w:hAnsi="Times New Roman" w:eastAsia="宋体" w:cs="Times New Roman"/>
          <w:color w:val="auto"/>
          <w:highlight w:val="none"/>
          <w:lang w:val="en-US" w:eastAsia="zh-CN"/>
        </w:rPr>
        <w:t>修复治理</w:t>
      </w:r>
      <w:r>
        <w:rPr>
          <w:rFonts w:hint="default" w:ascii="Times New Roman" w:hAnsi="Times New Roman" w:eastAsia="宋体" w:cs="Times New Roman"/>
          <w:color w:val="auto"/>
          <w:highlight w:val="none"/>
          <w:lang w:val="en-US" w:eastAsia="zh-CN"/>
        </w:rPr>
        <w:t>范围内</w:t>
      </w:r>
      <w:r>
        <w:rPr>
          <w:rFonts w:hint="eastAsia" w:ascii="Times New Roman" w:hAnsi="Times New Roman" w:eastAsia="宋体" w:cs="Times New Roman"/>
          <w:color w:val="auto"/>
          <w:highlight w:val="none"/>
          <w:lang w:val="en-US" w:eastAsia="zh-CN"/>
        </w:rPr>
        <w:t>全部</w:t>
      </w:r>
      <w:r>
        <w:rPr>
          <w:rFonts w:hint="default" w:ascii="Times New Roman" w:hAnsi="Times New Roman" w:eastAsia="宋体" w:cs="Times New Roman"/>
          <w:color w:val="auto"/>
          <w:highlight w:val="none"/>
          <w:lang w:val="en-US" w:eastAsia="zh-CN"/>
        </w:rPr>
        <w:t>物种均为本地区常见物种，无国家重点保护I、Ⅱ级野生动植物和古树名木，项目区内现有的自然植被较少，因此，施工过程中对自然植被产生的扰动和破坏影响也较小，</w:t>
      </w:r>
      <w:r>
        <w:rPr>
          <w:rFonts w:hint="eastAsia" w:ascii="Times New Roman" w:hAnsi="Times New Roman" w:eastAsia="宋体" w:cs="Times New Roman"/>
          <w:color w:val="auto"/>
          <w:highlight w:val="none"/>
          <w:lang w:val="en-US" w:eastAsia="zh-CN"/>
        </w:rPr>
        <w:t>回填</w:t>
      </w:r>
      <w:r>
        <w:rPr>
          <w:rFonts w:hint="default" w:ascii="Times New Roman" w:hAnsi="Times New Roman" w:eastAsia="宋体" w:cs="Times New Roman"/>
          <w:color w:val="auto"/>
          <w:highlight w:val="none"/>
          <w:lang w:val="en-US" w:eastAsia="zh-CN"/>
        </w:rPr>
        <w:t>结束后通过大面积的植被恢复再现其原有的使用功能，同时增加了植物种类和数量。由于评价区内植被以人工植被为主，遍布整个评价区，区内可恢复维持植物多样性。</w:t>
      </w:r>
    </w:p>
    <w:p w14:paraId="07D32C22">
      <w:pPr>
        <w:pStyle w:val="217"/>
        <w:keepNext w:val="0"/>
        <w:keepLines w:val="0"/>
        <w:pageBreakBefore w:val="0"/>
        <w:numPr>
          <w:ilvl w:val="0"/>
          <w:numId w:val="0"/>
        </w:numPr>
        <w:kinsoku/>
        <w:wordWrap/>
        <w:overflowPunct/>
        <w:topLinePunct w:val="0"/>
        <w:autoSpaceDE/>
        <w:autoSpaceDN/>
        <w:bidi w:val="0"/>
        <w:spacing w:beforeAutospacing="0" w:afterAutospacing="0"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本项目</w:t>
      </w:r>
      <w:r>
        <w:rPr>
          <w:rFonts w:hint="eastAsia" w:ascii="Times New Roman" w:hAnsi="Times New Roman" w:eastAsia="宋体" w:cs="Times New Roman"/>
          <w:color w:val="auto"/>
          <w:highlight w:val="none"/>
          <w:lang w:val="en-US" w:eastAsia="zh-CN"/>
        </w:rPr>
        <w:t>回填期</w:t>
      </w:r>
      <w:r>
        <w:rPr>
          <w:rFonts w:hint="default" w:ascii="Times New Roman" w:hAnsi="Times New Roman" w:eastAsia="宋体" w:cs="Times New Roman"/>
          <w:color w:val="auto"/>
          <w:highlight w:val="none"/>
          <w:lang w:val="en-US" w:eastAsia="zh-CN"/>
        </w:rPr>
        <w:t>将会对所在地的野生动物产生一定的影响，但由于项目区植被较少，人类活动较多，野生植物较少，项目</w:t>
      </w:r>
      <w:r>
        <w:rPr>
          <w:rFonts w:hint="eastAsia" w:ascii="Times New Roman" w:hAnsi="Times New Roman" w:eastAsia="宋体" w:cs="Times New Roman"/>
          <w:color w:val="auto"/>
          <w:highlight w:val="none"/>
          <w:lang w:val="en-US" w:eastAsia="zh-CN"/>
        </w:rPr>
        <w:t>回填期</w:t>
      </w:r>
      <w:r>
        <w:rPr>
          <w:rFonts w:hint="default" w:ascii="Times New Roman" w:hAnsi="Times New Roman" w:eastAsia="宋体" w:cs="Times New Roman"/>
          <w:color w:val="auto"/>
          <w:highlight w:val="none"/>
          <w:lang w:val="en-US" w:eastAsia="zh-CN"/>
        </w:rPr>
        <w:t>结束后通过</w:t>
      </w:r>
      <w:r>
        <w:rPr>
          <w:rFonts w:hint="eastAsia" w:ascii="Times New Roman" w:hAnsi="Times New Roman" w:eastAsia="宋体" w:cs="Times New Roman"/>
          <w:color w:val="auto"/>
          <w:highlight w:val="none"/>
          <w:lang w:val="en-US" w:eastAsia="zh-CN"/>
        </w:rPr>
        <w:t>绿化覆植</w:t>
      </w:r>
      <w:r>
        <w:rPr>
          <w:rFonts w:hint="default" w:ascii="Times New Roman" w:hAnsi="Times New Roman" w:eastAsia="宋体" w:cs="Times New Roman"/>
          <w:color w:val="auto"/>
          <w:highlight w:val="none"/>
          <w:lang w:val="en-US" w:eastAsia="zh-CN"/>
        </w:rPr>
        <w:t>，营造了良好的生态环境，增加了野生动物的活动空间，多数种类可以被动地适应新环境的长期影响，可以适应与人类共生，动物种群数量将有所增加。</w:t>
      </w:r>
    </w:p>
    <w:p w14:paraId="11C1DBD5">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hint="default" w:ascii="Times New Roman" w:hAnsi="Times New Roman" w:eastAsia="宋体" w:cs="Times New Roman"/>
          <w:color w:val="auto"/>
          <w:sz w:val="24"/>
          <w:highlight w:val="none"/>
          <w:lang w:val="en-US" w:eastAsia="zh-CN"/>
        </w:rPr>
      </w:pPr>
      <w:r>
        <w:rPr>
          <w:rFonts w:cs="Times New Roman"/>
          <w:color w:val="auto"/>
          <w:highlight w:val="none"/>
        </w:rPr>
        <w:t>（</w:t>
      </w:r>
      <w:r>
        <w:rPr>
          <w:rFonts w:hint="eastAsia" w:cs="Times New Roman"/>
          <w:color w:val="auto"/>
          <w:highlight w:val="none"/>
          <w:lang w:val="en-US" w:eastAsia="zh-CN"/>
        </w:rPr>
        <w:t>6</w:t>
      </w:r>
      <w:r>
        <w:rPr>
          <w:rFonts w:cs="Times New Roman"/>
          <w:color w:val="auto"/>
          <w:highlight w:val="none"/>
        </w:rPr>
        <w:t>）</w:t>
      </w:r>
      <w:r>
        <w:rPr>
          <w:rFonts w:hint="default" w:ascii="Times New Roman" w:hAnsi="Times New Roman" w:eastAsia="宋体" w:cs="Times New Roman"/>
          <w:color w:val="auto"/>
          <w:sz w:val="24"/>
          <w:highlight w:val="none"/>
          <w:lang w:val="en-US" w:eastAsia="zh-CN"/>
        </w:rPr>
        <w:t>对景观生态影响分析</w:t>
      </w:r>
    </w:p>
    <w:p w14:paraId="7A01BD3A">
      <w:pPr>
        <w:pStyle w:val="217"/>
        <w:keepNext w:val="0"/>
        <w:keepLines w:val="0"/>
        <w:pageBreakBefore w:val="0"/>
        <w:numPr>
          <w:ilvl w:val="0"/>
          <w:numId w:val="0"/>
        </w:numPr>
        <w:kinsoku/>
        <w:wordWrap/>
        <w:overflowPunct/>
        <w:topLinePunct w:val="0"/>
        <w:autoSpaceDE/>
        <w:autoSpaceDN/>
        <w:bidi w:val="0"/>
        <w:spacing w:beforeAutospacing="0" w:afterAutospacing="0"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本项目</w:t>
      </w:r>
      <w:r>
        <w:rPr>
          <w:rFonts w:hint="eastAsia" w:ascii="Times New Roman" w:hAnsi="Times New Roman" w:eastAsia="宋体" w:cs="Times New Roman"/>
          <w:color w:val="auto"/>
          <w:highlight w:val="none"/>
          <w:lang w:val="en-US" w:eastAsia="zh-CN"/>
        </w:rPr>
        <w:t>施工</w:t>
      </w:r>
      <w:r>
        <w:rPr>
          <w:rFonts w:hint="default" w:ascii="Times New Roman" w:hAnsi="Times New Roman" w:eastAsia="宋体" w:cs="Times New Roman"/>
          <w:color w:val="auto"/>
          <w:highlight w:val="none"/>
          <w:lang w:val="en-US" w:eastAsia="zh-CN"/>
        </w:rPr>
        <w:t>前，</w:t>
      </w:r>
      <w:r>
        <w:rPr>
          <w:rFonts w:hint="eastAsia" w:ascii="Times New Roman"/>
          <w:color w:val="auto"/>
          <w:highlight w:val="none"/>
          <w:lang w:val="en-US" w:eastAsia="zh-CN"/>
        </w:rPr>
        <w:t>采砂坑</w:t>
      </w:r>
      <w:r>
        <w:rPr>
          <w:rFonts w:hint="default" w:ascii="Times New Roman" w:hAnsi="Times New Roman" w:eastAsia="宋体" w:cs="Times New Roman"/>
          <w:color w:val="auto"/>
          <w:highlight w:val="none"/>
          <w:lang w:val="en-US" w:eastAsia="zh-CN"/>
        </w:rPr>
        <w:t>取土破坏地表植被，形成巨大的采</w:t>
      </w:r>
      <w:r>
        <w:rPr>
          <w:rFonts w:hint="eastAsia" w:ascii="Times New Roman" w:cs="Times New Roman"/>
          <w:color w:val="auto"/>
          <w:highlight w:val="none"/>
          <w:lang w:val="en-US" w:eastAsia="zh-CN"/>
        </w:rPr>
        <w:t>砂</w:t>
      </w:r>
      <w:r>
        <w:rPr>
          <w:rFonts w:hint="default" w:ascii="Times New Roman" w:hAnsi="Times New Roman" w:eastAsia="宋体" w:cs="Times New Roman"/>
          <w:color w:val="auto"/>
          <w:highlight w:val="none"/>
          <w:lang w:val="en-US" w:eastAsia="zh-CN"/>
        </w:rPr>
        <w:t>坑，对地貌景观影响严重，现状项目区用地类型为</w:t>
      </w:r>
      <w:r>
        <w:rPr>
          <w:rFonts w:hint="eastAsia" w:ascii="Times New Roman" w:hAnsi="Times New Roman" w:eastAsia="宋体" w:cs="Times New Roman"/>
          <w:color w:val="auto"/>
          <w:highlight w:val="none"/>
          <w:lang w:val="en-US" w:eastAsia="zh-CN"/>
        </w:rPr>
        <w:t>裸土地</w:t>
      </w:r>
      <w:r>
        <w:rPr>
          <w:rFonts w:hint="default" w:ascii="Times New Roman" w:hAnsi="Times New Roman" w:eastAsia="宋体" w:cs="Times New Roman"/>
          <w:color w:val="auto"/>
          <w:highlight w:val="none"/>
          <w:lang w:val="en-US" w:eastAsia="zh-CN"/>
        </w:rPr>
        <w:t>，裸露的地貌较多，其景观视觉上较为杂乱，周边环境相容性较差。根据治理区地质环境条件、所处地理位置、土地功能规划等因素，最终土地主要</w:t>
      </w:r>
      <w:r>
        <w:rPr>
          <w:rFonts w:hint="eastAsia" w:ascii="Times New Roman" w:hAnsi="Times New Roman" w:eastAsia="宋体" w:cs="Times New Roman"/>
          <w:color w:val="auto"/>
          <w:highlight w:val="none"/>
          <w:lang w:val="en-US" w:eastAsia="zh-CN"/>
        </w:rPr>
        <w:t>恢复</w:t>
      </w:r>
      <w:r>
        <w:rPr>
          <w:rFonts w:hint="default" w:ascii="Times New Roman" w:hAnsi="Times New Roman" w:eastAsia="宋体" w:cs="Times New Roman"/>
          <w:color w:val="auto"/>
          <w:highlight w:val="none"/>
          <w:lang w:val="en-US" w:eastAsia="zh-CN"/>
        </w:rPr>
        <w:t>为</w:t>
      </w:r>
      <w:r>
        <w:rPr>
          <w:rFonts w:hint="eastAsia" w:ascii="Times New Roman" w:hAnsi="Times New Roman" w:eastAsia="宋体" w:cs="Times New Roman"/>
          <w:color w:val="auto"/>
          <w:highlight w:val="none"/>
          <w:lang w:val="en-US" w:eastAsia="zh-CN"/>
        </w:rPr>
        <w:t>林地</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回填区</w:t>
      </w:r>
      <w:r>
        <w:rPr>
          <w:rFonts w:hint="default" w:ascii="Times New Roman" w:hAnsi="Times New Roman" w:eastAsia="宋体" w:cs="Times New Roman"/>
          <w:color w:val="auto"/>
          <w:highlight w:val="none"/>
          <w:lang w:val="en-US" w:eastAsia="zh-CN"/>
        </w:rPr>
        <w:t>通过工程措施整平后，覆土</w:t>
      </w:r>
      <w:r>
        <w:rPr>
          <w:rFonts w:hint="eastAsia" w:ascii="Times New Roman" w:hAnsi="Times New Roman" w:eastAsia="宋体" w:cs="Times New Roman"/>
          <w:color w:val="auto"/>
          <w:highlight w:val="none"/>
          <w:lang w:val="en-US" w:eastAsia="zh-CN"/>
        </w:rPr>
        <w:t>绿化成林地</w:t>
      </w:r>
      <w:r>
        <w:rPr>
          <w:rFonts w:hint="default" w:ascii="Times New Roman" w:hAnsi="Times New Roman" w:eastAsia="宋体" w:cs="Times New Roman"/>
          <w:color w:val="auto"/>
          <w:highlight w:val="none"/>
          <w:lang w:val="en-US" w:eastAsia="zh-CN"/>
        </w:rPr>
        <w:t>，其根系发达、分生能力强、耐瘠薄抗性强，不仅可以绿化治理，还可以产生较好的景观效果。</w:t>
      </w:r>
    </w:p>
    <w:p w14:paraId="5C909FB9">
      <w:pPr>
        <w:pStyle w:val="217"/>
        <w:keepNext w:val="0"/>
        <w:keepLines w:val="0"/>
        <w:pageBreakBefore w:val="0"/>
        <w:numPr>
          <w:ilvl w:val="0"/>
          <w:numId w:val="0"/>
        </w:numPr>
        <w:kinsoku/>
        <w:wordWrap/>
        <w:overflowPunct/>
        <w:topLinePunct w:val="0"/>
        <w:autoSpaceDE/>
        <w:autoSpaceDN/>
        <w:bidi w:val="0"/>
        <w:spacing w:beforeAutospacing="0" w:afterAutospacing="0"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本项目的建设将增加区域的种植面积，减少景观的分割性，减少区域内景观斑块数，新增</w:t>
      </w:r>
      <w:r>
        <w:rPr>
          <w:rFonts w:hint="eastAsia" w:ascii="Times New Roman" w:hAnsi="Times New Roman" w:eastAsia="宋体" w:cs="Times New Roman"/>
          <w:color w:val="auto"/>
          <w:highlight w:val="none"/>
          <w:lang w:val="en-US" w:eastAsia="zh-CN"/>
        </w:rPr>
        <w:t>林地</w:t>
      </w:r>
      <w:r>
        <w:rPr>
          <w:rFonts w:hint="default" w:ascii="Times New Roman" w:hAnsi="Times New Roman" w:eastAsia="宋体" w:cs="Times New Roman"/>
          <w:color w:val="auto"/>
          <w:highlight w:val="none"/>
          <w:lang w:val="en-US" w:eastAsia="zh-CN"/>
        </w:rPr>
        <w:t>对区域的景观和视觉改善作用明显，同时增加了区域景观的协调性、生动性、多样性，在很大程度上改善了区域的生态景观。</w:t>
      </w:r>
    </w:p>
    <w:p w14:paraId="27BF8AED">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hint="default" w:ascii="Times New Roman" w:hAnsi="Times New Roman" w:eastAsia="宋体" w:cs="Times New Roman"/>
          <w:color w:val="auto"/>
          <w:sz w:val="24"/>
          <w:highlight w:val="none"/>
          <w:lang w:val="en-US" w:eastAsia="zh-CN"/>
        </w:rPr>
      </w:pPr>
      <w:r>
        <w:rPr>
          <w:rFonts w:cs="Times New Roman"/>
          <w:color w:val="auto"/>
          <w:highlight w:val="none"/>
        </w:rPr>
        <w:t>（</w:t>
      </w:r>
      <w:r>
        <w:rPr>
          <w:rFonts w:hint="eastAsia" w:cs="Times New Roman"/>
          <w:color w:val="auto"/>
          <w:highlight w:val="none"/>
          <w:lang w:val="en-US" w:eastAsia="zh-CN"/>
        </w:rPr>
        <w:t>7</w:t>
      </w:r>
      <w:r>
        <w:rPr>
          <w:rFonts w:cs="Times New Roman"/>
          <w:color w:val="auto"/>
          <w:highlight w:val="none"/>
        </w:rPr>
        <w:t>）</w:t>
      </w:r>
      <w:r>
        <w:rPr>
          <w:rFonts w:hint="default" w:ascii="Times New Roman" w:hAnsi="Times New Roman" w:eastAsia="宋体" w:cs="Times New Roman"/>
          <w:color w:val="auto"/>
          <w:sz w:val="24"/>
          <w:highlight w:val="none"/>
          <w:lang w:val="en-US" w:eastAsia="zh-CN"/>
        </w:rPr>
        <w:t>其他</w:t>
      </w:r>
    </w:p>
    <w:p w14:paraId="1E31DDAC">
      <w:pPr>
        <w:pStyle w:val="217"/>
        <w:keepNext w:val="0"/>
        <w:keepLines w:val="0"/>
        <w:pageBreakBefore w:val="0"/>
        <w:numPr>
          <w:ilvl w:val="0"/>
          <w:numId w:val="0"/>
        </w:numPr>
        <w:kinsoku/>
        <w:wordWrap/>
        <w:overflowPunct/>
        <w:topLinePunct w:val="0"/>
        <w:autoSpaceDE/>
        <w:autoSpaceDN/>
        <w:bidi w:val="0"/>
        <w:spacing w:beforeAutospacing="0" w:afterAutospacing="0"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该地区附近没有文物古迹、人文景观、森林等景观，未纳入旅游区规划，没有旅游价值。因此，项目的</w:t>
      </w:r>
      <w:r>
        <w:rPr>
          <w:rFonts w:hint="eastAsia" w:ascii="Times New Roman" w:hAnsi="Times New Roman" w:eastAsia="宋体" w:cs="Times New Roman"/>
          <w:color w:val="auto"/>
          <w:highlight w:val="none"/>
          <w:lang w:val="en-US" w:eastAsia="zh-CN"/>
        </w:rPr>
        <w:t>回填</w:t>
      </w:r>
      <w:r>
        <w:rPr>
          <w:rFonts w:hint="default" w:ascii="Times New Roman" w:hAnsi="Times New Roman" w:eastAsia="宋体" w:cs="Times New Roman"/>
          <w:color w:val="auto"/>
          <w:highlight w:val="none"/>
          <w:lang w:val="en-US" w:eastAsia="zh-CN"/>
        </w:rPr>
        <w:t>不会对旅游景观产生影响。</w:t>
      </w:r>
    </w:p>
    <w:p w14:paraId="5217DDF9">
      <w:pPr>
        <w:pStyle w:val="217"/>
        <w:keepNext w:val="0"/>
        <w:keepLines w:val="0"/>
        <w:pageBreakBefore w:val="0"/>
        <w:kinsoku/>
        <w:wordWrap/>
        <w:overflowPunct/>
        <w:topLinePunct w:val="0"/>
        <w:autoSpaceDE/>
        <w:autoSpaceDN/>
        <w:bidi w:val="0"/>
        <w:spacing w:beforeAutospacing="0" w:afterAutospacing="0" w:line="360" w:lineRule="auto"/>
        <w:ind w:firstLine="480"/>
        <w:textAlignment w:val="auto"/>
        <w:rPr>
          <w:rFonts w:hint="default" w:ascii="Times New Roman" w:hAnsi="Times New Roman" w:eastAsia="宋体" w:cs="Times New Roman"/>
          <w:color w:val="auto"/>
          <w:sz w:val="24"/>
          <w:highlight w:val="none"/>
          <w:lang w:val="en-US" w:eastAsia="zh-CN"/>
        </w:rPr>
      </w:pPr>
      <w:r>
        <w:rPr>
          <w:rFonts w:cs="Times New Roman"/>
          <w:color w:val="auto"/>
          <w:highlight w:val="none"/>
        </w:rPr>
        <w:t>（</w:t>
      </w:r>
      <w:r>
        <w:rPr>
          <w:rFonts w:hint="eastAsia" w:cs="Times New Roman"/>
          <w:color w:val="auto"/>
          <w:highlight w:val="none"/>
          <w:lang w:val="en-US" w:eastAsia="zh-CN"/>
        </w:rPr>
        <w:t>8</w:t>
      </w:r>
      <w:r>
        <w:rPr>
          <w:rFonts w:cs="Times New Roman"/>
          <w:color w:val="auto"/>
          <w:highlight w:val="none"/>
        </w:rPr>
        <w:t>）</w:t>
      </w:r>
      <w:r>
        <w:rPr>
          <w:rFonts w:hint="default" w:ascii="Times New Roman" w:hAnsi="Times New Roman" w:eastAsia="宋体" w:cs="Times New Roman"/>
          <w:color w:val="auto"/>
          <w:sz w:val="24"/>
          <w:highlight w:val="none"/>
          <w:lang w:val="en-US" w:eastAsia="zh-CN"/>
        </w:rPr>
        <w:t>生态环境影响评价结论</w:t>
      </w:r>
    </w:p>
    <w:p w14:paraId="38BF727A">
      <w:pPr>
        <w:pStyle w:val="217"/>
        <w:keepNext w:val="0"/>
        <w:keepLines w:val="0"/>
        <w:pageBreakBefore w:val="0"/>
        <w:numPr>
          <w:ilvl w:val="0"/>
          <w:numId w:val="0"/>
        </w:numPr>
        <w:kinsoku/>
        <w:wordWrap/>
        <w:overflowPunct/>
        <w:topLinePunct w:val="0"/>
        <w:autoSpaceDE/>
        <w:autoSpaceDN/>
        <w:bidi w:val="0"/>
        <w:spacing w:beforeAutospacing="0" w:afterAutospacing="0" w:line="360" w:lineRule="auto"/>
        <w:ind w:firstLine="480" w:firstLineChars="200"/>
        <w:jc w:val="both"/>
        <w:textAlignment w:val="auto"/>
        <w:rPr>
          <w:b w:val="0"/>
          <w:bCs w:val="0"/>
          <w:color w:val="auto"/>
          <w:sz w:val="24"/>
          <w:szCs w:val="24"/>
          <w:highlight w:val="none"/>
        </w:rPr>
      </w:pPr>
      <w:r>
        <w:rPr>
          <w:b w:val="0"/>
          <w:bCs w:val="0"/>
          <w:color w:val="auto"/>
          <w:sz w:val="24"/>
          <w:szCs w:val="24"/>
          <w:highlight w:val="none"/>
        </w:rPr>
        <w:t>本项目的实施虽对</w:t>
      </w:r>
      <w:r>
        <w:rPr>
          <w:rStyle w:val="130"/>
          <w:b w:val="0"/>
          <w:bCs w:val="0"/>
          <w:color w:val="auto"/>
          <w:sz w:val="24"/>
          <w:szCs w:val="24"/>
          <w:highlight w:val="none"/>
        </w:rPr>
        <w:t>土地利用、植被和野生动物</w:t>
      </w:r>
      <w:r>
        <w:rPr>
          <w:b w:val="0"/>
          <w:bCs w:val="0"/>
          <w:color w:val="auto"/>
          <w:sz w:val="24"/>
          <w:szCs w:val="24"/>
          <w:highlight w:val="none"/>
        </w:rPr>
        <w:t>产生一定影响，但通过科学合理的</w:t>
      </w:r>
      <w:r>
        <w:rPr>
          <w:rStyle w:val="130"/>
          <w:b w:val="0"/>
          <w:bCs w:val="0"/>
          <w:color w:val="auto"/>
          <w:sz w:val="24"/>
          <w:szCs w:val="24"/>
          <w:highlight w:val="none"/>
        </w:rPr>
        <w:t>生态修复和保护措施</w:t>
      </w:r>
      <w:r>
        <w:rPr>
          <w:b w:val="0"/>
          <w:bCs w:val="0"/>
          <w:color w:val="auto"/>
          <w:sz w:val="24"/>
          <w:szCs w:val="24"/>
          <w:highlight w:val="none"/>
        </w:rPr>
        <w:t>，可有效</w:t>
      </w:r>
      <w:r>
        <w:rPr>
          <w:rStyle w:val="130"/>
          <w:b w:val="0"/>
          <w:bCs w:val="0"/>
          <w:color w:val="auto"/>
          <w:sz w:val="24"/>
          <w:szCs w:val="24"/>
          <w:highlight w:val="none"/>
        </w:rPr>
        <w:t>恢复区域生态系统服务功能，优化土地利用格局，提高植被覆盖度，改善野生动物栖息环境</w:t>
      </w:r>
      <w:r>
        <w:rPr>
          <w:b w:val="0"/>
          <w:bCs w:val="0"/>
          <w:color w:val="auto"/>
          <w:sz w:val="24"/>
          <w:szCs w:val="24"/>
          <w:highlight w:val="none"/>
        </w:rPr>
        <w:t>。同时，建立</w:t>
      </w:r>
      <w:r>
        <w:rPr>
          <w:rStyle w:val="130"/>
          <w:b w:val="0"/>
          <w:bCs w:val="0"/>
          <w:color w:val="auto"/>
          <w:sz w:val="24"/>
          <w:szCs w:val="24"/>
          <w:highlight w:val="none"/>
        </w:rPr>
        <w:t>长期生态监测体系</w:t>
      </w:r>
      <w:r>
        <w:rPr>
          <w:b w:val="0"/>
          <w:bCs w:val="0"/>
          <w:color w:val="auto"/>
          <w:sz w:val="24"/>
          <w:szCs w:val="24"/>
          <w:highlight w:val="none"/>
        </w:rPr>
        <w:t>，定期评估植被恢复、生物多样性变化，并结合监测结果优化修复措施，确保生态系统的长期稳定性和可持续发展。项目的生态修复和保护措施可行，可有效提升区域生态质量，助力</w:t>
      </w:r>
      <w:r>
        <w:rPr>
          <w:rStyle w:val="130"/>
          <w:b w:val="0"/>
          <w:bCs w:val="0"/>
          <w:color w:val="auto"/>
          <w:sz w:val="24"/>
          <w:szCs w:val="24"/>
          <w:highlight w:val="none"/>
        </w:rPr>
        <w:t>生态环境的可持续改善</w:t>
      </w:r>
      <w:r>
        <w:rPr>
          <w:b w:val="0"/>
          <w:bCs w:val="0"/>
          <w:color w:val="auto"/>
          <w:sz w:val="24"/>
          <w:szCs w:val="24"/>
          <w:highlight w:val="none"/>
        </w:rPr>
        <w:t>。</w:t>
      </w:r>
    </w:p>
    <w:p w14:paraId="79CC94D3">
      <w:pPr>
        <w:pStyle w:val="217"/>
        <w:keepNext w:val="0"/>
        <w:keepLines w:val="0"/>
        <w:pageBreakBefore w:val="0"/>
        <w:numPr>
          <w:ilvl w:val="0"/>
          <w:numId w:val="0"/>
        </w:numPr>
        <w:kinsoku/>
        <w:wordWrap/>
        <w:overflowPunct/>
        <w:topLinePunct w:val="0"/>
        <w:autoSpaceDE/>
        <w:autoSpaceDN/>
        <w:bidi w:val="0"/>
        <w:spacing w:beforeAutospacing="0" w:afterAutospacing="0" w:line="360" w:lineRule="auto"/>
        <w:ind w:firstLine="480" w:firstLineChars="200"/>
        <w:jc w:val="both"/>
        <w:textAlignment w:val="auto"/>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综上所述，尽管本项目的</w:t>
      </w:r>
      <w:r>
        <w:rPr>
          <w:rFonts w:hint="eastAsia" w:ascii="Times New Roman" w:hAnsi="Times New Roman" w:eastAsia="宋体" w:cs="Times New Roman"/>
          <w:color w:val="auto"/>
          <w:highlight w:val="none"/>
          <w:lang w:val="en-US" w:eastAsia="zh-CN"/>
        </w:rPr>
        <w:t>回填</w:t>
      </w:r>
      <w:r>
        <w:rPr>
          <w:rFonts w:hint="default" w:ascii="Times New Roman" w:hAnsi="Times New Roman" w:eastAsia="宋体" w:cs="Times New Roman"/>
          <w:color w:val="auto"/>
          <w:highlight w:val="none"/>
          <w:lang w:val="en-US" w:eastAsia="zh-CN"/>
        </w:rPr>
        <w:t>期会对区域内的自然生态系统造成一定的影响，但是由于受影响程度有限，项目</w:t>
      </w:r>
      <w:r>
        <w:rPr>
          <w:rFonts w:hint="eastAsia" w:ascii="Times New Roman" w:hAnsi="Times New Roman" w:eastAsia="宋体" w:cs="Times New Roman"/>
          <w:color w:val="auto"/>
          <w:highlight w:val="none"/>
          <w:lang w:val="en-US" w:eastAsia="zh-CN"/>
        </w:rPr>
        <w:t>回填</w:t>
      </w:r>
      <w:r>
        <w:rPr>
          <w:rFonts w:hint="default" w:ascii="Times New Roman" w:hAnsi="Times New Roman" w:eastAsia="宋体" w:cs="Times New Roman"/>
          <w:color w:val="auto"/>
          <w:highlight w:val="none"/>
          <w:lang w:val="en-US" w:eastAsia="zh-CN"/>
        </w:rPr>
        <w:t>完成后，区域内的生态环境总体将有大幅度的改善。</w:t>
      </w:r>
    </w:p>
    <w:p w14:paraId="59CFE84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Cs/>
          <w:snapToGrid w:val="0"/>
          <w:color w:val="auto"/>
          <w:szCs w:val="24"/>
          <w:highlight w:val="none"/>
        </w:rPr>
      </w:pPr>
    </w:p>
    <w:bookmarkEnd w:id="663"/>
    <w:bookmarkEnd w:id="664"/>
    <w:p w14:paraId="3CA277F9">
      <w:pPr>
        <w:pStyle w:val="70"/>
        <w:ind w:left="0" w:leftChars="0" w:firstLine="0" w:firstLineChars="0"/>
        <w:rPr>
          <w:rFonts w:hint="eastAsia" w:asciiTheme="minorEastAsia" w:hAnsiTheme="minorEastAsia" w:eastAsiaTheme="minorEastAsia" w:cstheme="minorEastAsia"/>
          <w:color w:val="auto"/>
          <w:highlight w:val="none"/>
        </w:rPr>
        <w:sectPr>
          <w:headerReference r:id="rId12" w:type="default"/>
          <w:footerReference r:id="rId13" w:type="default"/>
          <w:pgSz w:w="11907" w:h="16840"/>
          <w:pgMar w:top="1440" w:right="1440" w:bottom="1440" w:left="1701" w:header="851" w:footer="992" w:gutter="0"/>
          <w:pgBorders>
            <w:top w:val="none" w:sz="0" w:space="0"/>
            <w:left w:val="none" w:sz="0" w:space="0"/>
            <w:bottom w:val="none" w:sz="0" w:space="0"/>
            <w:right w:val="none" w:sz="0" w:space="0"/>
          </w:pgBorders>
          <w:pgNumType w:fmt="numberInDash"/>
          <w:cols w:space="720" w:num="1"/>
          <w:docGrid w:linePitch="312" w:charSpace="0"/>
        </w:sectPr>
      </w:pPr>
    </w:p>
    <w:p w14:paraId="289A394B">
      <w:pPr>
        <w:pStyle w:val="5"/>
        <w:bidi w:val="0"/>
        <w:rPr>
          <w:rFonts w:hint="eastAsia" w:asciiTheme="minorEastAsia" w:hAnsiTheme="minorEastAsia" w:eastAsiaTheme="minorEastAsia" w:cstheme="minorEastAsia"/>
          <w:color w:val="auto"/>
          <w:highlight w:val="none"/>
        </w:rPr>
      </w:pPr>
      <w:bookmarkStart w:id="673" w:name="_Toc15405"/>
      <w:bookmarkStart w:id="674" w:name="_Toc28089"/>
      <w:bookmarkStart w:id="675" w:name="_Toc22949"/>
      <w:bookmarkStart w:id="676" w:name="_Toc1238"/>
      <w:bookmarkStart w:id="677" w:name="_Toc29759"/>
      <w:bookmarkStart w:id="678" w:name="_Toc30407"/>
      <w:bookmarkStart w:id="679" w:name="_Toc29879"/>
      <w:bookmarkStart w:id="680" w:name="_Toc8743"/>
      <w:bookmarkStart w:id="681" w:name="_Toc4051"/>
      <w:bookmarkStart w:id="682" w:name="_Toc2464"/>
      <w:bookmarkStart w:id="683" w:name="_Toc6262"/>
      <w:bookmarkStart w:id="684" w:name="_Toc20376"/>
      <w:bookmarkStart w:id="685" w:name="_Toc17604"/>
      <w:bookmarkStart w:id="686" w:name="_Toc20687"/>
      <w:bookmarkStart w:id="687" w:name="_Toc22950"/>
      <w:bookmarkStart w:id="688" w:name="_Toc25961"/>
      <w:bookmarkStart w:id="689" w:name="_Toc1390"/>
      <w:r>
        <w:rPr>
          <w:rFonts w:hint="eastAsia" w:asciiTheme="minorEastAsia" w:hAnsiTheme="minorEastAsia" w:eastAsiaTheme="minorEastAsia" w:cstheme="minorEastAsia"/>
          <w:color w:val="auto"/>
          <w:highlight w:val="none"/>
        </w:rPr>
        <w:t>6环境保护措施及其可行性论证</w:t>
      </w:r>
      <w:bookmarkEnd w:id="595"/>
      <w:bookmarkEnd w:id="596"/>
      <w:bookmarkEnd w:id="597"/>
      <w:bookmarkEnd w:id="598"/>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348FE7E5">
      <w:pPr>
        <w:pStyle w:val="6"/>
        <w:widowControl w:val="0"/>
        <w:snapToGrid w:val="0"/>
        <w:spacing w:before="0" w:after="0" w:line="360" w:lineRule="auto"/>
        <w:jc w:val="both"/>
        <w:rPr>
          <w:rFonts w:hint="eastAsia" w:asciiTheme="minorEastAsia" w:hAnsiTheme="minorEastAsia" w:eastAsiaTheme="minorEastAsia" w:cstheme="minorEastAsia"/>
          <w:color w:val="auto"/>
          <w:highlight w:val="none"/>
        </w:rPr>
      </w:pPr>
      <w:bookmarkStart w:id="690" w:name="_Toc17877"/>
      <w:bookmarkStart w:id="691" w:name="_Toc26891"/>
      <w:bookmarkStart w:id="692" w:name="_Toc1462014"/>
      <w:bookmarkStart w:id="693" w:name="_Toc2549"/>
      <w:bookmarkStart w:id="694" w:name="_Toc30162"/>
      <w:bookmarkStart w:id="695" w:name="_Toc490466588"/>
      <w:bookmarkStart w:id="696" w:name="_Toc31568"/>
      <w:bookmarkStart w:id="697" w:name="_Toc7688"/>
      <w:r>
        <w:rPr>
          <w:rFonts w:hint="eastAsia" w:asciiTheme="minorEastAsia" w:hAnsiTheme="minorEastAsia" w:eastAsiaTheme="minorEastAsia" w:cstheme="minorEastAsia"/>
          <w:color w:val="auto"/>
          <w:highlight w:val="none"/>
        </w:rPr>
        <w:t>6.1施工期污染防治措施</w:t>
      </w:r>
      <w:bookmarkEnd w:id="690"/>
      <w:bookmarkEnd w:id="691"/>
    </w:p>
    <w:p w14:paraId="04491B19">
      <w:pPr>
        <w:pStyle w:val="7"/>
        <w:numPr>
          <w:ilvl w:val="0"/>
          <w:numId w:val="0"/>
        </w:numPr>
        <w:spacing w:line="360" w:lineRule="auto"/>
        <w:rPr>
          <w:color w:val="auto"/>
          <w:highlight w:val="none"/>
        </w:rPr>
      </w:pPr>
      <w:bookmarkStart w:id="698" w:name="_Toc10848"/>
      <w:bookmarkStart w:id="699" w:name="_Toc26626"/>
      <w:r>
        <w:rPr>
          <w:color w:val="auto"/>
          <w:highlight w:val="none"/>
        </w:rPr>
        <w:t>6.1.1</w:t>
      </w:r>
      <w:r>
        <w:rPr>
          <w:rFonts w:hint="eastAsia"/>
          <w:color w:val="auto"/>
          <w:highlight w:val="none"/>
        </w:rPr>
        <w:t>施工</w:t>
      </w:r>
      <w:r>
        <w:rPr>
          <w:color w:val="auto"/>
          <w:highlight w:val="none"/>
        </w:rPr>
        <w:t>期废气污染防治措施</w:t>
      </w:r>
    </w:p>
    <w:p w14:paraId="3A1D939E">
      <w:pPr>
        <w:pStyle w:val="217"/>
        <w:spacing w:line="360" w:lineRule="auto"/>
        <w:ind w:firstLine="480"/>
        <w:rPr>
          <w:rFonts w:cs="Times New Roman"/>
          <w:color w:val="auto"/>
          <w:highlight w:val="none"/>
        </w:rPr>
      </w:pPr>
      <w:r>
        <w:rPr>
          <w:rFonts w:cs="Times New Roman"/>
          <w:color w:val="auto"/>
          <w:highlight w:val="none"/>
        </w:rPr>
        <w:t>为使施工过程中产生的施工扬尘</w:t>
      </w:r>
      <w:r>
        <w:rPr>
          <w:rFonts w:hint="eastAsia" w:cs="Times New Roman"/>
          <w:color w:val="auto"/>
          <w:highlight w:val="none"/>
          <w:lang w:val="en-US" w:eastAsia="zh-CN"/>
        </w:rPr>
        <w:t>和</w:t>
      </w:r>
      <w:r>
        <w:rPr>
          <w:rFonts w:hint="eastAsia"/>
          <w:color w:val="auto"/>
          <w:highlight w:val="none"/>
          <w:lang w:val="en-US" w:eastAsia="zh-CN"/>
        </w:rPr>
        <w:t>机械废气</w:t>
      </w:r>
      <w:r>
        <w:rPr>
          <w:rFonts w:cs="Times New Roman"/>
          <w:color w:val="auto"/>
          <w:highlight w:val="none"/>
        </w:rPr>
        <w:t>对周围大气环境的影响降低到最</w:t>
      </w:r>
      <w:r>
        <w:rPr>
          <w:rFonts w:hint="eastAsia" w:cs="Times New Roman"/>
          <w:color w:val="auto"/>
          <w:highlight w:val="none"/>
          <w:lang w:val="en-US" w:eastAsia="zh-CN"/>
        </w:rPr>
        <w:t>低</w:t>
      </w:r>
      <w:r>
        <w:rPr>
          <w:rFonts w:cs="Times New Roman"/>
          <w:color w:val="auto"/>
          <w:highlight w:val="none"/>
        </w:rPr>
        <w:t>程度，采取以下防护措施：</w:t>
      </w:r>
    </w:p>
    <w:p w14:paraId="0B6FDD8A">
      <w:pPr>
        <w:spacing w:line="360" w:lineRule="auto"/>
        <w:ind w:firstLine="480"/>
        <w:rPr>
          <w:rFonts w:ascii="Times New Roman"/>
          <w:color w:val="auto"/>
          <w:highlight w:val="none"/>
        </w:rPr>
      </w:pPr>
      <w:r>
        <w:rPr>
          <w:rFonts w:ascii="Times New Roman"/>
          <w:color w:val="auto"/>
          <w:highlight w:val="none"/>
        </w:rPr>
        <w:t>①施工场地应设置施工标志牌、现场平面布置图和安全生产、消防保卫、环境保护、文明施工制度板。</w:t>
      </w:r>
    </w:p>
    <w:p w14:paraId="6C8B513B">
      <w:pPr>
        <w:spacing w:line="360" w:lineRule="auto"/>
        <w:ind w:firstLine="480"/>
        <w:rPr>
          <w:rFonts w:hint="eastAsia"/>
          <w:color w:val="auto"/>
          <w:highlight w:val="none"/>
          <w:lang w:eastAsia="zh-CN"/>
        </w:rPr>
      </w:pPr>
      <w:r>
        <w:rPr>
          <w:rFonts w:ascii="Times New Roman"/>
          <w:color w:val="auto"/>
          <w:highlight w:val="none"/>
        </w:rPr>
        <w:t>②施工现场定期洒水，防止</w:t>
      </w:r>
      <w:r>
        <w:rPr>
          <w:rFonts w:hint="eastAsia"/>
          <w:color w:val="auto"/>
          <w:highlight w:val="none"/>
          <w:lang w:val="en-US" w:eastAsia="zh-CN"/>
        </w:rPr>
        <w:t>扬尘</w:t>
      </w:r>
      <w:r>
        <w:rPr>
          <w:rFonts w:hint="eastAsia"/>
          <w:color w:val="auto"/>
          <w:highlight w:val="none"/>
          <w:lang w:eastAsia="zh-CN"/>
        </w:rPr>
        <w:t>。</w:t>
      </w:r>
      <w:r>
        <w:rPr>
          <w:rFonts w:hint="eastAsia"/>
          <w:color w:val="auto"/>
          <w:highlight w:val="none"/>
          <w:lang w:val="en-US" w:eastAsia="zh-CN"/>
        </w:rPr>
        <w:t>车辆</w:t>
      </w:r>
      <w:r>
        <w:rPr>
          <w:rFonts w:hint="eastAsia"/>
          <w:color w:val="auto"/>
          <w:highlight w:val="none"/>
          <w:lang w:eastAsia="zh-CN"/>
        </w:rPr>
        <w:t>运输采用密闭、</w:t>
      </w:r>
      <w:r>
        <w:rPr>
          <w:rFonts w:ascii="Times New Roman"/>
          <w:color w:val="auto"/>
          <w:highlight w:val="none"/>
        </w:rPr>
        <w:t>加盖</w:t>
      </w:r>
      <w:r>
        <w:rPr>
          <w:rFonts w:hint="eastAsia"/>
          <w:color w:val="auto"/>
          <w:highlight w:val="none"/>
          <w:lang w:eastAsia="zh-CN"/>
        </w:rPr>
        <w:t>篷布</w:t>
      </w:r>
      <w:r>
        <w:rPr>
          <w:rFonts w:ascii="Times New Roman"/>
          <w:color w:val="auto"/>
          <w:highlight w:val="none"/>
        </w:rPr>
        <w:t>。</w:t>
      </w:r>
      <w:r>
        <w:rPr>
          <w:rFonts w:hint="eastAsia" w:ascii="Times New Roman"/>
          <w:color w:val="auto"/>
          <w:highlight w:val="none"/>
        </w:rPr>
        <w:t>在项目回填区边界外围建设隔声隔尘挡板</w:t>
      </w:r>
      <w:r>
        <w:rPr>
          <w:rFonts w:hint="eastAsia"/>
          <w:color w:val="auto"/>
          <w:highlight w:val="none"/>
          <w:lang w:eastAsia="zh-CN"/>
        </w:rPr>
        <w:t>。</w:t>
      </w:r>
    </w:p>
    <w:p w14:paraId="13BD887C">
      <w:pPr>
        <w:pStyle w:val="1361"/>
        <w:spacing w:line="360" w:lineRule="auto"/>
        <w:rPr>
          <w:rFonts w:ascii="Times New Roman"/>
          <w:color w:val="auto"/>
          <w:kern w:val="2"/>
          <w:szCs w:val="24"/>
          <w:highlight w:val="none"/>
        </w:rPr>
      </w:pPr>
      <w:r>
        <w:rPr>
          <w:rFonts w:ascii="Times New Roman"/>
          <w:color w:val="auto"/>
          <w:highlight w:val="none"/>
        </w:rPr>
        <w:t>③</w:t>
      </w:r>
      <w:r>
        <w:rPr>
          <w:rFonts w:ascii="Times New Roman" w:hAnsi="Times New Roman"/>
          <w:color w:val="auto"/>
          <w:highlight w:val="none"/>
        </w:rPr>
        <w:t>运输车辆轮胎定期委托洗车公司冲洗，避免带尘、带泥上路。加强运输车辆的保养，确保运输车辆的密封良好。</w:t>
      </w:r>
      <w:r>
        <w:rPr>
          <w:rFonts w:ascii="Times New Roman"/>
          <w:color w:val="auto"/>
          <w:kern w:val="2"/>
          <w:szCs w:val="24"/>
          <w:highlight w:val="none"/>
        </w:rPr>
        <w:t>通过村庄、集中居住区等敏感点时限速行驶。</w:t>
      </w:r>
    </w:p>
    <w:p w14:paraId="02B45890">
      <w:pPr>
        <w:pStyle w:val="1361"/>
        <w:spacing w:line="360" w:lineRule="auto"/>
        <w:rPr>
          <w:rFonts w:ascii="Times New Roman" w:hAnsi="Times New Roman"/>
          <w:bCs/>
          <w:color w:val="auto"/>
          <w:highlight w:val="none"/>
        </w:rPr>
      </w:pPr>
      <w:r>
        <w:rPr>
          <w:rFonts w:hint="eastAsia"/>
          <w:color w:val="auto"/>
          <w:highlight w:val="none"/>
          <w:lang w:eastAsia="zh-CN"/>
        </w:rPr>
        <w:t>④</w:t>
      </w:r>
      <w:r>
        <w:rPr>
          <w:rFonts w:ascii="Times New Roman" w:hAnsi="Times New Roman"/>
          <w:color w:val="auto"/>
          <w:highlight w:val="none"/>
        </w:rPr>
        <w:t>施工期间，应采用尾气排放达标的运输汽车；运输车辆要统一调度，避免出现拥挤，尽可能正常装载和行驶，以免在交通不畅通的情况下，排出更多的尾气。</w:t>
      </w:r>
      <w:r>
        <w:rPr>
          <w:rFonts w:hint="eastAsia" w:ascii="Times New Roman" w:hAnsi="Times New Roman"/>
          <w:color w:val="auto"/>
          <w:highlight w:val="none"/>
        </w:rPr>
        <w:t>机械设备进行定期维修、养护。</w:t>
      </w:r>
    </w:p>
    <w:p w14:paraId="1FE96B30">
      <w:pPr>
        <w:autoSpaceDE w:val="0"/>
        <w:autoSpaceDN w:val="0"/>
        <w:spacing w:line="360" w:lineRule="auto"/>
        <w:ind w:firstLine="480"/>
        <w:rPr>
          <w:rFonts w:ascii="Times New Roman"/>
          <w:color w:val="auto"/>
          <w:highlight w:val="none"/>
        </w:rPr>
      </w:pPr>
      <w:r>
        <w:rPr>
          <w:rFonts w:ascii="Times New Roman"/>
          <w:color w:val="auto"/>
          <w:highlight w:val="none"/>
        </w:rPr>
        <w:t>综上所述，</w:t>
      </w:r>
      <w:r>
        <w:rPr>
          <w:rFonts w:hint="eastAsia" w:ascii="Times New Roman"/>
          <w:color w:val="auto"/>
          <w:kern w:val="2"/>
          <w:szCs w:val="24"/>
          <w:highlight w:val="none"/>
        </w:rPr>
        <w:t>本项目</w:t>
      </w:r>
      <w:r>
        <w:rPr>
          <w:rFonts w:ascii="Times New Roman"/>
          <w:color w:val="auto"/>
          <w:highlight w:val="none"/>
        </w:rPr>
        <w:t>采取上述防治措施后，</w:t>
      </w:r>
      <w:r>
        <w:rPr>
          <w:rFonts w:cs="Times New Roman"/>
          <w:color w:val="auto"/>
          <w:highlight w:val="none"/>
        </w:rPr>
        <w:t>施工废气和</w:t>
      </w:r>
      <w:r>
        <w:rPr>
          <w:rFonts w:hint="eastAsia"/>
          <w:color w:val="auto"/>
          <w:highlight w:val="none"/>
          <w:lang w:val="en-US" w:eastAsia="zh-CN"/>
        </w:rPr>
        <w:t>机械废气</w:t>
      </w:r>
      <w:r>
        <w:rPr>
          <w:rFonts w:cs="Times New Roman"/>
          <w:color w:val="auto"/>
          <w:highlight w:val="none"/>
        </w:rPr>
        <w:t>对周围环境的影响可降至最低</w:t>
      </w:r>
      <w:r>
        <w:rPr>
          <w:rFonts w:hint="eastAsia" w:ascii="Times New Roman"/>
          <w:color w:val="auto"/>
          <w:highlight w:val="none"/>
          <w:lang w:val="zh-CN"/>
        </w:rPr>
        <w:t>，项目废气治理措施可行</w:t>
      </w:r>
      <w:r>
        <w:rPr>
          <w:rFonts w:ascii="Times New Roman"/>
          <w:color w:val="auto"/>
          <w:highlight w:val="none"/>
        </w:rPr>
        <w:t>。</w:t>
      </w:r>
    </w:p>
    <w:p w14:paraId="4E94D29E">
      <w:pPr>
        <w:pStyle w:val="7"/>
        <w:numPr>
          <w:ilvl w:val="2"/>
          <w:numId w:val="0"/>
        </w:numPr>
        <w:tabs>
          <w:tab w:val="clear" w:pos="2526"/>
        </w:tabs>
        <w:bidi w:val="0"/>
        <w:spacing w:line="360" w:lineRule="auto"/>
        <w:ind w:leftChars="0"/>
        <w:rPr>
          <w:color w:val="auto"/>
          <w:highlight w:val="none"/>
        </w:rPr>
      </w:pPr>
      <w:r>
        <w:rPr>
          <w:color w:val="auto"/>
          <w:highlight w:val="none"/>
        </w:rPr>
        <w:t>6.1.2施工期水环境保护措施</w:t>
      </w:r>
    </w:p>
    <w:p w14:paraId="0CCB1A71">
      <w:pPr>
        <w:pStyle w:val="217"/>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cs="Times New Roman"/>
          <w:color w:val="auto"/>
          <w:highlight w:val="none"/>
        </w:rPr>
      </w:pPr>
      <w:r>
        <w:rPr>
          <w:rFonts w:cs="Times New Roman"/>
          <w:color w:val="auto"/>
          <w:highlight w:val="none"/>
        </w:rPr>
        <w:t>施工期废水主要为生活污水、施工废水。</w:t>
      </w:r>
    </w:p>
    <w:p w14:paraId="36304E3C">
      <w:pPr>
        <w:pStyle w:val="217"/>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cs="Times New Roman"/>
          <w:color w:val="auto"/>
          <w:highlight w:val="none"/>
        </w:rPr>
      </w:pPr>
      <w:r>
        <w:rPr>
          <w:rFonts w:hint="eastAsia" w:cs="Times New Roman"/>
          <w:color w:val="auto"/>
          <w:highlight w:val="none"/>
          <w:lang w:eastAsia="zh-CN"/>
        </w:rPr>
        <w:t>（</w:t>
      </w:r>
      <w:r>
        <w:rPr>
          <w:rFonts w:hint="eastAsia" w:cs="Times New Roman"/>
          <w:color w:val="auto"/>
          <w:highlight w:val="none"/>
          <w:lang w:val="en-US" w:eastAsia="zh-CN"/>
        </w:rPr>
        <w:t>1</w:t>
      </w:r>
      <w:r>
        <w:rPr>
          <w:rFonts w:hint="eastAsia" w:cs="Times New Roman"/>
          <w:color w:val="auto"/>
          <w:highlight w:val="none"/>
          <w:lang w:eastAsia="zh-CN"/>
        </w:rPr>
        <w:t>）</w:t>
      </w:r>
      <w:r>
        <w:rPr>
          <w:rFonts w:cs="Times New Roman"/>
          <w:color w:val="auto"/>
          <w:highlight w:val="none"/>
        </w:rPr>
        <w:t>施工人员生活污水主要污染物为COD</w:t>
      </w:r>
      <w:r>
        <w:rPr>
          <w:rFonts w:hint="eastAsia" w:cs="Times New Roman"/>
          <w:color w:val="auto"/>
          <w:highlight w:val="none"/>
          <w:lang w:eastAsia="zh-CN"/>
        </w:rPr>
        <w:t>、</w:t>
      </w:r>
      <w:r>
        <w:rPr>
          <w:rFonts w:hint="eastAsia" w:cs="Times New Roman"/>
          <w:color w:val="auto"/>
          <w:highlight w:val="none"/>
          <w:lang w:val="en-US" w:eastAsia="zh-CN"/>
        </w:rPr>
        <w:t>NH</w:t>
      </w:r>
      <w:r>
        <w:rPr>
          <w:rFonts w:hint="eastAsia" w:cs="Times New Roman"/>
          <w:color w:val="auto"/>
          <w:highlight w:val="none"/>
          <w:vertAlign w:val="subscript"/>
          <w:lang w:val="en-US" w:eastAsia="zh-CN"/>
        </w:rPr>
        <w:t>3</w:t>
      </w:r>
      <w:r>
        <w:rPr>
          <w:rFonts w:hint="eastAsia" w:cs="Times New Roman"/>
          <w:color w:val="auto"/>
          <w:highlight w:val="none"/>
          <w:lang w:val="en-US" w:eastAsia="zh-CN"/>
        </w:rPr>
        <w:t>-N</w:t>
      </w:r>
      <w:r>
        <w:rPr>
          <w:rFonts w:cs="Times New Roman"/>
          <w:color w:val="auto"/>
          <w:highlight w:val="none"/>
        </w:rPr>
        <w:t>，生活污水</w:t>
      </w:r>
      <w:r>
        <w:rPr>
          <w:rFonts w:hint="eastAsia" w:cs="Times New Roman"/>
          <w:color w:val="auto"/>
          <w:highlight w:val="none"/>
        </w:rPr>
        <w:t>依</w:t>
      </w:r>
      <w:r>
        <w:rPr>
          <w:rFonts w:hint="eastAsia" w:ascii="Times New Roman" w:hAnsi="Times New Roman" w:eastAsia="宋体" w:cs="Times New Roman"/>
          <w:snapToGrid/>
          <w:color w:val="auto"/>
          <w:kern w:val="2"/>
          <w:sz w:val="24"/>
          <w:szCs w:val="22"/>
          <w:highlight w:val="none"/>
          <w:lang w:val="en-US" w:eastAsia="zh-CN" w:bidi="ar-SA"/>
        </w:rPr>
        <w:t>民房防渗旱厕，定期外运堆肥</w:t>
      </w:r>
      <w:r>
        <w:rPr>
          <w:rFonts w:cs="Times New Roman"/>
          <w:color w:val="auto"/>
          <w:highlight w:val="none"/>
        </w:rPr>
        <w:t>，对环境影响很小。</w:t>
      </w:r>
    </w:p>
    <w:p w14:paraId="138E78A6">
      <w:pPr>
        <w:pStyle w:val="217"/>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cs="Times New Roman"/>
          <w:color w:val="auto"/>
          <w:highlight w:val="none"/>
        </w:rPr>
      </w:pPr>
      <w:r>
        <w:rPr>
          <w:rFonts w:hint="eastAsia" w:cs="Times New Roman"/>
          <w:color w:val="auto"/>
          <w:highlight w:val="none"/>
          <w:lang w:eastAsia="zh-CN"/>
        </w:rPr>
        <w:t>（</w:t>
      </w:r>
      <w:r>
        <w:rPr>
          <w:rFonts w:hint="eastAsia" w:cs="Times New Roman"/>
          <w:color w:val="auto"/>
          <w:highlight w:val="none"/>
          <w:lang w:val="en-US" w:eastAsia="zh-CN"/>
        </w:rPr>
        <w:t>2</w:t>
      </w:r>
      <w:r>
        <w:rPr>
          <w:rFonts w:hint="eastAsia" w:cs="Times New Roman"/>
          <w:color w:val="auto"/>
          <w:highlight w:val="none"/>
          <w:lang w:eastAsia="zh-CN"/>
        </w:rPr>
        <w:t>）</w:t>
      </w:r>
      <w:r>
        <w:rPr>
          <w:rFonts w:cs="Times New Roman"/>
          <w:color w:val="auto"/>
          <w:highlight w:val="none"/>
        </w:rPr>
        <w:t>施工过程中产生的施工废水主要污染物为SS，沉淀后用于洒水抑尘，不外排。</w:t>
      </w:r>
    </w:p>
    <w:p w14:paraId="46E790B8">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left"/>
        <w:textAlignment w:val="auto"/>
        <w:rPr>
          <w:color w:val="auto"/>
          <w:kern w:val="0"/>
          <w:szCs w:val="20"/>
          <w:highlight w:val="none"/>
        </w:rPr>
      </w:pPr>
      <w:r>
        <w:rPr>
          <w:color w:val="auto"/>
          <w:kern w:val="0"/>
          <w:szCs w:val="20"/>
          <w:highlight w:val="none"/>
        </w:rPr>
        <w:t>经过上述措施，</w:t>
      </w:r>
      <w:r>
        <w:rPr>
          <w:rFonts w:hint="eastAsia"/>
          <w:color w:val="auto"/>
          <w:kern w:val="0"/>
          <w:szCs w:val="20"/>
          <w:highlight w:val="none"/>
          <w:lang w:eastAsia="zh-CN"/>
        </w:rPr>
        <w:t>本项目</w:t>
      </w:r>
      <w:r>
        <w:rPr>
          <w:color w:val="auto"/>
          <w:kern w:val="0"/>
          <w:szCs w:val="20"/>
          <w:highlight w:val="none"/>
        </w:rPr>
        <w:t>施工期对地表水的影响很小。</w:t>
      </w:r>
    </w:p>
    <w:p w14:paraId="6A281C17">
      <w:pPr>
        <w:pStyle w:val="217"/>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snapToGrid w:val="0"/>
          <w:color w:val="auto"/>
          <w:kern w:val="2"/>
          <w:sz w:val="24"/>
          <w:szCs w:val="21"/>
          <w:highlight w:val="none"/>
          <w:lang w:val="en-US" w:eastAsia="zh-CN" w:bidi="ar-SA"/>
        </w:rPr>
        <w:t>（3）</w:t>
      </w:r>
      <w:r>
        <w:rPr>
          <w:rFonts w:hint="eastAsia" w:ascii="Times New Roman" w:hAnsi="Times New Roman" w:eastAsia="宋体" w:cs="Times New Roman"/>
          <w:color w:val="auto"/>
          <w:highlight w:val="none"/>
        </w:rPr>
        <w:t>在回填区</w:t>
      </w:r>
      <w:r>
        <w:rPr>
          <w:rFonts w:hint="eastAsia" w:ascii="Times New Roman" w:hAnsi="Times New Roman" w:eastAsia="宋体" w:cs="Times New Roman"/>
          <w:color w:val="auto"/>
          <w:highlight w:val="none"/>
          <w:lang w:val="en-US" w:eastAsia="zh-CN"/>
        </w:rPr>
        <w:t>西</w:t>
      </w:r>
      <w:r>
        <w:rPr>
          <w:rFonts w:hint="eastAsia" w:ascii="Times New Roman" w:hAnsi="Times New Roman" w:eastAsia="宋体" w:cs="Times New Roman"/>
          <w:color w:val="auto"/>
          <w:highlight w:val="none"/>
        </w:rPr>
        <w:t>侧和</w:t>
      </w:r>
      <w:r>
        <w:rPr>
          <w:rFonts w:hint="eastAsia" w:ascii="Times New Roman" w:hAnsi="Times New Roman" w:eastAsia="宋体" w:cs="Times New Roman"/>
          <w:color w:val="auto"/>
          <w:highlight w:val="none"/>
          <w:lang w:val="en-US" w:eastAsia="zh-CN"/>
        </w:rPr>
        <w:t>北</w:t>
      </w:r>
      <w:r>
        <w:rPr>
          <w:rFonts w:hint="eastAsia" w:ascii="Times New Roman" w:hAnsi="Times New Roman" w:eastAsia="宋体" w:cs="Times New Roman"/>
          <w:color w:val="auto"/>
          <w:highlight w:val="none"/>
        </w:rPr>
        <w:t>侧</w:t>
      </w:r>
      <w:r>
        <w:rPr>
          <w:rFonts w:hint="default" w:ascii="Times New Roman" w:hAnsi="Times New Roman" w:eastAsia="宋体" w:cs="Times New Roman"/>
          <w:color w:val="auto"/>
          <w:highlight w:val="none"/>
        </w:rPr>
        <w:t>设置</w:t>
      </w:r>
      <w:r>
        <w:rPr>
          <w:rFonts w:hint="eastAsia" w:ascii="Times New Roman" w:hAnsi="Times New Roman" w:eastAsia="宋体" w:cs="Times New Roman"/>
          <w:color w:val="auto"/>
          <w:highlight w:val="none"/>
          <w:lang w:eastAsia="zh-CN"/>
        </w:rPr>
        <w:t>拦挡埂</w:t>
      </w:r>
      <w:r>
        <w:rPr>
          <w:rFonts w:hint="default"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eastAsia="zh-CN"/>
        </w:rPr>
        <w:t>拦挡埂</w:t>
      </w:r>
      <w:r>
        <w:rPr>
          <w:rFonts w:hint="default" w:ascii="Times New Roman" w:hAnsi="Times New Roman" w:eastAsia="宋体" w:cs="Times New Roman"/>
          <w:color w:val="auto"/>
          <w:highlight w:val="none"/>
        </w:rPr>
        <w:t>采用袋装土挡护，挡土袋高0.25m，宽0.4m</w:t>
      </w:r>
      <w:r>
        <w:rPr>
          <w:rFonts w:hint="eastAsia" w:ascii="Times New Roman" w:hAnsi="Times New Roman" w:eastAsia="宋体" w:cs="Times New Roman"/>
          <w:color w:val="auto"/>
          <w:highlight w:val="none"/>
        </w:rPr>
        <w:t>，长度</w:t>
      </w:r>
      <w:r>
        <w:rPr>
          <w:rFonts w:hint="eastAsia" w:ascii="Times New Roman" w:hAnsi="Times New Roman" w:eastAsia="宋体" w:cs="Times New Roman"/>
          <w:color w:val="auto"/>
          <w:highlight w:val="none"/>
          <w:lang w:val="en-US" w:eastAsia="zh-CN"/>
        </w:rPr>
        <w:t>约700</w:t>
      </w:r>
      <w:r>
        <w:rPr>
          <w:rFonts w:ascii="Times New Roman" w:hAnsi="Times New Roman" w:eastAsia="宋体" w:cs="Times New Roman"/>
          <w:color w:val="auto"/>
          <w:highlight w:val="none"/>
        </w:rPr>
        <w:t>m</w:t>
      </w:r>
      <w:r>
        <w:rPr>
          <w:rFonts w:hint="eastAsia" w:ascii="Times New Roman" w:hAnsi="Times New Roman" w:eastAsia="宋体" w:cs="Times New Roman"/>
          <w:color w:val="auto"/>
          <w:highlight w:val="none"/>
        </w:rPr>
        <w:t>，减少雨水对覆盖土的冲刷和向</w:t>
      </w:r>
      <w:r>
        <w:rPr>
          <w:rFonts w:hint="eastAsia" w:ascii="Times New Roman"/>
          <w:color w:val="auto"/>
          <w:highlight w:val="none"/>
          <w:lang w:val="en-US" w:eastAsia="zh-CN"/>
        </w:rPr>
        <w:t>采砂坑</w:t>
      </w:r>
      <w:r>
        <w:rPr>
          <w:rFonts w:hint="eastAsia" w:ascii="Times New Roman" w:hAnsi="Times New Roman" w:eastAsia="宋体" w:cs="Times New Roman"/>
          <w:color w:val="auto"/>
          <w:highlight w:val="none"/>
        </w:rPr>
        <w:t>的渗漏。</w:t>
      </w:r>
    </w:p>
    <w:p w14:paraId="2CEF5C1E">
      <w:pPr>
        <w:pStyle w:val="7"/>
        <w:numPr>
          <w:ilvl w:val="2"/>
          <w:numId w:val="0"/>
        </w:numPr>
        <w:bidi w:val="0"/>
        <w:spacing w:line="360" w:lineRule="auto"/>
        <w:ind w:leftChars="0"/>
        <w:rPr>
          <w:color w:val="auto"/>
          <w:highlight w:val="none"/>
        </w:rPr>
      </w:pPr>
      <w:bookmarkStart w:id="700" w:name="_Toc229895252"/>
      <w:bookmarkStart w:id="701" w:name="_Toc438119530"/>
      <w:bookmarkStart w:id="702" w:name="_Toc431370868"/>
      <w:r>
        <w:rPr>
          <w:rFonts w:hint="eastAsia"/>
          <w:color w:val="auto"/>
          <w:highlight w:val="none"/>
        </w:rPr>
        <w:t>6.1.3</w:t>
      </w:r>
      <w:r>
        <w:rPr>
          <w:color w:val="auto"/>
          <w:highlight w:val="none"/>
        </w:rPr>
        <w:t>施工期噪声污染防治措施</w:t>
      </w:r>
      <w:bookmarkEnd w:id="700"/>
      <w:bookmarkEnd w:id="701"/>
      <w:bookmarkEnd w:id="702"/>
    </w:p>
    <w:p w14:paraId="63629EDC">
      <w:pPr>
        <w:pStyle w:val="217"/>
        <w:spacing w:line="360" w:lineRule="auto"/>
        <w:ind w:firstLine="480"/>
        <w:rPr>
          <w:color w:val="auto"/>
          <w:kern w:val="0"/>
          <w:szCs w:val="20"/>
          <w:highlight w:val="none"/>
        </w:rPr>
      </w:pPr>
      <w:r>
        <w:rPr>
          <w:rFonts w:cs="Times New Roman"/>
          <w:color w:val="auto"/>
          <w:highlight w:val="none"/>
        </w:rPr>
        <w:t>项目施工期噪声主要来源于施工机械噪声和运输车辆噪声。</w:t>
      </w:r>
      <w:r>
        <w:rPr>
          <w:color w:val="auto"/>
          <w:kern w:val="0"/>
          <w:szCs w:val="20"/>
          <w:highlight w:val="none"/>
        </w:rPr>
        <w:t>为了使</w:t>
      </w:r>
      <w:r>
        <w:rPr>
          <w:rFonts w:hint="eastAsia"/>
          <w:color w:val="auto"/>
          <w:kern w:val="0"/>
          <w:szCs w:val="20"/>
          <w:highlight w:val="none"/>
          <w:lang w:val="en-US" w:eastAsia="zh-CN"/>
        </w:rPr>
        <w:t>厂</w:t>
      </w:r>
      <w:r>
        <w:rPr>
          <w:color w:val="auto"/>
          <w:kern w:val="0"/>
          <w:szCs w:val="20"/>
          <w:highlight w:val="none"/>
        </w:rPr>
        <w:t>界噪声的声环境达标，建议采取以下减缓措施：</w:t>
      </w:r>
    </w:p>
    <w:p w14:paraId="7B0659C2">
      <w:pPr>
        <w:spacing w:line="360" w:lineRule="auto"/>
        <w:ind w:firstLine="480"/>
        <w:rPr>
          <w:rFonts w:hint="eastAsia" w:eastAsia="宋体"/>
          <w:color w:val="auto"/>
          <w:highlight w:val="none"/>
          <w:lang w:eastAsia="zh-CN"/>
        </w:rPr>
      </w:pPr>
      <w:r>
        <w:rPr>
          <w:rFonts w:hint="eastAsia"/>
          <w:color w:val="auto"/>
          <w:highlight w:val="none"/>
        </w:rPr>
        <w:t>（</w:t>
      </w:r>
      <w:r>
        <w:rPr>
          <w:rFonts w:hint="eastAsia"/>
          <w:color w:val="auto"/>
          <w:highlight w:val="none"/>
          <w:lang w:val="en-US" w:eastAsia="zh-CN"/>
        </w:rPr>
        <w:t>1</w:t>
      </w:r>
      <w:r>
        <w:rPr>
          <w:rFonts w:hint="eastAsia"/>
          <w:color w:val="auto"/>
          <w:highlight w:val="none"/>
        </w:rPr>
        <w:t>）采用低噪声设备；机械设备进行定期的维修、养护，闲置不用的设备应立即关闭</w:t>
      </w:r>
      <w:r>
        <w:rPr>
          <w:rFonts w:hint="eastAsia"/>
          <w:color w:val="auto"/>
          <w:highlight w:val="none"/>
          <w:lang w:eastAsia="zh-CN"/>
        </w:rPr>
        <w:t>。</w:t>
      </w:r>
    </w:p>
    <w:p w14:paraId="35F2D17D">
      <w:pPr>
        <w:spacing w:line="360" w:lineRule="auto"/>
        <w:ind w:firstLine="480"/>
        <w:rPr>
          <w:rFonts w:hint="eastAsia"/>
          <w:color w:val="auto"/>
          <w:highlight w:val="none"/>
          <w:lang w:eastAsia="zh-CN"/>
        </w:rPr>
      </w:pPr>
      <w:r>
        <w:rPr>
          <w:rFonts w:hint="eastAsia"/>
          <w:color w:val="auto"/>
          <w:highlight w:val="none"/>
        </w:rPr>
        <w:t>（</w:t>
      </w:r>
      <w:r>
        <w:rPr>
          <w:rFonts w:hint="eastAsia"/>
          <w:color w:val="auto"/>
          <w:highlight w:val="none"/>
          <w:lang w:val="en-US" w:eastAsia="zh-CN"/>
        </w:rPr>
        <w:t>2</w:t>
      </w:r>
      <w:r>
        <w:rPr>
          <w:rFonts w:hint="eastAsia"/>
          <w:color w:val="auto"/>
          <w:highlight w:val="none"/>
        </w:rPr>
        <w:t>）按规定操作机械设备，遵守作业规定，减少碰撞噪</w:t>
      </w:r>
      <w:r>
        <w:rPr>
          <w:rFonts w:hint="eastAsia"/>
          <w:color w:val="auto"/>
          <w:highlight w:val="none"/>
          <w:lang w:val="en-US" w:eastAsia="zh-CN"/>
        </w:rPr>
        <w:t>声</w:t>
      </w:r>
      <w:r>
        <w:rPr>
          <w:rFonts w:hint="eastAsia"/>
          <w:color w:val="auto"/>
          <w:highlight w:val="none"/>
          <w:lang w:eastAsia="zh-CN"/>
        </w:rPr>
        <w:t>。</w:t>
      </w:r>
    </w:p>
    <w:p w14:paraId="5BF5D6C5">
      <w:pPr>
        <w:spacing w:line="360" w:lineRule="auto"/>
        <w:ind w:firstLine="480"/>
        <w:rPr>
          <w:color w:val="auto"/>
          <w:highlight w:val="none"/>
        </w:rPr>
      </w:pPr>
      <w:r>
        <w:rPr>
          <w:color w:val="auto"/>
          <w:highlight w:val="none"/>
        </w:rPr>
        <w:t>在严格执行本报告提出的污染防治措施的前提下，施工期噪声满足《建筑施工噪声排放标准》（GB12523-20</w:t>
      </w:r>
      <w:r>
        <w:rPr>
          <w:rFonts w:hint="eastAsia"/>
          <w:color w:val="auto"/>
          <w:highlight w:val="none"/>
          <w:lang w:val="en-US" w:eastAsia="zh-CN"/>
        </w:rPr>
        <w:t>25</w:t>
      </w:r>
      <w:r>
        <w:rPr>
          <w:color w:val="auto"/>
          <w:highlight w:val="none"/>
        </w:rPr>
        <w:t>）中的排放限值，对周围环境的影响是可以被接受的。</w:t>
      </w:r>
    </w:p>
    <w:p w14:paraId="3777A6C2">
      <w:pPr>
        <w:pStyle w:val="7"/>
        <w:numPr>
          <w:ilvl w:val="2"/>
          <w:numId w:val="0"/>
        </w:numPr>
        <w:bidi w:val="0"/>
        <w:spacing w:line="360" w:lineRule="auto"/>
        <w:ind w:leftChars="0"/>
        <w:rPr>
          <w:color w:val="auto"/>
          <w:highlight w:val="none"/>
        </w:rPr>
      </w:pPr>
      <w:r>
        <w:rPr>
          <w:color w:val="auto"/>
          <w:highlight w:val="none"/>
        </w:rPr>
        <w:t>6.1.4施工期固体废物处置措施</w:t>
      </w:r>
    </w:p>
    <w:p w14:paraId="38B27DAB">
      <w:pPr>
        <w:bidi w:val="0"/>
        <w:spacing w:line="360" w:lineRule="auto"/>
        <w:rPr>
          <w:color w:val="auto"/>
          <w:highlight w:val="none"/>
        </w:rPr>
      </w:pPr>
      <w:r>
        <w:rPr>
          <w:color w:val="auto"/>
          <w:highlight w:val="none"/>
        </w:rPr>
        <w:t>固体废物主要为生活垃圾。</w:t>
      </w:r>
    </w:p>
    <w:p w14:paraId="139E5858">
      <w:pPr>
        <w:bidi w:val="0"/>
        <w:spacing w:line="360" w:lineRule="auto"/>
        <w:rPr>
          <w:color w:val="auto"/>
          <w:highlight w:val="none"/>
        </w:rPr>
      </w:pPr>
      <w:r>
        <w:rPr>
          <w:rFonts w:hint="eastAsia"/>
          <w:color w:val="auto"/>
          <w:highlight w:val="none"/>
          <w:lang w:val="en-US" w:eastAsia="zh-CN"/>
        </w:rPr>
        <w:t>生活垃圾：</w:t>
      </w:r>
      <w:r>
        <w:rPr>
          <w:color w:val="auto"/>
          <w:highlight w:val="none"/>
        </w:rPr>
        <w:t>统一收集，定期</w:t>
      </w:r>
      <w:r>
        <w:rPr>
          <w:rFonts w:hint="eastAsia"/>
          <w:color w:val="auto"/>
          <w:highlight w:val="none"/>
          <w:lang w:val="en-US" w:eastAsia="zh-CN"/>
        </w:rPr>
        <w:t>由市政</w:t>
      </w:r>
      <w:r>
        <w:rPr>
          <w:color w:val="auto"/>
          <w:highlight w:val="none"/>
        </w:rPr>
        <w:t>环卫部门</w:t>
      </w:r>
      <w:r>
        <w:rPr>
          <w:rFonts w:hint="eastAsia"/>
          <w:color w:val="auto"/>
          <w:highlight w:val="none"/>
          <w:lang w:val="en-US" w:eastAsia="zh-CN"/>
        </w:rPr>
        <w:t>处理</w:t>
      </w:r>
      <w:r>
        <w:rPr>
          <w:color w:val="auto"/>
          <w:highlight w:val="none"/>
        </w:rPr>
        <w:t>。</w:t>
      </w:r>
    </w:p>
    <w:p w14:paraId="7B195AE5">
      <w:pPr>
        <w:pStyle w:val="217"/>
        <w:spacing w:line="360" w:lineRule="auto"/>
        <w:ind w:firstLine="480"/>
        <w:rPr>
          <w:rFonts w:cs="Times New Roman"/>
          <w:color w:val="auto"/>
          <w:highlight w:val="none"/>
        </w:rPr>
      </w:pPr>
      <w:r>
        <w:rPr>
          <w:rFonts w:cs="Times New Roman"/>
          <w:color w:val="auto"/>
          <w:highlight w:val="none"/>
        </w:rPr>
        <w:t>采取上述措施，本项目施工期产生的固废处置率100%，不会对环境产生明显影响，施工期固体废物处置措施可行。</w:t>
      </w:r>
    </w:p>
    <w:p w14:paraId="3785CB70">
      <w:pPr>
        <w:pStyle w:val="7"/>
        <w:numPr>
          <w:ilvl w:val="2"/>
          <w:numId w:val="0"/>
        </w:numPr>
        <w:bidi w:val="0"/>
        <w:spacing w:line="360" w:lineRule="auto"/>
        <w:ind w:leftChars="0"/>
        <w:rPr>
          <w:color w:val="auto"/>
          <w:highlight w:val="none"/>
        </w:rPr>
      </w:pPr>
      <w:r>
        <w:rPr>
          <w:rFonts w:hint="eastAsia"/>
          <w:color w:val="auto"/>
          <w:highlight w:val="none"/>
        </w:rPr>
        <w:t>6.1.5</w:t>
      </w:r>
      <w:r>
        <w:rPr>
          <w:color w:val="auto"/>
          <w:highlight w:val="none"/>
        </w:rPr>
        <w:t>生态环境污染防治措施</w:t>
      </w:r>
    </w:p>
    <w:p w14:paraId="2E8414A3">
      <w:pPr>
        <w:bidi w:val="0"/>
        <w:spacing w:line="360" w:lineRule="auto"/>
        <w:rPr>
          <w:rFonts w:hint="default"/>
          <w:color w:val="auto"/>
          <w:highlight w:val="none"/>
          <w:lang w:val="en-US" w:eastAsia="zh-CN"/>
        </w:rPr>
      </w:pPr>
      <w:r>
        <w:rPr>
          <w:rFonts w:hint="default"/>
          <w:color w:val="auto"/>
          <w:highlight w:val="none"/>
          <w:lang w:val="en-US" w:eastAsia="zh-CN"/>
        </w:rPr>
        <w:t>6.1.</w:t>
      </w:r>
      <w:r>
        <w:rPr>
          <w:rFonts w:hint="eastAsia"/>
          <w:color w:val="auto"/>
          <w:highlight w:val="none"/>
          <w:lang w:val="en-US" w:eastAsia="zh-CN"/>
        </w:rPr>
        <w:t>5.</w:t>
      </w:r>
      <w:r>
        <w:rPr>
          <w:rFonts w:hint="default"/>
          <w:color w:val="auto"/>
          <w:highlight w:val="none"/>
          <w:lang w:val="en-US" w:eastAsia="zh-CN"/>
        </w:rPr>
        <w:t>1陆生生态保护措施</w:t>
      </w:r>
    </w:p>
    <w:p w14:paraId="5319E3B8">
      <w:pPr>
        <w:pStyle w:val="217"/>
        <w:spacing w:line="360" w:lineRule="auto"/>
        <w:ind w:firstLine="480"/>
        <w:rPr>
          <w:rFonts w:hint="default" w:ascii="Times New Roman" w:hAnsi="Times New Roman" w:eastAsia="宋体" w:cs="Times New Roman"/>
          <w:color w:val="auto"/>
          <w:szCs w:val="24"/>
          <w:highlight w:val="none"/>
        </w:rPr>
      </w:pPr>
      <w:r>
        <w:rPr>
          <w:rFonts w:hint="default" w:ascii="Times New Roman" w:hAnsi="Times New Roman" w:eastAsia="宋体" w:cs="Times New Roman"/>
          <w:color w:val="auto"/>
          <w:szCs w:val="24"/>
          <w:highlight w:val="none"/>
        </w:rPr>
        <w:t>本项目施工期不涉及临时用地，施工临时占地位于永久占地范围内。根据自然资源损失补偿和受损区域恢复原则，该项目必须采取一定的生态恢复和补偿措施，以削减生态影响程度，改善区域生态系统功能。</w:t>
      </w:r>
    </w:p>
    <w:p w14:paraId="40C02FAD">
      <w:pPr>
        <w:pStyle w:val="217"/>
        <w:spacing w:line="360" w:lineRule="auto"/>
        <w:ind w:firstLine="480"/>
        <w:rPr>
          <w:rFonts w:hint="default" w:ascii="Times New Roman" w:hAnsi="Times New Roman" w:eastAsia="宋体" w:cs="Times New Roman"/>
          <w:color w:val="auto"/>
          <w:szCs w:val="24"/>
          <w:highlight w:val="none"/>
        </w:rPr>
      </w:pPr>
      <w:r>
        <w:rPr>
          <w:rFonts w:hint="default" w:ascii="Times New Roman" w:hAnsi="Times New Roman" w:eastAsia="宋体" w:cs="Times New Roman"/>
          <w:color w:val="auto"/>
          <w:szCs w:val="24"/>
          <w:highlight w:val="none"/>
        </w:rPr>
        <w:t>（1）施工现场生态环境保护措施</w:t>
      </w:r>
    </w:p>
    <w:p w14:paraId="5F0D0610">
      <w:pPr>
        <w:pStyle w:val="217"/>
        <w:spacing w:line="360" w:lineRule="auto"/>
        <w:ind w:firstLine="480"/>
        <w:rPr>
          <w:rFonts w:hint="default" w:ascii="Times New Roman" w:hAnsi="Times New Roman" w:eastAsia="宋体" w:cs="Times New Roman"/>
          <w:color w:val="auto"/>
          <w:szCs w:val="24"/>
          <w:highlight w:val="none"/>
        </w:rPr>
      </w:pPr>
      <w:r>
        <w:rPr>
          <w:rFonts w:hint="default" w:ascii="Times New Roman" w:hAnsi="Times New Roman" w:eastAsia="宋体" w:cs="Times New Roman"/>
          <w:color w:val="auto"/>
          <w:szCs w:val="24"/>
          <w:highlight w:val="none"/>
        </w:rPr>
        <w:t>①施工现场总体布局要清晰，现场各种施工行为要有序，整个现场要有统一管理，并且管理要得力，施工现场布局应合理，保证环境干净卫生，尽量缩小施工范围，施工完毕尽快整理施工现场。</w:t>
      </w:r>
    </w:p>
    <w:p w14:paraId="1F2F350A">
      <w:pPr>
        <w:pStyle w:val="217"/>
        <w:spacing w:line="360" w:lineRule="auto"/>
        <w:ind w:firstLine="480"/>
        <w:rPr>
          <w:rFonts w:hint="default" w:ascii="Times New Roman" w:hAnsi="Times New Roman" w:eastAsia="宋体" w:cs="Times New Roman"/>
          <w:color w:val="auto"/>
          <w:szCs w:val="24"/>
          <w:highlight w:val="none"/>
        </w:rPr>
      </w:pPr>
      <w:r>
        <w:rPr>
          <w:rFonts w:hint="default" w:ascii="Times New Roman" w:hAnsi="Times New Roman" w:eastAsia="宋体" w:cs="Times New Roman"/>
          <w:color w:val="auto"/>
          <w:szCs w:val="24"/>
          <w:highlight w:val="none"/>
        </w:rPr>
        <w:t>②施工队在现场应有其固定活动范围，划定回填作业区等，保护周围环境。生活垃圾</w:t>
      </w:r>
      <w:r>
        <w:rPr>
          <w:rFonts w:hint="eastAsia" w:ascii="Times New Roman" w:hAnsi="Times New Roman" w:eastAsia="宋体" w:cs="Times New Roman"/>
          <w:color w:val="auto"/>
          <w:szCs w:val="24"/>
          <w:highlight w:val="none"/>
          <w:lang w:val="en-US" w:eastAsia="zh-CN"/>
        </w:rPr>
        <w:t>集中收集，定期由市政环卫部门</w:t>
      </w:r>
      <w:r>
        <w:rPr>
          <w:rFonts w:hint="default" w:ascii="Times New Roman" w:hAnsi="Times New Roman" w:eastAsia="宋体" w:cs="Times New Roman"/>
          <w:color w:val="auto"/>
          <w:szCs w:val="24"/>
          <w:highlight w:val="none"/>
        </w:rPr>
        <w:t>清运</w:t>
      </w:r>
      <w:r>
        <w:rPr>
          <w:rFonts w:hint="eastAsia" w:ascii="Times New Roman" w:hAnsi="Times New Roman" w:eastAsia="宋体" w:cs="Times New Roman"/>
          <w:color w:val="auto"/>
          <w:szCs w:val="24"/>
          <w:highlight w:val="none"/>
          <w:lang w:val="en-US" w:eastAsia="zh-CN"/>
        </w:rPr>
        <w:t>处理</w:t>
      </w:r>
      <w:r>
        <w:rPr>
          <w:rFonts w:hint="default" w:ascii="Times New Roman" w:hAnsi="Times New Roman" w:eastAsia="宋体" w:cs="Times New Roman"/>
          <w:color w:val="auto"/>
          <w:szCs w:val="24"/>
          <w:highlight w:val="none"/>
        </w:rPr>
        <w:t>，坚决杜绝随意丢弃垃圾。</w:t>
      </w:r>
    </w:p>
    <w:p w14:paraId="47F632A2">
      <w:pPr>
        <w:pStyle w:val="217"/>
        <w:spacing w:line="360" w:lineRule="auto"/>
        <w:ind w:firstLine="480"/>
        <w:rPr>
          <w:rFonts w:hint="default" w:ascii="Times New Roman" w:hAnsi="Times New Roman" w:eastAsia="宋体" w:cs="Times New Roman"/>
          <w:color w:val="auto"/>
          <w:szCs w:val="24"/>
          <w:highlight w:val="none"/>
        </w:rPr>
      </w:pPr>
      <w:r>
        <w:rPr>
          <w:rFonts w:hint="default" w:ascii="Times New Roman" w:hAnsi="Times New Roman" w:eastAsia="宋体" w:cs="Times New Roman"/>
          <w:color w:val="auto"/>
          <w:szCs w:val="24"/>
          <w:highlight w:val="none"/>
        </w:rPr>
        <w:t>③对施工人员加强管理并进行工作责任教育，杜绝施工中出现浪费资源及物料的现象。</w:t>
      </w:r>
    </w:p>
    <w:p w14:paraId="493B9F48">
      <w:pPr>
        <w:pStyle w:val="217"/>
        <w:spacing w:line="360" w:lineRule="auto"/>
        <w:ind w:firstLine="480"/>
        <w:rPr>
          <w:rFonts w:hint="default" w:ascii="Times New Roman" w:hAnsi="Times New Roman" w:eastAsia="宋体" w:cs="Times New Roman"/>
          <w:color w:val="auto"/>
          <w:szCs w:val="24"/>
          <w:highlight w:val="none"/>
        </w:rPr>
      </w:pPr>
      <w:r>
        <w:rPr>
          <w:rFonts w:hint="default" w:ascii="Times New Roman" w:hAnsi="Times New Roman" w:eastAsia="宋体" w:cs="Times New Roman"/>
          <w:color w:val="auto"/>
          <w:szCs w:val="24"/>
          <w:highlight w:val="none"/>
        </w:rPr>
        <w:t>通过以上措施可减小对地表的破坏，同时扩大场区绿化面积，可调节场区的环境空气状况、涵养自然降水，为部分生物提供良好的生存环境，提高场区景观舒适度。</w:t>
      </w:r>
    </w:p>
    <w:p w14:paraId="6A9CC9EC">
      <w:pPr>
        <w:pStyle w:val="217"/>
        <w:numPr>
          <w:ilvl w:val="0"/>
          <w:numId w:val="0"/>
        </w:numPr>
        <w:spacing w:line="360" w:lineRule="auto"/>
        <w:ind w:firstLine="480" w:firstLineChars="200"/>
        <w:rPr>
          <w:rFonts w:hint="default" w:ascii="Times New Roman" w:hAnsi="Times New Roman" w:eastAsia="宋体" w:cs="Times New Roman"/>
          <w:color w:val="auto"/>
          <w:szCs w:val="24"/>
          <w:highlight w:val="none"/>
        </w:rPr>
      </w:pPr>
      <w:r>
        <w:rPr>
          <w:rFonts w:hint="default" w:ascii="Times New Roman" w:hAnsi="Times New Roman" w:eastAsia="宋体" w:cs="Times New Roman"/>
          <w:color w:val="auto"/>
          <w:kern w:val="2"/>
          <w:sz w:val="24"/>
          <w:szCs w:val="24"/>
          <w:highlight w:val="none"/>
          <w:lang w:val="en-US" w:eastAsia="zh-CN" w:bidi="ar-SA"/>
        </w:rPr>
        <w:t>（2）</w:t>
      </w:r>
      <w:r>
        <w:rPr>
          <w:rFonts w:hint="default" w:ascii="Times New Roman" w:hAnsi="Times New Roman" w:eastAsia="宋体" w:cs="Times New Roman"/>
          <w:color w:val="auto"/>
          <w:szCs w:val="24"/>
          <w:highlight w:val="none"/>
        </w:rPr>
        <w:t>施工现场周围生态环境保护措施</w:t>
      </w:r>
    </w:p>
    <w:p w14:paraId="4DF13D25">
      <w:pPr>
        <w:pStyle w:val="217"/>
        <w:numPr>
          <w:ilvl w:val="0"/>
          <w:numId w:val="0"/>
        </w:numPr>
        <w:spacing w:line="360" w:lineRule="auto"/>
        <w:ind w:firstLine="480" w:firstLineChars="200"/>
        <w:rPr>
          <w:rFonts w:hint="default" w:ascii="Times New Roman" w:hAnsi="Times New Roman" w:eastAsia="宋体" w:cs="Times New Roman"/>
          <w:color w:val="auto"/>
          <w:szCs w:val="24"/>
          <w:highlight w:val="none"/>
        </w:rPr>
      </w:pPr>
      <w:r>
        <w:rPr>
          <w:rFonts w:hint="default" w:ascii="Times New Roman" w:hAnsi="Times New Roman" w:eastAsia="宋体" w:cs="Times New Roman"/>
          <w:color w:val="auto"/>
          <w:szCs w:val="24"/>
          <w:highlight w:val="none"/>
        </w:rPr>
        <w:t>运送物料车辆要设定固定行车路线，防止随意毁坏地表植被，车辆防止扬尘、降噪措施，减缓运输车辆对沿途居民生活环境影响。</w:t>
      </w:r>
    </w:p>
    <w:p w14:paraId="2F95698C">
      <w:pPr>
        <w:pStyle w:val="6"/>
        <w:widowControl w:val="0"/>
        <w:snapToGrid w:val="0"/>
        <w:spacing w:before="0" w:after="0" w:line="360" w:lineRule="auto"/>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w:t>
      </w:r>
      <w:bookmarkEnd w:id="692"/>
      <w:bookmarkEnd w:id="693"/>
      <w:r>
        <w:rPr>
          <w:rFonts w:hint="eastAsia" w:asciiTheme="minorEastAsia" w:hAnsiTheme="minorEastAsia" w:eastAsiaTheme="minorEastAsia" w:cstheme="minorEastAsia"/>
          <w:color w:val="auto"/>
          <w:highlight w:val="none"/>
        </w:rPr>
        <w:t>2回填期污染防治措施</w:t>
      </w:r>
      <w:bookmarkEnd w:id="698"/>
      <w:bookmarkEnd w:id="699"/>
    </w:p>
    <w:p w14:paraId="1E3B6215">
      <w:pPr>
        <w:pStyle w:val="7"/>
        <w:numPr>
          <w:ilvl w:val="2"/>
          <w:numId w:val="0"/>
        </w:numPr>
        <w:bidi w:val="0"/>
        <w:spacing w:line="360" w:lineRule="auto"/>
        <w:ind w:leftChars="0"/>
        <w:rPr>
          <w:color w:val="auto"/>
          <w:highlight w:val="none"/>
        </w:rPr>
      </w:pPr>
      <w:bookmarkStart w:id="703" w:name="_Toc7452"/>
      <w:bookmarkStart w:id="704" w:name="_Toc29742"/>
      <w:bookmarkStart w:id="705" w:name="_Toc16386"/>
      <w:bookmarkStart w:id="706" w:name="_Toc49175053"/>
      <w:bookmarkStart w:id="707" w:name="_Toc49174878"/>
      <w:bookmarkStart w:id="708" w:name="_Toc21893"/>
      <w:bookmarkStart w:id="709" w:name="_Toc6293"/>
      <w:bookmarkStart w:id="710" w:name="_Toc31089"/>
      <w:r>
        <w:rPr>
          <w:color w:val="auto"/>
          <w:highlight w:val="none"/>
        </w:rPr>
        <w:t>6.2.1大气环境保护措施</w:t>
      </w:r>
    </w:p>
    <w:p w14:paraId="6EAF7946">
      <w:pPr>
        <w:bidi w:val="0"/>
        <w:spacing w:line="360" w:lineRule="auto"/>
        <w:rPr>
          <w:color w:val="auto"/>
          <w:highlight w:val="none"/>
        </w:rPr>
      </w:pPr>
      <w:r>
        <w:rPr>
          <w:color w:val="auto"/>
          <w:highlight w:val="none"/>
        </w:rPr>
        <w:t>6.2.1.1回填区扬尘的防治</w:t>
      </w:r>
    </w:p>
    <w:p w14:paraId="79BE3929">
      <w:pPr>
        <w:pStyle w:val="217"/>
        <w:spacing w:line="360" w:lineRule="auto"/>
        <w:ind w:firstLine="480"/>
        <w:rPr>
          <w:rFonts w:cs="Times New Roman"/>
          <w:color w:val="auto"/>
          <w:highlight w:val="none"/>
        </w:rPr>
      </w:pPr>
      <w:r>
        <w:rPr>
          <w:rFonts w:cs="Times New Roman"/>
          <w:color w:val="auto"/>
          <w:highlight w:val="none"/>
        </w:rPr>
        <w:t>1、回填区管理</w:t>
      </w:r>
    </w:p>
    <w:p w14:paraId="5E5AD1D1">
      <w:pPr>
        <w:pStyle w:val="217"/>
        <w:spacing w:line="360" w:lineRule="auto"/>
        <w:ind w:firstLine="480"/>
        <w:rPr>
          <w:rFonts w:cs="Times New Roman"/>
          <w:color w:val="auto"/>
          <w:highlight w:val="none"/>
        </w:rPr>
      </w:pPr>
      <w:r>
        <w:rPr>
          <w:rFonts w:hint="default" w:ascii="Times New Roman" w:hAnsi="Times New Roman" w:eastAsia="宋体" w:cs="Times New Roman"/>
          <w:color w:val="auto"/>
          <w:sz w:val="24"/>
          <w:szCs w:val="24"/>
          <w:highlight w:val="none"/>
        </w:rPr>
        <w:t>①</w:t>
      </w:r>
      <w:r>
        <w:rPr>
          <w:rFonts w:cs="Times New Roman"/>
          <w:color w:val="auto"/>
          <w:highlight w:val="none"/>
        </w:rPr>
        <w:t>采用全封闭式专用密闭运输汽车</w:t>
      </w:r>
      <w:r>
        <w:rPr>
          <w:rFonts w:hint="eastAsia" w:cs="Times New Roman"/>
          <w:color w:val="auto"/>
          <w:highlight w:val="none"/>
          <w:lang w:eastAsia="zh-CN"/>
        </w:rPr>
        <w:t>。</w:t>
      </w:r>
      <w:r>
        <w:rPr>
          <w:rFonts w:hint="eastAsia" w:cs="Times New Roman"/>
          <w:color w:val="auto"/>
          <w:highlight w:val="none"/>
          <w:lang w:val="en-US" w:eastAsia="zh-CN"/>
        </w:rPr>
        <w:t>灰渣</w:t>
      </w:r>
      <w:r>
        <w:rPr>
          <w:rFonts w:cs="Times New Roman"/>
          <w:color w:val="auto"/>
          <w:highlight w:val="none"/>
        </w:rPr>
        <w:t>卸车后，采用推土机推摊铺平；紧接着采用压实机碾压，堆而填之。管理人员可根据当地的气候变化规律，找出适合</w:t>
      </w:r>
      <w:r>
        <w:rPr>
          <w:rFonts w:hint="eastAsia" w:cs="Times New Roman"/>
          <w:color w:val="auto"/>
          <w:highlight w:val="none"/>
          <w:lang w:eastAsia="zh-CN"/>
        </w:rPr>
        <w:t>本项目</w:t>
      </w:r>
      <w:r>
        <w:rPr>
          <w:rFonts w:cs="Times New Roman"/>
          <w:color w:val="auto"/>
          <w:highlight w:val="none"/>
        </w:rPr>
        <w:t>的</w:t>
      </w:r>
      <w:r>
        <w:rPr>
          <w:rFonts w:hint="eastAsia" w:cs="Times New Roman"/>
          <w:color w:val="auto"/>
          <w:highlight w:val="none"/>
          <w:lang w:eastAsia="zh-CN"/>
        </w:rPr>
        <w:t>喷洒</w:t>
      </w:r>
      <w:r>
        <w:rPr>
          <w:rFonts w:cs="Times New Roman"/>
          <w:color w:val="auto"/>
          <w:highlight w:val="none"/>
        </w:rPr>
        <w:t>规律，建立制度，控制回填作业扬尘。</w:t>
      </w:r>
    </w:p>
    <w:p w14:paraId="43CBCF75">
      <w:pPr>
        <w:pStyle w:val="217"/>
        <w:spacing w:line="360" w:lineRule="auto"/>
        <w:ind w:firstLine="480"/>
        <w:rPr>
          <w:rFonts w:cs="Times New Roman"/>
          <w:color w:val="auto"/>
          <w:highlight w:val="none"/>
        </w:rPr>
      </w:pPr>
      <w:r>
        <w:rPr>
          <w:rFonts w:hint="default" w:ascii="Times New Roman" w:hAnsi="Times New Roman" w:eastAsia="宋体" w:cs="Times New Roman"/>
          <w:color w:val="auto"/>
          <w:sz w:val="24"/>
          <w:szCs w:val="24"/>
          <w:highlight w:val="none"/>
        </w:rPr>
        <w:t>②</w:t>
      </w:r>
      <w:r>
        <w:rPr>
          <w:rFonts w:hint="eastAsia" w:cs="Times New Roman"/>
          <w:color w:val="auto"/>
          <w:highlight w:val="none"/>
          <w:lang w:val="en-US" w:eastAsia="zh-CN"/>
        </w:rPr>
        <w:t>灰渣</w:t>
      </w:r>
      <w:r>
        <w:rPr>
          <w:rFonts w:cs="Times New Roman"/>
          <w:color w:val="auto"/>
          <w:highlight w:val="none"/>
        </w:rPr>
        <w:t>必须做到随倒随压，避免碾压不及时或未进行保湿时，风吹扬尘造成二次污染。分区分单元分层作业，单元面积</w:t>
      </w:r>
      <w:r>
        <w:rPr>
          <w:rFonts w:hint="eastAsia" w:cs="Times New Roman"/>
          <w:color w:val="auto"/>
          <w:highlight w:val="none"/>
          <w:lang w:val="en-US" w:eastAsia="zh-CN"/>
        </w:rPr>
        <w:t>1200</w:t>
      </w:r>
      <w:r>
        <w:rPr>
          <w:rFonts w:cs="Times New Roman"/>
          <w:color w:val="auto"/>
          <w:highlight w:val="none"/>
        </w:rPr>
        <w:t>m</w:t>
      </w:r>
      <w:r>
        <w:rPr>
          <w:rFonts w:cs="Times New Roman"/>
          <w:color w:val="auto"/>
          <w:highlight w:val="none"/>
          <w:vertAlign w:val="superscript"/>
        </w:rPr>
        <w:t>2</w:t>
      </w:r>
      <w:r>
        <w:rPr>
          <w:rFonts w:cs="Times New Roman"/>
          <w:color w:val="auto"/>
          <w:highlight w:val="none"/>
        </w:rPr>
        <w:t>，</w:t>
      </w:r>
      <w:bookmarkStart w:id="711" w:name="_Hlk139980044"/>
      <w:r>
        <w:rPr>
          <w:rFonts w:hint="eastAsia" w:cs="Times New Roman"/>
          <w:color w:val="auto"/>
          <w:highlight w:val="none"/>
        </w:rPr>
        <w:t>项目区外围建设</w:t>
      </w:r>
      <w:r>
        <w:rPr>
          <w:rFonts w:hint="eastAsia" w:cs="Times New Roman"/>
          <w:color w:val="auto"/>
          <w:highlight w:val="none"/>
          <w:lang w:val="en-US" w:eastAsia="zh-CN"/>
        </w:rPr>
        <w:t>隔声隔尘挡板</w:t>
      </w:r>
      <w:r>
        <w:rPr>
          <w:rFonts w:cs="Times New Roman"/>
          <w:color w:val="auto"/>
          <w:highlight w:val="none"/>
        </w:rPr>
        <w:t>，</w:t>
      </w:r>
      <w:bookmarkEnd w:id="711"/>
      <w:r>
        <w:rPr>
          <w:rFonts w:cs="Times New Roman"/>
          <w:color w:val="auto"/>
          <w:highlight w:val="none"/>
        </w:rPr>
        <w:t>对每日回填完成的作业单元进行及时苫布覆盖</w:t>
      </w:r>
      <w:r>
        <w:rPr>
          <w:rFonts w:hint="eastAsia" w:cs="Times New Roman"/>
          <w:color w:val="auto"/>
          <w:highlight w:val="none"/>
          <w:lang w:eastAsia="zh-CN"/>
        </w:rPr>
        <w:t>。非作业面以及已碾实的灰渣表面采用密目网或苫布覆盖。当灰面达到设计标高或者很长时间暴露不用，为进一步降低扬尘的产生，应及时洒水降尘，达到复垦条件时应及时覆表土恢复地表植被，未达到复垦条件时应密目网或苫布覆盖，有效防止粉尘产生</w:t>
      </w:r>
      <w:r>
        <w:rPr>
          <w:rFonts w:cs="Times New Roman"/>
          <w:color w:val="auto"/>
          <w:highlight w:val="none"/>
        </w:rPr>
        <w:t>。</w:t>
      </w:r>
    </w:p>
    <w:p w14:paraId="4D009995">
      <w:pPr>
        <w:pStyle w:val="217"/>
        <w:spacing w:line="360" w:lineRule="auto"/>
        <w:ind w:firstLine="480"/>
        <w:rPr>
          <w:rFonts w:cs="Times New Roman"/>
          <w:color w:val="auto"/>
          <w:highlight w:val="none"/>
        </w:rPr>
      </w:pPr>
      <w:r>
        <w:rPr>
          <w:rFonts w:hint="default" w:ascii="Times New Roman" w:hAnsi="Times New Roman" w:eastAsia="宋体" w:cs="Times New Roman"/>
          <w:color w:val="auto"/>
          <w:sz w:val="24"/>
          <w:szCs w:val="24"/>
          <w:highlight w:val="none"/>
        </w:rPr>
        <w:t>③</w:t>
      </w:r>
      <w:r>
        <w:rPr>
          <w:rFonts w:cs="Times New Roman"/>
          <w:color w:val="auto"/>
          <w:highlight w:val="none"/>
        </w:rPr>
        <w:t>为减轻卸车时产生的灰尘对大气环境的影响，应注意控制卸车的速度，在干燥天气，应配备水车，边卸车边适当洒水，减少灰尘飞扬。</w:t>
      </w:r>
    </w:p>
    <w:p w14:paraId="3560F9FB">
      <w:pPr>
        <w:pStyle w:val="217"/>
        <w:spacing w:line="360" w:lineRule="auto"/>
        <w:ind w:firstLine="480"/>
        <w:rPr>
          <w:rFonts w:cs="Times New Roman"/>
          <w:color w:val="auto"/>
          <w:highlight w:val="none"/>
        </w:rPr>
      </w:pPr>
      <w:r>
        <w:rPr>
          <w:rFonts w:hint="default" w:ascii="Times New Roman" w:hAnsi="Times New Roman" w:eastAsia="宋体" w:cs="Times New Roman"/>
          <w:color w:val="auto"/>
          <w:sz w:val="24"/>
          <w:szCs w:val="24"/>
          <w:highlight w:val="none"/>
        </w:rPr>
        <w:t>④</w:t>
      </w:r>
      <w:r>
        <w:rPr>
          <w:rFonts w:cs="Times New Roman"/>
          <w:color w:val="auto"/>
          <w:highlight w:val="none"/>
        </w:rPr>
        <w:t>制定严格的回填区回填作业的运行规章制度，加强岗前和岗中培训，培养工作人员的高度责任心和环保意识。加强回填区的运行管理和环境管理，建立管理制度，严格按规程操作，在现场要有专人管理，加强扬尘的监视和防治。</w:t>
      </w:r>
    </w:p>
    <w:p w14:paraId="5CA894D3">
      <w:pPr>
        <w:pStyle w:val="217"/>
        <w:spacing w:line="360" w:lineRule="auto"/>
        <w:ind w:firstLine="480"/>
        <w:rPr>
          <w:rFonts w:cs="Times New Roman"/>
          <w:color w:val="auto"/>
          <w:highlight w:val="none"/>
        </w:rPr>
      </w:pPr>
      <w:r>
        <w:rPr>
          <w:rFonts w:hint="default" w:ascii="Times New Roman" w:hAnsi="Times New Roman" w:eastAsia="宋体" w:cs="Times New Roman"/>
          <w:color w:val="auto"/>
          <w:sz w:val="24"/>
          <w:szCs w:val="24"/>
          <w:highlight w:val="none"/>
        </w:rPr>
        <w:t>⑤</w:t>
      </w:r>
      <w:r>
        <w:rPr>
          <w:rFonts w:cs="Times New Roman"/>
          <w:color w:val="auto"/>
          <w:highlight w:val="none"/>
        </w:rPr>
        <w:t>在大风、干燥季节来临前，回填区应备用苫布等遮盖物，以便于在大风、干燥季节对未进行碾压的</w:t>
      </w:r>
      <w:r>
        <w:rPr>
          <w:rFonts w:hint="eastAsia" w:cs="Times New Roman"/>
          <w:color w:val="auto"/>
          <w:highlight w:val="none"/>
          <w:lang w:val="en-US" w:eastAsia="zh-CN"/>
        </w:rPr>
        <w:t>灰渣</w:t>
      </w:r>
      <w:r>
        <w:rPr>
          <w:rFonts w:cs="Times New Roman"/>
          <w:color w:val="auto"/>
          <w:highlight w:val="none"/>
        </w:rPr>
        <w:t>等临时</w:t>
      </w:r>
      <w:r>
        <w:rPr>
          <w:rFonts w:hint="eastAsia" w:cs="Times New Roman"/>
          <w:color w:val="auto"/>
          <w:highlight w:val="none"/>
          <w:lang w:eastAsia="zh-CN"/>
        </w:rPr>
        <w:t>掩护</w:t>
      </w:r>
      <w:r>
        <w:rPr>
          <w:rFonts w:cs="Times New Roman"/>
          <w:color w:val="auto"/>
          <w:highlight w:val="none"/>
        </w:rPr>
        <w:t>，避免扬尘的产生。</w:t>
      </w:r>
    </w:p>
    <w:p w14:paraId="74FC8113">
      <w:pPr>
        <w:pStyle w:val="217"/>
        <w:spacing w:line="360" w:lineRule="auto"/>
        <w:ind w:firstLine="480"/>
        <w:rPr>
          <w:rFonts w:cs="Times New Roman"/>
          <w:color w:val="auto"/>
          <w:highlight w:val="none"/>
        </w:rPr>
      </w:pPr>
      <w:r>
        <w:rPr>
          <w:rFonts w:hint="default" w:ascii="Times New Roman" w:hAnsi="Times New Roman" w:eastAsia="宋体" w:cs="Times New Roman"/>
          <w:color w:val="auto"/>
          <w:sz w:val="24"/>
          <w:szCs w:val="24"/>
          <w:highlight w:val="none"/>
        </w:rPr>
        <w:t>⑥</w:t>
      </w:r>
      <w:r>
        <w:rPr>
          <w:rFonts w:cs="Times New Roman"/>
          <w:color w:val="auto"/>
          <w:highlight w:val="none"/>
        </w:rPr>
        <w:t>在回填区下风向设监测点，定期对总悬浮微粒进行监测，为环境管理提供数据。</w:t>
      </w:r>
    </w:p>
    <w:p w14:paraId="61DF43AC">
      <w:pPr>
        <w:pStyle w:val="217"/>
        <w:spacing w:line="360" w:lineRule="auto"/>
        <w:ind w:firstLine="480"/>
        <w:rPr>
          <w:rFonts w:cs="Times New Roman"/>
          <w:color w:val="auto"/>
          <w:highlight w:val="none"/>
        </w:rPr>
      </w:pPr>
      <w:r>
        <w:rPr>
          <w:rFonts w:cs="Times New Roman"/>
          <w:color w:val="auto"/>
          <w:highlight w:val="none"/>
        </w:rPr>
        <w:t>2、回填区洒水</w:t>
      </w:r>
    </w:p>
    <w:p w14:paraId="4ADAFBBD">
      <w:pPr>
        <w:pStyle w:val="217"/>
        <w:spacing w:line="360" w:lineRule="auto"/>
        <w:ind w:firstLine="480"/>
        <w:rPr>
          <w:rFonts w:cs="Times New Roman"/>
          <w:color w:val="auto"/>
          <w:highlight w:val="none"/>
        </w:rPr>
      </w:pPr>
      <w:r>
        <w:rPr>
          <w:rFonts w:cs="Times New Roman"/>
          <w:color w:val="auto"/>
          <w:highlight w:val="none"/>
        </w:rPr>
        <w:t>洒水是抑制扬尘的重要工程措施。洒水周期和水量应根据季节和天气，适时洒水，避免因风吹而扬灰。例如干燥多风季节应勤洒多洒，阴雨天气可以少洒或不洒。配备1辆移动式洒水车，在回填期间定期对作业面进行洒水降尘，避免扬尘污染。不得在大风天气作业。</w:t>
      </w:r>
    </w:p>
    <w:p w14:paraId="42B05A33">
      <w:pPr>
        <w:pStyle w:val="217"/>
        <w:spacing w:line="360" w:lineRule="auto"/>
        <w:ind w:firstLine="480"/>
        <w:rPr>
          <w:rFonts w:cs="Times New Roman"/>
          <w:color w:val="auto"/>
          <w:highlight w:val="none"/>
        </w:rPr>
      </w:pPr>
      <w:r>
        <w:rPr>
          <w:rFonts w:cs="Times New Roman"/>
          <w:color w:val="auto"/>
          <w:highlight w:val="none"/>
        </w:rPr>
        <w:t>3、冬季运行应满足下列要求：</w:t>
      </w:r>
    </w:p>
    <w:p w14:paraId="16B9A47B">
      <w:pPr>
        <w:pStyle w:val="217"/>
        <w:spacing w:line="360" w:lineRule="auto"/>
        <w:ind w:firstLine="480"/>
        <w:rPr>
          <w:rFonts w:cs="Times New Roman"/>
          <w:color w:val="auto"/>
          <w:highlight w:val="none"/>
        </w:rPr>
      </w:pPr>
      <w:r>
        <w:rPr>
          <w:rFonts w:cs="Times New Roman"/>
          <w:color w:val="auto"/>
          <w:highlight w:val="none"/>
        </w:rPr>
        <w:t>冬季运行时应使用较小堆灰工作面，连续铺碾，减少裸露面积，减轻冻害。</w:t>
      </w:r>
    </w:p>
    <w:p w14:paraId="628702C8">
      <w:pPr>
        <w:pStyle w:val="217"/>
        <w:spacing w:line="360" w:lineRule="auto"/>
        <w:ind w:firstLine="480"/>
        <w:rPr>
          <w:rFonts w:cs="Times New Roman"/>
          <w:color w:val="auto"/>
          <w:highlight w:val="none"/>
        </w:rPr>
      </w:pPr>
      <w:r>
        <w:rPr>
          <w:rFonts w:cs="Times New Roman"/>
          <w:color w:val="auto"/>
          <w:highlight w:val="none"/>
        </w:rPr>
        <w:t>低温天气运行时，应适当降低</w:t>
      </w:r>
      <w:r>
        <w:rPr>
          <w:rFonts w:hint="eastAsia" w:cs="Times New Roman"/>
          <w:color w:val="auto"/>
          <w:highlight w:val="none"/>
          <w:lang w:val="en-US" w:eastAsia="zh-CN"/>
        </w:rPr>
        <w:t>灰渣</w:t>
      </w:r>
      <w:r>
        <w:rPr>
          <w:rFonts w:cs="Times New Roman"/>
          <w:color w:val="auto"/>
          <w:highlight w:val="none"/>
        </w:rPr>
        <w:t>含水量，既保证</w:t>
      </w:r>
      <w:r>
        <w:rPr>
          <w:rFonts w:hint="eastAsia" w:cs="Times New Roman"/>
          <w:color w:val="auto"/>
          <w:highlight w:val="none"/>
          <w:lang w:val="en-US" w:eastAsia="zh-CN"/>
        </w:rPr>
        <w:t>灰渣</w:t>
      </w:r>
      <w:r>
        <w:rPr>
          <w:rFonts w:cs="Times New Roman"/>
          <w:color w:val="auto"/>
          <w:highlight w:val="none"/>
        </w:rPr>
        <w:t>碾压效果，又不使</w:t>
      </w:r>
      <w:r>
        <w:rPr>
          <w:rFonts w:hint="eastAsia" w:cs="Times New Roman"/>
          <w:color w:val="auto"/>
          <w:highlight w:val="none"/>
          <w:lang w:val="en-US" w:eastAsia="zh-CN"/>
        </w:rPr>
        <w:t>灰渣</w:t>
      </w:r>
      <w:r>
        <w:rPr>
          <w:rFonts w:cs="Times New Roman"/>
          <w:color w:val="auto"/>
          <w:highlight w:val="none"/>
        </w:rPr>
        <w:t>产生冻结现象。</w:t>
      </w:r>
    </w:p>
    <w:p w14:paraId="4D92D4DA">
      <w:pPr>
        <w:pStyle w:val="217"/>
        <w:spacing w:line="360" w:lineRule="auto"/>
        <w:ind w:firstLine="480"/>
        <w:rPr>
          <w:rFonts w:cs="Times New Roman"/>
          <w:color w:val="auto"/>
          <w:highlight w:val="none"/>
        </w:rPr>
      </w:pPr>
      <w:r>
        <w:rPr>
          <w:rFonts w:cs="Times New Roman"/>
          <w:color w:val="auto"/>
          <w:highlight w:val="none"/>
        </w:rPr>
        <w:t>寒冷结冰季节应加快</w:t>
      </w:r>
      <w:r>
        <w:rPr>
          <w:rFonts w:hint="eastAsia" w:cs="Times New Roman"/>
          <w:color w:val="auto"/>
          <w:highlight w:val="none"/>
          <w:lang w:val="en-US" w:eastAsia="zh-CN"/>
        </w:rPr>
        <w:t>回填区</w:t>
      </w:r>
      <w:r>
        <w:rPr>
          <w:rFonts w:cs="Times New Roman"/>
          <w:color w:val="auto"/>
          <w:highlight w:val="none"/>
        </w:rPr>
        <w:t>运行过程，避免作业时间长，导致粉煤灰结冰。</w:t>
      </w:r>
    </w:p>
    <w:p w14:paraId="38AF70BE">
      <w:pPr>
        <w:pStyle w:val="217"/>
        <w:spacing w:line="360" w:lineRule="auto"/>
        <w:ind w:firstLine="480"/>
        <w:rPr>
          <w:rFonts w:cs="Times New Roman"/>
          <w:color w:val="auto"/>
          <w:highlight w:val="none"/>
        </w:rPr>
      </w:pPr>
      <w:r>
        <w:rPr>
          <w:rFonts w:cs="Times New Roman"/>
          <w:color w:val="auto"/>
          <w:highlight w:val="none"/>
        </w:rPr>
        <w:t>在隔夜的压实灰面上继续摊灰前，应先振碾和静碾各一遍，使新旧</w:t>
      </w:r>
      <w:r>
        <w:rPr>
          <w:rFonts w:hint="eastAsia" w:cs="Times New Roman"/>
          <w:color w:val="auto"/>
          <w:highlight w:val="none"/>
          <w:lang w:val="en-US" w:eastAsia="zh-CN"/>
        </w:rPr>
        <w:t>灰渣</w:t>
      </w:r>
      <w:r>
        <w:rPr>
          <w:rFonts w:cs="Times New Roman"/>
          <w:color w:val="auto"/>
          <w:highlight w:val="none"/>
        </w:rPr>
        <w:t>表面结合良好。</w:t>
      </w:r>
    </w:p>
    <w:p w14:paraId="6D35A153">
      <w:pPr>
        <w:pStyle w:val="217"/>
        <w:spacing w:line="360" w:lineRule="auto"/>
        <w:ind w:firstLine="480"/>
        <w:rPr>
          <w:rFonts w:cs="Times New Roman"/>
          <w:color w:val="auto"/>
          <w:highlight w:val="none"/>
        </w:rPr>
      </w:pPr>
      <w:r>
        <w:rPr>
          <w:rFonts w:cs="Times New Roman"/>
          <w:color w:val="auto"/>
          <w:highlight w:val="none"/>
        </w:rPr>
        <w:t>对于风干的灰面应及时洒水，使灰面形成冰壳防止扬尘污染。</w:t>
      </w:r>
    </w:p>
    <w:p w14:paraId="26044CBE">
      <w:pPr>
        <w:pStyle w:val="217"/>
        <w:spacing w:line="360" w:lineRule="auto"/>
        <w:ind w:firstLine="480"/>
        <w:rPr>
          <w:rFonts w:cs="Times New Roman"/>
          <w:color w:val="auto"/>
          <w:highlight w:val="none"/>
        </w:rPr>
      </w:pPr>
      <w:r>
        <w:rPr>
          <w:rFonts w:hint="eastAsia" w:cs="Times New Roman"/>
          <w:color w:val="auto"/>
          <w:highlight w:val="none"/>
          <w:lang w:val="en-US" w:eastAsia="zh-CN"/>
        </w:rPr>
        <w:t>4</w:t>
      </w:r>
      <w:r>
        <w:rPr>
          <w:rFonts w:cs="Times New Roman"/>
          <w:color w:val="auto"/>
          <w:highlight w:val="none"/>
        </w:rPr>
        <w:t>、运输过程扬尘防治对策</w:t>
      </w:r>
    </w:p>
    <w:p w14:paraId="09E723DB">
      <w:pPr>
        <w:pStyle w:val="217"/>
        <w:spacing w:line="360" w:lineRule="auto"/>
        <w:ind w:firstLine="480"/>
        <w:rPr>
          <w:rFonts w:cs="Times New Roman"/>
          <w:color w:val="auto"/>
          <w:highlight w:val="none"/>
        </w:rPr>
      </w:pPr>
      <w:r>
        <w:rPr>
          <w:rFonts w:cs="Times New Roman"/>
          <w:color w:val="auto"/>
          <w:highlight w:val="none"/>
        </w:rPr>
        <w:t>为防止</w:t>
      </w:r>
      <w:r>
        <w:rPr>
          <w:rFonts w:hint="eastAsia" w:cs="Times New Roman"/>
          <w:color w:val="auto"/>
          <w:highlight w:val="none"/>
          <w:lang w:val="en-US" w:eastAsia="zh-CN"/>
        </w:rPr>
        <w:t>灰渣</w:t>
      </w:r>
      <w:r>
        <w:rPr>
          <w:rFonts w:cs="Times New Roman"/>
          <w:color w:val="auto"/>
          <w:highlight w:val="none"/>
        </w:rPr>
        <w:t>等运输过程</w:t>
      </w:r>
      <w:r>
        <w:rPr>
          <w:rFonts w:hint="eastAsia" w:cs="Times New Roman"/>
          <w:color w:val="auto"/>
          <w:highlight w:val="none"/>
          <w:lang w:val="en-US" w:eastAsia="zh-CN"/>
        </w:rPr>
        <w:t>中</w:t>
      </w:r>
      <w:r>
        <w:rPr>
          <w:rFonts w:cs="Times New Roman"/>
          <w:color w:val="auto"/>
          <w:highlight w:val="none"/>
        </w:rPr>
        <w:t>产生的扬尘污染，采取以下措施：</w:t>
      </w:r>
    </w:p>
    <w:p w14:paraId="12D1D068">
      <w:pPr>
        <w:pStyle w:val="217"/>
        <w:spacing w:line="360" w:lineRule="auto"/>
        <w:ind w:firstLine="480"/>
        <w:rPr>
          <w:rFonts w:cs="Times New Roman"/>
          <w:color w:val="auto"/>
          <w:highlight w:val="none"/>
        </w:rPr>
      </w:pPr>
      <w:r>
        <w:rPr>
          <w:rFonts w:cs="Times New Roman"/>
          <w:color w:val="auto"/>
          <w:highlight w:val="none"/>
        </w:rPr>
        <w:fldChar w:fldCharType="begin"/>
      </w:r>
      <w:r>
        <w:rPr>
          <w:rFonts w:cs="Times New Roman"/>
          <w:color w:val="auto"/>
          <w:highlight w:val="none"/>
        </w:rPr>
        <w:instrText xml:space="preserve"> = 1 \* GB3 </w:instrText>
      </w:r>
      <w:r>
        <w:rPr>
          <w:rFonts w:cs="Times New Roman"/>
          <w:color w:val="auto"/>
          <w:highlight w:val="none"/>
        </w:rPr>
        <w:fldChar w:fldCharType="separate"/>
      </w:r>
      <w:r>
        <w:rPr>
          <w:rFonts w:hint="eastAsia" w:ascii="宋体" w:hAnsi="宋体" w:cs="宋体"/>
          <w:color w:val="auto"/>
          <w:highlight w:val="none"/>
        </w:rPr>
        <w:t>①</w:t>
      </w:r>
      <w:r>
        <w:rPr>
          <w:rFonts w:cs="Times New Roman"/>
          <w:color w:val="auto"/>
          <w:highlight w:val="none"/>
        </w:rPr>
        <w:fldChar w:fldCharType="end"/>
      </w:r>
      <w:r>
        <w:rPr>
          <w:rFonts w:hint="eastAsia" w:cs="Times New Roman"/>
          <w:color w:val="auto"/>
          <w:highlight w:val="none"/>
          <w:lang w:val="en-US" w:eastAsia="zh-CN"/>
        </w:rPr>
        <w:t>灰渣</w:t>
      </w:r>
      <w:r>
        <w:rPr>
          <w:rFonts w:cs="Times New Roman"/>
          <w:color w:val="auto"/>
          <w:highlight w:val="none"/>
        </w:rPr>
        <w:t>应加湿后用专用</w:t>
      </w:r>
      <w:r>
        <w:rPr>
          <w:rFonts w:hint="eastAsia" w:cs="Times New Roman"/>
          <w:color w:val="auto"/>
          <w:highlight w:val="none"/>
          <w:lang w:val="en-US" w:eastAsia="zh-CN"/>
        </w:rPr>
        <w:t>密闭</w:t>
      </w:r>
      <w:r>
        <w:rPr>
          <w:rFonts w:cs="Times New Roman"/>
          <w:color w:val="auto"/>
          <w:highlight w:val="none"/>
        </w:rPr>
        <w:t>运输车。</w:t>
      </w:r>
    </w:p>
    <w:p w14:paraId="4B12A147">
      <w:pPr>
        <w:pStyle w:val="217"/>
        <w:spacing w:line="360" w:lineRule="auto"/>
        <w:ind w:firstLine="480"/>
        <w:rPr>
          <w:rFonts w:cs="Times New Roman"/>
          <w:color w:val="auto"/>
          <w:highlight w:val="none"/>
        </w:rPr>
      </w:pPr>
      <w:r>
        <w:rPr>
          <w:rFonts w:hint="eastAsia" w:ascii="宋体" w:hAnsi="宋体" w:cs="宋体"/>
          <w:color w:val="auto"/>
          <w:highlight w:val="none"/>
        </w:rPr>
        <w:t>②</w:t>
      </w:r>
      <w:r>
        <w:rPr>
          <w:rFonts w:cs="Times New Roman"/>
          <w:color w:val="auto"/>
          <w:highlight w:val="none"/>
        </w:rPr>
        <w:t>运输车辆往返回填区，车厢板和轮胎会滞留有残灰，会造成粉煤灰沿运灰道路抛洒、散失，应定时对运输车辆进行清洗，杜绝运输途中发生扬尘污染。严格禁止超高装车，防止</w:t>
      </w:r>
      <w:r>
        <w:rPr>
          <w:rFonts w:hint="eastAsia" w:cs="Times New Roman"/>
          <w:color w:val="auto"/>
          <w:highlight w:val="none"/>
          <w:lang w:val="en-US" w:eastAsia="zh-CN"/>
        </w:rPr>
        <w:t>灰渣</w:t>
      </w:r>
      <w:r>
        <w:rPr>
          <w:rFonts w:cs="Times New Roman"/>
          <w:color w:val="auto"/>
          <w:highlight w:val="none"/>
        </w:rPr>
        <w:t>散落。</w:t>
      </w:r>
    </w:p>
    <w:p w14:paraId="51C9DA77">
      <w:pPr>
        <w:pStyle w:val="217"/>
        <w:spacing w:line="360" w:lineRule="auto"/>
        <w:ind w:firstLine="480"/>
        <w:rPr>
          <w:rFonts w:cs="Times New Roman"/>
          <w:color w:val="auto"/>
          <w:highlight w:val="none"/>
        </w:rPr>
      </w:pPr>
      <w:r>
        <w:rPr>
          <w:rFonts w:hint="eastAsia" w:ascii="宋体" w:hAnsi="宋体" w:cs="宋体"/>
          <w:color w:val="auto"/>
          <w:highlight w:val="none"/>
        </w:rPr>
        <w:t>③</w:t>
      </w:r>
      <w:r>
        <w:rPr>
          <w:rFonts w:cs="Times New Roman"/>
          <w:color w:val="auto"/>
          <w:highlight w:val="none"/>
        </w:rPr>
        <w:t>遇大风天气，为防止扬尘污染不得进行运输、回填作业。</w:t>
      </w:r>
    </w:p>
    <w:p w14:paraId="531DA8D5">
      <w:pPr>
        <w:bidi w:val="0"/>
        <w:spacing w:line="360" w:lineRule="auto"/>
        <w:rPr>
          <w:color w:val="auto"/>
          <w:highlight w:val="none"/>
        </w:rPr>
      </w:pPr>
      <w:r>
        <w:rPr>
          <w:color w:val="auto"/>
          <w:highlight w:val="none"/>
        </w:rPr>
        <w:t>6.2.</w:t>
      </w:r>
      <w:r>
        <w:rPr>
          <w:rFonts w:hint="eastAsia"/>
          <w:color w:val="auto"/>
          <w:highlight w:val="none"/>
          <w:lang w:val="en-US" w:eastAsia="zh-CN"/>
        </w:rPr>
        <w:t>1</w:t>
      </w:r>
      <w:r>
        <w:rPr>
          <w:color w:val="auto"/>
          <w:highlight w:val="none"/>
        </w:rPr>
        <w:t>.2机械</w:t>
      </w:r>
      <w:r>
        <w:rPr>
          <w:rFonts w:hint="eastAsia"/>
          <w:color w:val="auto"/>
          <w:highlight w:val="none"/>
          <w:lang w:val="en-US" w:eastAsia="zh-CN"/>
        </w:rPr>
        <w:t>废</w:t>
      </w:r>
      <w:r>
        <w:rPr>
          <w:color w:val="auto"/>
          <w:highlight w:val="none"/>
        </w:rPr>
        <w:t>气防治措施</w:t>
      </w:r>
    </w:p>
    <w:p w14:paraId="05B819BD">
      <w:pPr>
        <w:pStyle w:val="217"/>
        <w:spacing w:line="360" w:lineRule="auto"/>
        <w:ind w:firstLine="480"/>
        <w:rPr>
          <w:rFonts w:cs="Times New Roman"/>
          <w:color w:val="auto"/>
          <w:highlight w:val="none"/>
        </w:rPr>
      </w:pPr>
      <w:r>
        <w:rPr>
          <w:rFonts w:cs="Times New Roman"/>
          <w:color w:val="auto"/>
          <w:highlight w:val="none"/>
        </w:rPr>
        <w:t>优先选用质量好、环保</w:t>
      </w:r>
      <w:r>
        <w:rPr>
          <w:rFonts w:hint="eastAsia" w:cs="Times New Roman"/>
          <w:color w:val="auto"/>
          <w:highlight w:val="none"/>
          <w:lang w:val="en-US" w:eastAsia="zh-CN"/>
        </w:rPr>
        <w:t>型</w:t>
      </w:r>
      <w:r>
        <w:rPr>
          <w:rFonts w:cs="Times New Roman"/>
          <w:color w:val="auto"/>
          <w:highlight w:val="none"/>
        </w:rPr>
        <w:t>机械设备，使用高品质柴油，降低对空气的污染；定期对机械进行维修和</w:t>
      </w:r>
      <w:r>
        <w:rPr>
          <w:rFonts w:hint="eastAsia" w:cs="Times New Roman"/>
          <w:color w:val="auto"/>
          <w:highlight w:val="none"/>
          <w:lang w:val="en-US" w:eastAsia="zh-CN"/>
        </w:rPr>
        <w:t>养护</w:t>
      </w:r>
      <w:r>
        <w:rPr>
          <w:rFonts w:cs="Times New Roman"/>
          <w:color w:val="auto"/>
          <w:highlight w:val="none"/>
        </w:rPr>
        <w:t>，对于使用时间过长、技术落后、技术状况差、耗油量大、污染严重的机械，严格按照相关标准予以报废。</w:t>
      </w:r>
    </w:p>
    <w:p w14:paraId="58A770C1">
      <w:pPr>
        <w:bidi w:val="0"/>
        <w:spacing w:line="360" w:lineRule="auto"/>
        <w:rPr>
          <w:rFonts w:hint="eastAsia" w:eastAsia="宋体"/>
          <w:color w:val="auto"/>
          <w:highlight w:val="none"/>
          <w:lang w:eastAsia="zh-CN"/>
        </w:rPr>
      </w:pPr>
      <w:r>
        <w:rPr>
          <w:color w:val="auto"/>
          <w:highlight w:val="none"/>
        </w:rPr>
        <w:t>6.2.</w:t>
      </w:r>
      <w:r>
        <w:rPr>
          <w:rFonts w:hint="eastAsia"/>
          <w:color w:val="auto"/>
          <w:highlight w:val="none"/>
          <w:lang w:val="en-US" w:eastAsia="zh-CN"/>
        </w:rPr>
        <w:t>1</w:t>
      </w:r>
      <w:r>
        <w:rPr>
          <w:color w:val="auto"/>
          <w:highlight w:val="none"/>
        </w:rPr>
        <w:t>.3</w:t>
      </w:r>
      <w:r>
        <w:rPr>
          <w:rFonts w:hint="eastAsia"/>
          <w:color w:val="auto"/>
          <w:highlight w:val="none"/>
          <w:lang w:val="en-US" w:eastAsia="zh-CN"/>
        </w:rPr>
        <w:t>小结</w:t>
      </w:r>
    </w:p>
    <w:p w14:paraId="1A5E4F8E">
      <w:pPr>
        <w:pStyle w:val="217"/>
        <w:spacing w:line="360" w:lineRule="auto"/>
        <w:ind w:firstLine="480"/>
        <w:rPr>
          <w:color w:val="auto"/>
          <w:highlight w:val="none"/>
        </w:rPr>
      </w:pPr>
      <w:r>
        <w:rPr>
          <w:rFonts w:cs="Times New Roman"/>
          <w:color w:val="auto"/>
          <w:highlight w:val="none"/>
        </w:rPr>
        <w:t>综上所述，回填过程中产生的扬尘均为无组织排放，现场的扬尘将对周边环境空气造成一定程度的污染。回填</w:t>
      </w:r>
      <w:r>
        <w:rPr>
          <w:rFonts w:hint="eastAsia" w:cs="Times New Roman"/>
          <w:color w:val="auto"/>
          <w:highlight w:val="none"/>
          <w:lang w:val="en-US" w:eastAsia="zh-CN"/>
        </w:rPr>
        <w:t>期</w:t>
      </w:r>
      <w:r>
        <w:rPr>
          <w:rFonts w:cs="Times New Roman"/>
          <w:color w:val="auto"/>
          <w:highlight w:val="none"/>
        </w:rPr>
        <w:t>废气拟采取的污染防治措施主要为：</w:t>
      </w:r>
      <w:r>
        <w:rPr>
          <w:rFonts w:hint="eastAsia" w:cs="Times New Roman"/>
          <w:color w:val="auto"/>
          <w:highlight w:val="none"/>
        </w:rPr>
        <w:t>项目区外围建设</w:t>
      </w:r>
      <w:r>
        <w:rPr>
          <w:rFonts w:hint="eastAsia" w:cs="Times New Roman"/>
          <w:color w:val="auto"/>
          <w:highlight w:val="none"/>
          <w:lang w:eastAsia="zh-CN"/>
        </w:rPr>
        <w:t>隔声隔尘挡板</w:t>
      </w:r>
      <w:r>
        <w:rPr>
          <w:rFonts w:cs="Times New Roman"/>
          <w:color w:val="auto"/>
          <w:highlight w:val="none"/>
        </w:rPr>
        <w:t>，回填面及时覆盖，运输车辆采取篷布遮盖、封闭车厢、罐车运输等密闭措施，并控制车速；回填区配备洒水车辆，对运输道路及作业区进行洒水降尘，使用高品质柴油，定期对机械进行检修。采取上述措施后，</w:t>
      </w:r>
      <w:r>
        <w:rPr>
          <w:rFonts w:hint="eastAsia" w:cs="Times New Roman"/>
          <w:color w:val="auto"/>
          <w:highlight w:val="none"/>
          <w:lang w:val="en-US" w:eastAsia="zh-CN"/>
        </w:rPr>
        <w:t>厂</w:t>
      </w:r>
      <w:r>
        <w:rPr>
          <w:rFonts w:cs="Times New Roman"/>
          <w:color w:val="auto"/>
          <w:highlight w:val="none"/>
        </w:rPr>
        <w:t>界污染物浓度可达到《大气污染物综合排放标准》（GB16297-1996）中的表2无组织排放监控浓度限值，敏感点及区域环境空气满足《环境空气质量标准》（GB3095-20</w:t>
      </w:r>
      <w:r>
        <w:rPr>
          <w:rFonts w:hint="eastAsia" w:cs="Times New Roman"/>
          <w:color w:val="auto"/>
          <w:highlight w:val="none"/>
          <w:lang w:val="en-US" w:eastAsia="zh-CN"/>
        </w:rPr>
        <w:t>26</w:t>
      </w:r>
      <w:r>
        <w:rPr>
          <w:rFonts w:cs="Times New Roman"/>
          <w:color w:val="auto"/>
          <w:highlight w:val="none"/>
        </w:rPr>
        <w:t>）二级标准的要求，对区域环境空气产生的影响可以接受。</w:t>
      </w:r>
    </w:p>
    <w:bookmarkEnd w:id="703"/>
    <w:bookmarkEnd w:id="704"/>
    <w:bookmarkEnd w:id="705"/>
    <w:bookmarkEnd w:id="706"/>
    <w:bookmarkEnd w:id="707"/>
    <w:bookmarkEnd w:id="708"/>
    <w:p w14:paraId="01F9A44B">
      <w:pPr>
        <w:pStyle w:val="7"/>
        <w:numPr>
          <w:ilvl w:val="2"/>
          <w:numId w:val="0"/>
        </w:numPr>
        <w:bidi w:val="0"/>
        <w:spacing w:line="360" w:lineRule="auto"/>
        <w:ind w:leftChars="0"/>
        <w:rPr>
          <w:color w:val="auto"/>
          <w:highlight w:val="none"/>
        </w:rPr>
      </w:pPr>
      <w:r>
        <w:rPr>
          <w:rFonts w:hint="eastAsia"/>
          <w:color w:val="auto"/>
          <w:highlight w:val="none"/>
        </w:rPr>
        <w:t>6.2.2水环境保护措施</w:t>
      </w:r>
    </w:p>
    <w:p w14:paraId="39EDDE6A">
      <w:pPr>
        <w:bidi w:val="0"/>
        <w:spacing w:line="360" w:lineRule="auto"/>
        <w:rPr>
          <w:rFonts w:hint="eastAsia"/>
          <w:color w:val="auto"/>
          <w:highlight w:val="none"/>
        </w:rPr>
      </w:pPr>
      <w:r>
        <w:rPr>
          <w:rFonts w:hint="eastAsia"/>
          <w:color w:val="auto"/>
          <w:highlight w:val="none"/>
        </w:rPr>
        <w:t>6.</w:t>
      </w:r>
      <w:r>
        <w:rPr>
          <w:rFonts w:hint="eastAsia"/>
          <w:color w:val="auto"/>
          <w:highlight w:val="none"/>
          <w:lang w:val="en-US" w:eastAsia="zh-CN"/>
        </w:rPr>
        <w:t>2</w:t>
      </w:r>
      <w:r>
        <w:rPr>
          <w:rFonts w:hint="eastAsia"/>
          <w:color w:val="auto"/>
          <w:highlight w:val="none"/>
        </w:rPr>
        <w:t>.2.1废水污染防治措施</w:t>
      </w:r>
    </w:p>
    <w:p w14:paraId="1E1C2C06">
      <w:pPr>
        <w:pStyle w:val="1059"/>
        <w:spacing w:line="360" w:lineRule="auto"/>
        <w:rPr>
          <w:rFonts w:ascii="Times New Roman" w:hAnsi="Times New Roman"/>
          <w:color w:val="auto"/>
          <w:spacing w:val="-4"/>
          <w:highlight w:val="none"/>
        </w:rPr>
      </w:pPr>
      <w:r>
        <w:rPr>
          <w:rFonts w:hint="eastAsia" w:ascii="Times New Roman" w:hAnsi="Times New Roman"/>
          <w:color w:val="auto"/>
          <w:highlight w:val="none"/>
        </w:rPr>
        <w:t>本项目</w:t>
      </w:r>
      <w:r>
        <w:rPr>
          <w:rFonts w:ascii="Times New Roman" w:hAnsi="Times New Roman"/>
          <w:color w:val="auto"/>
          <w:highlight w:val="none"/>
        </w:rPr>
        <w:t>废水主要为施工人员的生活污水</w:t>
      </w:r>
      <w:r>
        <w:rPr>
          <w:rFonts w:hint="eastAsia" w:ascii="Times New Roman" w:hAnsi="Times New Roman"/>
          <w:color w:val="auto"/>
          <w:highlight w:val="none"/>
          <w:lang w:val="en-US" w:eastAsia="zh-CN"/>
        </w:rPr>
        <w:t>和</w:t>
      </w:r>
      <w:r>
        <w:rPr>
          <w:rFonts w:hint="eastAsia" w:ascii="Times New Roman" w:hAnsi="Times New Roman" w:eastAsia="宋体"/>
          <w:b w:val="0"/>
          <w:bCs w:val="0"/>
          <w:color w:val="auto"/>
          <w:sz w:val="24"/>
          <w:szCs w:val="24"/>
          <w:highlight w:val="none"/>
        </w:rPr>
        <w:t>淋滤水</w:t>
      </w:r>
      <w:r>
        <w:rPr>
          <w:rFonts w:ascii="Times New Roman" w:hAnsi="Times New Roman"/>
          <w:color w:val="auto"/>
          <w:highlight w:val="none"/>
        </w:rPr>
        <w:t>。本项目</w:t>
      </w:r>
      <w:r>
        <w:rPr>
          <w:rFonts w:hint="eastAsia" w:ascii="Times New Roman" w:hAnsi="Times New Roman"/>
          <w:color w:val="auto"/>
          <w:spacing w:val="-4"/>
          <w:highlight w:val="none"/>
          <w:lang w:val="en-US" w:eastAsia="zh-CN"/>
        </w:rPr>
        <w:t>生活污水</w:t>
      </w:r>
      <w:r>
        <w:rPr>
          <w:rFonts w:hint="eastAsia"/>
          <w:color w:val="auto"/>
          <w:highlight w:val="none"/>
          <w:lang w:val="en-US" w:eastAsia="zh-CN"/>
        </w:rPr>
        <w:t>依</w:t>
      </w:r>
      <w:r>
        <w:rPr>
          <w:rFonts w:hint="eastAsia" w:ascii="Times New Roman" w:hAnsi="Times New Roman" w:eastAsia="宋体" w:cs="Times New Roman"/>
          <w:snapToGrid/>
          <w:color w:val="auto"/>
          <w:kern w:val="2"/>
          <w:sz w:val="24"/>
          <w:szCs w:val="22"/>
          <w:highlight w:val="none"/>
          <w:lang w:val="en-US" w:eastAsia="zh-CN" w:bidi="ar-SA"/>
        </w:rPr>
        <w:t>民房防渗旱厕，定期外运堆肥</w:t>
      </w:r>
      <w:r>
        <w:rPr>
          <w:rFonts w:ascii="Times New Roman" w:hAnsi="Times New Roman"/>
          <w:color w:val="auto"/>
          <w:spacing w:val="-4"/>
          <w:highlight w:val="none"/>
        </w:rPr>
        <w:t>，不外排。</w:t>
      </w:r>
    </w:p>
    <w:p w14:paraId="47C873F8">
      <w:pPr>
        <w:spacing w:line="360" w:lineRule="auto"/>
        <w:ind w:firstLine="480"/>
        <w:rPr>
          <w:rFonts w:hint="eastAsia"/>
          <w:color w:val="auto"/>
          <w:highlight w:val="none"/>
        </w:rPr>
      </w:pPr>
      <w:r>
        <w:rPr>
          <w:rFonts w:hint="eastAsia"/>
          <w:color w:val="auto"/>
          <w:highlight w:val="none"/>
        </w:rPr>
        <w:t>回填区产生的</w:t>
      </w:r>
      <w:r>
        <w:rPr>
          <w:rFonts w:hint="eastAsia" w:ascii="Times New Roman" w:hAnsi="Times New Roman" w:eastAsia="宋体"/>
          <w:b w:val="0"/>
          <w:bCs w:val="0"/>
          <w:color w:val="auto"/>
          <w:sz w:val="24"/>
          <w:szCs w:val="24"/>
          <w:highlight w:val="none"/>
        </w:rPr>
        <w:t>淋滤水</w:t>
      </w:r>
      <w:r>
        <w:rPr>
          <w:rFonts w:hint="eastAsia"/>
          <w:color w:val="auto"/>
          <w:highlight w:val="none"/>
        </w:rPr>
        <w:t>主要来源于降雨，根据GB18599-2020的要求</w:t>
      </w:r>
      <w:r>
        <w:rPr>
          <w:rFonts w:hint="eastAsia"/>
          <w:color w:val="auto"/>
          <w:highlight w:val="none"/>
          <w:lang w:eastAsia="zh-CN"/>
        </w:rPr>
        <w:t>“</w:t>
      </w:r>
      <w:r>
        <w:rPr>
          <w:rFonts w:hint="eastAsia"/>
          <w:color w:val="auto"/>
          <w:highlight w:val="none"/>
        </w:rPr>
        <w:t>贮存场和填埋场需包含淋滤水收集和导排系统</w:t>
      </w:r>
      <w:r>
        <w:rPr>
          <w:rFonts w:hint="eastAsia"/>
          <w:color w:val="auto"/>
          <w:highlight w:val="none"/>
          <w:lang w:eastAsia="zh-CN"/>
        </w:rPr>
        <w:t>”。</w:t>
      </w:r>
      <w:r>
        <w:rPr>
          <w:rFonts w:hint="eastAsia"/>
          <w:color w:val="auto"/>
          <w:highlight w:val="none"/>
        </w:rPr>
        <w:t>因此，本项目对淋滤水进行收集与处置。</w:t>
      </w:r>
    </w:p>
    <w:p w14:paraId="5B17C595">
      <w:pPr>
        <w:spacing w:line="360" w:lineRule="auto"/>
        <w:ind w:firstLine="480"/>
        <w:rPr>
          <w:rFonts w:hint="eastAsia"/>
          <w:color w:val="auto"/>
          <w:sz w:val="24"/>
          <w:szCs w:val="24"/>
          <w:highlight w:val="none"/>
          <w:lang w:val="en-US" w:eastAsia="zh-CN"/>
        </w:rPr>
      </w:pPr>
      <w:r>
        <w:rPr>
          <w:rFonts w:hint="eastAsia"/>
          <w:color w:val="auto"/>
          <w:highlight w:val="none"/>
        </w:rPr>
        <w:t>回填区库底</w:t>
      </w:r>
      <w:r>
        <w:rPr>
          <w:color w:val="auto"/>
          <w:sz w:val="21"/>
          <w:szCs w:val="21"/>
          <w:highlight w:val="none"/>
        </w:rPr>
        <w:t>西北至东南</w:t>
      </w:r>
      <w:r>
        <w:rPr>
          <w:rFonts w:hint="eastAsia"/>
          <w:color w:val="auto"/>
          <w:highlight w:val="none"/>
        </w:rPr>
        <w:t>方向设置1条淋滤水导排沟，位于回填区底部，断面采用梯形断面，在沿主导排沟纵线上，依照场地平整实际地形情况，敷设淋滤水导排支沟，支沟以45度斜角插入导排主沟，将降雨时期产生的淋滤水经导排系统收集后排入</w:t>
      </w:r>
      <w:r>
        <w:rPr>
          <w:rFonts w:hint="eastAsia"/>
          <w:color w:val="auto"/>
          <w:highlight w:val="none"/>
          <w:lang w:val="en-US" w:eastAsia="zh-CN"/>
        </w:rPr>
        <w:t>120</w:t>
      </w:r>
      <w:r>
        <w:rPr>
          <w:rFonts w:hint="eastAsia"/>
          <w:color w:val="auto"/>
          <w:highlight w:val="none"/>
        </w:rPr>
        <w:t>m</w:t>
      </w:r>
      <w:r>
        <w:rPr>
          <w:rFonts w:hint="eastAsia"/>
          <w:color w:val="auto"/>
          <w:highlight w:val="none"/>
          <w:vertAlign w:val="superscript"/>
        </w:rPr>
        <w:t>3</w:t>
      </w:r>
      <w:r>
        <w:rPr>
          <w:rFonts w:hint="eastAsia"/>
          <w:color w:val="auto"/>
          <w:highlight w:val="none"/>
        </w:rPr>
        <w:t>沉淀池</w:t>
      </w:r>
      <w:r>
        <w:rPr>
          <w:rFonts w:hint="default"/>
          <w:color w:val="auto"/>
          <w:highlight w:val="none"/>
          <w:lang w:val="en-US" w:eastAsia="zh-CN"/>
        </w:rPr>
        <w:t>沉淀</w:t>
      </w:r>
      <w:r>
        <w:rPr>
          <w:rFonts w:hint="eastAsia"/>
          <w:color w:val="auto"/>
          <w:highlight w:val="none"/>
          <w:lang w:val="en-US" w:eastAsia="zh-CN"/>
        </w:rPr>
        <w:t>后</w:t>
      </w:r>
      <w:r>
        <w:rPr>
          <w:rFonts w:hint="eastAsia"/>
          <w:color w:val="auto"/>
          <w:sz w:val="24"/>
          <w:szCs w:val="24"/>
          <w:highlight w:val="none"/>
          <w:lang w:val="en-US" w:eastAsia="zh-CN"/>
        </w:rPr>
        <w:t>用于回填区洒水降尘，不外排。</w:t>
      </w:r>
    </w:p>
    <w:p w14:paraId="69DEFAB7">
      <w:pPr>
        <w:spacing w:line="360" w:lineRule="auto"/>
        <w:ind w:firstLine="48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本项目回填区域所在区域地势为</w:t>
      </w:r>
      <w:r>
        <w:rPr>
          <w:rFonts w:ascii="Times New Roman" w:hAnsi="Times New Roman" w:eastAsia="宋体" w:cs="Times New Roman"/>
          <w:color w:val="auto"/>
          <w:sz w:val="24"/>
          <w:szCs w:val="24"/>
          <w:highlight w:val="none"/>
        </w:rPr>
        <w:t>北高南低、西高东低</w:t>
      </w:r>
      <w:r>
        <w:rPr>
          <w:rFonts w:hint="default" w:ascii="Times New Roman" w:hAnsi="Times New Roman" w:eastAsia="宋体" w:cs="Times New Roman"/>
          <w:color w:val="auto"/>
          <w:sz w:val="24"/>
          <w:szCs w:val="24"/>
          <w:highlight w:val="none"/>
        </w:rPr>
        <w:t>，因此为了防止周边来水进入回填区，对回填区坡面造成冲刷，在回填区</w:t>
      </w:r>
      <w:r>
        <w:rPr>
          <w:rFonts w:ascii="Times New Roman" w:hAnsi="Times New Roman" w:eastAsia="宋体" w:cs="Times New Roman"/>
          <w:color w:val="auto"/>
          <w:sz w:val="24"/>
          <w:szCs w:val="24"/>
          <w:highlight w:val="none"/>
        </w:rPr>
        <w:t>北</w:t>
      </w:r>
      <w:r>
        <w:rPr>
          <w:rFonts w:hint="default" w:ascii="Times New Roman" w:hAnsi="Times New Roman" w:eastAsia="宋体" w:cs="Times New Roman"/>
          <w:color w:val="auto"/>
          <w:sz w:val="24"/>
          <w:szCs w:val="24"/>
          <w:highlight w:val="none"/>
        </w:rPr>
        <w:t>侧和</w:t>
      </w:r>
      <w:r>
        <w:rPr>
          <w:rFonts w:ascii="Times New Roman" w:hAnsi="Times New Roman" w:eastAsia="宋体" w:cs="Times New Roman"/>
          <w:color w:val="auto"/>
          <w:sz w:val="24"/>
          <w:szCs w:val="24"/>
          <w:highlight w:val="none"/>
        </w:rPr>
        <w:t>西</w:t>
      </w:r>
      <w:r>
        <w:rPr>
          <w:rFonts w:hint="default" w:ascii="Times New Roman" w:hAnsi="Times New Roman" w:eastAsia="宋体" w:cs="Times New Roman"/>
          <w:color w:val="auto"/>
          <w:sz w:val="24"/>
          <w:szCs w:val="24"/>
          <w:highlight w:val="none"/>
        </w:rPr>
        <w:t>侧设置</w:t>
      </w:r>
      <w:r>
        <w:rPr>
          <w:rFonts w:hint="eastAsia" w:ascii="Times New Roman" w:hAnsi="Times New Roman" w:eastAsia="宋体" w:cs="Times New Roman"/>
          <w:color w:val="auto"/>
          <w:sz w:val="24"/>
          <w:szCs w:val="24"/>
          <w:highlight w:val="none"/>
          <w:lang w:eastAsia="zh-CN"/>
        </w:rPr>
        <w:t>拦挡埂</w:t>
      </w:r>
      <w:r>
        <w:rPr>
          <w:rFonts w:hint="default"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eastAsia="zh-CN"/>
        </w:rPr>
        <w:t>拦挡埂</w:t>
      </w:r>
      <w:r>
        <w:rPr>
          <w:rFonts w:hint="default" w:ascii="Times New Roman" w:hAnsi="Times New Roman" w:eastAsia="宋体" w:cs="Times New Roman"/>
          <w:color w:val="auto"/>
          <w:sz w:val="24"/>
          <w:szCs w:val="24"/>
          <w:highlight w:val="none"/>
        </w:rPr>
        <w:t>采用袋装土挡护，挡土袋高0.25m，宽0.4m，长度约700m，减少雨水对覆盖土的冲刷和向</w:t>
      </w:r>
      <w:r>
        <w:rPr>
          <w:rFonts w:hint="eastAsia" w:ascii="Times New Roman"/>
          <w:color w:val="auto"/>
          <w:highlight w:val="none"/>
          <w:lang w:val="en-US" w:eastAsia="zh-CN"/>
        </w:rPr>
        <w:t>采砂坑</w:t>
      </w:r>
      <w:r>
        <w:rPr>
          <w:rFonts w:hint="default" w:ascii="Times New Roman" w:hAnsi="Times New Roman" w:eastAsia="宋体" w:cs="Times New Roman"/>
          <w:color w:val="auto"/>
          <w:sz w:val="24"/>
          <w:szCs w:val="24"/>
          <w:highlight w:val="none"/>
        </w:rPr>
        <w:t>的渗漏。</w:t>
      </w:r>
    </w:p>
    <w:p w14:paraId="0D3285E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color w:val="auto"/>
          <w:szCs w:val="32"/>
          <w:highlight w:val="none"/>
        </w:rPr>
      </w:pPr>
      <w:r>
        <w:rPr>
          <w:rFonts w:hint="eastAsia" w:ascii="Times New Roman" w:hAnsi="Times New Roman" w:cs="Times New Roman"/>
          <w:color w:val="auto"/>
          <w:sz w:val="24"/>
          <w:szCs w:val="32"/>
          <w:highlight w:val="none"/>
          <w:lang w:val="en-US" w:eastAsia="zh-CN"/>
        </w:rPr>
        <w:t>因此，本项目</w:t>
      </w:r>
      <w:r>
        <w:rPr>
          <w:rFonts w:hint="default" w:ascii="Times New Roman" w:hAnsi="Times New Roman" w:cs="Times New Roman"/>
          <w:color w:val="auto"/>
          <w:sz w:val="24"/>
          <w:szCs w:val="32"/>
          <w:highlight w:val="none"/>
        </w:rPr>
        <w:t>不会对地表水体产生影响。</w:t>
      </w:r>
    </w:p>
    <w:p w14:paraId="2F77E0B5">
      <w:pPr>
        <w:pStyle w:val="7"/>
        <w:numPr>
          <w:ilvl w:val="2"/>
          <w:numId w:val="0"/>
        </w:numPr>
        <w:bidi w:val="0"/>
        <w:spacing w:line="360" w:lineRule="auto"/>
        <w:ind w:leftChars="0"/>
        <w:rPr>
          <w:color w:val="auto"/>
          <w:highlight w:val="none"/>
        </w:rPr>
      </w:pPr>
      <w:r>
        <w:rPr>
          <w:color w:val="auto"/>
          <w:highlight w:val="none"/>
        </w:rPr>
        <w:t>6.2.3地下水污染防治措施</w:t>
      </w:r>
    </w:p>
    <w:p w14:paraId="04746C36">
      <w:pPr>
        <w:spacing w:line="360" w:lineRule="auto"/>
        <w:ind w:firstLine="480"/>
        <w:rPr>
          <w:snapToGrid w:val="0"/>
          <w:color w:val="auto"/>
          <w:kern w:val="0"/>
          <w:sz w:val="21"/>
          <w:szCs w:val="21"/>
          <w:highlight w:val="none"/>
        </w:rPr>
      </w:pPr>
      <w:r>
        <w:rPr>
          <w:color w:val="auto"/>
          <w:highlight w:val="none"/>
        </w:rPr>
        <w:t>按</w:t>
      </w:r>
      <w:r>
        <w:rPr>
          <w:rFonts w:hint="eastAsia" w:ascii="宋体" w:hAnsi="宋体" w:cs="宋体"/>
          <w:color w:val="auto"/>
          <w:highlight w:val="none"/>
        </w:rPr>
        <w:t>照“源头控制、分区防控、污染监控、应急响应”的地</w:t>
      </w:r>
      <w:r>
        <w:rPr>
          <w:color w:val="auto"/>
          <w:highlight w:val="none"/>
        </w:rPr>
        <w:t>下水污染防治总体原则，</w:t>
      </w:r>
      <w:r>
        <w:rPr>
          <w:rFonts w:hint="eastAsia"/>
          <w:color w:val="auto"/>
          <w:highlight w:val="none"/>
        </w:rPr>
        <w:t>结合本</w:t>
      </w:r>
      <w:r>
        <w:rPr>
          <w:color w:val="auto"/>
          <w:highlight w:val="none"/>
        </w:rPr>
        <w:t>项目特点和当地的实际情况，本项目</w:t>
      </w:r>
      <w:r>
        <w:rPr>
          <w:rFonts w:hint="eastAsia"/>
          <w:color w:val="auto"/>
          <w:highlight w:val="none"/>
        </w:rPr>
        <w:t>布设跟踪监测井，</w:t>
      </w:r>
      <w:r>
        <w:rPr>
          <w:rFonts w:hint="eastAsia"/>
          <w:color w:val="auto"/>
          <w:kern w:val="0"/>
          <w:highlight w:val="none"/>
        </w:rPr>
        <w:t>当发现地下水水质有被污染的迹象时，应及时查找原因并采取补救措施，防止污染进一步扩散，避免对下游其他区域地下水环境造成影响。</w:t>
      </w:r>
    </w:p>
    <w:p w14:paraId="35A56079">
      <w:pPr>
        <w:widowControl/>
        <w:spacing w:line="360" w:lineRule="auto"/>
        <w:ind w:firstLine="480"/>
        <w:rPr>
          <w:color w:val="auto"/>
          <w:highlight w:val="none"/>
        </w:rPr>
      </w:pPr>
      <w:r>
        <w:rPr>
          <w:color w:val="auto"/>
          <w:highlight w:val="none"/>
        </w:rPr>
        <w:t>跟踪监测点位布设参照《一般工业固体废物贮存和填埋</w:t>
      </w:r>
      <w:r>
        <w:rPr>
          <w:rFonts w:hint="eastAsia"/>
          <w:color w:val="auto"/>
          <w:highlight w:val="none"/>
        </w:rPr>
        <w:t>污染控制标准</w:t>
      </w:r>
      <w:r>
        <w:rPr>
          <w:color w:val="auto"/>
          <w:highlight w:val="none"/>
        </w:rPr>
        <w:t>》（GB18599-2020）</w:t>
      </w:r>
      <w:r>
        <w:rPr>
          <w:rFonts w:hint="eastAsia"/>
          <w:color w:val="auto"/>
          <w:highlight w:val="none"/>
        </w:rPr>
        <w:t>10.3.2</w:t>
      </w:r>
      <w:r>
        <w:rPr>
          <w:color w:val="auto"/>
          <w:highlight w:val="none"/>
        </w:rPr>
        <w:t>中相关要求：</w:t>
      </w:r>
    </w:p>
    <w:p w14:paraId="24A5CBB2">
      <w:pPr>
        <w:widowControl/>
        <w:spacing w:line="360" w:lineRule="auto"/>
        <w:ind w:firstLine="480"/>
        <w:rPr>
          <w:color w:val="auto"/>
          <w:highlight w:val="none"/>
        </w:rPr>
      </w:pPr>
      <w:r>
        <w:rPr>
          <w:rFonts w:hint="eastAsia"/>
          <w:color w:val="auto"/>
          <w:highlight w:val="none"/>
        </w:rPr>
        <w:t>a）在地下水流场上游应布置1个监测井，在下游至少应布置1个监测井，在可能出现污染扩散区域至少应布置1个监测井。设置有地下水导排系统的，应在地下水主管出口处至少布置1个监测井，用以监测地下水导排系统排水的水质；</w:t>
      </w:r>
    </w:p>
    <w:p w14:paraId="0ED0C915">
      <w:pPr>
        <w:widowControl/>
        <w:spacing w:line="360" w:lineRule="auto"/>
        <w:ind w:firstLine="480"/>
        <w:rPr>
          <w:color w:val="auto"/>
          <w:highlight w:val="none"/>
        </w:rPr>
      </w:pPr>
      <w:r>
        <w:rPr>
          <w:rFonts w:hint="eastAsia"/>
          <w:color w:val="auto"/>
          <w:highlight w:val="none"/>
        </w:rPr>
        <w:t>b）岩溶发育区以及环境影响评价文件中确定地下水评价等级为一级的贮存场、填埋场应根据环境影响评价结论加大下游监测井布设密度；</w:t>
      </w:r>
    </w:p>
    <w:p w14:paraId="5CD2376C">
      <w:pPr>
        <w:widowControl/>
        <w:spacing w:line="360" w:lineRule="auto"/>
        <w:ind w:firstLine="480"/>
        <w:rPr>
          <w:color w:val="auto"/>
          <w:highlight w:val="none"/>
        </w:rPr>
      </w:pPr>
      <w:r>
        <w:rPr>
          <w:rFonts w:hint="eastAsia"/>
          <w:color w:val="auto"/>
          <w:highlight w:val="none"/>
        </w:rPr>
        <w:t>c）当地下水含水层埋藏较深或地下水监测井较难布设的基岩山区，经环境影响评价确认地下水不会受到污染时，可减少地下水监测井的数量；</w:t>
      </w:r>
    </w:p>
    <w:p w14:paraId="2770D63A">
      <w:pPr>
        <w:widowControl/>
        <w:spacing w:line="360" w:lineRule="auto"/>
        <w:ind w:firstLine="480"/>
        <w:rPr>
          <w:color w:val="auto"/>
          <w:highlight w:val="none"/>
        </w:rPr>
      </w:pPr>
      <w:r>
        <w:rPr>
          <w:rFonts w:hint="eastAsia"/>
          <w:color w:val="auto"/>
          <w:highlight w:val="none"/>
        </w:rPr>
        <w:t>d）监测井的位置、深度应根据场区水文地质特征进行针对性布置；</w:t>
      </w:r>
    </w:p>
    <w:p w14:paraId="196B5AB5">
      <w:pPr>
        <w:widowControl/>
        <w:spacing w:line="360" w:lineRule="auto"/>
        <w:ind w:firstLine="480"/>
        <w:rPr>
          <w:color w:val="auto"/>
          <w:highlight w:val="none"/>
        </w:rPr>
      </w:pPr>
      <w:r>
        <w:rPr>
          <w:rFonts w:hint="eastAsia"/>
          <w:color w:val="auto"/>
          <w:highlight w:val="none"/>
        </w:rPr>
        <w:t>e）监测井的建设与管理应符合HJ164-2020的技术要求；</w:t>
      </w:r>
    </w:p>
    <w:p w14:paraId="258D981E">
      <w:pPr>
        <w:widowControl/>
        <w:spacing w:line="360" w:lineRule="auto"/>
        <w:ind w:firstLine="480"/>
        <w:rPr>
          <w:color w:val="auto"/>
          <w:highlight w:val="none"/>
        </w:rPr>
      </w:pPr>
      <w:r>
        <w:rPr>
          <w:rFonts w:hint="eastAsia"/>
          <w:color w:val="auto"/>
          <w:highlight w:val="none"/>
        </w:rPr>
        <w:t>f）已有的地下水取水井、观测井和勘测井，如果满足上述要求可以作为地下水监测井使用。</w:t>
      </w:r>
    </w:p>
    <w:p w14:paraId="2AF2D3D4">
      <w:pPr>
        <w:spacing w:line="360" w:lineRule="auto"/>
        <w:ind w:firstLine="480"/>
        <w:rPr>
          <w:color w:val="auto"/>
          <w:sz w:val="24"/>
          <w:szCs w:val="24"/>
          <w:highlight w:val="none"/>
        </w:rPr>
      </w:pPr>
      <w:r>
        <w:rPr>
          <w:color w:val="auto"/>
          <w:highlight w:val="none"/>
        </w:rPr>
        <w:t>本项目设置</w:t>
      </w:r>
      <w:r>
        <w:rPr>
          <w:rFonts w:hint="eastAsia"/>
          <w:color w:val="auto"/>
          <w:highlight w:val="none"/>
          <w:lang w:val="en-US" w:eastAsia="zh-CN"/>
        </w:rPr>
        <w:t>3</w:t>
      </w:r>
      <w:r>
        <w:rPr>
          <w:color w:val="auto"/>
          <w:highlight w:val="none"/>
        </w:rPr>
        <w:t>眼监测井</w:t>
      </w:r>
      <w:r>
        <w:rPr>
          <w:rFonts w:hint="eastAsia"/>
          <w:color w:val="auto"/>
          <w:highlight w:val="none"/>
          <w:lang w:eastAsia="zh-CN"/>
        </w:rPr>
        <w:t>。</w:t>
      </w:r>
      <w:r>
        <w:rPr>
          <w:rFonts w:hint="default"/>
          <w:color w:val="auto"/>
          <w:sz w:val="24"/>
          <w:szCs w:val="24"/>
          <w:highlight w:val="none"/>
          <w:lang w:val="en-US" w:eastAsia="zh-CN"/>
        </w:rPr>
        <w:t>设1口背景监测井</w:t>
      </w:r>
      <w:r>
        <w:rPr>
          <w:rFonts w:hint="eastAsia"/>
          <w:color w:val="auto"/>
          <w:sz w:val="24"/>
          <w:szCs w:val="24"/>
          <w:highlight w:val="none"/>
          <w:lang w:val="en-US" w:eastAsia="zh-CN"/>
        </w:rPr>
        <w:t>，位于回填区地下水上游，回填区厂界南侧350m处（</w:t>
      </w:r>
      <w:r>
        <w:rPr>
          <w:rFonts w:hint="eastAsia" w:ascii="Times New Roman" w:hAnsi="Times New Roman" w:cs="Times New Roman"/>
          <w:color w:val="auto"/>
          <w:sz w:val="24"/>
          <w:szCs w:val="24"/>
          <w:highlight w:val="none"/>
          <w:lang w:val="en-US" w:eastAsia="zh-CN" w:bidi="ar-SA"/>
        </w:rPr>
        <w:t>元宝村</w:t>
      </w:r>
      <w:r>
        <w:rPr>
          <w:rFonts w:ascii="Times New Roman"/>
          <w:color w:val="auto"/>
          <w:sz w:val="24"/>
          <w:szCs w:val="24"/>
          <w:highlight w:val="none"/>
          <w:lang w:bidi="ar"/>
        </w:rPr>
        <w:t>散户水井</w:t>
      </w:r>
      <w:r>
        <w:rPr>
          <w:rFonts w:hint="default"/>
          <w:color w:val="auto"/>
          <w:sz w:val="24"/>
          <w:szCs w:val="24"/>
          <w:highlight w:val="none"/>
          <w:lang w:val="en-US" w:eastAsia="zh-CN"/>
        </w:rPr>
        <w:t>）</w:t>
      </w:r>
      <w:r>
        <w:rPr>
          <w:rFonts w:hint="eastAsia"/>
          <w:color w:val="auto"/>
          <w:sz w:val="24"/>
          <w:szCs w:val="24"/>
          <w:highlight w:val="none"/>
          <w:lang w:val="en-US" w:eastAsia="zh-CN"/>
        </w:rPr>
        <w:t>。</w:t>
      </w:r>
      <w:r>
        <w:rPr>
          <w:rFonts w:hint="default"/>
          <w:color w:val="auto"/>
          <w:sz w:val="24"/>
          <w:szCs w:val="24"/>
          <w:highlight w:val="none"/>
          <w:lang w:val="en-US" w:eastAsia="zh-CN"/>
        </w:rPr>
        <w:t>新建1口地下水跟踪监测井</w:t>
      </w:r>
      <w:r>
        <w:rPr>
          <w:rFonts w:hint="eastAsia"/>
          <w:color w:val="auto"/>
          <w:sz w:val="24"/>
          <w:szCs w:val="24"/>
          <w:highlight w:val="none"/>
          <w:lang w:val="en-US" w:eastAsia="zh-CN"/>
        </w:rPr>
        <w:t>，回填区地下水</w:t>
      </w:r>
      <w:r>
        <w:rPr>
          <w:rFonts w:hint="default"/>
          <w:color w:val="auto"/>
          <w:sz w:val="24"/>
          <w:szCs w:val="24"/>
          <w:highlight w:val="none"/>
          <w:lang w:val="en-US" w:eastAsia="zh-CN"/>
        </w:rPr>
        <w:t>下游</w:t>
      </w:r>
      <w:r>
        <w:rPr>
          <w:rFonts w:hint="eastAsia"/>
          <w:color w:val="auto"/>
          <w:sz w:val="24"/>
          <w:szCs w:val="24"/>
          <w:highlight w:val="none"/>
          <w:lang w:val="en-US" w:eastAsia="zh-CN"/>
        </w:rPr>
        <w:t>，回填区厂界东北</w:t>
      </w:r>
      <w:r>
        <w:rPr>
          <w:rFonts w:hint="default"/>
          <w:color w:val="auto"/>
          <w:sz w:val="24"/>
          <w:szCs w:val="24"/>
          <w:highlight w:val="none"/>
          <w:lang w:val="en-US" w:eastAsia="zh-CN"/>
        </w:rPr>
        <w:t>侧15m处</w:t>
      </w:r>
      <w:r>
        <w:rPr>
          <w:rFonts w:hint="eastAsia"/>
          <w:color w:val="auto"/>
          <w:sz w:val="24"/>
          <w:szCs w:val="24"/>
          <w:highlight w:val="none"/>
          <w:lang w:val="en-US" w:eastAsia="zh-CN"/>
        </w:rPr>
        <w:t>。</w:t>
      </w:r>
      <w:r>
        <w:rPr>
          <w:rFonts w:hint="default"/>
          <w:color w:val="auto"/>
          <w:sz w:val="24"/>
          <w:szCs w:val="24"/>
          <w:highlight w:val="none"/>
          <w:lang w:val="en-US" w:eastAsia="zh-CN"/>
        </w:rPr>
        <w:t>设1口</w:t>
      </w:r>
      <w:r>
        <w:rPr>
          <w:rFonts w:hint="eastAsia"/>
          <w:color w:val="auto"/>
          <w:sz w:val="24"/>
          <w:szCs w:val="24"/>
          <w:highlight w:val="none"/>
          <w:lang w:val="en-US" w:eastAsia="zh-CN"/>
        </w:rPr>
        <w:t>跟踪</w:t>
      </w:r>
      <w:r>
        <w:rPr>
          <w:rFonts w:hint="default"/>
          <w:color w:val="auto"/>
          <w:sz w:val="24"/>
          <w:szCs w:val="24"/>
          <w:highlight w:val="none"/>
          <w:lang w:val="en-US" w:eastAsia="zh-CN"/>
        </w:rPr>
        <w:t>监测井</w:t>
      </w:r>
      <w:r>
        <w:rPr>
          <w:rFonts w:hint="eastAsia"/>
          <w:color w:val="auto"/>
          <w:sz w:val="24"/>
          <w:szCs w:val="24"/>
          <w:highlight w:val="none"/>
          <w:lang w:val="en-US" w:eastAsia="zh-CN"/>
        </w:rPr>
        <w:t>，位于回填区地下水下游，回填区厂界东北侧1050m处（洪福村</w:t>
      </w:r>
      <w:r>
        <w:rPr>
          <w:rFonts w:hint="default"/>
          <w:color w:val="auto"/>
          <w:sz w:val="24"/>
          <w:szCs w:val="24"/>
          <w:highlight w:val="none"/>
          <w:lang w:val="en-US" w:eastAsia="zh-CN"/>
        </w:rPr>
        <w:t>散户水井）</w:t>
      </w:r>
      <w:r>
        <w:rPr>
          <w:rFonts w:hint="eastAsia"/>
          <w:color w:val="auto"/>
          <w:sz w:val="24"/>
          <w:szCs w:val="24"/>
          <w:highlight w:val="none"/>
          <w:lang w:val="en-US" w:eastAsia="zh-CN"/>
        </w:rPr>
        <w:t>。</w:t>
      </w:r>
    </w:p>
    <w:p w14:paraId="58D76534">
      <w:pPr>
        <w:spacing w:line="360" w:lineRule="auto"/>
        <w:ind w:firstLine="480"/>
        <w:rPr>
          <w:color w:val="auto"/>
          <w:kern w:val="0"/>
          <w:highlight w:val="none"/>
        </w:rPr>
      </w:pPr>
      <w:r>
        <w:rPr>
          <w:rFonts w:hint="eastAsia"/>
          <w:color w:val="auto"/>
          <w:kern w:val="0"/>
          <w:highlight w:val="none"/>
        </w:rPr>
        <w:t>当发现地下水水质有被污染的迹象时，应及时查找原因并采取补救措施，防止污染进一步扩散，避免对下游其他区域地下水环境造成影响。</w:t>
      </w:r>
      <w:r>
        <w:rPr>
          <w:color w:val="auto"/>
          <w:kern w:val="0"/>
          <w:highlight w:val="none"/>
        </w:rPr>
        <w:t>企业自行监测过程中地下水采样及监测分析方法严格按照《地下水环境监测技术规范》（</w:t>
      </w:r>
      <w:r>
        <w:rPr>
          <w:rFonts w:hint="eastAsia"/>
          <w:color w:val="auto"/>
          <w:kern w:val="0"/>
          <w:highlight w:val="none"/>
        </w:rPr>
        <w:t>HJ164-2020</w:t>
      </w:r>
      <w:r>
        <w:rPr>
          <w:color w:val="auto"/>
          <w:kern w:val="0"/>
          <w:highlight w:val="none"/>
        </w:rPr>
        <w:t>）中相关要求执行。</w:t>
      </w:r>
    </w:p>
    <w:p w14:paraId="6C7A49ED">
      <w:pPr>
        <w:spacing w:line="360" w:lineRule="auto"/>
        <w:ind w:firstLine="480"/>
        <w:rPr>
          <w:snapToGrid w:val="0"/>
          <w:color w:val="auto"/>
          <w:highlight w:val="none"/>
        </w:rPr>
      </w:pPr>
      <w:r>
        <w:rPr>
          <w:snapToGrid w:val="0"/>
          <w:color w:val="auto"/>
          <w:highlight w:val="none"/>
        </w:rPr>
        <w:t>综上所述，</w:t>
      </w:r>
      <w:r>
        <w:rPr>
          <w:rFonts w:hint="eastAsia"/>
          <w:snapToGrid w:val="0"/>
          <w:color w:val="auto"/>
          <w:highlight w:val="none"/>
        </w:rPr>
        <w:t>本项目</w:t>
      </w:r>
      <w:r>
        <w:rPr>
          <w:snapToGrid w:val="0"/>
          <w:color w:val="auto"/>
          <w:highlight w:val="none"/>
        </w:rPr>
        <w:t>严格按照设计要求进行施工，</w:t>
      </w:r>
      <w:r>
        <w:rPr>
          <w:rFonts w:hint="eastAsia"/>
          <w:snapToGrid w:val="0"/>
          <w:color w:val="auto"/>
          <w:highlight w:val="none"/>
        </w:rPr>
        <w:t>严格执行地下水跟踪监测制度</w:t>
      </w:r>
      <w:r>
        <w:rPr>
          <w:snapToGrid w:val="0"/>
          <w:color w:val="auto"/>
          <w:highlight w:val="none"/>
        </w:rPr>
        <w:t>，基本能够控制对评价区内地下水水质产生的不利影响。</w:t>
      </w:r>
    </w:p>
    <w:p w14:paraId="2F01735D">
      <w:pPr>
        <w:spacing w:line="240" w:lineRule="auto"/>
        <w:ind w:firstLine="0" w:firstLineChars="0"/>
        <w:jc w:val="center"/>
        <w:rPr>
          <w:b/>
          <w:bCs/>
          <w:color w:val="auto"/>
          <w:highlight w:val="none"/>
        </w:rPr>
      </w:pPr>
      <w:r>
        <w:rPr>
          <w:b/>
          <w:bCs/>
          <w:color w:val="auto"/>
          <w:highlight w:val="none"/>
        </w:rPr>
        <w:t>表</w:t>
      </w:r>
      <w:r>
        <w:rPr>
          <w:b/>
          <w:bCs/>
          <w:color w:val="auto"/>
          <w:highlight w:val="none"/>
        </w:rPr>
        <w:fldChar w:fldCharType="begin"/>
      </w:r>
      <w:r>
        <w:rPr>
          <w:b/>
          <w:bCs/>
          <w:color w:val="auto"/>
          <w:highlight w:val="none"/>
        </w:rPr>
        <w:instrText xml:space="preserve"> STYLEREF 2 \s </w:instrText>
      </w:r>
      <w:r>
        <w:rPr>
          <w:b/>
          <w:bCs/>
          <w:color w:val="auto"/>
          <w:highlight w:val="none"/>
        </w:rPr>
        <w:fldChar w:fldCharType="separate"/>
      </w:r>
      <w:r>
        <w:rPr>
          <w:rFonts w:hint="eastAsia"/>
          <w:b/>
          <w:bCs/>
          <w:color w:val="auto"/>
          <w:highlight w:val="none"/>
        </w:rPr>
        <w:t>6</w:t>
      </w:r>
      <w:r>
        <w:rPr>
          <w:rFonts w:hint="eastAsia"/>
          <w:b/>
          <w:bCs/>
          <w:color w:val="auto"/>
          <w:highlight w:val="none"/>
          <w:lang w:val="en-US" w:eastAsia="zh-CN"/>
        </w:rPr>
        <w:t>.</w:t>
      </w:r>
      <w:r>
        <w:rPr>
          <w:b/>
          <w:bCs/>
          <w:color w:val="auto"/>
          <w:highlight w:val="none"/>
        </w:rPr>
        <w:t>2</w:t>
      </w:r>
      <w:r>
        <w:rPr>
          <w:b/>
          <w:bCs/>
          <w:color w:val="auto"/>
          <w:highlight w:val="none"/>
        </w:rPr>
        <w:fldChar w:fldCharType="end"/>
      </w:r>
      <w:r>
        <w:rPr>
          <w:rFonts w:hint="eastAsia"/>
          <w:b/>
          <w:bCs/>
          <w:color w:val="auto"/>
          <w:highlight w:val="none"/>
          <w:lang w:val="en-US" w:eastAsia="zh-CN"/>
        </w:rPr>
        <w:t>-</w:t>
      </w:r>
      <w:r>
        <w:rPr>
          <w:rFonts w:hint="eastAsia"/>
          <w:b/>
          <w:bCs/>
          <w:color w:val="auto"/>
          <w:highlight w:val="none"/>
        </w:rPr>
        <w:t>1</w:t>
      </w:r>
      <w:r>
        <w:rPr>
          <w:rFonts w:hint="eastAsia"/>
          <w:b/>
          <w:bCs/>
          <w:color w:val="auto"/>
          <w:highlight w:val="none"/>
          <w:lang w:val="en-US" w:eastAsia="zh-CN"/>
        </w:rPr>
        <w:t xml:space="preserve">  </w:t>
      </w:r>
      <w:r>
        <w:rPr>
          <w:b/>
          <w:bCs/>
          <w:color w:val="auto"/>
          <w:highlight w:val="none"/>
        </w:rPr>
        <w:t>地下水跟踪监测井布设要求</w:t>
      </w:r>
    </w:p>
    <w:tbl>
      <w:tblPr>
        <w:tblStyle w:val="84"/>
        <w:tblW w:w="4855"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934"/>
        <w:gridCol w:w="1307"/>
        <w:gridCol w:w="1218"/>
        <w:gridCol w:w="752"/>
        <w:gridCol w:w="743"/>
        <w:gridCol w:w="814"/>
        <w:gridCol w:w="814"/>
        <w:gridCol w:w="671"/>
        <w:gridCol w:w="1259"/>
      </w:tblGrid>
      <w:tr w14:paraId="2DB5444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59" w:type="pct"/>
            <w:tcBorders>
              <w:top w:val="single" w:color="000000" w:sz="8" w:space="0"/>
            </w:tcBorders>
            <w:noWrap w:val="0"/>
            <w:vAlign w:val="center"/>
          </w:tcPr>
          <w:p w14:paraId="52E357DC">
            <w:pPr>
              <w:keepNext w:val="0"/>
              <w:keepLines w:val="0"/>
              <w:widowControl/>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监测井</w:t>
            </w:r>
          </w:p>
        </w:tc>
        <w:tc>
          <w:tcPr>
            <w:tcW w:w="778" w:type="pct"/>
            <w:tcBorders>
              <w:top w:val="single" w:color="000000" w:sz="8" w:space="0"/>
              <w:right w:val="single" w:color="auto" w:sz="4" w:space="0"/>
            </w:tcBorders>
            <w:noWrap w:val="0"/>
            <w:vAlign w:val="center"/>
          </w:tcPr>
          <w:p w14:paraId="7A05700A">
            <w:pPr>
              <w:keepNext w:val="0"/>
              <w:keepLines w:val="0"/>
              <w:widowControl/>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与</w:t>
            </w:r>
            <w:r>
              <w:rPr>
                <w:rFonts w:hint="eastAsia"/>
                <w:color w:val="auto"/>
                <w:sz w:val="21"/>
                <w:szCs w:val="21"/>
                <w:highlight w:val="none"/>
              </w:rPr>
              <w:t>项目</w:t>
            </w:r>
            <w:r>
              <w:rPr>
                <w:color w:val="auto"/>
                <w:sz w:val="21"/>
                <w:szCs w:val="21"/>
                <w:highlight w:val="none"/>
              </w:rPr>
              <w:t>位置关系</w:t>
            </w:r>
          </w:p>
        </w:tc>
        <w:tc>
          <w:tcPr>
            <w:tcW w:w="634" w:type="pct"/>
            <w:tcBorders>
              <w:top w:val="single" w:color="000000" w:sz="8" w:space="0"/>
              <w:left w:val="single" w:color="auto" w:sz="4" w:space="0"/>
            </w:tcBorders>
            <w:noWrap w:val="0"/>
            <w:vAlign w:val="center"/>
          </w:tcPr>
          <w:p w14:paraId="55FD66F0">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eastAsia" w:eastAsia="宋体"/>
                <w:color w:val="auto"/>
                <w:sz w:val="21"/>
                <w:szCs w:val="21"/>
                <w:highlight w:val="none"/>
                <w:lang w:val="en-US" w:eastAsia="zh-CN"/>
              </w:rPr>
            </w:pPr>
            <w:r>
              <w:rPr>
                <w:rFonts w:hint="eastAsia"/>
                <w:color w:val="auto"/>
                <w:sz w:val="21"/>
                <w:szCs w:val="21"/>
                <w:highlight w:val="none"/>
                <w:lang w:val="en-US" w:eastAsia="zh-CN"/>
              </w:rPr>
              <w:t>坐标</w:t>
            </w:r>
          </w:p>
        </w:tc>
        <w:tc>
          <w:tcPr>
            <w:tcW w:w="452" w:type="pct"/>
            <w:tcBorders>
              <w:top w:val="single" w:color="000000" w:sz="8" w:space="0"/>
            </w:tcBorders>
            <w:noWrap w:val="0"/>
            <w:vAlign w:val="center"/>
          </w:tcPr>
          <w:p w14:paraId="1CFBD9DA">
            <w:pPr>
              <w:keepNext w:val="0"/>
              <w:keepLines w:val="0"/>
              <w:widowControl/>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井深m</w:t>
            </w:r>
          </w:p>
        </w:tc>
        <w:tc>
          <w:tcPr>
            <w:tcW w:w="446" w:type="pct"/>
            <w:tcBorders>
              <w:top w:val="single" w:color="000000" w:sz="8" w:space="0"/>
            </w:tcBorders>
            <w:noWrap w:val="0"/>
            <w:vAlign w:val="center"/>
          </w:tcPr>
          <w:p w14:paraId="7FFEF8E3">
            <w:pPr>
              <w:keepNext w:val="0"/>
              <w:keepLines w:val="0"/>
              <w:widowControl/>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井结构</w:t>
            </w:r>
          </w:p>
        </w:tc>
        <w:tc>
          <w:tcPr>
            <w:tcW w:w="488" w:type="pct"/>
            <w:tcBorders>
              <w:top w:val="single" w:color="000000" w:sz="8" w:space="0"/>
            </w:tcBorders>
            <w:noWrap w:val="0"/>
            <w:vAlign w:val="center"/>
          </w:tcPr>
          <w:p w14:paraId="3C50178F">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eastAsia" w:eastAsia="宋体"/>
                <w:color w:val="auto"/>
                <w:sz w:val="21"/>
                <w:szCs w:val="21"/>
                <w:highlight w:val="none"/>
                <w:lang w:val="en-US" w:eastAsia="zh-CN"/>
              </w:rPr>
            </w:pPr>
            <w:r>
              <w:rPr>
                <w:rFonts w:hint="eastAsia"/>
                <w:color w:val="auto"/>
                <w:sz w:val="21"/>
                <w:szCs w:val="21"/>
                <w:highlight w:val="none"/>
                <w:lang w:val="en-US" w:eastAsia="zh-CN"/>
              </w:rPr>
              <w:t>功能</w:t>
            </w:r>
          </w:p>
        </w:tc>
        <w:tc>
          <w:tcPr>
            <w:tcW w:w="488" w:type="pct"/>
            <w:tcBorders>
              <w:top w:val="single" w:color="000000" w:sz="8" w:space="0"/>
            </w:tcBorders>
            <w:noWrap w:val="0"/>
            <w:vAlign w:val="center"/>
          </w:tcPr>
          <w:p w14:paraId="0E9C999F">
            <w:pPr>
              <w:keepNext w:val="0"/>
              <w:keepLines w:val="0"/>
              <w:widowControl/>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监测层位</w:t>
            </w:r>
          </w:p>
        </w:tc>
        <w:tc>
          <w:tcPr>
            <w:tcW w:w="404" w:type="pct"/>
            <w:tcBorders>
              <w:top w:val="single" w:color="000000" w:sz="8" w:space="0"/>
            </w:tcBorders>
            <w:noWrap w:val="0"/>
            <w:vAlign w:val="center"/>
          </w:tcPr>
          <w:p w14:paraId="33C07CF9">
            <w:pPr>
              <w:keepNext w:val="0"/>
              <w:keepLines w:val="0"/>
              <w:widowControl/>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监测因子</w:t>
            </w:r>
          </w:p>
        </w:tc>
        <w:tc>
          <w:tcPr>
            <w:tcW w:w="749" w:type="pct"/>
            <w:tcBorders>
              <w:top w:val="single" w:color="000000" w:sz="8" w:space="0"/>
            </w:tcBorders>
            <w:noWrap w:val="0"/>
            <w:vAlign w:val="center"/>
          </w:tcPr>
          <w:p w14:paraId="0CF1F5A1">
            <w:pPr>
              <w:keepNext w:val="0"/>
              <w:keepLines w:val="0"/>
              <w:widowControl/>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监测频率</w:t>
            </w:r>
          </w:p>
        </w:tc>
      </w:tr>
      <w:tr w14:paraId="352B5B9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59" w:type="pct"/>
            <w:noWrap w:val="0"/>
            <w:vAlign w:val="center"/>
          </w:tcPr>
          <w:p w14:paraId="7910F853">
            <w:pPr>
              <w:keepNext w:val="0"/>
              <w:keepLines w:val="0"/>
              <w:widowControl/>
              <w:suppressLineNumbers w:val="0"/>
              <w:adjustRightInd w:val="0"/>
              <w:snapToGrid w:val="0"/>
              <w:spacing w:before="0" w:beforeAutospacing="0" w:after="0" w:afterAutospacing="0" w:line="240" w:lineRule="auto"/>
              <w:ind w:left="0" w:right="0" w:firstLine="0" w:firstLineChars="0"/>
              <w:jc w:val="center"/>
              <w:rPr>
                <w:bCs/>
                <w:color w:val="auto"/>
                <w:sz w:val="21"/>
                <w:szCs w:val="21"/>
                <w:highlight w:val="none"/>
              </w:rPr>
            </w:pPr>
            <w:r>
              <w:rPr>
                <w:bCs/>
                <w:color w:val="auto"/>
                <w:sz w:val="21"/>
                <w:szCs w:val="21"/>
                <w:highlight w:val="none"/>
              </w:rPr>
              <w:t>1#</w:t>
            </w:r>
          </w:p>
        </w:tc>
        <w:tc>
          <w:tcPr>
            <w:tcW w:w="778" w:type="pct"/>
            <w:tcBorders>
              <w:right w:val="single" w:color="auto" w:sz="4" w:space="0"/>
            </w:tcBorders>
            <w:noWrap w:val="0"/>
            <w:vAlign w:val="center"/>
          </w:tcPr>
          <w:p w14:paraId="5F9BB29D">
            <w:pPr>
              <w:keepNext w:val="0"/>
              <w:keepLines w:val="0"/>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r>
              <w:rPr>
                <w:rFonts w:hint="eastAsia" w:ascii="Times New Roman"/>
                <w:color w:val="auto"/>
                <w:kern w:val="2"/>
                <w:sz w:val="21"/>
                <w:szCs w:val="21"/>
                <w:highlight w:val="none"/>
                <w:lang w:val="en-US" w:eastAsia="zh-CN"/>
              </w:rPr>
              <w:t>项目上游350m</w:t>
            </w:r>
          </w:p>
        </w:tc>
        <w:tc>
          <w:tcPr>
            <w:tcW w:w="1117" w:type="dxa"/>
            <w:tcBorders>
              <w:left w:val="single" w:color="auto" w:sz="4" w:space="0"/>
            </w:tcBorders>
            <w:noWrap w:val="0"/>
            <w:vAlign w:val="center"/>
          </w:tcPr>
          <w:p w14:paraId="7D353C65">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color w:val="auto"/>
                <w:kern w:val="2"/>
                <w:sz w:val="21"/>
                <w:szCs w:val="21"/>
                <w:highlight w:val="none"/>
                <w:lang w:val="en-US" w:eastAsia="zh-CN"/>
              </w:rPr>
            </w:pPr>
            <w:r>
              <w:rPr>
                <w:rFonts w:hint="eastAsia" w:ascii="Times New Roman" w:hAnsi="Times New Roman"/>
                <w:color w:val="auto"/>
                <w:kern w:val="2"/>
                <w:sz w:val="21"/>
                <w:szCs w:val="21"/>
                <w:highlight w:val="none"/>
                <w:lang w:val="en-US" w:eastAsia="zh-CN"/>
              </w:rPr>
              <w:t>经度：128.277547°</w:t>
            </w:r>
          </w:p>
          <w:p w14:paraId="35E40DB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color w:val="auto"/>
                <w:kern w:val="2"/>
                <w:sz w:val="21"/>
                <w:szCs w:val="21"/>
                <w:highlight w:val="none"/>
                <w:lang w:val="en-US" w:eastAsia="zh-CN"/>
              </w:rPr>
            </w:pPr>
            <w:r>
              <w:rPr>
                <w:rFonts w:hint="eastAsia" w:ascii="Times New Roman" w:hAnsi="Times New Roman"/>
                <w:color w:val="auto"/>
                <w:kern w:val="2"/>
                <w:sz w:val="21"/>
                <w:szCs w:val="21"/>
                <w:highlight w:val="none"/>
                <w:lang w:val="en-US" w:eastAsia="zh-CN"/>
              </w:rPr>
              <w:t>纬度：45.267426°</w:t>
            </w:r>
          </w:p>
        </w:tc>
        <w:tc>
          <w:tcPr>
            <w:tcW w:w="452" w:type="pct"/>
            <w:noWrap w:val="0"/>
            <w:vAlign w:val="center"/>
          </w:tcPr>
          <w:p w14:paraId="4CE2D044">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50</w:t>
            </w:r>
          </w:p>
        </w:tc>
        <w:tc>
          <w:tcPr>
            <w:tcW w:w="446" w:type="pct"/>
            <w:noWrap w:val="0"/>
            <w:vAlign w:val="center"/>
          </w:tcPr>
          <w:p w14:paraId="524F232B">
            <w:pPr>
              <w:keepNext w:val="0"/>
              <w:keepLines w:val="0"/>
              <w:widowControl/>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r>
              <w:rPr>
                <w:color w:val="auto"/>
                <w:sz w:val="21"/>
                <w:szCs w:val="21"/>
                <w:highlight w:val="none"/>
              </w:rPr>
              <w:t>水泥管</w:t>
            </w:r>
          </w:p>
        </w:tc>
        <w:tc>
          <w:tcPr>
            <w:tcW w:w="488" w:type="pct"/>
            <w:noWrap w:val="0"/>
            <w:vAlign w:val="center"/>
          </w:tcPr>
          <w:p w14:paraId="22686778">
            <w:pPr>
              <w:keepNext w:val="0"/>
              <w:keepLines w:val="0"/>
              <w:widowControl/>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r>
              <w:rPr>
                <w:rFonts w:ascii="Times New Roman"/>
                <w:color w:val="auto"/>
                <w:kern w:val="2"/>
                <w:sz w:val="21"/>
                <w:szCs w:val="21"/>
                <w:highlight w:val="none"/>
              </w:rPr>
              <w:t>用于牲畜饮用、灌溉</w:t>
            </w:r>
          </w:p>
        </w:tc>
        <w:tc>
          <w:tcPr>
            <w:tcW w:w="488" w:type="pct"/>
            <w:noWrap w:val="0"/>
            <w:vAlign w:val="center"/>
          </w:tcPr>
          <w:p w14:paraId="4FB791C9">
            <w:pPr>
              <w:keepNext w:val="0"/>
              <w:keepLines w:val="0"/>
              <w:widowControl/>
              <w:suppressLineNumbers w:val="0"/>
              <w:spacing w:before="0" w:beforeAutospacing="0" w:after="0" w:afterAutospacing="0" w:line="240" w:lineRule="auto"/>
              <w:ind w:left="0" w:right="0" w:firstLine="0" w:firstLineChars="0"/>
              <w:jc w:val="center"/>
              <w:rPr>
                <w:color w:val="auto"/>
                <w:sz w:val="21"/>
                <w:szCs w:val="21"/>
                <w:highlight w:val="none"/>
              </w:rPr>
            </w:pPr>
            <w:r>
              <w:rPr>
                <w:rFonts w:hint="eastAsia" w:ascii="Times New Roman" w:hAnsi="Times New Roman"/>
                <w:color w:val="auto"/>
                <w:sz w:val="21"/>
                <w:szCs w:val="21"/>
                <w:highlight w:val="none"/>
                <w:lang w:val="en-US" w:eastAsia="zh-CN"/>
              </w:rPr>
              <w:t>潜水层</w:t>
            </w:r>
          </w:p>
        </w:tc>
        <w:tc>
          <w:tcPr>
            <w:tcW w:w="404" w:type="pct"/>
            <w:vMerge w:val="restart"/>
            <w:noWrap w:val="0"/>
            <w:vAlign w:val="center"/>
          </w:tcPr>
          <w:p w14:paraId="7028A05B">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color w:val="auto"/>
                <w:sz w:val="21"/>
                <w:szCs w:val="21"/>
                <w:highlight w:val="none"/>
                <w:lang w:val="en-US" w:eastAsia="zh-CN"/>
              </w:rPr>
            </w:pPr>
            <w:r>
              <w:rPr>
                <w:rFonts w:hint="eastAsia" w:ascii="Times New Roman"/>
                <w:color w:val="auto"/>
                <w:sz w:val="21"/>
                <w:szCs w:val="21"/>
                <w:highlight w:val="none"/>
                <w:lang w:val="en-US" w:eastAsia="zh-CN"/>
              </w:rPr>
              <w:t>汞、氟化物</w:t>
            </w:r>
          </w:p>
        </w:tc>
        <w:tc>
          <w:tcPr>
            <w:tcW w:w="749" w:type="pct"/>
            <w:vMerge w:val="restart"/>
            <w:noWrap w:val="0"/>
            <w:vAlign w:val="center"/>
          </w:tcPr>
          <w:p w14:paraId="288A6392">
            <w:pPr>
              <w:keepNext w:val="0"/>
              <w:keepLines w:val="0"/>
              <w:widowControl/>
              <w:suppressLineNumbers w:val="0"/>
              <w:spacing w:before="0" w:beforeAutospacing="0" w:after="0" w:afterAutospacing="0" w:line="240" w:lineRule="auto"/>
              <w:ind w:left="0" w:right="0" w:firstLine="0" w:firstLineChars="0"/>
              <w:jc w:val="left"/>
              <w:rPr>
                <w:rFonts w:hint="eastAsia" w:ascii="Times New Roman" w:hAnsi="Times New Roman" w:eastAsia="宋体"/>
                <w:color w:val="auto"/>
                <w:sz w:val="21"/>
                <w:szCs w:val="21"/>
                <w:highlight w:val="none"/>
                <w:lang w:val="en-US" w:eastAsia="zh-CN" w:bidi="ar-SA"/>
              </w:rPr>
            </w:pPr>
            <w:r>
              <w:rPr>
                <w:rFonts w:hint="eastAsia"/>
                <w:color w:val="auto"/>
                <w:sz w:val="21"/>
                <w:szCs w:val="21"/>
                <w:highlight w:val="none"/>
              </w:rPr>
              <w:t>1次</w:t>
            </w:r>
            <w:r>
              <w:rPr>
                <w:color w:val="auto"/>
                <w:sz w:val="21"/>
                <w:szCs w:val="21"/>
                <w:highlight w:val="none"/>
              </w:rPr>
              <w:t>/</w:t>
            </w:r>
            <w:r>
              <w:rPr>
                <w:rFonts w:hint="eastAsia"/>
                <w:color w:val="auto"/>
                <w:sz w:val="21"/>
                <w:szCs w:val="21"/>
                <w:highlight w:val="none"/>
              </w:rPr>
              <w:t>季度；复垦</w:t>
            </w:r>
            <w:r>
              <w:rPr>
                <w:rFonts w:hint="eastAsia"/>
                <w:color w:val="auto"/>
                <w:sz w:val="21"/>
                <w:szCs w:val="21"/>
                <w:highlight w:val="none"/>
                <w:lang w:eastAsia="zh-CN"/>
              </w:rPr>
              <w:t>、</w:t>
            </w:r>
            <w:r>
              <w:rPr>
                <w:rFonts w:hint="eastAsia"/>
                <w:color w:val="auto"/>
                <w:sz w:val="21"/>
                <w:szCs w:val="21"/>
                <w:highlight w:val="none"/>
                <w:lang w:val="en-US" w:eastAsia="zh-CN"/>
              </w:rPr>
              <w:t>绿化</w:t>
            </w:r>
            <w:r>
              <w:rPr>
                <w:rFonts w:hint="eastAsia"/>
                <w:color w:val="auto"/>
                <w:sz w:val="21"/>
                <w:szCs w:val="21"/>
                <w:highlight w:val="none"/>
              </w:rPr>
              <w:t>后</w:t>
            </w:r>
            <w:r>
              <w:rPr>
                <w:rFonts w:hint="eastAsia"/>
                <w:color w:val="auto"/>
                <w:sz w:val="21"/>
                <w:szCs w:val="21"/>
                <w:highlight w:val="none"/>
                <w:lang w:val="en-US" w:eastAsia="zh-CN"/>
              </w:rPr>
              <w:t>至</w:t>
            </w:r>
            <w:r>
              <w:rPr>
                <w:rFonts w:hint="eastAsia" w:ascii="宋体" w:hAnsi="宋体" w:cs="宋体"/>
                <w:color w:val="auto"/>
                <w:kern w:val="0"/>
                <w:sz w:val="21"/>
                <w:szCs w:val="21"/>
                <w:highlight w:val="none"/>
                <w:lang w:bidi="ar"/>
              </w:rPr>
              <w:t>少每年</w:t>
            </w:r>
            <w:r>
              <w:rPr>
                <w:color w:val="auto"/>
                <w:kern w:val="0"/>
                <w:sz w:val="21"/>
                <w:szCs w:val="21"/>
                <w:highlight w:val="none"/>
                <w:lang w:bidi="ar"/>
              </w:rPr>
              <w:t>1</w:t>
            </w:r>
            <w:r>
              <w:rPr>
                <w:rFonts w:hint="eastAsia" w:ascii="宋体" w:hAnsi="宋体" w:cs="宋体"/>
                <w:color w:val="auto"/>
                <w:kern w:val="0"/>
                <w:sz w:val="21"/>
                <w:szCs w:val="21"/>
                <w:highlight w:val="none"/>
                <w:lang w:bidi="ar"/>
              </w:rPr>
              <w:t>次，直到地下水水质连续</w:t>
            </w:r>
            <w:r>
              <w:rPr>
                <w:color w:val="auto"/>
                <w:kern w:val="0"/>
                <w:sz w:val="21"/>
                <w:szCs w:val="21"/>
                <w:highlight w:val="none"/>
                <w:lang w:bidi="ar"/>
              </w:rPr>
              <w:t>2</w:t>
            </w:r>
            <w:r>
              <w:rPr>
                <w:rFonts w:hint="eastAsia" w:ascii="宋体" w:hAnsi="宋体" w:cs="宋体"/>
                <w:color w:val="auto"/>
                <w:kern w:val="0"/>
                <w:sz w:val="21"/>
                <w:szCs w:val="21"/>
                <w:highlight w:val="none"/>
                <w:lang w:bidi="ar"/>
              </w:rPr>
              <w:t>年不超出地下水本底水平。</w:t>
            </w:r>
          </w:p>
        </w:tc>
      </w:tr>
      <w:tr w14:paraId="173EDB0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59" w:type="pct"/>
            <w:noWrap w:val="0"/>
            <w:vAlign w:val="center"/>
          </w:tcPr>
          <w:p w14:paraId="30401DB8">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eastAsia" w:eastAsia="宋体"/>
                <w:bCs/>
                <w:color w:val="auto"/>
                <w:sz w:val="21"/>
                <w:szCs w:val="21"/>
                <w:highlight w:val="none"/>
                <w:lang w:val="en-US" w:eastAsia="zh-CN"/>
              </w:rPr>
            </w:pPr>
            <w:r>
              <w:rPr>
                <w:rFonts w:hint="eastAsia"/>
                <w:bCs/>
                <w:color w:val="auto"/>
                <w:sz w:val="21"/>
                <w:szCs w:val="21"/>
                <w:highlight w:val="none"/>
                <w:lang w:val="en-US" w:eastAsia="zh-CN"/>
              </w:rPr>
              <w:t>2</w:t>
            </w:r>
            <w:r>
              <w:rPr>
                <w:bCs/>
                <w:color w:val="auto"/>
                <w:sz w:val="21"/>
                <w:szCs w:val="21"/>
                <w:highlight w:val="none"/>
              </w:rPr>
              <w:t>#</w:t>
            </w:r>
          </w:p>
        </w:tc>
        <w:tc>
          <w:tcPr>
            <w:tcW w:w="778" w:type="pct"/>
            <w:tcBorders>
              <w:right w:val="single" w:color="auto" w:sz="4" w:space="0"/>
            </w:tcBorders>
            <w:noWrap w:val="0"/>
            <w:vAlign w:val="center"/>
          </w:tcPr>
          <w:p w14:paraId="12FF6770">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highlight w:val="none"/>
                <w:lang w:val="en-US" w:eastAsia="zh-CN" w:bidi="ar-SA"/>
              </w:rPr>
            </w:pPr>
            <w:r>
              <w:rPr>
                <w:rFonts w:hint="eastAsia"/>
                <w:color w:val="auto"/>
                <w:sz w:val="21"/>
                <w:szCs w:val="21"/>
                <w:highlight w:val="none"/>
              </w:rPr>
              <w:t>项目场地下游</w:t>
            </w:r>
            <w:r>
              <w:rPr>
                <w:rFonts w:hint="eastAsia"/>
                <w:color w:val="auto"/>
                <w:sz w:val="21"/>
                <w:szCs w:val="21"/>
                <w:highlight w:val="none"/>
                <w:lang w:val="en-US" w:eastAsia="zh-CN"/>
              </w:rPr>
              <w:t>厂界东北</w:t>
            </w:r>
            <w:r>
              <w:rPr>
                <w:rFonts w:hint="default"/>
                <w:color w:val="auto"/>
                <w:sz w:val="21"/>
                <w:szCs w:val="21"/>
                <w:highlight w:val="none"/>
                <w:lang w:val="en-US" w:eastAsia="zh-CN"/>
              </w:rPr>
              <w:t>侧15m</w:t>
            </w:r>
          </w:p>
        </w:tc>
        <w:tc>
          <w:tcPr>
            <w:tcW w:w="1117" w:type="dxa"/>
            <w:tcBorders>
              <w:left w:val="single" w:color="auto" w:sz="4" w:space="0"/>
            </w:tcBorders>
            <w:noWrap w:val="0"/>
            <w:vAlign w:val="center"/>
          </w:tcPr>
          <w:p w14:paraId="1A1FA388">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color w:val="auto"/>
                <w:kern w:val="2"/>
                <w:sz w:val="21"/>
                <w:szCs w:val="21"/>
                <w:highlight w:val="none"/>
                <w:lang w:val="en-US" w:eastAsia="zh-CN"/>
              </w:rPr>
            </w:pPr>
            <w:r>
              <w:rPr>
                <w:rFonts w:hint="eastAsia" w:ascii="Times New Roman" w:hAnsi="Times New Roman"/>
                <w:color w:val="auto"/>
                <w:kern w:val="2"/>
                <w:sz w:val="21"/>
                <w:szCs w:val="21"/>
                <w:highlight w:val="none"/>
                <w:lang w:val="en-US" w:eastAsia="zh-CN"/>
              </w:rPr>
              <w:t>经度：128.277896°</w:t>
            </w:r>
          </w:p>
          <w:p w14:paraId="09B42088">
            <w:pPr>
              <w:keepNext w:val="0"/>
              <w:keepLines w:val="0"/>
              <w:widowControl/>
              <w:suppressLineNumbers w:val="0"/>
              <w:spacing w:before="0" w:beforeAutospacing="0" w:after="0" w:afterAutospacing="0" w:line="240" w:lineRule="auto"/>
              <w:ind w:left="0" w:right="0" w:firstLine="0" w:firstLineChars="0"/>
              <w:jc w:val="center"/>
              <w:rPr>
                <w:rFonts w:hint="eastAsia"/>
                <w:color w:val="auto"/>
                <w:sz w:val="21"/>
                <w:szCs w:val="21"/>
                <w:highlight w:val="none"/>
              </w:rPr>
            </w:pPr>
            <w:r>
              <w:rPr>
                <w:rFonts w:hint="eastAsia" w:ascii="Times New Roman" w:hAnsi="Times New Roman"/>
                <w:color w:val="auto"/>
                <w:kern w:val="2"/>
                <w:sz w:val="21"/>
                <w:szCs w:val="21"/>
                <w:highlight w:val="none"/>
                <w:lang w:val="en-US" w:eastAsia="zh-CN"/>
              </w:rPr>
              <w:t>纬度：45.272268°</w:t>
            </w:r>
          </w:p>
        </w:tc>
        <w:tc>
          <w:tcPr>
            <w:tcW w:w="452" w:type="pct"/>
            <w:noWrap w:val="0"/>
            <w:vAlign w:val="center"/>
          </w:tcPr>
          <w:p w14:paraId="7F119301">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highlight w:val="none"/>
                <w:lang w:val="en-US" w:eastAsia="zh-CN" w:bidi="ar-SA"/>
              </w:rPr>
            </w:pPr>
            <w:r>
              <w:rPr>
                <w:rFonts w:hint="eastAsia"/>
                <w:color w:val="auto"/>
                <w:sz w:val="21"/>
                <w:szCs w:val="21"/>
                <w:highlight w:val="none"/>
                <w:lang w:val="en-US" w:eastAsia="zh-CN"/>
              </w:rPr>
              <w:t>170</w:t>
            </w:r>
          </w:p>
        </w:tc>
        <w:tc>
          <w:tcPr>
            <w:tcW w:w="446" w:type="pct"/>
            <w:noWrap w:val="0"/>
            <w:vAlign w:val="center"/>
          </w:tcPr>
          <w:p w14:paraId="3BBA32FA">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ascii="Times New Roman" w:hAnsi="Times New Roman" w:eastAsia="宋体"/>
                <w:color w:val="auto"/>
                <w:sz w:val="21"/>
                <w:szCs w:val="21"/>
                <w:highlight w:val="none"/>
                <w:lang w:val="en-US" w:eastAsia="zh-CN" w:bidi="ar-SA"/>
              </w:rPr>
            </w:pPr>
            <w:r>
              <w:rPr>
                <w:color w:val="auto"/>
                <w:sz w:val="21"/>
                <w:szCs w:val="21"/>
                <w:highlight w:val="none"/>
              </w:rPr>
              <w:t>水泥管</w:t>
            </w:r>
          </w:p>
        </w:tc>
        <w:tc>
          <w:tcPr>
            <w:tcW w:w="488" w:type="pct"/>
            <w:noWrap w:val="0"/>
            <w:vAlign w:val="center"/>
          </w:tcPr>
          <w:p w14:paraId="7CA5B98F">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企业自用</w:t>
            </w:r>
          </w:p>
        </w:tc>
        <w:tc>
          <w:tcPr>
            <w:tcW w:w="488" w:type="pct"/>
            <w:noWrap w:val="0"/>
            <w:vAlign w:val="center"/>
          </w:tcPr>
          <w:p w14:paraId="147F756F">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ascii="Times New Roman" w:hAnsi="Times New Roman" w:eastAsia="宋体"/>
                <w:color w:val="auto"/>
                <w:sz w:val="21"/>
                <w:szCs w:val="21"/>
                <w:highlight w:val="none"/>
                <w:lang w:val="en-US" w:eastAsia="zh-CN" w:bidi="ar-SA"/>
              </w:rPr>
            </w:pPr>
            <w:r>
              <w:rPr>
                <w:rFonts w:hint="eastAsia"/>
                <w:color w:val="auto"/>
                <w:sz w:val="21"/>
                <w:szCs w:val="21"/>
                <w:highlight w:val="none"/>
              </w:rPr>
              <w:t>承压水层</w:t>
            </w:r>
          </w:p>
        </w:tc>
        <w:tc>
          <w:tcPr>
            <w:tcW w:w="404" w:type="pct"/>
            <w:vMerge w:val="continue"/>
            <w:noWrap w:val="0"/>
            <w:vAlign w:val="center"/>
          </w:tcPr>
          <w:p w14:paraId="2F1D7B96">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highlight w:val="none"/>
                <w:lang w:val="en-US" w:eastAsia="zh-CN" w:bidi="ar-SA"/>
              </w:rPr>
            </w:pPr>
          </w:p>
        </w:tc>
        <w:tc>
          <w:tcPr>
            <w:tcW w:w="749" w:type="pct"/>
            <w:vMerge w:val="continue"/>
            <w:noWrap w:val="0"/>
            <w:vAlign w:val="center"/>
          </w:tcPr>
          <w:p w14:paraId="3793BB62">
            <w:pPr>
              <w:keepNext w:val="0"/>
              <w:keepLines w:val="0"/>
              <w:widowControl/>
              <w:suppressLineNumbers w:val="0"/>
              <w:spacing w:before="0" w:beforeAutospacing="0" w:after="0" w:afterAutospacing="0" w:line="240" w:lineRule="auto"/>
              <w:ind w:left="0" w:right="0" w:firstLine="0" w:firstLineChars="0"/>
              <w:jc w:val="left"/>
              <w:rPr>
                <w:rFonts w:hint="eastAsia" w:ascii="Times New Roman" w:hAnsi="Times New Roman" w:eastAsia="宋体"/>
                <w:color w:val="auto"/>
                <w:sz w:val="21"/>
                <w:szCs w:val="21"/>
                <w:highlight w:val="none"/>
                <w:lang w:val="en-US" w:eastAsia="zh-CN" w:bidi="ar-SA"/>
              </w:rPr>
            </w:pPr>
          </w:p>
        </w:tc>
      </w:tr>
      <w:tr w14:paraId="68B3805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559" w:type="pct"/>
            <w:tcBorders>
              <w:bottom w:val="single" w:color="000000" w:sz="8" w:space="0"/>
            </w:tcBorders>
            <w:noWrap w:val="0"/>
            <w:vAlign w:val="center"/>
          </w:tcPr>
          <w:p w14:paraId="0B399A77">
            <w:pPr>
              <w:keepNext w:val="0"/>
              <w:keepLines w:val="0"/>
              <w:widowControl/>
              <w:suppressLineNumbers w:val="0"/>
              <w:adjustRightInd w:val="0"/>
              <w:snapToGrid w:val="0"/>
              <w:spacing w:before="0" w:beforeAutospacing="0" w:after="0" w:afterAutospacing="0" w:line="240" w:lineRule="auto"/>
              <w:ind w:left="0" w:right="0" w:firstLine="0" w:firstLineChars="0"/>
              <w:jc w:val="center"/>
              <w:rPr>
                <w:bCs/>
                <w:color w:val="auto"/>
                <w:sz w:val="21"/>
                <w:szCs w:val="21"/>
                <w:highlight w:val="none"/>
              </w:rPr>
            </w:pPr>
            <w:r>
              <w:rPr>
                <w:rFonts w:hint="eastAsia"/>
                <w:bCs/>
                <w:color w:val="auto"/>
                <w:sz w:val="21"/>
                <w:szCs w:val="21"/>
                <w:highlight w:val="none"/>
                <w:lang w:val="en-US" w:eastAsia="zh-CN"/>
              </w:rPr>
              <w:t>3</w:t>
            </w:r>
            <w:r>
              <w:rPr>
                <w:bCs/>
                <w:color w:val="auto"/>
                <w:sz w:val="21"/>
                <w:szCs w:val="21"/>
                <w:highlight w:val="none"/>
              </w:rPr>
              <w:t>#</w:t>
            </w:r>
          </w:p>
        </w:tc>
        <w:tc>
          <w:tcPr>
            <w:tcW w:w="778" w:type="pct"/>
            <w:tcBorders>
              <w:bottom w:val="single" w:color="000000" w:sz="8" w:space="0"/>
              <w:right w:val="single" w:color="auto" w:sz="4" w:space="0"/>
            </w:tcBorders>
            <w:noWrap w:val="0"/>
            <w:vAlign w:val="center"/>
          </w:tcPr>
          <w:p w14:paraId="225314D3">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highlight w:val="none"/>
                <w:lang w:val="en-US" w:eastAsia="zh-CN" w:bidi="ar-SA"/>
              </w:rPr>
            </w:pPr>
            <w:r>
              <w:rPr>
                <w:rFonts w:hint="eastAsia" w:ascii="Times New Roman"/>
                <w:color w:val="auto"/>
                <w:kern w:val="2"/>
                <w:sz w:val="21"/>
                <w:szCs w:val="21"/>
                <w:highlight w:val="none"/>
                <w:lang w:val="en-US" w:eastAsia="zh-CN"/>
              </w:rPr>
              <w:t>项目下游</w:t>
            </w:r>
            <w:r>
              <w:rPr>
                <w:rFonts w:hint="eastAsia"/>
                <w:color w:val="auto"/>
                <w:sz w:val="21"/>
                <w:szCs w:val="21"/>
                <w:highlight w:val="none"/>
                <w:lang w:val="en-US" w:eastAsia="zh-CN"/>
              </w:rPr>
              <w:t>1050m处</w:t>
            </w:r>
          </w:p>
        </w:tc>
        <w:tc>
          <w:tcPr>
            <w:tcW w:w="1117" w:type="dxa"/>
            <w:tcBorders>
              <w:left w:val="single" w:color="auto" w:sz="4" w:space="0"/>
              <w:bottom w:val="single" w:color="000000" w:sz="8" w:space="0"/>
            </w:tcBorders>
            <w:noWrap w:val="0"/>
            <w:vAlign w:val="center"/>
          </w:tcPr>
          <w:p w14:paraId="650B4CD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color w:val="auto"/>
                <w:kern w:val="2"/>
                <w:sz w:val="21"/>
                <w:szCs w:val="21"/>
                <w:highlight w:val="none"/>
                <w:lang w:val="en-US" w:eastAsia="zh-CN"/>
              </w:rPr>
            </w:pPr>
            <w:r>
              <w:rPr>
                <w:rFonts w:hint="eastAsia" w:ascii="Times New Roman" w:hAnsi="Times New Roman"/>
                <w:color w:val="auto"/>
                <w:kern w:val="2"/>
                <w:sz w:val="21"/>
                <w:szCs w:val="21"/>
                <w:highlight w:val="none"/>
                <w:lang w:val="en-US" w:eastAsia="zh-CN"/>
              </w:rPr>
              <w:t>经度：128.284102°</w:t>
            </w:r>
          </w:p>
          <w:p w14:paraId="1618974D">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color w:val="auto"/>
                <w:kern w:val="2"/>
                <w:sz w:val="21"/>
                <w:szCs w:val="21"/>
                <w:highlight w:val="none"/>
                <w:lang w:val="en-US" w:eastAsia="zh-CN"/>
              </w:rPr>
            </w:pPr>
            <w:r>
              <w:rPr>
                <w:rFonts w:hint="eastAsia" w:ascii="Times New Roman" w:hAnsi="Times New Roman"/>
                <w:color w:val="auto"/>
                <w:kern w:val="2"/>
                <w:sz w:val="21"/>
                <w:szCs w:val="21"/>
                <w:highlight w:val="none"/>
                <w:lang w:val="en-US" w:eastAsia="zh-CN"/>
              </w:rPr>
              <w:t>纬度：128.284102°</w:t>
            </w:r>
          </w:p>
        </w:tc>
        <w:tc>
          <w:tcPr>
            <w:tcW w:w="452" w:type="pct"/>
            <w:tcBorders>
              <w:bottom w:val="single" w:color="000000" w:sz="8" w:space="0"/>
            </w:tcBorders>
            <w:noWrap w:val="0"/>
            <w:vAlign w:val="center"/>
          </w:tcPr>
          <w:p w14:paraId="2C962EBB">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hAnsi="Times New Roman" w:eastAsia="宋体"/>
                <w:color w:val="auto"/>
                <w:sz w:val="21"/>
                <w:szCs w:val="21"/>
                <w:highlight w:val="none"/>
                <w:lang w:val="en-US" w:eastAsia="zh-CN" w:bidi="ar-SA"/>
              </w:rPr>
            </w:pPr>
            <w:r>
              <w:rPr>
                <w:rFonts w:hint="eastAsia"/>
                <w:color w:val="auto"/>
                <w:sz w:val="21"/>
                <w:szCs w:val="21"/>
                <w:highlight w:val="none"/>
                <w:lang w:val="en-US" w:eastAsia="zh-CN"/>
              </w:rPr>
              <w:t>40</w:t>
            </w:r>
          </w:p>
        </w:tc>
        <w:tc>
          <w:tcPr>
            <w:tcW w:w="446" w:type="pct"/>
            <w:tcBorders>
              <w:bottom w:val="single" w:color="000000" w:sz="8" w:space="0"/>
            </w:tcBorders>
            <w:noWrap w:val="0"/>
            <w:vAlign w:val="center"/>
          </w:tcPr>
          <w:p w14:paraId="44B9EC56">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ascii="Times New Roman" w:hAnsi="Times New Roman" w:eastAsia="宋体"/>
                <w:color w:val="auto"/>
                <w:sz w:val="21"/>
                <w:szCs w:val="21"/>
                <w:highlight w:val="none"/>
                <w:lang w:val="en-US" w:eastAsia="zh-CN" w:bidi="ar-SA"/>
              </w:rPr>
            </w:pPr>
            <w:r>
              <w:rPr>
                <w:color w:val="auto"/>
                <w:sz w:val="21"/>
                <w:szCs w:val="21"/>
                <w:highlight w:val="none"/>
              </w:rPr>
              <w:t>水泥管</w:t>
            </w:r>
          </w:p>
        </w:tc>
        <w:tc>
          <w:tcPr>
            <w:tcW w:w="488" w:type="pct"/>
            <w:tcBorders>
              <w:bottom w:val="single" w:color="000000" w:sz="8" w:space="0"/>
            </w:tcBorders>
            <w:noWrap w:val="0"/>
            <w:vAlign w:val="center"/>
          </w:tcPr>
          <w:p w14:paraId="73918650">
            <w:pPr>
              <w:keepNext w:val="0"/>
              <w:keepLines w:val="0"/>
              <w:widowControl/>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r>
              <w:rPr>
                <w:rFonts w:ascii="Times New Roman"/>
                <w:color w:val="auto"/>
                <w:kern w:val="2"/>
                <w:sz w:val="21"/>
                <w:szCs w:val="21"/>
                <w:highlight w:val="none"/>
              </w:rPr>
              <w:t>用于牲畜饮用、灌溉</w:t>
            </w:r>
          </w:p>
        </w:tc>
        <w:tc>
          <w:tcPr>
            <w:tcW w:w="488" w:type="pct"/>
            <w:tcBorders>
              <w:bottom w:val="single" w:color="000000" w:sz="8" w:space="0"/>
            </w:tcBorders>
            <w:noWrap w:val="0"/>
            <w:vAlign w:val="center"/>
          </w:tcPr>
          <w:p w14:paraId="4D1FDEA8">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ascii="Times New Roman" w:hAnsi="Times New Roman" w:eastAsia="宋体"/>
                <w:color w:val="auto"/>
                <w:sz w:val="21"/>
                <w:szCs w:val="21"/>
                <w:highlight w:val="none"/>
                <w:lang w:val="en-US" w:eastAsia="zh-CN" w:bidi="ar-SA"/>
              </w:rPr>
            </w:pPr>
            <w:r>
              <w:rPr>
                <w:rFonts w:hint="eastAsia" w:ascii="Times New Roman" w:hAnsi="Times New Roman"/>
                <w:color w:val="auto"/>
                <w:sz w:val="21"/>
                <w:szCs w:val="21"/>
                <w:highlight w:val="none"/>
                <w:lang w:val="en-US" w:eastAsia="zh-CN"/>
              </w:rPr>
              <w:t>潜水层</w:t>
            </w:r>
          </w:p>
        </w:tc>
        <w:tc>
          <w:tcPr>
            <w:tcW w:w="404" w:type="pct"/>
            <w:vMerge w:val="continue"/>
            <w:tcBorders>
              <w:bottom w:val="single" w:color="000000" w:sz="8" w:space="0"/>
            </w:tcBorders>
            <w:noWrap w:val="0"/>
            <w:vAlign w:val="center"/>
          </w:tcPr>
          <w:p w14:paraId="3C96412A">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hAnsi="Times New Roman" w:eastAsia="宋体"/>
                <w:color w:val="auto"/>
                <w:sz w:val="21"/>
                <w:szCs w:val="21"/>
                <w:highlight w:val="none"/>
                <w:lang w:val="en-US" w:eastAsia="zh-CN" w:bidi="ar-SA"/>
              </w:rPr>
            </w:pPr>
          </w:p>
        </w:tc>
        <w:tc>
          <w:tcPr>
            <w:tcW w:w="749" w:type="pct"/>
            <w:vMerge w:val="continue"/>
            <w:tcBorders>
              <w:bottom w:val="single" w:color="000000" w:sz="8" w:space="0"/>
            </w:tcBorders>
            <w:noWrap w:val="0"/>
            <w:vAlign w:val="center"/>
          </w:tcPr>
          <w:p w14:paraId="5DCFB5B9">
            <w:pPr>
              <w:keepNext w:val="0"/>
              <w:keepLines w:val="0"/>
              <w:widowControl/>
              <w:suppressLineNumbers w:val="0"/>
              <w:spacing w:before="0" w:beforeAutospacing="0" w:after="0" w:afterAutospacing="0" w:line="240" w:lineRule="auto"/>
              <w:ind w:left="0" w:right="0" w:firstLine="0" w:firstLineChars="0"/>
              <w:jc w:val="left"/>
              <w:rPr>
                <w:rFonts w:hint="eastAsia" w:ascii="Times New Roman" w:hAnsi="Times New Roman" w:eastAsia="宋体"/>
                <w:color w:val="auto"/>
                <w:sz w:val="21"/>
                <w:szCs w:val="21"/>
                <w:highlight w:val="none"/>
                <w:lang w:val="en-US" w:eastAsia="zh-CN" w:bidi="ar-SA"/>
              </w:rPr>
            </w:pPr>
          </w:p>
        </w:tc>
      </w:tr>
    </w:tbl>
    <w:p w14:paraId="0C1BAE73">
      <w:pPr>
        <w:pStyle w:val="7"/>
        <w:numPr>
          <w:ilvl w:val="0"/>
          <w:numId w:val="0"/>
        </w:numPr>
        <w:spacing w:line="360" w:lineRule="auto"/>
        <w:rPr>
          <w:color w:val="auto"/>
          <w:highlight w:val="none"/>
        </w:rPr>
      </w:pPr>
      <w:bookmarkStart w:id="712" w:name="_Toc24410"/>
      <w:bookmarkStart w:id="713" w:name="_Toc14587"/>
      <w:bookmarkStart w:id="714" w:name="_Toc32419"/>
      <w:bookmarkStart w:id="715" w:name="_Toc49175054"/>
      <w:bookmarkStart w:id="716" w:name="_Toc49174879"/>
      <w:bookmarkStart w:id="717" w:name="_Toc28037"/>
      <w:r>
        <w:rPr>
          <w:color w:val="auto"/>
          <w:highlight w:val="none"/>
        </w:rPr>
        <w:t>6.</w:t>
      </w:r>
      <w:r>
        <w:rPr>
          <w:rFonts w:hint="eastAsia"/>
          <w:color w:val="auto"/>
          <w:highlight w:val="none"/>
          <w:lang w:val="en-US" w:eastAsia="zh-CN"/>
        </w:rPr>
        <w:t>2</w:t>
      </w:r>
      <w:r>
        <w:rPr>
          <w:color w:val="auto"/>
          <w:highlight w:val="none"/>
        </w:rPr>
        <w:t>.</w:t>
      </w:r>
      <w:r>
        <w:rPr>
          <w:rFonts w:hint="eastAsia"/>
          <w:color w:val="auto"/>
          <w:highlight w:val="none"/>
          <w:lang w:val="en-US" w:eastAsia="zh-CN"/>
        </w:rPr>
        <w:t>4</w:t>
      </w:r>
      <w:r>
        <w:rPr>
          <w:color w:val="auto"/>
          <w:highlight w:val="none"/>
        </w:rPr>
        <w:t>噪声污染防治措施</w:t>
      </w:r>
      <w:bookmarkEnd w:id="712"/>
      <w:bookmarkEnd w:id="713"/>
      <w:bookmarkEnd w:id="714"/>
      <w:bookmarkEnd w:id="715"/>
      <w:bookmarkEnd w:id="716"/>
      <w:bookmarkEnd w:id="717"/>
    </w:p>
    <w:p w14:paraId="3AE24726">
      <w:pPr>
        <w:spacing w:line="360" w:lineRule="auto"/>
        <w:ind w:firstLine="480"/>
        <w:rPr>
          <w:rFonts w:ascii="Times New Roman"/>
          <w:color w:val="auto"/>
          <w:highlight w:val="none"/>
        </w:rPr>
      </w:pPr>
      <w:bookmarkStart w:id="718" w:name="_Toc9440"/>
      <w:bookmarkStart w:id="719" w:name="_Toc22591"/>
      <w:bookmarkStart w:id="720" w:name="_Toc49174880"/>
      <w:bookmarkStart w:id="721" w:name="_Toc1178"/>
      <w:bookmarkStart w:id="722" w:name="_Toc6387"/>
      <w:bookmarkStart w:id="723" w:name="_Toc49175055"/>
      <w:r>
        <w:rPr>
          <w:rFonts w:ascii="Times New Roman"/>
          <w:color w:val="auto"/>
          <w:highlight w:val="none"/>
        </w:rPr>
        <w:t>本项目</w:t>
      </w:r>
      <w:r>
        <w:rPr>
          <w:rFonts w:hint="eastAsia"/>
          <w:color w:val="auto"/>
          <w:highlight w:val="none"/>
          <w:lang w:val="en-US" w:eastAsia="zh-CN"/>
        </w:rPr>
        <w:t>回填</w:t>
      </w:r>
      <w:r>
        <w:rPr>
          <w:rFonts w:ascii="Times New Roman"/>
          <w:color w:val="auto"/>
          <w:highlight w:val="none"/>
        </w:rPr>
        <w:t>期主要噪声为运输道路交通噪声和</w:t>
      </w:r>
      <w:r>
        <w:rPr>
          <w:rFonts w:hint="eastAsia" w:ascii="Times New Roman"/>
          <w:color w:val="auto"/>
          <w:highlight w:val="none"/>
        </w:rPr>
        <w:t>施工</w:t>
      </w:r>
      <w:r>
        <w:rPr>
          <w:rFonts w:ascii="Times New Roman"/>
          <w:color w:val="auto"/>
          <w:highlight w:val="none"/>
        </w:rPr>
        <w:t>机械噪声，采取的噪声防治措施有：</w:t>
      </w:r>
    </w:p>
    <w:p w14:paraId="59940C9D">
      <w:pPr>
        <w:spacing w:line="360" w:lineRule="auto"/>
        <w:ind w:firstLine="480"/>
        <w:rPr>
          <w:rFonts w:ascii="Times New Roman"/>
          <w:bCs/>
          <w:color w:val="auto"/>
          <w:highlight w:val="none"/>
        </w:rPr>
      </w:pPr>
      <w:r>
        <w:rPr>
          <w:rFonts w:ascii="Times New Roman"/>
          <w:bCs/>
          <w:color w:val="auto"/>
          <w:highlight w:val="none"/>
        </w:rPr>
        <w:t>（1）运输道路交通噪声防治措施</w:t>
      </w:r>
    </w:p>
    <w:p w14:paraId="1154CFF0">
      <w:pPr>
        <w:spacing w:line="360" w:lineRule="auto"/>
        <w:ind w:firstLine="480"/>
        <w:rPr>
          <w:rFonts w:ascii="Times New Roman"/>
          <w:bCs/>
          <w:color w:val="auto"/>
          <w:highlight w:val="none"/>
        </w:rPr>
      </w:pPr>
      <w:r>
        <w:rPr>
          <w:rFonts w:ascii="Times New Roman"/>
          <w:bCs/>
          <w:color w:val="auto"/>
          <w:highlight w:val="none"/>
        </w:rPr>
        <w:t>交通噪声源主要为运输车辆，声压级为7</w:t>
      </w:r>
      <w:r>
        <w:rPr>
          <w:rFonts w:hint="eastAsia"/>
          <w:bCs/>
          <w:color w:val="auto"/>
          <w:highlight w:val="none"/>
          <w:lang w:val="en-US" w:eastAsia="zh-CN"/>
        </w:rPr>
        <w:t>8</w:t>
      </w:r>
      <w:r>
        <w:rPr>
          <w:rFonts w:ascii="Times New Roman"/>
          <w:bCs/>
          <w:color w:val="auto"/>
          <w:highlight w:val="none"/>
        </w:rPr>
        <w:t>~</w:t>
      </w:r>
      <w:r>
        <w:rPr>
          <w:rFonts w:hint="eastAsia"/>
          <w:bCs/>
          <w:color w:val="auto"/>
          <w:highlight w:val="none"/>
          <w:lang w:val="en-US" w:eastAsia="zh-CN"/>
        </w:rPr>
        <w:t>83</w:t>
      </w:r>
      <w:r>
        <w:rPr>
          <w:rFonts w:ascii="Times New Roman"/>
          <w:bCs/>
          <w:color w:val="auto"/>
          <w:highlight w:val="none"/>
        </w:rPr>
        <w:t>dB（A）。运输噪声主要表现为汽车运输对沿途村庄及居民区内居民生活的影响，如发动机声、鸣笛声。</w:t>
      </w:r>
    </w:p>
    <w:p w14:paraId="653704CE">
      <w:pPr>
        <w:spacing w:line="360" w:lineRule="auto"/>
        <w:ind w:firstLine="480"/>
        <w:rPr>
          <w:rFonts w:ascii="Times New Roman"/>
          <w:bCs/>
          <w:color w:val="auto"/>
          <w:highlight w:val="none"/>
        </w:rPr>
      </w:pPr>
      <w:r>
        <w:rPr>
          <w:rFonts w:hint="eastAsia"/>
          <w:bCs/>
          <w:color w:val="auto"/>
          <w:highlight w:val="none"/>
          <w:lang w:val="en-US" w:eastAsia="zh-CN"/>
        </w:rPr>
        <w:t>回填</w:t>
      </w:r>
      <w:r>
        <w:rPr>
          <w:rFonts w:ascii="Times New Roman"/>
          <w:bCs/>
          <w:color w:val="auto"/>
          <w:highlight w:val="none"/>
        </w:rPr>
        <w:t>期运输车辆车流量较小，且一般都是分开运行，极少同时运行，建设单位应加强调度管理，运输车辆要减速行驶，禁止鸣笛。采取以上措施后，运输噪声对周围村庄影响较小。</w:t>
      </w:r>
    </w:p>
    <w:p w14:paraId="3D5623BD">
      <w:pPr>
        <w:spacing w:line="360" w:lineRule="auto"/>
        <w:ind w:firstLine="480"/>
        <w:rPr>
          <w:rFonts w:ascii="Times New Roman"/>
          <w:bCs/>
          <w:color w:val="auto"/>
          <w:highlight w:val="none"/>
        </w:rPr>
      </w:pPr>
      <w:r>
        <w:rPr>
          <w:rFonts w:ascii="Times New Roman"/>
          <w:bCs/>
          <w:color w:val="auto"/>
          <w:highlight w:val="none"/>
        </w:rPr>
        <w:t>（2）场地内作业机械噪声</w:t>
      </w:r>
    </w:p>
    <w:p w14:paraId="03A61F63">
      <w:pPr>
        <w:spacing w:line="360" w:lineRule="auto"/>
        <w:ind w:firstLine="480"/>
        <w:rPr>
          <w:rFonts w:ascii="Times New Roman"/>
          <w:bCs/>
          <w:color w:val="auto"/>
          <w:highlight w:val="none"/>
        </w:rPr>
      </w:pPr>
      <w:r>
        <w:rPr>
          <w:rFonts w:ascii="Times New Roman"/>
          <w:color w:val="auto"/>
          <w:highlight w:val="none"/>
        </w:rPr>
        <w:t>①</w:t>
      </w:r>
      <w:r>
        <w:rPr>
          <w:rFonts w:ascii="Times New Roman"/>
          <w:bCs/>
          <w:color w:val="auto"/>
          <w:highlight w:val="none"/>
        </w:rPr>
        <w:t>施工单位尽量选用先进的低噪声设备减轻噪声对周围环境的影响。</w:t>
      </w:r>
    </w:p>
    <w:p w14:paraId="3A861F12">
      <w:pPr>
        <w:spacing w:line="360" w:lineRule="auto"/>
        <w:ind w:firstLine="480"/>
        <w:rPr>
          <w:rFonts w:ascii="Times New Roman"/>
          <w:bCs/>
          <w:color w:val="auto"/>
          <w:highlight w:val="none"/>
        </w:rPr>
      </w:pPr>
      <w:r>
        <w:rPr>
          <w:rFonts w:ascii="Times New Roman"/>
          <w:color w:val="auto"/>
          <w:highlight w:val="none"/>
        </w:rPr>
        <w:t>②</w:t>
      </w:r>
      <w:r>
        <w:rPr>
          <w:rFonts w:ascii="Times New Roman"/>
          <w:bCs/>
          <w:color w:val="auto"/>
          <w:highlight w:val="none"/>
        </w:rPr>
        <w:t>加强施工机械维修、管理，保证施工机械处于低噪声、高效率的状态。</w:t>
      </w:r>
    </w:p>
    <w:p w14:paraId="0D9A56DB">
      <w:pPr>
        <w:spacing w:line="360" w:lineRule="auto"/>
        <w:ind w:firstLine="480"/>
        <w:rPr>
          <w:rFonts w:ascii="Times New Roman"/>
          <w:bCs/>
          <w:color w:val="auto"/>
          <w:highlight w:val="none"/>
        </w:rPr>
      </w:pPr>
      <w:r>
        <w:rPr>
          <w:rFonts w:ascii="Times New Roman"/>
          <w:color w:val="auto"/>
          <w:highlight w:val="none"/>
        </w:rPr>
        <w:t>③</w:t>
      </w:r>
      <w:r>
        <w:rPr>
          <w:rFonts w:ascii="Times New Roman"/>
          <w:bCs/>
          <w:color w:val="auto"/>
          <w:highlight w:val="none"/>
        </w:rPr>
        <w:t>施工现场合理布局，以避免局部声级过高，尽可能将施工阶段的噪声减至最小</w:t>
      </w:r>
      <w:r>
        <w:rPr>
          <w:rFonts w:hint="eastAsia" w:ascii="Times New Roman"/>
          <w:bCs/>
          <w:color w:val="auto"/>
          <w:highlight w:val="none"/>
        </w:rPr>
        <w:t>，</w:t>
      </w:r>
      <w:r>
        <w:rPr>
          <w:rFonts w:ascii="Times New Roman"/>
          <w:bCs/>
          <w:color w:val="auto"/>
          <w:highlight w:val="none"/>
        </w:rPr>
        <w:t>合理安排各类机械作业时间，夜间</w:t>
      </w:r>
      <w:r>
        <w:rPr>
          <w:rFonts w:hint="eastAsia"/>
          <w:bCs/>
          <w:color w:val="auto"/>
          <w:highlight w:val="none"/>
          <w:lang w:val="en-US" w:eastAsia="zh-CN"/>
        </w:rPr>
        <w:t>禁止施工</w:t>
      </w:r>
      <w:r>
        <w:rPr>
          <w:rFonts w:ascii="Times New Roman"/>
          <w:bCs/>
          <w:color w:val="auto"/>
          <w:highlight w:val="none"/>
        </w:rPr>
        <w:t>，尽可能减少作业噪声对周围敏感点声环境的影响。</w:t>
      </w:r>
    </w:p>
    <w:p w14:paraId="6A353F58">
      <w:pPr>
        <w:spacing w:line="360" w:lineRule="auto"/>
        <w:ind w:firstLine="480"/>
        <w:rPr>
          <w:rFonts w:ascii="Times New Roman"/>
          <w:bCs/>
          <w:color w:val="auto"/>
          <w:highlight w:val="none"/>
        </w:rPr>
      </w:pPr>
      <w:r>
        <w:rPr>
          <w:rFonts w:hint="eastAsia" w:ascii="宋体" w:hAnsi="宋体" w:cs="宋体"/>
          <w:color w:val="auto"/>
          <w:kern w:val="0"/>
          <w:sz w:val="24"/>
          <w:szCs w:val="24"/>
          <w:highlight w:val="none"/>
          <w:lang w:eastAsia="zh-CN"/>
        </w:rPr>
        <w:t>④</w:t>
      </w:r>
      <w:r>
        <w:rPr>
          <w:rFonts w:hint="default" w:ascii="Times New Roman" w:hAnsi="Times New Roman" w:cs="Times New Roman"/>
          <w:color w:val="auto"/>
          <w:kern w:val="0"/>
          <w:sz w:val="24"/>
          <w:szCs w:val="24"/>
          <w:highlight w:val="none"/>
          <w:lang w:eastAsia="zh-CN"/>
        </w:rPr>
        <w:t>作业面四周加装隔声</w:t>
      </w:r>
      <w:r>
        <w:rPr>
          <w:rFonts w:hint="eastAsia" w:ascii="Times New Roman" w:hAnsi="Times New Roman" w:cs="Times New Roman"/>
          <w:color w:val="auto"/>
          <w:kern w:val="0"/>
          <w:sz w:val="24"/>
          <w:szCs w:val="24"/>
          <w:highlight w:val="none"/>
          <w:lang w:eastAsia="zh-CN"/>
        </w:rPr>
        <w:t>隔尘挡板</w:t>
      </w:r>
      <w:r>
        <w:rPr>
          <w:rFonts w:hint="default" w:ascii="Times New Roman" w:hAnsi="Times New Roman" w:cs="Times New Roman"/>
          <w:color w:val="auto"/>
          <w:kern w:val="0"/>
          <w:sz w:val="24"/>
          <w:szCs w:val="24"/>
          <w:highlight w:val="none"/>
          <w:lang w:eastAsia="zh-CN"/>
        </w:rPr>
        <w:t>，减小施工噪声影响。</w:t>
      </w:r>
    </w:p>
    <w:p w14:paraId="2B2AE4FF">
      <w:pPr>
        <w:spacing w:line="360" w:lineRule="auto"/>
        <w:ind w:firstLine="480"/>
        <w:rPr>
          <w:rFonts w:ascii="Times New Roman"/>
          <w:bCs/>
          <w:color w:val="auto"/>
          <w:highlight w:val="none"/>
        </w:rPr>
      </w:pPr>
      <w:r>
        <w:rPr>
          <w:rFonts w:ascii="Times New Roman"/>
          <w:bCs/>
          <w:color w:val="auto"/>
          <w:highlight w:val="none"/>
        </w:rPr>
        <w:t>⑤施工单位应将施工噪声控制纳入承包内容，并在施工和工程监理过程中设置专人负责管理，以确保噪声措施的实施。做好环保法制宣传工作，施工单位应严格遵守环评提出的环保要求，加强现场科学管理，做好施工人员的环境保护意识，提倡文明施工，降低人为因素造成的施工噪声加重。</w:t>
      </w:r>
    </w:p>
    <w:p w14:paraId="3C3669DC">
      <w:pPr>
        <w:pStyle w:val="217"/>
        <w:spacing w:line="360" w:lineRule="auto"/>
        <w:ind w:firstLine="480"/>
        <w:rPr>
          <w:rFonts w:ascii="Times New Roman"/>
          <w:color w:val="auto"/>
          <w:highlight w:val="none"/>
        </w:rPr>
      </w:pPr>
      <w:r>
        <w:rPr>
          <w:rFonts w:ascii="Times New Roman"/>
          <w:color w:val="auto"/>
          <w:highlight w:val="none"/>
        </w:rPr>
        <w:t>根据声环境影响分析，</w:t>
      </w:r>
      <w:r>
        <w:rPr>
          <w:rFonts w:hint="eastAsia" w:ascii="Times New Roman"/>
          <w:color w:val="auto"/>
          <w:highlight w:val="none"/>
        </w:rPr>
        <w:t>本项目</w:t>
      </w:r>
      <w:r>
        <w:rPr>
          <w:rFonts w:hint="eastAsia" w:ascii="Times New Roman"/>
          <w:color w:val="auto"/>
          <w:highlight w:val="none"/>
          <w:lang w:val="en-US" w:eastAsia="zh-CN"/>
        </w:rPr>
        <w:t>回填区</w:t>
      </w:r>
      <w:r>
        <w:rPr>
          <w:rFonts w:hint="eastAsia"/>
          <w:color w:val="auto"/>
          <w:highlight w:val="none"/>
          <w:lang w:val="en-US" w:eastAsia="zh-CN"/>
        </w:rPr>
        <w:t>外200m范围内无敏感目标，</w:t>
      </w:r>
      <w:r>
        <w:rPr>
          <w:rFonts w:hint="eastAsia" w:ascii="Times New Roman"/>
          <w:color w:val="auto"/>
          <w:highlight w:val="none"/>
        </w:rPr>
        <w:t>距离最近敏感点为</w:t>
      </w:r>
      <w:r>
        <w:rPr>
          <w:rFonts w:hint="eastAsia"/>
          <w:color w:val="auto"/>
          <w:highlight w:val="none"/>
          <w:lang w:val="en-US" w:eastAsia="zh-CN"/>
        </w:rPr>
        <w:t>距边界南</w:t>
      </w:r>
      <w:r>
        <w:rPr>
          <w:rFonts w:hint="eastAsia" w:ascii="Times New Roman"/>
          <w:color w:val="auto"/>
          <w:highlight w:val="none"/>
        </w:rPr>
        <w:t>侧</w:t>
      </w:r>
      <w:r>
        <w:rPr>
          <w:rFonts w:hint="eastAsia"/>
          <w:color w:val="auto"/>
          <w:highlight w:val="none"/>
          <w:lang w:val="en-US" w:eastAsia="zh-CN"/>
        </w:rPr>
        <w:t>350</w:t>
      </w:r>
      <w:r>
        <w:rPr>
          <w:rFonts w:hint="eastAsia" w:ascii="Times New Roman"/>
          <w:color w:val="auto"/>
          <w:highlight w:val="none"/>
        </w:rPr>
        <w:t>m处</w:t>
      </w:r>
      <w:r>
        <w:rPr>
          <w:rFonts w:hint="eastAsia"/>
          <w:color w:val="auto"/>
          <w:highlight w:val="none"/>
          <w:lang w:val="en-US" w:eastAsia="zh-CN"/>
        </w:rPr>
        <w:t>元宝村</w:t>
      </w:r>
      <w:r>
        <w:rPr>
          <w:rFonts w:hint="eastAsia" w:ascii="Times New Roman"/>
          <w:color w:val="auto"/>
          <w:highlight w:val="none"/>
        </w:rPr>
        <w:t>。</w:t>
      </w:r>
      <w:r>
        <w:rPr>
          <w:rFonts w:ascii="Times New Roman"/>
          <w:color w:val="auto"/>
          <w:highlight w:val="none"/>
        </w:rPr>
        <w:t>采取上述噪声防治措施后，能有效减小作业噪声，由于</w:t>
      </w:r>
      <w:r>
        <w:rPr>
          <w:rFonts w:hint="eastAsia"/>
          <w:color w:val="auto"/>
          <w:highlight w:val="none"/>
          <w:lang w:eastAsia="zh-CN"/>
        </w:rPr>
        <w:t>本项目</w:t>
      </w:r>
      <w:r>
        <w:rPr>
          <w:rFonts w:hint="eastAsia"/>
          <w:color w:val="auto"/>
          <w:highlight w:val="none"/>
          <w:lang w:val="en-US" w:eastAsia="zh-CN"/>
        </w:rPr>
        <w:t>回填区</w:t>
      </w:r>
      <w:r>
        <w:rPr>
          <w:rFonts w:ascii="Times New Roman"/>
          <w:color w:val="auto"/>
          <w:highlight w:val="none"/>
        </w:rPr>
        <w:t>场地施工范围较大，项目在施工场界附近施工时施工机械集中区距厂界最近距离约</w:t>
      </w:r>
      <w:r>
        <w:rPr>
          <w:rFonts w:hint="eastAsia"/>
          <w:color w:val="auto"/>
          <w:highlight w:val="none"/>
          <w:lang w:val="en-US" w:eastAsia="zh-CN"/>
        </w:rPr>
        <w:t>10～</w:t>
      </w:r>
      <w:r>
        <w:rPr>
          <w:rFonts w:ascii="Times New Roman"/>
          <w:color w:val="auto"/>
          <w:highlight w:val="none"/>
        </w:rPr>
        <w:t>20m，因此通过合理布置施工作业区，设置</w:t>
      </w:r>
      <w:r>
        <w:rPr>
          <w:rFonts w:hint="eastAsia" w:ascii="Times New Roman"/>
          <w:color w:val="auto"/>
          <w:highlight w:val="none"/>
        </w:rPr>
        <w:t>隔声隔尘挡板</w:t>
      </w:r>
      <w:r>
        <w:rPr>
          <w:rFonts w:ascii="Times New Roman"/>
          <w:color w:val="auto"/>
          <w:highlight w:val="none"/>
        </w:rPr>
        <w:t>、夜间</w:t>
      </w:r>
      <w:r>
        <w:rPr>
          <w:rFonts w:hint="eastAsia"/>
          <w:color w:val="auto"/>
          <w:highlight w:val="none"/>
          <w:lang w:val="en-US" w:eastAsia="zh-CN"/>
        </w:rPr>
        <w:t>禁止施工</w:t>
      </w:r>
      <w:r>
        <w:rPr>
          <w:rFonts w:ascii="Times New Roman"/>
          <w:color w:val="auto"/>
          <w:highlight w:val="none"/>
        </w:rPr>
        <w:t>等措施后，</w:t>
      </w:r>
      <w:r>
        <w:rPr>
          <w:rFonts w:hint="eastAsia"/>
          <w:color w:val="auto"/>
          <w:highlight w:val="none"/>
          <w:lang w:val="en-US" w:eastAsia="zh-CN"/>
        </w:rPr>
        <w:t>项</w:t>
      </w:r>
      <w:r>
        <w:rPr>
          <w:rFonts w:cs="Times New Roman"/>
          <w:color w:val="auto"/>
          <w:highlight w:val="none"/>
        </w:rPr>
        <w:t>目对厂界外环境噪声影响很小，</w:t>
      </w:r>
      <w:r>
        <w:rPr>
          <w:rFonts w:cs="Times New Roman"/>
          <w:bCs/>
          <w:color w:val="auto"/>
          <w:highlight w:val="none"/>
        </w:rPr>
        <w:t>厂界噪声满足《工业企业厂界环境噪声排放标准》</w:t>
      </w:r>
      <w:r>
        <w:rPr>
          <w:rFonts w:hint="eastAsia" w:cs="Times New Roman"/>
          <w:bCs/>
          <w:color w:val="auto"/>
          <w:highlight w:val="none"/>
          <w:lang w:eastAsia="zh-CN"/>
        </w:rPr>
        <w:t>（</w:t>
      </w:r>
      <w:r>
        <w:rPr>
          <w:rFonts w:cs="Times New Roman"/>
          <w:bCs/>
          <w:color w:val="auto"/>
          <w:highlight w:val="none"/>
        </w:rPr>
        <w:t>GB12348-2008</w:t>
      </w:r>
      <w:r>
        <w:rPr>
          <w:rFonts w:hint="eastAsia" w:cs="Times New Roman"/>
          <w:bCs/>
          <w:color w:val="auto"/>
          <w:highlight w:val="none"/>
          <w:lang w:eastAsia="zh-CN"/>
        </w:rPr>
        <w:t>）</w:t>
      </w:r>
      <w:r>
        <w:rPr>
          <w:rFonts w:cs="Times New Roman"/>
          <w:bCs/>
          <w:color w:val="auto"/>
          <w:highlight w:val="none"/>
        </w:rPr>
        <w:t>表1中1类标准</w:t>
      </w:r>
      <w:r>
        <w:rPr>
          <w:rFonts w:cs="Times New Roman"/>
          <w:color w:val="auto"/>
          <w:highlight w:val="none"/>
        </w:rPr>
        <w:t>要求。运输道路敏感点处噪声满足《声环境质量标准》（GB3096-2008）中1类、2类标准要求</w:t>
      </w:r>
      <w:r>
        <w:rPr>
          <w:rFonts w:hint="eastAsia" w:ascii="Times New Roman"/>
          <w:color w:val="auto"/>
          <w:highlight w:val="none"/>
        </w:rPr>
        <w:t>，项目噪声治理措施可行</w:t>
      </w:r>
      <w:r>
        <w:rPr>
          <w:rFonts w:ascii="Times New Roman"/>
          <w:color w:val="auto"/>
          <w:highlight w:val="none"/>
        </w:rPr>
        <w:t>。</w:t>
      </w:r>
    </w:p>
    <w:p w14:paraId="45DB404B">
      <w:pPr>
        <w:pStyle w:val="7"/>
        <w:numPr>
          <w:ilvl w:val="0"/>
          <w:numId w:val="0"/>
        </w:numPr>
        <w:spacing w:line="360" w:lineRule="auto"/>
        <w:rPr>
          <w:color w:val="auto"/>
          <w:highlight w:val="none"/>
        </w:rPr>
      </w:pPr>
      <w:r>
        <w:rPr>
          <w:color w:val="auto"/>
          <w:highlight w:val="none"/>
        </w:rPr>
        <w:t>6.</w:t>
      </w:r>
      <w:r>
        <w:rPr>
          <w:rFonts w:hint="eastAsia"/>
          <w:color w:val="auto"/>
          <w:highlight w:val="none"/>
          <w:lang w:val="en-US" w:eastAsia="zh-CN"/>
        </w:rPr>
        <w:t>2</w:t>
      </w:r>
      <w:r>
        <w:rPr>
          <w:color w:val="auto"/>
          <w:highlight w:val="none"/>
        </w:rPr>
        <w:t>.</w:t>
      </w:r>
      <w:r>
        <w:rPr>
          <w:rFonts w:hint="eastAsia"/>
          <w:color w:val="auto"/>
          <w:highlight w:val="none"/>
          <w:lang w:val="en-US" w:eastAsia="zh-CN"/>
        </w:rPr>
        <w:t>5</w:t>
      </w:r>
      <w:r>
        <w:rPr>
          <w:color w:val="auto"/>
          <w:highlight w:val="none"/>
        </w:rPr>
        <w:t>固体废物污染防治措施</w:t>
      </w:r>
      <w:bookmarkEnd w:id="718"/>
      <w:bookmarkEnd w:id="719"/>
      <w:bookmarkEnd w:id="720"/>
      <w:bookmarkEnd w:id="721"/>
      <w:bookmarkEnd w:id="722"/>
      <w:bookmarkEnd w:id="723"/>
    </w:p>
    <w:p w14:paraId="117D70A6">
      <w:pPr>
        <w:spacing w:line="360" w:lineRule="auto"/>
        <w:ind w:firstLine="480"/>
        <w:rPr>
          <w:rFonts w:hint="default"/>
          <w:color w:val="auto"/>
          <w:highlight w:val="none"/>
          <w:lang w:val="en-US" w:eastAsia="zh-CN"/>
        </w:rPr>
      </w:pPr>
      <w:r>
        <w:rPr>
          <w:rFonts w:hint="eastAsia"/>
          <w:color w:val="auto"/>
          <w:highlight w:val="none"/>
          <w:lang w:val="en-US" w:eastAsia="zh-CN"/>
        </w:rPr>
        <w:t>1、固体废物</w:t>
      </w:r>
    </w:p>
    <w:p w14:paraId="515C4C30">
      <w:pPr>
        <w:spacing w:line="360" w:lineRule="auto"/>
        <w:ind w:firstLine="480"/>
        <w:rPr>
          <w:rFonts w:ascii="Times New Roman"/>
          <w:color w:val="auto"/>
          <w:sz w:val="24"/>
          <w:szCs w:val="24"/>
          <w:highlight w:val="none"/>
        </w:rPr>
      </w:pPr>
      <w:r>
        <w:rPr>
          <w:rFonts w:ascii="Times New Roman"/>
          <w:color w:val="auto"/>
          <w:sz w:val="24"/>
          <w:szCs w:val="24"/>
          <w:highlight w:val="none"/>
        </w:rPr>
        <w:t>本项目产生的固体废物主要为施工人员生活垃圾</w:t>
      </w:r>
      <w:r>
        <w:rPr>
          <w:rFonts w:hint="eastAsia"/>
          <w:color w:val="auto"/>
          <w:sz w:val="24"/>
          <w:szCs w:val="24"/>
          <w:highlight w:val="none"/>
          <w:lang w:val="en-US" w:eastAsia="zh-CN"/>
        </w:rPr>
        <w:t>、沉渣</w:t>
      </w:r>
      <w:r>
        <w:rPr>
          <w:rFonts w:ascii="Times New Roman"/>
          <w:color w:val="auto"/>
          <w:sz w:val="24"/>
          <w:szCs w:val="24"/>
          <w:highlight w:val="none"/>
        </w:rPr>
        <w:t>。</w:t>
      </w:r>
    </w:p>
    <w:p w14:paraId="309C5AD3">
      <w:pPr>
        <w:pStyle w:val="22"/>
        <w:spacing w:line="360" w:lineRule="auto"/>
        <w:rPr>
          <w:rFonts w:hint="eastAsia"/>
          <w:color w:val="auto"/>
          <w:sz w:val="24"/>
          <w:szCs w:val="24"/>
          <w:highlight w:val="none"/>
          <w:lang w:val="en-US" w:eastAsia="zh-CN"/>
        </w:rPr>
      </w:pPr>
      <w:r>
        <w:rPr>
          <w:rFonts w:hint="eastAsia"/>
          <w:color w:val="auto"/>
          <w:sz w:val="24"/>
          <w:szCs w:val="24"/>
          <w:highlight w:val="none"/>
          <w:lang w:val="en-US" w:eastAsia="zh-CN"/>
        </w:rPr>
        <w:t>生活垃圾集中收集后，定期由市政环卫部门处理。</w:t>
      </w:r>
    </w:p>
    <w:p w14:paraId="6C5C957B">
      <w:pPr>
        <w:spacing w:line="360" w:lineRule="auto"/>
        <w:ind w:firstLine="480"/>
        <w:rPr>
          <w:rFonts w:hint="eastAsia" w:cs="Times New Roman"/>
          <w:color w:val="auto"/>
          <w:highlight w:val="none"/>
        </w:rPr>
      </w:pPr>
      <w:r>
        <w:rPr>
          <w:rFonts w:hint="eastAsia" w:cs="Times New Roman"/>
          <w:color w:val="auto"/>
          <w:highlight w:val="none"/>
        </w:rPr>
        <w:t>沉淀池产生的沉渣在沉淀池内经自然沉淀后，集中收集综合</w:t>
      </w:r>
      <w:r>
        <w:rPr>
          <w:rFonts w:hint="eastAsia" w:cs="Times New Roman"/>
          <w:color w:val="auto"/>
          <w:highlight w:val="none"/>
          <w:lang w:eastAsia="zh-CN"/>
        </w:rPr>
        <w:t>利用厂区修路</w:t>
      </w:r>
      <w:r>
        <w:rPr>
          <w:rFonts w:hint="eastAsia" w:cs="Times New Roman"/>
          <w:color w:val="auto"/>
          <w:highlight w:val="none"/>
        </w:rPr>
        <w:t>。</w:t>
      </w:r>
    </w:p>
    <w:p w14:paraId="20E690F4">
      <w:pPr>
        <w:spacing w:line="360" w:lineRule="auto"/>
        <w:rPr>
          <w:color w:val="auto"/>
          <w:highlight w:val="none"/>
        </w:rPr>
      </w:pPr>
      <w:r>
        <w:rPr>
          <w:color w:val="auto"/>
          <w:highlight w:val="none"/>
        </w:rPr>
        <w:t>固体废物处置率100%，不会对环境产生明显影响，固体废物处置措施可行。</w:t>
      </w:r>
    </w:p>
    <w:bookmarkEnd w:id="709"/>
    <w:bookmarkEnd w:id="710"/>
    <w:p w14:paraId="382EF6BD">
      <w:pPr>
        <w:pStyle w:val="7"/>
        <w:widowControl w:val="0"/>
        <w:numPr>
          <w:ilvl w:val="2"/>
          <w:numId w:val="0"/>
        </w:numPr>
        <w:snapToGrid w:val="0"/>
        <w:spacing w:before="0" w:after="0" w:line="360" w:lineRule="auto"/>
        <w:ind w:leftChars="0"/>
        <w:jc w:val="both"/>
        <w:rPr>
          <w:rFonts w:hint="eastAsia" w:asciiTheme="minorEastAsia" w:hAnsiTheme="minorEastAsia" w:eastAsiaTheme="minorEastAsia" w:cstheme="minorEastAsia"/>
          <w:color w:val="auto"/>
          <w:szCs w:val="22"/>
          <w:highlight w:val="none"/>
        </w:rPr>
      </w:pPr>
      <w:r>
        <w:rPr>
          <w:rFonts w:hint="eastAsia" w:asciiTheme="minorEastAsia" w:hAnsiTheme="minorEastAsia" w:eastAsiaTheme="minorEastAsia" w:cstheme="minorEastAsia"/>
          <w:color w:val="auto"/>
          <w:szCs w:val="22"/>
          <w:highlight w:val="none"/>
        </w:rPr>
        <w:t>6.2.6土壤污染防治措施</w:t>
      </w:r>
    </w:p>
    <w:p w14:paraId="55E1F8CD">
      <w:pPr>
        <w:widowControl w:val="0"/>
        <w:adjustRightInd w:val="0"/>
        <w:snapToGrid w:val="0"/>
        <w:spacing w:line="360" w:lineRule="auto"/>
        <w:ind w:firstLine="480" w:firstLineChars="200"/>
        <w:jc w:val="both"/>
        <w:rPr>
          <w:rFonts w:hint="eastAsia" w:asciiTheme="minorEastAsia" w:hAnsiTheme="minorEastAsia" w:eastAsiaTheme="minorEastAsia" w:cstheme="minorEastAsia"/>
          <w:color w:val="auto"/>
          <w:highlight w:val="none"/>
        </w:rPr>
      </w:pPr>
      <w:r>
        <w:rPr>
          <w:rFonts w:hint="eastAsia" w:ascii="宋体" w:hAnsi="宋体" w:eastAsia="宋体" w:cs="宋体"/>
          <w:b w:val="0"/>
          <w:bCs w:val="0"/>
          <w:color w:val="auto"/>
          <w:kern w:val="0"/>
          <w:sz w:val="24"/>
          <w:szCs w:val="24"/>
          <w:highlight w:val="none"/>
          <w:lang w:val="en-US" w:eastAsia="zh-CN" w:bidi="ar"/>
        </w:rPr>
        <w:t>本项目回填所用的灰渣各项监测指标满足</w:t>
      </w:r>
      <w:r>
        <w:rPr>
          <w:rFonts w:hint="eastAsia" w:ascii="宋体" w:hAnsi="宋体" w:eastAsia="宋体" w:cs="宋体"/>
          <w:color w:val="auto"/>
          <w:kern w:val="0"/>
          <w:sz w:val="24"/>
          <w:szCs w:val="24"/>
          <w:highlight w:val="none"/>
          <w:lang w:val="en-US" w:eastAsia="zh-CN" w:bidi="ar"/>
        </w:rPr>
        <w:t>《土壤环境质量 农用地土壤污染风险管控标准（试行）》（GB 15618-2018 ）表1 农用地土壤污染风险筛选值（基本项目）要求，</w:t>
      </w:r>
      <w:r>
        <w:rPr>
          <w:rFonts w:hint="eastAsia" w:hAnsi="宋体" w:cs="宋体"/>
          <w:color w:val="auto"/>
          <w:kern w:val="0"/>
          <w:sz w:val="24"/>
          <w:szCs w:val="24"/>
          <w:highlight w:val="none"/>
          <w:lang w:val="en-US" w:eastAsia="zh-CN" w:bidi="ar"/>
        </w:rPr>
        <w:t>本项目使用灰渣对</w:t>
      </w:r>
      <w:r>
        <w:rPr>
          <w:rFonts w:hint="eastAsia" w:asciiTheme="minorEastAsia" w:hAnsiTheme="minorEastAsia" w:eastAsiaTheme="minorEastAsia" w:cstheme="minorEastAsia"/>
          <w:color w:val="auto"/>
          <w:highlight w:val="none"/>
          <w:lang w:val="en-US" w:eastAsia="zh-CN"/>
        </w:rPr>
        <w:t>废</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lang w:val="en-US" w:eastAsia="zh-CN"/>
        </w:rPr>
        <w:t>进行回填，并恢复为林地，符合《一般工业固体废物贮存和填埋污染控制标准》（GB 18599-2020）中“土地复垦后用作农用地的还应满足GB 15618的要求”，不会对土壤产生影响</w:t>
      </w:r>
      <w:r>
        <w:rPr>
          <w:rFonts w:hint="eastAsia" w:asciiTheme="minorEastAsia" w:hAnsiTheme="minorEastAsia" w:eastAsiaTheme="minorEastAsia" w:cstheme="minorEastAsia"/>
          <w:color w:val="auto"/>
          <w:highlight w:val="none"/>
        </w:rPr>
        <w:t>。</w:t>
      </w:r>
    </w:p>
    <w:p w14:paraId="5779340B">
      <w:pPr>
        <w:widowControl w:val="0"/>
        <w:adjustRightInd w:val="0"/>
        <w:snapToGrid w:val="0"/>
        <w:spacing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根据《环境影响评价技术导则土壤环境（试行）》（HJ961-2018），二级评价的项目跟踪监测每5年开展1次，监测点位布设在重点影响区</w:t>
      </w:r>
      <w:r>
        <w:rPr>
          <w:rFonts w:hint="eastAsia" w:asciiTheme="minorEastAsia" w:hAnsiTheme="minorEastAsia" w:eastAsiaTheme="minorEastAsia" w:cstheme="minorEastAsia"/>
          <w:color w:val="auto"/>
          <w:szCs w:val="24"/>
          <w:highlight w:val="none"/>
          <w:lang w:val="en-US" w:eastAsia="zh-CN"/>
        </w:rPr>
        <w:t>和</w:t>
      </w:r>
      <w:r>
        <w:rPr>
          <w:rFonts w:hint="eastAsia" w:asciiTheme="minorEastAsia" w:hAnsiTheme="minorEastAsia" w:eastAsiaTheme="minorEastAsia" w:cstheme="minorEastAsia"/>
          <w:color w:val="auto"/>
          <w:szCs w:val="24"/>
          <w:highlight w:val="none"/>
        </w:rPr>
        <w:t>土壤环境敏感目标附近。</w:t>
      </w:r>
    </w:p>
    <w:p w14:paraId="17198B0A">
      <w:pPr>
        <w:widowControl w:val="0"/>
        <w:adjustRightInd w:val="0"/>
        <w:snapToGrid w:val="0"/>
        <w:spacing w:line="360" w:lineRule="auto"/>
        <w:jc w:val="both"/>
        <w:rPr>
          <w:rFonts w:hint="eastAsia" w:asciiTheme="minorEastAsia" w:hAnsiTheme="minorEastAsia" w:eastAsiaTheme="minorEastAsia" w:cstheme="minorEastAsia"/>
          <w:color w:val="auto"/>
          <w:szCs w:val="24"/>
          <w:highlight w:val="none"/>
        </w:rPr>
      </w:pPr>
      <w:r>
        <w:rPr>
          <w:rFonts w:hint="eastAsia"/>
          <w:color w:val="auto"/>
          <w:highlight w:val="none"/>
          <w:lang w:val="en-US" w:eastAsia="zh-CN"/>
        </w:rPr>
        <w:t>根据</w:t>
      </w:r>
      <w:r>
        <w:rPr>
          <w:color w:val="auto"/>
          <w:highlight w:val="none"/>
        </w:rPr>
        <w:t>GB 18599-2020</w:t>
      </w:r>
      <w:r>
        <w:rPr>
          <w:rFonts w:hint="eastAsia"/>
          <w:color w:val="auto"/>
          <w:highlight w:val="none"/>
        </w:rPr>
        <w:t>的要求</w:t>
      </w:r>
      <w:r>
        <w:rPr>
          <w:rFonts w:hint="eastAsia"/>
          <w:color w:val="auto"/>
          <w:highlight w:val="none"/>
          <w:lang w:eastAsia="zh-CN"/>
        </w:rPr>
        <w:t>“充填或回填活动结束后，应根据风险评估结果对可能受到影响的土壤、地表水及地下水开展长期监测，监测频次至少每年 1 次。”</w:t>
      </w:r>
      <w:r>
        <w:rPr>
          <w:rFonts w:hint="eastAsia"/>
          <w:color w:val="auto"/>
          <w:highlight w:val="none"/>
        </w:rPr>
        <w:t>因此，监测频率设置为每年一次</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设置1处土壤跟踪监测点位，位于</w:t>
      </w:r>
      <w:r>
        <w:rPr>
          <w:rFonts w:hint="eastAsia" w:asciiTheme="minorEastAsia" w:hAnsiTheme="minorEastAsia" w:eastAsiaTheme="minorEastAsia" w:cstheme="minorEastAsia"/>
          <w:color w:val="auto"/>
          <w:szCs w:val="24"/>
          <w:highlight w:val="none"/>
          <w:lang w:val="en-US" w:eastAsia="zh-CN"/>
        </w:rPr>
        <w:t>东南侧</w:t>
      </w:r>
      <w:r>
        <w:rPr>
          <w:rFonts w:hint="eastAsia" w:asciiTheme="minorEastAsia" w:hAnsiTheme="minorEastAsia" w:eastAsiaTheme="minorEastAsia" w:cstheme="minorEastAsia"/>
          <w:color w:val="auto"/>
          <w:szCs w:val="24"/>
          <w:highlight w:val="none"/>
        </w:rPr>
        <w:t>，监测频次为1次/年，具体见下文监测计划。</w:t>
      </w:r>
    </w:p>
    <w:p w14:paraId="1E53025C">
      <w:pPr>
        <w:pStyle w:val="1175"/>
        <w:spacing w:line="240" w:lineRule="auto"/>
        <w:rPr>
          <w:rFonts w:hint="eastAsia" w:asciiTheme="minorEastAsia" w:hAnsiTheme="minorEastAsia" w:eastAsiaTheme="minorEastAsia" w:cstheme="minorEastAsia"/>
          <w:b/>
          <w:bCs/>
          <w:color w:val="auto"/>
          <w:kern w:val="2"/>
          <w:sz w:val="24"/>
          <w:szCs w:val="24"/>
          <w:highlight w:val="none"/>
          <w:lang w:val="en-US" w:eastAsia="zh-CN" w:bidi="ar-SA"/>
        </w:rPr>
      </w:pPr>
      <w:r>
        <w:rPr>
          <w:rFonts w:hint="eastAsia" w:asciiTheme="minorEastAsia" w:hAnsiTheme="minorEastAsia" w:eastAsiaTheme="minorEastAsia" w:cstheme="minorEastAsia"/>
          <w:b/>
          <w:bCs/>
          <w:color w:val="auto"/>
          <w:kern w:val="2"/>
          <w:sz w:val="24"/>
          <w:szCs w:val="24"/>
          <w:highlight w:val="none"/>
          <w:lang w:val="en-US" w:eastAsia="zh-CN" w:bidi="ar-SA"/>
        </w:rPr>
        <w:t>表6.2-2  土壤污染跟踪监测点信息一览表</w:t>
      </w:r>
    </w:p>
    <w:tbl>
      <w:tblPr>
        <w:tblStyle w:val="84"/>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88"/>
        <w:gridCol w:w="884"/>
        <w:gridCol w:w="1182"/>
        <w:gridCol w:w="1143"/>
        <w:gridCol w:w="2272"/>
        <w:gridCol w:w="2808"/>
      </w:tblGrid>
      <w:tr w14:paraId="7F9B05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83" w:type="pct"/>
            <w:vAlign w:val="center"/>
          </w:tcPr>
          <w:p w14:paraId="718E5684">
            <w:pPr>
              <w:pStyle w:val="1080"/>
              <w:keepNext w:val="0"/>
              <w:keepLines w:val="0"/>
              <w:suppressLineNumbers w:val="0"/>
              <w:spacing w:before="0" w:beforeAutospacing="0" w:after="0" w:afterAutospacing="0"/>
              <w:ind w:left="0" w:right="0"/>
              <w:rPr>
                <w:color w:val="auto"/>
                <w:sz w:val="21"/>
                <w:szCs w:val="21"/>
                <w:highlight w:val="none"/>
              </w:rPr>
            </w:pPr>
            <w:r>
              <w:rPr>
                <w:color w:val="auto"/>
                <w:sz w:val="21"/>
                <w:szCs w:val="21"/>
                <w:highlight w:val="none"/>
              </w:rPr>
              <w:t>点号</w:t>
            </w:r>
          </w:p>
        </w:tc>
        <w:tc>
          <w:tcPr>
            <w:tcW w:w="492" w:type="pct"/>
            <w:vAlign w:val="center"/>
          </w:tcPr>
          <w:p w14:paraId="7C99F0A6">
            <w:pPr>
              <w:pStyle w:val="1080"/>
              <w:keepNext w:val="0"/>
              <w:keepLines w:val="0"/>
              <w:suppressLineNumbers w:val="0"/>
              <w:spacing w:before="0" w:beforeAutospacing="0" w:after="0" w:afterAutospacing="0"/>
              <w:ind w:left="0" w:right="0"/>
              <w:rPr>
                <w:color w:val="auto"/>
                <w:sz w:val="21"/>
                <w:szCs w:val="21"/>
                <w:highlight w:val="none"/>
              </w:rPr>
            </w:pPr>
            <w:r>
              <w:rPr>
                <w:color w:val="auto"/>
                <w:sz w:val="21"/>
                <w:szCs w:val="21"/>
                <w:highlight w:val="none"/>
              </w:rPr>
              <w:t>位置</w:t>
            </w:r>
          </w:p>
        </w:tc>
        <w:tc>
          <w:tcPr>
            <w:tcW w:w="658" w:type="pct"/>
            <w:vAlign w:val="center"/>
          </w:tcPr>
          <w:p w14:paraId="38B20352">
            <w:pPr>
              <w:pStyle w:val="1080"/>
              <w:keepNext w:val="0"/>
              <w:keepLines w:val="0"/>
              <w:suppressLineNumbers w:val="0"/>
              <w:spacing w:before="0" w:beforeAutospacing="0" w:after="0" w:afterAutospacing="0"/>
              <w:ind w:left="0" w:right="0"/>
              <w:rPr>
                <w:color w:val="auto"/>
                <w:sz w:val="21"/>
                <w:szCs w:val="21"/>
                <w:highlight w:val="none"/>
              </w:rPr>
            </w:pPr>
            <w:r>
              <w:rPr>
                <w:color w:val="auto"/>
                <w:sz w:val="21"/>
                <w:szCs w:val="21"/>
                <w:highlight w:val="none"/>
              </w:rPr>
              <w:t>取样</w:t>
            </w:r>
            <w:r>
              <w:rPr>
                <w:rFonts w:hint="eastAsia"/>
                <w:color w:val="auto"/>
                <w:sz w:val="21"/>
                <w:szCs w:val="21"/>
                <w:highlight w:val="none"/>
              </w:rPr>
              <w:t>层位</w:t>
            </w:r>
          </w:p>
        </w:tc>
        <w:tc>
          <w:tcPr>
            <w:tcW w:w="636" w:type="pct"/>
            <w:vAlign w:val="center"/>
          </w:tcPr>
          <w:p w14:paraId="52E94907">
            <w:pPr>
              <w:pStyle w:val="1080"/>
              <w:keepNext w:val="0"/>
              <w:keepLines w:val="0"/>
              <w:suppressLineNumbers w:val="0"/>
              <w:spacing w:before="0" w:beforeAutospacing="0" w:after="0" w:afterAutospacing="0"/>
              <w:ind w:left="0" w:right="0"/>
              <w:rPr>
                <w:color w:val="auto"/>
                <w:sz w:val="21"/>
                <w:szCs w:val="21"/>
                <w:highlight w:val="none"/>
              </w:rPr>
            </w:pPr>
            <w:r>
              <w:rPr>
                <w:rFonts w:hint="eastAsia"/>
                <w:color w:val="auto"/>
                <w:sz w:val="21"/>
                <w:szCs w:val="21"/>
                <w:highlight w:val="none"/>
              </w:rPr>
              <w:t>监测频次</w:t>
            </w:r>
          </w:p>
        </w:tc>
        <w:tc>
          <w:tcPr>
            <w:tcW w:w="1265" w:type="pct"/>
            <w:vAlign w:val="center"/>
          </w:tcPr>
          <w:p w14:paraId="203633BD">
            <w:pPr>
              <w:pStyle w:val="1080"/>
              <w:keepNext w:val="0"/>
              <w:keepLines w:val="0"/>
              <w:suppressLineNumbers w:val="0"/>
              <w:spacing w:before="0" w:beforeAutospacing="0" w:after="0" w:afterAutospacing="0"/>
              <w:ind w:left="0" w:right="0"/>
              <w:rPr>
                <w:color w:val="auto"/>
                <w:sz w:val="21"/>
                <w:szCs w:val="21"/>
                <w:highlight w:val="none"/>
              </w:rPr>
            </w:pPr>
            <w:r>
              <w:rPr>
                <w:color w:val="auto"/>
                <w:sz w:val="21"/>
                <w:szCs w:val="21"/>
                <w:highlight w:val="none"/>
              </w:rPr>
              <w:t>监测因子</w:t>
            </w:r>
          </w:p>
        </w:tc>
        <w:tc>
          <w:tcPr>
            <w:tcW w:w="1563" w:type="pct"/>
            <w:vAlign w:val="center"/>
          </w:tcPr>
          <w:p w14:paraId="1DAF4A11">
            <w:pPr>
              <w:pStyle w:val="1080"/>
              <w:keepNext w:val="0"/>
              <w:keepLines w:val="0"/>
              <w:suppressLineNumbers w:val="0"/>
              <w:spacing w:before="0" w:beforeAutospacing="0" w:after="0" w:afterAutospacing="0"/>
              <w:ind w:left="0" w:right="0"/>
              <w:rPr>
                <w:rFonts w:hint="default" w:eastAsia="宋体"/>
                <w:color w:val="auto"/>
                <w:sz w:val="21"/>
                <w:szCs w:val="21"/>
                <w:highlight w:val="none"/>
                <w:lang w:val="en-US" w:eastAsia="zh-CN"/>
              </w:rPr>
            </w:pPr>
            <w:r>
              <w:rPr>
                <w:rFonts w:hint="eastAsia"/>
                <w:color w:val="auto"/>
                <w:sz w:val="21"/>
                <w:szCs w:val="21"/>
                <w:highlight w:val="none"/>
                <w:lang w:val="en-US" w:eastAsia="zh-CN"/>
              </w:rPr>
              <w:t>执行标准</w:t>
            </w:r>
          </w:p>
        </w:tc>
      </w:tr>
      <w:tr w14:paraId="3F3244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83" w:type="pct"/>
            <w:vAlign w:val="center"/>
          </w:tcPr>
          <w:p w14:paraId="6B826457">
            <w:pPr>
              <w:pStyle w:val="1080"/>
              <w:keepNext w:val="0"/>
              <w:keepLines w:val="0"/>
              <w:suppressLineNumbers w:val="0"/>
              <w:spacing w:before="0" w:beforeAutospacing="0" w:after="0" w:afterAutospacing="0"/>
              <w:ind w:left="0" w:right="0"/>
              <w:rPr>
                <w:color w:val="auto"/>
                <w:sz w:val="21"/>
                <w:szCs w:val="21"/>
                <w:highlight w:val="none"/>
              </w:rPr>
            </w:pPr>
            <w:r>
              <w:rPr>
                <w:color w:val="auto"/>
                <w:sz w:val="21"/>
                <w:szCs w:val="21"/>
                <w:highlight w:val="none"/>
              </w:rPr>
              <w:t>1</w:t>
            </w:r>
          </w:p>
        </w:tc>
        <w:tc>
          <w:tcPr>
            <w:tcW w:w="492" w:type="pct"/>
            <w:vAlign w:val="center"/>
          </w:tcPr>
          <w:p w14:paraId="04505618">
            <w:pPr>
              <w:pStyle w:val="1080"/>
              <w:keepNext w:val="0"/>
              <w:keepLines w:val="0"/>
              <w:suppressLineNumbers w:val="0"/>
              <w:spacing w:before="0" w:beforeAutospacing="0" w:after="0" w:afterAutospacing="0"/>
              <w:ind w:left="0" w:right="0"/>
              <w:rPr>
                <w:color w:val="auto"/>
                <w:sz w:val="21"/>
                <w:szCs w:val="21"/>
                <w:highlight w:val="none"/>
              </w:rPr>
            </w:pPr>
            <w:r>
              <w:rPr>
                <w:rFonts w:hint="eastAsia"/>
                <w:color w:val="auto"/>
                <w:sz w:val="21"/>
                <w:szCs w:val="21"/>
                <w:highlight w:val="none"/>
              </w:rPr>
              <w:t>场区东南侧</w:t>
            </w:r>
          </w:p>
        </w:tc>
        <w:tc>
          <w:tcPr>
            <w:tcW w:w="658" w:type="pct"/>
            <w:vAlign w:val="center"/>
          </w:tcPr>
          <w:p w14:paraId="19038D32">
            <w:pPr>
              <w:pStyle w:val="1080"/>
              <w:keepNext w:val="0"/>
              <w:keepLines w:val="0"/>
              <w:suppressLineNumbers w:val="0"/>
              <w:spacing w:before="0" w:beforeAutospacing="0" w:after="0" w:afterAutospacing="0"/>
              <w:ind w:left="0" w:right="0"/>
              <w:rPr>
                <w:color w:val="auto"/>
                <w:sz w:val="21"/>
                <w:szCs w:val="21"/>
                <w:highlight w:val="none"/>
              </w:rPr>
            </w:pPr>
            <w:r>
              <w:rPr>
                <w:rFonts w:hint="eastAsia"/>
                <w:color w:val="auto"/>
                <w:sz w:val="21"/>
                <w:szCs w:val="21"/>
                <w:highlight w:val="none"/>
              </w:rPr>
              <w:t>表层土壤</w:t>
            </w:r>
          </w:p>
        </w:tc>
        <w:tc>
          <w:tcPr>
            <w:tcW w:w="636" w:type="pct"/>
            <w:vAlign w:val="center"/>
          </w:tcPr>
          <w:p w14:paraId="4E40D366">
            <w:pPr>
              <w:pStyle w:val="1080"/>
              <w:keepNext w:val="0"/>
              <w:keepLines w:val="0"/>
              <w:suppressLineNumbers w:val="0"/>
              <w:spacing w:before="0" w:beforeAutospacing="0" w:after="0" w:afterAutospacing="0"/>
              <w:ind w:left="0" w:right="0"/>
              <w:rPr>
                <w:color w:val="auto"/>
                <w:sz w:val="21"/>
                <w:szCs w:val="21"/>
                <w:highlight w:val="none"/>
              </w:rPr>
            </w:pPr>
            <w:r>
              <w:rPr>
                <w:rFonts w:hint="eastAsia"/>
                <w:color w:val="auto"/>
                <w:sz w:val="21"/>
                <w:szCs w:val="21"/>
                <w:highlight w:val="none"/>
              </w:rPr>
              <w:t>每年一次</w:t>
            </w:r>
          </w:p>
        </w:tc>
        <w:tc>
          <w:tcPr>
            <w:tcW w:w="1265" w:type="pct"/>
            <w:vAlign w:val="center"/>
          </w:tcPr>
          <w:p w14:paraId="384C6CAA">
            <w:pPr>
              <w:pStyle w:val="1080"/>
              <w:keepNext w:val="0"/>
              <w:keepLines w:val="0"/>
              <w:suppressLineNumbers w:val="0"/>
              <w:spacing w:before="0" w:beforeAutospacing="0" w:after="0" w:afterAutospacing="0"/>
              <w:ind w:left="0" w:right="0"/>
              <w:rPr>
                <w:color w:val="auto"/>
                <w:sz w:val="21"/>
                <w:szCs w:val="21"/>
                <w:highlight w:val="none"/>
              </w:rPr>
            </w:pPr>
            <w:r>
              <w:rPr>
                <w:color w:val="auto"/>
                <w:sz w:val="21"/>
                <w:szCs w:val="21"/>
                <w:highlight w:val="none"/>
              </w:rPr>
              <w:t>pH、镉、汞、砷、铜、铅、铬、镍</w:t>
            </w:r>
            <w:r>
              <w:rPr>
                <w:rFonts w:hint="eastAsia"/>
                <w:color w:val="auto"/>
                <w:sz w:val="21"/>
                <w:szCs w:val="21"/>
                <w:highlight w:val="none"/>
              </w:rPr>
              <w:t>、锌</w:t>
            </w:r>
          </w:p>
        </w:tc>
        <w:tc>
          <w:tcPr>
            <w:tcW w:w="1563" w:type="pct"/>
            <w:vAlign w:val="center"/>
          </w:tcPr>
          <w:p w14:paraId="648DF2FD">
            <w:pPr>
              <w:pStyle w:val="1080"/>
              <w:keepNext w:val="0"/>
              <w:keepLines w:val="0"/>
              <w:suppressLineNumbers w:val="0"/>
              <w:spacing w:before="0" w:beforeAutospacing="0" w:after="0" w:afterAutospacing="0"/>
              <w:ind w:left="0" w:right="0"/>
              <w:rPr>
                <w:color w:val="auto"/>
                <w:sz w:val="21"/>
                <w:szCs w:val="21"/>
                <w:highlight w:val="none"/>
              </w:rPr>
            </w:pPr>
            <w:r>
              <w:rPr>
                <w:rFonts w:hint="eastAsia"/>
                <w:color w:val="auto"/>
                <w:sz w:val="21"/>
                <w:szCs w:val="21"/>
                <w:highlight w:val="none"/>
              </w:rPr>
              <w:t>《土壤环境质量 农用地土壤污染风险管控标准（试行）》（GB15618-2018）</w:t>
            </w:r>
          </w:p>
        </w:tc>
      </w:tr>
    </w:tbl>
    <w:p w14:paraId="32C54425">
      <w:pPr>
        <w:widowControl w:val="0"/>
        <w:adjustRightInd w:val="0"/>
        <w:snapToGrid w:val="0"/>
        <w:spacing w:line="360" w:lineRule="auto"/>
        <w:jc w:val="both"/>
        <w:rPr>
          <w:rFonts w:hint="eastAsia" w:asciiTheme="minorEastAsia" w:hAnsiTheme="minorEastAsia" w:eastAsiaTheme="minorEastAsia" w:cstheme="minorEastAsia"/>
          <w:color w:val="auto"/>
          <w:szCs w:val="24"/>
          <w:highlight w:val="none"/>
        </w:rPr>
      </w:pPr>
    </w:p>
    <w:p w14:paraId="2C2011A1">
      <w:pPr>
        <w:pStyle w:val="7"/>
        <w:numPr>
          <w:ilvl w:val="2"/>
          <w:numId w:val="0"/>
        </w:numPr>
        <w:snapToGrid w:val="0"/>
        <w:spacing w:before="0" w:after="0" w:line="360" w:lineRule="auto"/>
        <w:ind w:leftChars="0"/>
        <w:jc w:val="both"/>
        <w:rPr>
          <w:rFonts w:hint="eastAsia" w:asciiTheme="minorEastAsia" w:hAnsiTheme="minorEastAsia" w:eastAsiaTheme="minorEastAsia" w:cstheme="minorEastAsia"/>
          <w:b w:val="0"/>
          <w:bCs/>
          <w:color w:val="auto"/>
          <w:highlight w:val="none"/>
        </w:rPr>
      </w:pPr>
      <w:r>
        <w:rPr>
          <w:rFonts w:hint="eastAsia" w:asciiTheme="minorEastAsia" w:hAnsiTheme="minorEastAsia" w:eastAsiaTheme="minorEastAsia" w:cstheme="minorEastAsia"/>
          <w:color w:val="auto"/>
          <w:highlight w:val="none"/>
        </w:rPr>
        <w:t>6.2.</w:t>
      </w:r>
      <w:r>
        <w:rPr>
          <w:rFonts w:hint="eastAsia" w:asciiTheme="minorEastAsia" w:hAnsiTheme="minorEastAsia" w:eastAsiaTheme="minorEastAsia" w:cstheme="minorEastAsia"/>
          <w:color w:val="auto"/>
          <w:highlight w:val="none"/>
          <w:lang w:val="en-US" w:eastAsia="zh-CN"/>
        </w:rPr>
        <w:t>7</w:t>
      </w:r>
      <w:r>
        <w:rPr>
          <w:rFonts w:hint="eastAsia" w:asciiTheme="minorEastAsia" w:hAnsiTheme="minorEastAsia" w:eastAsiaTheme="minorEastAsia" w:cstheme="minorEastAsia"/>
          <w:color w:val="auto"/>
          <w:highlight w:val="none"/>
        </w:rPr>
        <w:t>生态恢复措施</w:t>
      </w:r>
    </w:p>
    <w:p w14:paraId="02519FF6">
      <w:pPr>
        <w:pStyle w:val="217"/>
        <w:widowControl w:val="0"/>
        <w:adjustRightInd w:val="0"/>
        <w:snapToGrid w:val="0"/>
        <w:spacing w:line="360" w:lineRule="auto"/>
        <w:ind w:firstLine="480" w:firstLineChars="200"/>
        <w:jc w:val="both"/>
        <w:rPr>
          <w:rFonts w:hint="default" w:asciiTheme="minorEastAsia" w:hAnsiTheme="minorEastAsia" w:eastAsiaTheme="minorEastAsia" w:cstheme="minorEastAsia"/>
          <w:color w:val="auto"/>
          <w:sz w:val="24"/>
          <w:szCs w:val="24"/>
          <w:highlight w:val="none"/>
          <w:lang w:val="en-US" w:bidi="ar"/>
        </w:rPr>
      </w:pPr>
      <w:r>
        <w:rPr>
          <w:rFonts w:hint="eastAsia" w:asciiTheme="minorEastAsia" w:hAnsiTheme="minorEastAsia" w:eastAsiaTheme="minorEastAsia" w:cstheme="minorEastAsia"/>
          <w:color w:val="auto"/>
          <w:szCs w:val="24"/>
          <w:highlight w:val="none"/>
          <w:lang w:val="en-US" w:eastAsia="zh-CN"/>
        </w:rPr>
        <w:t>本公司将</w:t>
      </w:r>
      <w:r>
        <w:rPr>
          <w:rFonts w:hint="eastAsia" w:asciiTheme="minorEastAsia" w:hAnsiTheme="minorEastAsia" w:eastAsiaTheme="minorEastAsia" w:cstheme="minorEastAsia"/>
          <w:color w:val="auto"/>
          <w:szCs w:val="24"/>
          <w:highlight w:val="none"/>
        </w:rPr>
        <w:t>采砂坑</w:t>
      </w:r>
      <w:r>
        <w:rPr>
          <w:rFonts w:hint="eastAsia" w:hAnsi="宋体" w:cs="宋体"/>
          <w:color w:val="auto"/>
          <w:kern w:val="0"/>
          <w:szCs w:val="21"/>
          <w:highlight w:val="none"/>
          <w:lang w:val="en-US" w:eastAsia="zh-CN"/>
        </w:rPr>
        <w:t>修复为林地，单个</w:t>
      </w:r>
      <w:r>
        <w:rPr>
          <w:rFonts w:hint="eastAsia" w:asciiTheme="minorEastAsia" w:hAnsiTheme="minorEastAsia" w:eastAsiaTheme="minorEastAsia" w:cstheme="minorEastAsia"/>
          <w:color w:val="auto"/>
          <w:sz w:val="24"/>
          <w:szCs w:val="24"/>
          <w:highlight w:val="none"/>
          <w:lang w:bidi="ar"/>
        </w:rPr>
        <w:t>回填单元</w:t>
      </w:r>
      <w:r>
        <w:rPr>
          <w:rFonts w:hint="eastAsia" w:asciiTheme="minorEastAsia" w:hAnsiTheme="minorEastAsia" w:eastAsiaTheme="minorEastAsia" w:cstheme="minorEastAsia"/>
          <w:color w:val="auto"/>
          <w:sz w:val="24"/>
          <w:szCs w:val="24"/>
          <w:highlight w:val="none"/>
          <w:lang w:eastAsia="zh-CN" w:bidi="ar"/>
        </w:rPr>
        <w:t>回填结束后，</w:t>
      </w:r>
      <w:r>
        <w:rPr>
          <w:rFonts w:hint="eastAsia" w:asciiTheme="minorEastAsia" w:hAnsiTheme="minorEastAsia" w:eastAsiaTheme="minorEastAsia" w:cstheme="minorEastAsia"/>
          <w:color w:val="auto"/>
          <w:szCs w:val="24"/>
          <w:highlight w:val="none"/>
          <w:lang w:val="en-US" w:eastAsia="zh-CN"/>
        </w:rPr>
        <w:t>覆土厚度80cm</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修复</w:t>
      </w:r>
      <w:r>
        <w:rPr>
          <w:rFonts w:hint="eastAsia" w:asciiTheme="minorEastAsia" w:hAnsiTheme="minorEastAsia" w:eastAsiaTheme="minorEastAsia" w:cstheme="minorEastAsia"/>
          <w:color w:val="auto"/>
          <w:szCs w:val="24"/>
          <w:highlight w:val="none"/>
        </w:rPr>
        <w:t>复成</w:t>
      </w:r>
      <w:r>
        <w:rPr>
          <w:rFonts w:hint="eastAsia" w:hAnsi="宋体" w:cs="宋体"/>
          <w:color w:val="auto"/>
          <w:kern w:val="0"/>
          <w:szCs w:val="21"/>
          <w:highlight w:val="none"/>
          <w:lang w:val="en-US" w:eastAsia="zh-CN"/>
        </w:rPr>
        <w:t>林地</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修复面积为</w:t>
      </w:r>
      <w:r>
        <w:rPr>
          <w:rFonts w:hint="eastAsia" w:ascii="Times New Roman" w:hAnsi="宋体" w:eastAsia="宋体" w:cs="Times New Roman"/>
          <w:color w:val="auto"/>
          <w:kern w:val="0"/>
          <w:sz w:val="24"/>
          <w:szCs w:val="24"/>
          <w:highlight w:val="none"/>
          <w:lang w:val="en-US" w:eastAsia="zh-CN"/>
        </w:rPr>
        <w:t>11296.10</w:t>
      </w:r>
      <w:r>
        <w:rPr>
          <w:rFonts w:hint="eastAsia" w:asciiTheme="minorEastAsia" w:hAnsiTheme="minorEastAsia" w:eastAsiaTheme="minorEastAsia" w:cstheme="minorEastAsia"/>
          <w:color w:val="auto"/>
          <w:szCs w:val="24"/>
          <w:highlight w:val="none"/>
          <w:lang w:val="en-US" w:eastAsia="zh-CN"/>
        </w:rPr>
        <w:t>m</w:t>
      </w:r>
      <w:r>
        <w:rPr>
          <w:rFonts w:hint="eastAsia" w:asciiTheme="minorEastAsia" w:hAnsiTheme="minorEastAsia" w:eastAsiaTheme="minorEastAsia" w:cstheme="minorEastAsia"/>
          <w:color w:val="auto"/>
          <w:szCs w:val="24"/>
          <w:highlight w:val="none"/>
          <w:vertAlign w:val="superscript"/>
          <w:lang w:val="en-US" w:eastAsia="zh-CN"/>
        </w:rPr>
        <w:t>2</w:t>
      </w:r>
      <w:r>
        <w:rPr>
          <w:rFonts w:hint="eastAsia" w:asciiTheme="minorEastAsia" w:hAnsiTheme="minorEastAsia" w:eastAsiaTheme="minorEastAsia" w:cstheme="minorEastAsia"/>
          <w:color w:val="auto"/>
          <w:szCs w:val="24"/>
          <w:highlight w:val="none"/>
          <w:lang w:val="en-US" w:eastAsia="zh-CN"/>
        </w:rPr>
        <w:t>，</w:t>
      </w:r>
      <w:r>
        <w:rPr>
          <w:rFonts w:hint="eastAsia" w:cs="Times New Roman"/>
          <w:color w:val="auto"/>
          <w:highlight w:val="none"/>
        </w:rPr>
        <w:t>采用树穴换土的方式栽植耐旱性较好的樟子松及针叶林</w:t>
      </w:r>
      <w:r>
        <w:rPr>
          <w:rFonts w:hint="eastAsia" w:cs="Times New Roman"/>
          <w:color w:val="auto"/>
          <w:highlight w:val="none"/>
          <w:lang w:eastAsia="zh-CN"/>
        </w:rPr>
        <w:t>，</w:t>
      </w:r>
      <w:r>
        <w:rPr>
          <w:rFonts w:hint="eastAsia" w:asciiTheme="minorEastAsia" w:hAnsiTheme="minorEastAsia" w:eastAsiaTheme="minorEastAsia" w:cstheme="minorEastAsia"/>
          <w:color w:val="auto"/>
          <w:szCs w:val="24"/>
          <w:highlight w:val="none"/>
        </w:rPr>
        <w:t>保证植被的成活率，死苗要及时补种，达到预期效果</w:t>
      </w:r>
      <w:r>
        <w:rPr>
          <w:rFonts w:hint="eastAsia" w:asciiTheme="minorEastAsia" w:hAnsiTheme="minorEastAsia" w:eastAsiaTheme="minorEastAsia" w:cstheme="minorEastAsia"/>
          <w:color w:val="auto"/>
          <w:szCs w:val="24"/>
          <w:highlight w:val="none"/>
          <w:lang w:val="en-US" w:eastAsia="zh-CN"/>
        </w:rPr>
        <w:t>。</w:t>
      </w:r>
    </w:p>
    <w:p w14:paraId="12C23003">
      <w:pPr>
        <w:pStyle w:val="217"/>
        <w:widowControl w:val="0"/>
        <w:adjustRightInd w:val="0"/>
        <w:snapToGrid w:val="0"/>
        <w:spacing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复垦后土壤质量监测</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监测内容包括 ：地形坡度、有效土层厚度、土壤有效水分、土壤容重、酸碱度（pH 值）、有机质含量、有效磷含量、全氮含量、土壤侵蚀模数等。</w:t>
      </w:r>
    </w:p>
    <w:p w14:paraId="6F0D45C1">
      <w:pPr>
        <w:pStyle w:val="217"/>
        <w:widowControl w:val="0"/>
        <w:adjustRightInd w:val="0"/>
        <w:snapToGrid w:val="0"/>
        <w:spacing w:line="360" w:lineRule="auto"/>
        <w:ind w:firstLine="480" w:firstLineChars="20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采用样方随机调查法，监测复垦后林地的生长势、高度、种植密度、成活率、郁闭度、生长量等。监测点位3个，每个点位每年监测1次，监测时间为三年。</w:t>
      </w:r>
    </w:p>
    <w:p w14:paraId="32FFA1ED">
      <w:pPr>
        <w:pStyle w:val="217"/>
        <w:widowControl w:val="0"/>
        <w:adjustRightInd w:val="0"/>
        <w:snapToGrid w:val="0"/>
        <w:spacing w:line="360" w:lineRule="auto"/>
        <w:ind w:firstLine="480" w:firstLineChars="200"/>
        <w:jc w:val="both"/>
        <w:rPr>
          <w:rFonts w:hint="eastAsia" w:asciiTheme="minorEastAsia" w:hAnsiTheme="minorEastAsia" w:eastAsiaTheme="minorEastAsia" w:cstheme="minorEastAsia"/>
          <w:color w:val="auto"/>
          <w:szCs w:val="24"/>
          <w:highlight w:val="none"/>
          <w:lang w:eastAsia="zh-CN"/>
        </w:rPr>
      </w:pPr>
      <w:r>
        <w:rPr>
          <w:rFonts w:hint="default" w:ascii="Times New Roman" w:hAnsi="Times New Roman" w:eastAsia="宋体"/>
          <w:color w:val="auto"/>
          <w:sz w:val="24"/>
          <w:szCs w:val="24"/>
          <w:highlight w:val="none"/>
          <w:lang w:val="en-US" w:eastAsia="zh-CN"/>
        </w:rPr>
        <w:t>覆土所需土壤来源于</w:t>
      </w:r>
      <w:r>
        <w:rPr>
          <w:rFonts w:hint="eastAsia" w:ascii="Times New Roman" w:hAnsi="Times New Roman" w:eastAsia="宋体" w:cs="Times New Roman"/>
          <w:color w:val="auto"/>
          <w:sz w:val="24"/>
          <w:szCs w:val="24"/>
          <w:highlight w:val="none"/>
          <w:lang w:val="en-US" w:eastAsia="zh-CN"/>
        </w:rPr>
        <w:t>当地高标准农田建设</w:t>
      </w:r>
      <w:r>
        <w:rPr>
          <w:rFonts w:ascii="Times New Roman" w:hAnsi="Times New Roman" w:eastAsia="宋体" w:cs="Times New Roman"/>
          <w:color w:val="auto"/>
          <w:sz w:val="24"/>
          <w:szCs w:val="24"/>
          <w:highlight w:val="none"/>
        </w:rPr>
        <w:t>剥离的</w:t>
      </w:r>
      <w:r>
        <w:rPr>
          <w:rFonts w:hint="eastAsia" w:ascii="Times New Roman" w:hAnsi="Times New Roman" w:eastAsia="宋体" w:cs="Times New Roman"/>
          <w:color w:val="auto"/>
          <w:sz w:val="24"/>
          <w:szCs w:val="24"/>
          <w:highlight w:val="none"/>
          <w:lang w:val="en-US" w:eastAsia="zh-CN"/>
        </w:rPr>
        <w:t>种植</w:t>
      </w:r>
      <w:r>
        <w:rPr>
          <w:rFonts w:ascii="Times New Roman" w:hAnsi="Times New Roman" w:eastAsia="宋体" w:cs="Times New Roman"/>
          <w:color w:val="auto"/>
          <w:sz w:val="24"/>
          <w:szCs w:val="24"/>
          <w:highlight w:val="none"/>
        </w:rPr>
        <w:t>表土</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土壤质量应满足《土壤环境质量农用地土壤污染风险管控标准（试行）》（GB15618-2018）要求</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复垦实施过程按照</w:t>
      </w:r>
      <w:r>
        <w:rPr>
          <w:rFonts w:hint="eastAsia" w:asciiTheme="minorEastAsia" w:hAnsiTheme="minorEastAsia" w:eastAsiaTheme="minorEastAsia" w:cstheme="minorEastAsia"/>
          <w:color w:val="auto"/>
          <w:szCs w:val="24"/>
          <w:highlight w:val="none"/>
        </w:rPr>
        <w:t>《土地复垦质量控制标准》（TD/T1036-2013）</w:t>
      </w:r>
      <w:r>
        <w:rPr>
          <w:rFonts w:hint="eastAsia" w:asciiTheme="minorEastAsia" w:hAnsiTheme="minorEastAsia" w:eastAsiaTheme="minorEastAsia" w:cstheme="minorEastAsia"/>
          <w:color w:val="auto"/>
          <w:szCs w:val="24"/>
          <w:highlight w:val="none"/>
          <w:lang w:val="en-US" w:eastAsia="zh-CN"/>
        </w:rPr>
        <w:t>中相关标准执行</w:t>
      </w:r>
      <w:r>
        <w:rPr>
          <w:rFonts w:hint="eastAsia" w:asciiTheme="minorEastAsia" w:hAnsiTheme="minorEastAsia" w:eastAsiaTheme="minorEastAsia" w:cstheme="minorEastAsia"/>
          <w:color w:val="auto"/>
          <w:szCs w:val="24"/>
          <w:highlight w:val="none"/>
          <w:lang w:eastAsia="zh-CN"/>
        </w:rPr>
        <w:t>。</w:t>
      </w:r>
    </w:p>
    <w:p w14:paraId="24D3FBC4">
      <w:pPr>
        <w:pStyle w:val="217"/>
        <w:widowControl w:val="0"/>
        <w:adjustRightInd w:val="0"/>
        <w:snapToGrid w:val="0"/>
        <w:spacing w:line="360" w:lineRule="auto"/>
        <w:ind w:left="0" w:leftChars="0" w:firstLine="0" w:firstLineChars="0"/>
        <w:jc w:val="center"/>
        <w:rPr>
          <w:rFonts w:hint="eastAsia" w:asciiTheme="minorEastAsia" w:hAnsiTheme="minorEastAsia" w:eastAsiaTheme="minorEastAsia" w:cstheme="minorEastAsia"/>
          <w:b/>
          <w:bCs/>
          <w:color w:val="auto"/>
          <w:kern w:val="2"/>
          <w:sz w:val="24"/>
          <w:szCs w:val="24"/>
          <w:highlight w:val="none"/>
          <w:lang w:val="en-US" w:eastAsia="zh-CN" w:bidi="ar-SA"/>
        </w:rPr>
      </w:pPr>
      <w:r>
        <w:rPr>
          <w:color w:val="auto"/>
          <w:highlight w:val="none"/>
        </w:rPr>
        <w:drawing>
          <wp:inline distT="0" distB="0" distL="114300" distR="114300">
            <wp:extent cx="5559425" cy="3870325"/>
            <wp:effectExtent l="0" t="0" r="3175" b="317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64"/>
                    <a:stretch>
                      <a:fillRect/>
                    </a:stretch>
                  </pic:blipFill>
                  <pic:spPr>
                    <a:xfrm>
                      <a:off x="0" y="0"/>
                      <a:ext cx="5559425" cy="3870325"/>
                    </a:xfrm>
                    <a:prstGeom prst="rect">
                      <a:avLst/>
                    </a:prstGeom>
                    <a:noFill/>
                    <a:ln>
                      <a:noFill/>
                    </a:ln>
                  </pic:spPr>
                </pic:pic>
              </a:graphicData>
            </a:graphic>
          </wp:inline>
        </w:drawing>
      </w:r>
    </w:p>
    <w:p w14:paraId="63817EAC">
      <w:pPr>
        <w:pStyle w:val="217"/>
        <w:widowControl w:val="0"/>
        <w:adjustRightInd w:val="0"/>
        <w:snapToGrid w:val="0"/>
        <w:spacing w:line="360" w:lineRule="auto"/>
        <w:jc w:val="center"/>
        <w:rPr>
          <w:rFonts w:hint="default" w:asciiTheme="minorEastAsia" w:hAnsiTheme="minorEastAsia" w:eastAsiaTheme="minorEastAsia" w:cstheme="minorEastAsia"/>
          <w:color w:val="auto"/>
          <w:szCs w:val="24"/>
          <w:highlight w:val="none"/>
          <w:lang w:val="en-US" w:eastAsia="zh-CN"/>
        </w:rPr>
      </w:pPr>
      <w:r>
        <w:rPr>
          <w:rFonts w:hint="eastAsia" w:asciiTheme="minorEastAsia" w:hAnsiTheme="minorEastAsia" w:eastAsiaTheme="minorEastAsia" w:cstheme="minorEastAsia"/>
          <w:b/>
          <w:bCs/>
          <w:color w:val="auto"/>
          <w:kern w:val="2"/>
          <w:sz w:val="24"/>
          <w:szCs w:val="24"/>
          <w:highlight w:val="none"/>
          <w:lang w:val="en-US" w:eastAsia="zh-CN" w:bidi="ar-SA"/>
        </w:rPr>
        <w:t>图6.2-1  生态恢复措施图</w:t>
      </w:r>
    </w:p>
    <w:p w14:paraId="59200DD0">
      <w:pPr>
        <w:pStyle w:val="6"/>
        <w:widowControl w:val="0"/>
        <w:snapToGrid w:val="0"/>
        <w:spacing w:before="0" w:after="0" w:line="360" w:lineRule="auto"/>
        <w:jc w:val="both"/>
        <w:rPr>
          <w:rFonts w:hint="eastAsia" w:asciiTheme="minorEastAsia" w:hAnsiTheme="minorEastAsia" w:eastAsiaTheme="minorEastAsia" w:cstheme="minorEastAsia"/>
          <w:color w:val="auto"/>
          <w:highlight w:val="none"/>
        </w:rPr>
      </w:pPr>
      <w:bookmarkStart w:id="724" w:name="_Toc30281"/>
      <w:bookmarkStart w:id="725" w:name="_Toc11691"/>
      <w:bookmarkStart w:id="726" w:name="_Toc4065"/>
      <w:r>
        <w:rPr>
          <w:rFonts w:hint="eastAsia" w:asciiTheme="minorEastAsia" w:hAnsiTheme="minorEastAsia" w:eastAsiaTheme="minorEastAsia" w:cstheme="minorEastAsia"/>
          <w:color w:val="auto"/>
          <w:highlight w:val="none"/>
        </w:rPr>
        <w:t>6.</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rPr>
        <w:t>环保投资</w:t>
      </w:r>
      <w:bookmarkEnd w:id="724"/>
      <w:bookmarkEnd w:id="725"/>
      <w:bookmarkEnd w:id="726"/>
    </w:p>
    <w:p w14:paraId="6BAF436A">
      <w:pPr>
        <w:pStyle w:val="319"/>
        <w:widowControl w:val="0"/>
        <w:snapToGrid w:val="0"/>
        <w:ind w:firstLine="520"/>
        <w:jc w:val="both"/>
        <w:rPr>
          <w:rFonts w:hint="eastAsia" w:asciiTheme="minorEastAsia" w:hAnsiTheme="minorEastAsia" w:eastAsiaTheme="minorEastAsia" w:cstheme="minorEastAsia"/>
          <w:b/>
          <w:bCs/>
          <w:color w:val="auto"/>
          <w:szCs w:val="21"/>
          <w:highlight w:val="none"/>
          <w:lang w:bidi="ar"/>
        </w:rPr>
      </w:pPr>
      <w:r>
        <w:rPr>
          <w:rFonts w:hint="eastAsia" w:asciiTheme="minorEastAsia" w:hAnsiTheme="minorEastAsia" w:eastAsiaTheme="minorEastAsia" w:cstheme="minorEastAsia"/>
          <w:color w:val="auto"/>
          <w:highlight w:val="none"/>
        </w:rPr>
        <w:t>本项目</w:t>
      </w:r>
      <w:r>
        <w:rPr>
          <w:rFonts w:hint="eastAsia" w:asciiTheme="minorEastAsia" w:hAnsiTheme="minorEastAsia" w:eastAsiaTheme="minorEastAsia" w:cstheme="minorEastAsia"/>
          <w:color w:val="auto"/>
          <w:szCs w:val="24"/>
          <w:highlight w:val="none"/>
        </w:rPr>
        <w:t>采坑</w:t>
      </w:r>
      <w:r>
        <w:rPr>
          <w:rFonts w:hint="eastAsia" w:asciiTheme="minorEastAsia" w:hAnsiTheme="minorEastAsia" w:eastAsiaTheme="minorEastAsia" w:cstheme="minorEastAsia"/>
          <w:color w:val="auto"/>
          <w:highlight w:val="none"/>
        </w:rPr>
        <w:t>修复治理项目，项目本身为环保项目，</w:t>
      </w:r>
      <w:r>
        <w:rPr>
          <w:rFonts w:hint="eastAsia" w:asciiTheme="minorEastAsia" w:hAnsiTheme="minorEastAsia" w:eastAsiaTheme="minorEastAsia" w:cstheme="minorEastAsia"/>
          <w:color w:val="auto"/>
          <w:highlight w:val="none"/>
          <w:lang w:val="en-US" w:eastAsia="zh-CN"/>
        </w:rPr>
        <w:t>总</w:t>
      </w:r>
      <w:r>
        <w:rPr>
          <w:rFonts w:hint="eastAsia" w:asciiTheme="minorEastAsia" w:hAnsiTheme="minorEastAsia" w:eastAsiaTheme="minorEastAsia" w:cstheme="minorEastAsia"/>
          <w:color w:val="auto"/>
          <w:highlight w:val="none"/>
        </w:rPr>
        <w:t>投资</w:t>
      </w:r>
      <w:r>
        <w:rPr>
          <w:rFonts w:hint="eastAsia" w:asciiTheme="minorEastAsia" w:hAnsiTheme="minorEastAsia" w:eastAsiaTheme="minorEastAsia" w:cstheme="minorEastAsia"/>
          <w:color w:val="auto"/>
          <w:highlight w:val="none"/>
          <w:lang w:val="en-US" w:eastAsia="zh-CN"/>
        </w:rPr>
        <w:t>2000</w:t>
      </w:r>
      <w:r>
        <w:rPr>
          <w:rFonts w:hint="eastAsia" w:asciiTheme="minorEastAsia" w:hAnsiTheme="minorEastAsia" w:eastAsiaTheme="minorEastAsia" w:cstheme="minorEastAsia"/>
          <w:color w:val="auto"/>
          <w:highlight w:val="none"/>
        </w:rPr>
        <w:t>万元，</w:t>
      </w:r>
      <w:r>
        <w:rPr>
          <w:rFonts w:hint="eastAsia" w:asciiTheme="minorEastAsia" w:hAnsiTheme="minorEastAsia" w:eastAsiaTheme="minorEastAsia" w:cstheme="minorEastAsia"/>
          <w:color w:val="auto"/>
          <w:highlight w:val="none"/>
          <w:lang w:val="en-US" w:eastAsia="zh-CN"/>
        </w:rPr>
        <w:t>针</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lang w:val="en-US" w:eastAsia="zh-CN"/>
        </w:rPr>
        <w:t>修复过程采取的环保措施投资约420万元，占总投资21%</w:t>
      </w:r>
      <w:r>
        <w:rPr>
          <w:rFonts w:hint="eastAsia" w:asciiTheme="minorEastAsia" w:hAnsiTheme="minorEastAsia" w:eastAsiaTheme="minorEastAsia" w:cstheme="minorEastAsia"/>
          <w:color w:val="auto"/>
          <w:highlight w:val="none"/>
        </w:rPr>
        <w:t>。</w:t>
      </w:r>
    </w:p>
    <w:p w14:paraId="07D08FDC">
      <w:pPr>
        <w:widowControl w:val="0"/>
        <w:snapToGrid w:val="0"/>
        <w:spacing w:line="240" w:lineRule="auto"/>
        <w:jc w:val="center"/>
        <w:rPr>
          <w:rFonts w:hint="eastAsia" w:asciiTheme="minorEastAsia" w:hAnsiTheme="minorEastAsia" w:eastAsiaTheme="minorEastAsia" w:cstheme="minorEastAsia"/>
          <w:b/>
          <w:bCs/>
          <w:color w:val="auto"/>
          <w:szCs w:val="21"/>
          <w:highlight w:val="none"/>
          <w:lang w:bidi="ar"/>
        </w:rPr>
      </w:pPr>
      <w:r>
        <w:rPr>
          <w:rFonts w:hint="eastAsia" w:asciiTheme="minorEastAsia" w:hAnsiTheme="minorEastAsia" w:eastAsiaTheme="minorEastAsia" w:cstheme="minorEastAsia"/>
          <w:b/>
          <w:bCs/>
          <w:color w:val="auto"/>
          <w:szCs w:val="21"/>
          <w:highlight w:val="none"/>
          <w:lang w:bidi="ar"/>
        </w:rPr>
        <w:t>表6</w:t>
      </w:r>
      <w:r>
        <w:rPr>
          <w:rFonts w:hint="eastAsia" w:asciiTheme="minorEastAsia" w:hAnsiTheme="minorEastAsia" w:eastAsiaTheme="minorEastAsia" w:cstheme="minorEastAsia"/>
          <w:b/>
          <w:bCs/>
          <w:color w:val="auto"/>
          <w:szCs w:val="21"/>
          <w:highlight w:val="none"/>
          <w:lang w:val="en-US" w:eastAsia="zh-CN" w:bidi="ar"/>
        </w:rPr>
        <w:t>.3</w:t>
      </w:r>
      <w:r>
        <w:rPr>
          <w:rFonts w:hint="eastAsia" w:asciiTheme="minorEastAsia" w:hAnsiTheme="minorEastAsia" w:eastAsiaTheme="minorEastAsia" w:cstheme="minorEastAsia"/>
          <w:b/>
          <w:bCs/>
          <w:color w:val="auto"/>
          <w:szCs w:val="21"/>
          <w:highlight w:val="none"/>
          <w:lang w:bidi="ar"/>
        </w:rPr>
        <w:t>-1</w:t>
      </w:r>
      <w:r>
        <w:rPr>
          <w:rFonts w:hint="eastAsia" w:asciiTheme="minorEastAsia" w:hAnsiTheme="minorEastAsia" w:eastAsiaTheme="minorEastAsia" w:cstheme="minorEastAsia"/>
          <w:b/>
          <w:bCs/>
          <w:color w:val="auto"/>
          <w:szCs w:val="21"/>
          <w:highlight w:val="none"/>
          <w:lang w:val="en-US" w:eastAsia="zh-CN" w:bidi="ar"/>
        </w:rPr>
        <w:t xml:space="preserve">  </w:t>
      </w:r>
      <w:r>
        <w:rPr>
          <w:rFonts w:hint="eastAsia" w:asciiTheme="minorEastAsia" w:hAnsiTheme="minorEastAsia" w:eastAsiaTheme="minorEastAsia" w:cstheme="minorEastAsia"/>
          <w:b/>
          <w:bCs/>
          <w:color w:val="auto"/>
          <w:szCs w:val="21"/>
          <w:highlight w:val="none"/>
          <w:lang w:bidi="ar"/>
        </w:rPr>
        <w:t>工程环保投资一览表单位：万元</w:t>
      </w:r>
    </w:p>
    <w:tbl>
      <w:tblPr>
        <w:tblStyle w:val="84"/>
        <w:tblW w:w="5291" w:type="pct"/>
        <w:jc w:val="center"/>
        <w:tblBorders>
          <w:top w:val="single" w:color="auto" w:sz="8" w:space="0"/>
          <w:left w:val="none" w:color="auto" w:sz="0" w:space="0"/>
          <w:bottom w:val="single" w:color="auto" w:sz="8" w:space="0"/>
          <w:right w:val="none" w:color="auto" w:sz="0" w:space="0"/>
          <w:insideH w:val="single" w:color="auto" w:sz="4" w:space="0"/>
          <w:insideV w:val="single" w:color="auto" w:sz="2" w:space="0"/>
        </w:tblBorders>
        <w:tblLayout w:type="autofit"/>
        <w:tblCellMar>
          <w:top w:w="0" w:type="dxa"/>
          <w:left w:w="108" w:type="dxa"/>
          <w:bottom w:w="0" w:type="dxa"/>
          <w:right w:w="108" w:type="dxa"/>
        </w:tblCellMar>
      </w:tblPr>
      <w:tblGrid>
        <w:gridCol w:w="955"/>
        <w:gridCol w:w="1676"/>
        <w:gridCol w:w="5398"/>
        <w:gridCol w:w="1247"/>
      </w:tblGrid>
      <w:tr w14:paraId="70DE849C">
        <w:tblPrEx>
          <w:tblBorders>
            <w:top w:val="single" w:color="auto" w:sz="8" w:space="0"/>
            <w:left w:val="none" w:color="auto" w:sz="0" w:space="0"/>
            <w:bottom w:val="single" w:color="auto" w:sz="8"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406" w:hRule="atLeast"/>
          <w:jc w:val="center"/>
        </w:trPr>
        <w:tc>
          <w:tcPr>
            <w:tcW w:w="515" w:type="pct"/>
            <w:tcBorders>
              <w:tl2br w:val="nil"/>
              <w:tr2bl w:val="nil"/>
            </w:tcBorders>
            <w:noWrap w:val="0"/>
            <w:tcMar>
              <w:left w:w="0" w:type="dxa"/>
              <w:right w:w="0" w:type="dxa"/>
            </w:tcMar>
            <w:vAlign w:val="center"/>
          </w:tcPr>
          <w:p w14:paraId="2DF02945">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项目</w:t>
            </w:r>
          </w:p>
        </w:tc>
        <w:tc>
          <w:tcPr>
            <w:tcW w:w="903" w:type="pct"/>
            <w:tcBorders>
              <w:tl2br w:val="nil"/>
              <w:tr2bl w:val="nil"/>
            </w:tcBorders>
            <w:noWrap w:val="0"/>
            <w:vAlign w:val="center"/>
          </w:tcPr>
          <w:p w14:paraId="452A7E11">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污染源</w:t>
            </w:r>
          </w:p>
        </w:tc>
        <w:tc>
          <w:tcPr>
            <w:tcW w:w="2909" w:type="pct"/>
            <w:tcBorders>
              <w:tl2br w:val="nil"/>
              <w:tr2bl w:val="nil"/>
            </w:tcBorders>
            <w:noWrap w:val="0"/>
            <w:vAlign w:val="center"/>
          </w:tcPr>
          <w:p w14:paraId="61C97578">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拟采取的治理措施</w:t>
            </w:r>
          </w:p>
        </w:tc>
        <w:tc>
          <w:tcPr>
            <w:tcW w:w="672" w:type="pct"/>
            <w:tcBorders>
              <w:tl2br w:val="nil"/>
              <w:tr2bl w:val="nil"/>
            </w:tcBorders>
            <w:noWrap w:val="0"/>
            <w:tcMar>
              <w:left w:w="0" w:type="dxa"/>
              <w:right w:w="0" w:type="dxa"/>
            </w:tcMar>
            <w:vAlign w:val="center"/>
          </w:tcPr>
          <w:p w14:paraId="6AB08701">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投资</w:t>
            </w:r>
            <w:r>
              <w:rPr>
                <w:color w:val="auto"/>
                <w:sz w:val="21"/>
                <w:szCs w:val="21"/>
                <w:highlight w:val="none"/>
                <w:lang w:val="de-DE"/>
              </w:rPr>
              <w:t>（万元）</w:t>
            </w:r>
          </w:p>
        </w:tc>
      </w:tr>
      <w:tr w14:paraId="767C7A63">
        <w:tblPrEx>
          <w:tblBorders>
            <w:top w:val="single" w:color="auto" w:sz="8" w:space="0"/>
            <w:left w:val="none" w:color="auto" w:sz="0" w:space="0"/>
            <w:bottom w:val="single" w:color="auto" w:sz="8"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1138" w:hRule="atLeast"/>
          <w:jc w:val="center"/>
        </w:trPr>
        <w:tc>
          <w:tcPr>
            <w:tcW w:w="515" w:type="pct"/>
            <w:tcBorders>
              <w:tl2br w:val="nil"/>
              <w:tr2bl w:val="nil"/>
            </w:tcBorders>
            <w:noWrap w:val="0"/>
            <w:tcMar>
              <w:left w:w="0" w:type="dxa"/>
              <w:right w:w="0" w:type="dxa"/>
            </w:tcMar>
            <w:vAlign w:val="center"/>
          </w:tcPr>
          <w:p w14:paraId="47AD7A77">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废气</w:t>
            </w:r>
          </w:p>
        </w:tc>
        <w:tc>
          <w:tcPr>
            <w:tcW w:w="903" w:type="pct"/>
            <w:tcBorders>
              <w:tl2br w:val="nil"/>
              <w:tr2bl w:val="nil"/>
            </w:tcBorders>
            <w:noWrap w:val="0"/>
            <w:vAlign w:val="center"/>
          </w:tcPr>
          <w:p w14:paraId="264279E8">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施工扬尘及运输扬尘</w:t>
            </w:r>
          </w:p>
        </w:tc>
        <w:tc>
          <w:tcPr>
            <w:tcW w:w="2909" w:type="pct"/>
            <w:tcBorders>
              <w:tl2br w:val="nil"/>
              <w:tr2bl w:val="nil"/>
            </w:tcBorders>
            <w:noWrap w:val="0"/>
            <w:vAlign w:val="center"/>
          </w:tcPr>
          <w:p w14:paraId="185828F2">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ascii="Times New Roman"/>
                <w:color w:val="auto"/>
                <w:sz w:val="21"/>
                <w:szCs w:val="24"/>
                <w:highlight w:val="none"/>
                <w:lang w:bidi="ar"/>
              </w:rPr>
              <w:t>洒水抑尘，</w:t>
            </w:r>
            <w:r>
              <w:rPr>
                <w:rFonts w:hint="eastAsia"/>
                <w:color w:val="auto"/>
                <w:sz w:val="21"/>
                <w:szCs w:val="24"/>
                <w:highlight w:val="none"/>
                <w:lang w:val="en-US" w:eastAsia="zh-CN" w:bidi="ar"/>
              </w:rPr>
              <w:t>四周</w:t>
            </w:r>
            <w:r>
              <w:rPr>
                <w:rFonts w:ascii="Times New Roman"/>
                <w:color w:val="auto"/>
                <w:sz w:val="21"/>
                <w:szCs w:val="24"/>
                <w:highlight w:val="none"/>
                <w:lang w:bidi="ar"/>
              </w:rPr>
              <w:t>设置</w:t>
            </w:r>
            <w:r>
              <w:rPr>
                <w:rFonts w:hint="eastAsia" w:ascii="Times New Roman"/>
                <w:color w:val="auto"/>
                <w:sz w:val="21"/>
                <w:szCs w:val="21"/>
                <w:highlight w:val="none"/>
                <w:lang w:eastAsia="zh-CN"/>
              </w:rPr>
              <w:t>隔声隔尘挡板</w:t>
            </w:r>
            <w:r>
              <w:rPr>
                <w:rFonts w:ascii="Times New Roman"/>
                <w:color w:val="auto"/>
                <w:sz w:val="21"/>
                <w:szCs w:val="24"/>
                <w:highlight w:val="none"/>
                <w:lang w:bidi="ar"/>
              </w:rPr>
              <w:t>，运输车辆加盖苫布。</w:t>
            </w:r>
          </w:p>
          <w:p w14:paraId="2D6231F8">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hint="eastAsia"/>
                <w:color w:val="auto"/>
                <w:sz w:val="21"/>
                <w:szCs w:val="21"/>
                <w:highlight w:val="none"/>
                <w:lang w:val="en-US" w:eastAsia="zh-CN"/>
              </w:rPr>
              <w:t>非作业面采用密目网或苫布覆盖。</w:t>
            </w:r>
          </w:p>
        </w:tc>
        <w:tc>
          <w:tcPr>
            <w:tcW w:w="672" w:type="pct"/>
            <w:tcBorders>
              <w:tl2br w:val="nil"/>
              <w:tr2bl w:val="nil"/>
            </w:tcBorders>
            <w:noWrap w:val="0"/>
            <w:tcMar>
              <w:left w:w="0" w:type="dxa"/>
              <w:right w:w="0" w:type="dxa"/>
            </w:tcMar>
            <w:vAlign w:val="center"/>
          </w:tcPr>
          <w:p w14:paraId="2F92127D">
            <w:pPr>
              <w:keepNext w:val="0"/>
              <w:keepLines w:val="0"/>
              <w:suppressLineNumbers w:val="0"/>
              <w:spacing w:before="0" w:beforeAutospacing="0" w:after="0" w:afterAutospacing="0" w:line="240" w:lineRule="auto"/>
              <w:ind w:left="0" w:right="0" w:firstLine="0" w:firstLineChars="0"/>
              <w:jc w:val="center"/>
              <w:rPr>
                <w:rFonts w:hint="default" w:ascii="Times New Roman" w:eastAsia="宋体"/>
                <w:color w:val="auto"/>
                <w:kern w:val="2"/>
                <w:sz w:val="21"/>
                <w:szCs w:val="24"/>
                <w:highlight w:val="none"/>
                <w:lang w:val="en-US" w:eastAsia="zh-CN"/>
              </w:rPr>
            </w:pPr>
            <w:r>
              <w:rPr>
                <w:rFonts w:hint="eastAsia"/>
                <w:color w:val="auto"/>
                <w:kern w:val="2"/>
                <w:sz w:val="21"/>
                <w:szCs w:val="24"/>
                <w:highlight w:val="none"/>
                <w:lang w:val="en-US" w:eastAsia="zh-CN"/>
              </w:rPr>
              <w:t>53</w:t>
            </w:r>
          </w:p>
        </w:tc>
      </w:tr>
      <w:tr w14:paraId="4DADC87C">
        <w:tblPrEx>
          <w:tblBorders>
            <w:top w:val="single" w:color="auto" w:sz="8" w:space="0"/>
            <w:left w:val="none" w:color="auto" w:sz="0" w:space="0"/>
            <w:bottom w:val="single" w:color="auto" w:sz="8"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413" w:hRule="atLeast"/>
          <w:jc w:val="center"/>
        </w:trPr>
        <w:tc>
          <w:tcPr>
            <w:tcW w:w="515" w:type="pct"/>
            <w:vMerge w:val="restart"/>
            <w:tcBorders>
              <w:tl2br w:val="nil"/>
              <w:tr2bl w:val="nil"/>
            </w:tcBorders>
            <w:noWrap w:val="0"/>
            <w:tcMar>
              <w:left w:w="0" w:type="dxa"/>
              <w:right w:w="0" w:type="dxa"/>
            </w:tcMar>
            <w:vAlign w:val="center"/>
          </w:tcPr>
          <w:p w14:paraId="09F10E08">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废水</w:t>
            </w:r>
          </w:p>
        </w:tc>
        <w:tc>
          <w:tcPr>
            <w:tcW w:w="903" w:type="pct"/>
            <w:tcBorders>
              <w:tl2br w:val="nil"/>
              <w:tr2bl w:val="nil"/>
            </w:tcBorders>
            <w:noWrap w:val="0"/>
            <w:vAlign w:val="center"/>
          </w:tcPr>
          <w:p w14:paraId="255BF74C">
            <w:pPr>
              <w:keepNext w:val="0"/>
              <w:keepLines w:val="0"/>
              <w:suppressLineNumbers w:val="0"/>
              <w:spacing w:before="0" w:beforeAutospacing="0" w:after="0" w:afterAutospacing="0" w:line="240" w:lineRule="auto"/>
              <w:ind w:left="0" w:right="0" w:firstLine="0" w:firstLineChars="0"/>
              <w:jc w:val="center"/>
              <w:rPr>
                <w:rFonts w:hint="eastAsia" w:ascii="Times New Roman"/>
                <w:color w:val="auto"/>
                <w:kern w:val="2"/>
                <w:sz w:val="21"/>
                <w:szCs w:val="24"/>
                <w:highlight w:val="none"/>
              </w:rPr>
            </w:pPr>
            <w:r>
              <w:rPr>
                <w:rFonts w:hint="eastAsia" w:ascii="Times New Roman"/>
                <w:color w:val="auto"/>
                <w:kern w:val="2"/>
                <w:sz w:val="21"/>
                <w:szCs w:val="24"/>
                <w:highlight w:val="none"/>
              </w:rPr>
              <w:t>施工人员</w:t>
            </w:r>
          </w:p>
          <w:p w14:paraId="624AED60">
            <w:pPr>
              <w:keepNext w:val="0"/>
              <w:keepLines w:val="0"/>
              <w:suppressLineNumbers w:val="0"/>
              <w:spacing w:before="0" w:beforeAutospacing="0" w:after="0" w:afterAutospacing="0" w:line="240" w:lineRule="auto"/>
              <w:ind w:left="0" w:right="0" w:firstLine="0" w:firstLineChars="0"/>
              <w:jc w:val="center"/>
              <w:rPr>
                <w:rFonts w:hint="eastAsia" w:ascii="Times New Roman"/>
                <w:color w:val="auto"/>
                <w:kern w:val="2"/>
                <w:sz w:val="21"/>
                <w:szCs w:val="24"/>
                <w:highlight w:val="none"/>
              </w:rPr>
            </w:pPr>
            <w:r>
              <w:rPr>
                <w:rFonts w:hint="eastAsia" w:ascii="Times New Roman"/>
                <w:color w:val="auto"/>
                <w:kern w:val="2"/>
                <w:sz w:val="21"/>
                <w:szCs w:val="24"/>
                <w:highlight w:val="none"/>
              </w:rPr>
              <w:t>生活污水</w:t>
            </w:r>
          </w:p>
        </w:tc>
        <w:tc>
          <w:tcPr>
            <w:tcW w:w="2909" w:type="pct"/>
            <w:tcBorders>
              <w:tl2br w:val="nil"/>
              <w:tr2bl w:val="nil"/>
            </w:tcBorders>
            <w:noWrap w:val="0"/>
            <w:vAlign w:val="center"/>
          </w:tcPr>
          <w:p w14:paraId="7595CAD0">
            <w:pPr>
              <w:keepNext w:val="0"/>
              <w:keepLines w:val="0"/>
              <w:suppressLineNumbers w:val="0"/>
              <w:spacing w:before="0" w:beforeAutospacing="0" w:after="0" w:afterAutospacing="0" w:line="240" w:lineRule="auto"/>
              <w:ind w:left="0" w:right="0" w:firstLine="0" w:firstLineChars="0"/>
              <w:jc w:val="center"/>
              <w:rPr>
                <w:rFonts w:hint="eastAsia" w:ascii="Times New Roman" w:eastAsia="宋体"/>
                <w:color w:val="auto"/>
                <w:kern w:val="2"/>
                <w:sz w:val="21"/>
                <w:szCs w:val="24"/>
                <w:highlight w:val="none"/>
                <w:lang w:eastAsia="zh-CN"/>
              </w:rPr>
            </w:pPr>
            <w:r>
              <w:rPr>
                <w:rFonts w:hint="eastAsia" w:ascii="Times New Roman" w:eastAsia="宋体"/>
                <w:color w:val="auto"/>
                <w:kern w:val="2"/>
                <w:sz w:val="21"/>
                <w:szCs w:val="24"/>
                <w:highlight w:val="none"/>
                <w:lang w:eastAsia="zh-CN"/>
              </w:rPr>
              <w:t>民房防渗旱厕，定期外运堆肥。</w:t>
            </w:r>
          </w:p>
        </w:tc>
        <w:tc>
          <w:tcPr>
            <w:tcW w:w="672" w:type="pct"/>
            <w:tcBorders>
              <w:tl2br w:val="nil"/>
              <w:tr2bl w:val="nil"/>
            </w:tcBorders>
            <w:noWrap w:val="0"/>
            <w:tcMar>
              <w:left w:w="0" w:type="dxa"/>
              <w:right w:w="0" w:type="dxa"/>
            </w:tcMar>
            <w:vAlign w:val="center"/>
          </w:tcPr>
          <w:p w14:paraId="704066D9">
            <w:pPr>
              <w:keepNext w:val="0"/>
              <w:keepLines w:val="0"/>
              <w:suppressLineNumbers w:val="0"/>
              <w:spacing w:before="0" w:beforeAutospacing="0" w:after="0" w:afterAutospacing="0" w:line="240" w:lineRule="auto"/>
              <w:ind w:left="0" w:right="0" w:firstLine="0" w:firstLineChars="0"/>
              <w:jc w:val="center"/>
              <w:rPr>
                <w:rFonts w:hint="default" w:ascii="Times New Roman" w:eastAsia="宋体"/>
                <w:color w:val="auto"/>
                <w:kern w:val="2"/>
                <w:sz w:val="21"/>
                <w:szCs w:val="24"/>
                <w:highlight w:val="none"/>
                <w:lang w:val="en-US" w:eastAsia="zh-CN"/>
              </w:rPr>
            </w:pPr>
            <w:r>
              <w:rPr>
                <w:rFonts w:hint="eastAsia"/>
                <w:color w:val="auto"/>
                <w:kern w:val="2"/>
                <w:sz w:val="21"/>
                <w:szCs w:val="24"/>
                <w:highlight w:val="none"/>
                <w:lang w:val="en-US" w:eastAsia="zh-CN"/>
              </w:rPr>
              <w:t>0</w:t>
            </w:r>
          </w:p>
        </w:tc>
      </w:tr>
      <w:tr w14:paraId="5A2EA47F">
        <w:tblPrEx>
          <w:tblBorders>
            <w:top w:val="single" w:color="auto" w:sz="8" w:space="0"/>
            <w:left w:val="none" w:color="auto" w:sz="0" w:space="0"/>
            <w:bottom w:val="single" w:color="auto" w:sz="8"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413" w:hRule="atLeast"/>
          <w:jc w:val="center"/>
        </w:trPr>
        <w:tc>
          <w:tcPr>
            <w:tcW w:w="515" w:type="pct"/>
            <w:vMerge w:val="continue"/>
            <w:tcBorders>
              <w:tl2br w:val="nil"/>
              <w:tr2bl w:val="nil"/>
            </w:tcBorders>
            <w:noWrap w:val="0"/>
            <w:tcMar>
              <w:left w:w="0" w:type="dxa"/>
              <w:right w:w="0" w:type="dxa"/>
            </w:tcMar>
            <w:vAlign w:val="center"/>
          </w:tcPr>
          <w:p w14:paraId="1A1F2255">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p>
        </w:tc>
        <w:tc>
          <w:tcPr>
            <w:tcW w:w="903" w:type="pct"/>
            <w:tcBorders>
              <w:tl2br w:val="nil"/>
              <w:tr2bl w:val="nil"/>
            </w:tcBorders>
            <w:noWrap w:val="0"/>
            <w:vAlign w:val="center"/>
          </w:tcPr>
          <w:p w14:paraId="3C5C31D7">
            <w:pPr>
              <w:keepNext w:val="0"/>
              <w:keepLines w:val="0"/>
              <w:suppressLineNumbers w:val="0"/>
              <w:spacing w:before="0" w:beforeAutospacing="0" w:after="0" w:afterAutospacing="0" w:line="240" w:lineRule="auto"/>
              <w:ind w:left="0" w:right="0" w:firstLine="0" w:firstLineChars="0"/>
              <w:jc w:val="center"/>
              <w:rPr>
                <w:rFonts w:hint="default" w:ascii="Times New Roman" w:eastAsia="宋体"/>
                <w:color w:val="auto"/>
                <w:kern w:val="2"/>
                <w:sz w:val="21"/>
                <w:szCs w:val="24"/>
                <w:highlight w:val="none"/>
                <w:lang w:val="en-US" w:eastAsia="zh-CN"/>
              </w:rPr>
            </w:pPr>
            <w:r>
              <w:rPr>
                <w:rFonts w:hint="default" w:ascii="Times New Roman" w:eastAsia="宋体"/>
                <w:color w:val="auto"/>
                <w:kern w:val="2"/>
                <w:sz w:val="21"/>
                <w:szCs w:val="24"/>
                <w:highlight w:val="none"/>
                <w:lang w:val="en-US" w:eastAsia="zh-CN"/>
              </w:rPr>
              <w:t>淋滤水</w:t>
            </w:r>
          </w:p>
        </w:tc>
        <w:tc>
          <w:tcPr>
            <w:tcW w:w="2909" w:type="pct"/>
            <w:tcBorders>
              <w:tl2br w:val="nil"/>
              <w:tr2bl w:val="nil"/>
            </w:tcBorders>
            <w:noWrap w:val="0"/>
            <w:vAlign w:val="center"/>
          </w:tcPr>
          <w:p w14:paraId="1FAD48F2">
            <w:pPr>
              <w:keepNext w:val="0"/>
              <w:keepLines w:val="0"/>
              <w:suppressLineNumbers w:val="0"/>
              <w:spacing w:before="0" w:beforeAutospacing="0" w:after="0" w:afterAutospacing="0" w:line="240" w:lineRule="auto"/>
              <w:ind w:left="0" w:right="0" w:firstLine="0" w:firstLineChars="0"/>
              <w:jc w:val="center"/>
              <w:rPr>
                <w:rFonts w:hint="default" w:ascii="Times New Roman" w:eastAsia="宋体"/>
                <w:color w:val="auto"/>
                <w:kern w:val="2"/>
                <w:sz w:val="21"/>
                <w:szCs w:val="24"/>
                <w:highlight w:val="none"/>
                <w:lang w:val="en-US" w:eastAsia="zh-CN"/>
              </w:rPr>
            </w:pPr>
            <w:r>
              <w:rPr>
                <w:rFonts w:hint="eastAsia" w:ascii="Times New Roman"/>
                <w:color w:val="auto"/>
                <w:kern w:val="2"/>
                <w:sz w:val="21"/>
                <w:szCs w:val="24"/>
                <w:highlight w:val="none"/>
              </w:rPr>
              <w:t>设置1座</w:t>
            </w:r>
            <w:r>
              <w:rPr>
                <w:rFonts w:hint="eastAsia" w:ascii="Times New Roman"/>
                <w:color w:val="auto"/>
                <w:kern w:val="2"/>
                <w:sz w:val="21"/>
                <w:szCs w:val="24"/>
                <w:highlight w:val="none"/>
                <w:lang w:val="en-US" w:eastAsia="zh-CN"/>
              </w:rPr>
              <w:t>120m</w:t>
            </w:r>
            <w:r>
              <w:rPr>
                <w:rFonts w:hint="eastAsia" w:ascii="Times New Roman"/>
                <w:color w:val="auto"/>
                <w:kern w:val="2"/>
                <w:sz w:val="21"/>
                <w:szCs w:val="24"/>
                <w:highlight w:val="none"/>
                <w:vertAlign w:val="superscript"/>
                <w:lang w:val="en-US" w:eastAsia="zh-CN"/>
              </w:rPr>
              <w:t>3</w:t>
            </w:r>
            <w:r>
              <w:rPr>
                <w:rFonts w:hint="eastAsia" w:ascii="Times New Roman"/>
                <w:color w:val="auto"/>
                <w:kern w:val="2"/>
                <w:sz w:val="21"/>
                <w:szCs w:val="24"/>
                <w:highlight w:val="none"/>
              </w:rPr>
              <w:t>沉淀池</w:t>
            </w:r>
            <w:r>
              <w:rPr>
                <w:rFonts w:hint="eastAsia" w:ascii="Times New Roman"/>
                <w:color w:val="auto"/>
                <w:kern w:val="2"/>
                <w:sz w:val="21"/>
                <w:szCs w:val="24"/>
                <w:highlight w:val="none"/>
                <w:lang w:eastAsia="zh-CN"/>
              </w:rPr>
              <w:t>。</w:t>
            </w:r>
          </w:p>
        </w:tc>
        <w:tc>
          <w:tcPr>
            <w:tcW w:w="672" w:type="pct"/>
            <w:tcBorders>
              <w:tl2br w:val="nil"/>
              <w:tr2bl w:val="nil"/>
            </w:tcBorders>
            <w:noWrap w:val="0"/>
            <w:tcMar>
              <w:left w:w="0" w:type="dxa"/>
              <w:right w:w="0" w:type="dxa"/>
            </w:tcMar>
            <w:vAlign w:val="center"/>
          </w:tcPr>
          <w:p w14:paraId="7259DB79">
            <w:pPr>
              <w:keepNext w:val="0"/>
              <w:keepLines w:val="0"/>
              <w:suppressLineNumbers w:val="0"/>
              <w:spacing w:before="0" w:beforeAutospacing="0" w:after="0" w:afterAutospacing="0" w:line="240" w:lineRule="auto"/>
              <w:ind w:left="0" w:right="0" w:firstLine="0" w:firstLineChars="0"/>
              <w:jc w:val="center"/>
              <w:rPr>
                <w:rFonts w:hint="default"/>
                <w:color w:val="auto"/>
                <w:kern w:val="2"/>
                <w:sz w:val="21"/>
                <w:szCs w:val="24"/>
                <w:highlight w:val="none"/>
                <w:lang w:val="en-US" w:eastAsia="zh-CN"/>
              </w:rPr>
            </w:pPr>
            <w:r>
              <w:rPr>
                <w:rFonts w:hint="eastAsia"/>
                <w:color w:val="auto"/>
                <w:kern w:val="2"/>
                <w:sz w:val="21"/>
                <w:szCs w:val="24"/>
                <w:highlight w:val="none"/>
                <w:lang w:val="en-US" w:eastAsia="zh-CN"/>
              </w:rPr>
              <w:t>25</w:t>
            </w:r>
          </w:p>
        </w:tc>
      </w:tr>
      <w:tr w14:paraId="34EE29E8">
        <w:tblPrEx>
          <w:tblBorders>
            <w:top w:val="single" w:color="auto" w:sz="8" w:space="0"/>
            <w:left w:val="none" w:color="auto" w:sz="0" w:space="0"/>
            <w:bottom w:val="single" w:color="auto" w:sz="8"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406" w:hRule="atLeast"/>
          <w:jc w:val="center"/>
        </w:trPr>
        <w:tc>
          <w:tcPr>
            <w:tcW w:w="515" w:type="pct"/>
            <w:tcBorders>
              <w:tl2br w:val="nil"/>
              <w:tr2bl w:val="nil"/>
            </w:tcBorders>
            <w:noWrap w:val="0"/>
            <w:tcMar>
              <w:left w:w="0" w:type="dxa"/>
              <w:right w:w="0" w:type="dxa"/>
            </w:tcMar>
            <w:vAlign w:val="center"/>
          </w:tcPr>
          <w:p w14:paraId="0868F565">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固废</w:t>
            </w:r>
          </w:p>
        </w:tc>
        <w:tc>
          <w:tcPr>
            <w:tcW w:w="903" w:type="pct"/>
            <w:tcBorders>
              <w:tl2br w:val="nil"/>
              <w:tr2bl w:val="nil"/>
            </w:tcBorders>
            <w:noWrap w:val="0"/>
            <w:vAlign w:val="center"/>
          </w:tcPr>
          <w:p w14:paraId="77AE5598">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员工生活垃圾</w:t>
            </w:r>
          </w:p>
        </w:tc>
        <w:tc>
          <w:tcPr>
            <w:tcW w:w="2909" w:type="pct"/>
            <w:tcBorders>
              <w:tl2br w:val="nil"/>
              <w:tr2bl w:val="nil"/>
            </w:tcBorders>
            <w:noWrap w:val="0"/>
            <w:vAlign w:val="center"/>
          </w:tcPr>
          <w:p w14:paraId="422A9045">
            <w:pPr>
              <w:keepNext w:val="0"/>
              <w:keepLines w:val="0"/>
              <w:suppressLineNumbers w:val="0"/>
              <w:spacing w:before="0" w:beforeAutospacing="0" w:after="0" w:afterAutospacing="0" w:line="240" w:lineRule="auto"/>
              <w:ind w:left="0" w:right="0" w:firstLine="0" w:firstLineChars="0"/>
              <w:jc w:val="center"/>
              <w:rPr>
                <w:rFonts w:hint="eastAsia" w:ascii="Times New Roman" w:eastAsia="宋体"/>
                <w:color w:val="auto"/>
                <w:kern w:val="2"/>
                <w:sz w:val="21"/>
                <w:szCs w:val="24"/>
                <w:highlight w:val="none"/>
                <w:lang w:eastAsia="zh-CN"/>
              </w:rPr>
            </w:pPr>
            <w:r>
              <w:rPr>
                <w:rFonts w:ascii="Times New Roman"/>
                <w:color w:val="auto"/>
                <w:kern w:val="2"/>
                <w:sz w:val="21"/>
                <w:szCs w:val="24"/>
                <w:highlight w:val="none"/>
              </w:rPr>
              <w:t>设置垃圾收集箱</w:t>
            </w:r>
            <w:r>
              <w:rPr>
                <w:rFonts w:hint="eastAsia" w:ascii="Times New Roman"/>
                <w:color w:val="auto"/>
                <w:kern w:val="2"/>
                <w:sz w:val="21"/>
                <w:szCs w:val="24"/>
                <w:highlight w:val="none"/>
                <w:lang w:eastAsia="zh-CN"/>
              </w:rPr>
              <w:t>。</w:t>
            </w:r>
          </w:p>
        </w:tc>
        <w:tc>
          <w:tcPr>
            <w:tcW w:w="672" w:type="pct"/>
            <w:tcBorders>
              <w:tl2br w:val="nil"/>
              <w:tr2bl w:val="nil"/>
            </w:tcBorders>
            <w:noWrap w:val="0"/>
            <w:tcMar>
              <w:left w:w="0" w:type="dxa"/>
              <w:right w:w="0" w:type="dxa"/>
            </w:tcMar>
            <w:vAlign w:val="center"/>
          </w:tcPr>
          <w:p w14:paraId="4B0D7769">
            <w:pPr>
              <w:keepNext w:val="0"/>
              <w:keepLines w:val="0"/>
              <w:suppressLineNumbers w:val="0"/>
              <w:spacing w:before="0" w:beforeAutospacing="0" w:after="0" w:afterAutospacing="0" w:line="240" w:lineRule="auto"/>
              <w:ind w:left="0" w:right="0" w:firstLine="0" w:firstLineChars="0"/>
              <w:jc w:val="center"/>
              <w:rPr>
                <w:rFonts w:hint="default" w:ascii="Times New Roman" w:eastAsia="宋体"/>
                <w:color w:val="auto"/>
                <w:kern w:val="2"/>
                <w:sz w:val="21"/>
                <w:szCs w:val="24"/>
                <w:highlight w:val="none"/>
                <w:lang w:val="en-US" w:eastAsia="zh-CN"/>
              </w:rPr>
            </w:pPr>
            <w:r>
              <w:rPr>
                <w:rFonts w:hint="eastAsia"/>
                <w:color w:val="auto"/>
                <w:kern w:val="2"/>
                <w:sz w:val="21"/>
                <w:szCs w:val="24"/>
                <w:highlight w:val="none"/>
                <w:lang w:val="en-US" w:eastAsia="zh-CN"/>
              </w:rPr>
              <w:t>2</w:t>
            </w:r>
          </w:p>
        </w:tc>
      </w:tr>
      <w:tr w14:paraId="2297CC47">
        <w:tblPrEx>
          <w:tblBorders>
            <w:top w:val="single" w:color="auto" w:sz="8" w:space="0"/>
            <w:left w:val="none" w:color="auto" w:sz="0" w:space="0"/>
            <w:bottom w:val="single" w:color="auto" w:sz="8"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442" w:hRule="atLeast"/>
          <w:jc w:val="center"/>
        </w:trPr>
        <w:tc>
          <w:tcPr>
            <w:tcW w:w="515" w:type="pct"/>
            <w:tcBorders>
              <w:tl2br w:val="nil"/>
              <w:tr2bl w:val="nil"/>
            </w:tcBorders>
            <w:noWrap w:val="0"/>
            <w:tcMar>
              <w:left w:w="0" w:type="dxa"/>
              <w:right w:w="0" w:type="dxa"/>
            </w:tcMar>
            <w:vAlign w:val="center"/>
          </w:tcPr>
          <w:p w14:paraId="3389F68C">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噪声</w:t>
            </w:r>
          </w:p>
        </w:tc>
        <w:tc>
          <w:tcPr>
            <w:tcW w:w="903" w:type="pct"/>
            <w:tcBorders>
              <w:tl2br w:val="nil"/>
              <w:tr2bl w:val="nil"/>
            </w:tcBorders>
            <w:noWrap w:val="0"/>
            <w:vAlign w:val="center"/>
          </w:tcPr>
          <w:p w14:paraId="6CD7E5C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sz w:val="21"/>
                <w:szCs w:val="24"/>
                <w:highlight w:val="none"/>
                <w:lang w:bidi="ar"/>
              </w:rPr>
              <w:t>施工机械及运输车辆噪声</w:t>
            </w:r>
          </w:p>
        </w:tc>
        <w:tc>
          <w:tcPr>
            <w:tcW w:w="2909" w:type="pct"/>
            <w:tcBorders>
              <w:tl2br w:val="nil"/>
              <w:tr2bl w:val="nil"/>
            </w:tcBorders>
            <w:noWrap w:val="0"/>
            <w:vAlign w:val="center"/>
          </w:tcPr>
          <w:p w14:paraId="782A4E92">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kern w:val="2"/>
                <w:sz w:val="21"/>
                <w:szCs w:val="24"/>
                <w:highlight w:val="none"/>
                <w:lang w:val="en-US" w:eastAsia="zh-CN"/>
              </w:rPr>
            </w:pPr>
            <w:r>
              <w:rPr>
                <w:rFonts w:hint="eastAsia" w:cs="Times New Roman"/>
                <w:b w:val="0"/>
                <w:bCs/>
                <w:color w:val="auto"/>
                <w:sz w:val="21"/>
                <w:szCs w:val="21"/>
                <w:highlight w:val="none"/>
                <w:vertAlign w:val="baseline"/>
                <w:lang w:val="en-US" w:eastAsia="zh-CN"/>
              </w:rPr>
              <w:t>选用低噪声、低振动设备，加强车辆保养，</w:t>
            </w:r>
            <w:r>
              <w:rPr>
                <w:rFonts w:hint="eastAsia" w:ascii="Times New Roman" w:hAnsi="Times New Roman" w:eastAsia="宋体" w:cs="宋体"/>
                <w:color w:val="auto"/>
                <w:kern w:val="0"/>
                <w:sz w:val="21"/>
                <w:szCs w:val="21"/>
                <w:highlight w:val="none"/>
                <w:lang w:val="en-US" w:eastAsia="zh-CN"/>
              </w:rPr>
              <w:t>作业面四周加装</w:t>
            </w:r>
            <w:r>
              <w:rPr>
                <w:rFonts w:hint="eastAsia" w:cs="Times New Roman"/>
                <w:b w:val="0"/>
                <w:bCs/>
                <w:color w:val="auto"/>
                <w:sz w:val="21"/>
                <w:szCs w:val="21"/>
                <w:highlight w:val="none"/>
                <w:vertAlign w:val="baseline"/>
                <w:lang w:val="en-US" w:eastAsia="zh-CN"/>
              </w:rPr>
              <w:t>隔声隔尘挡板，高度不低于3m。</w:t>
            </w:r>
          </w:p>
        </w:tc>
        <w:tc>
          <w:tcPr>
            <w:tcW w:w="672" w:type="pct"/>
            <w:tcBorders>
              <w:tl2br w:val="nil"/>
              <w:tr2bl w:val="nil"/>
            </w:tcBorders>
            <w:noWrap w:val="0"/>
            <w:tcMar>
              <w:left w:w="0" w:type="dxa"/>
              <w:right w:w="0" w:type="dxa"/>
            </w:tcMar>
            <w:vAlign w:val="center"/>
          </w:tcPr>
          <w:p w14:paraId="42D96B32">
            <w:pPr>
              <w:keepNext w:val="0"/>
              <w:keepLines w:val="0"/>
              <w:suppressLineNumbers w:val="0"/>
              <w:spacing w:before="0" w:beforeAutospacing="0" w:after="0" w:afterAutospacing="0" w:line="240" w:lineRule="auto"/>
              <w:ind w:left="0" w:right="0" w:firstLine="0" w:firstLineChars="0"/>
              <w:jc w:val="center"/>
              <w:rPr>
                <w:rFonts w:hint="default" w:ascii="Times New Roman" w:eastAsia="宋体"/>
                <w:color w:val="auto"/>
                <w:kern w:val="2"/>
                <w:sz w:val="21"/>
                <w:szCs w:val="24"/>
                <w:highlight w:val="none"/>
                <w:lang w:val="en-US" w:eastAsia="zh-CN"/>
              </w:rPr>
            </w:pPr>
            <w:r>
              <w:rPr>
                <w:rFonts w:hint="eastAsia"/>
                <w:color w:val="auto"/>
                <w:kern w:val="2"/>
                <w:sz w:val="21"/>
                <w:szCs w:val="24"/>
                <w:highlight w:val="none"/>
                <w:lang w:val="en-US" w:eastAsia="zh-CN"/>
              </w:rPr>
              <w:t>25</w:t>
            </w:r>
          </w:p>
        </w:tc>
      </w:tr>
      <w:tr w14:paraId="04D0626E">
        <w:tblPrEx>
          <w:tblBorders>
            <w:top w:val="single" w:color="auto" w:sz="8" w:space="0"/>
            <w:left w:val="none" w:color="auto" w:sz="0" w:space="0"/>
            <w:bottom w:val="single" w:color="auto" w:sz="8"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90" w:hRule="atLeast"/>
          <w:jc w:val="center"/>
        </w:trPr>
        <w:tc>
          <w:tcPr>
            <w:tcW w:w="515" w:type="pct"/>
            <w:tcBorders>
              <w:tl2br w:val="nil"/>
              <w:tr2bl w:val="nil"/>
            </w:tcBorders>
            <w:noWrap w:val="0"/>
            <w:tcMar>
              <w:left w:w="0" w:type="dxa"/>
              <w:right w:w="0" w:type="dxa"/>
            </w:tcMar>
            <w:vAlign w:val="center"/>
          </w:tcPr>
          <w:p w14:paraId="508EFFEA">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生态</w:t>
            </w:r>
          </w:p>
        </w:tc>
        <w:tc>
          <w:tcPr>
            <w:tcW w:w="903" w:type="pct"/>
            <w:tcBorders>
              <w:tl2br w:val="nil"/>
              <w:tr2bl w:val="nil"/>
            </w:tcBorders>
            <w:noWrap w:val="0"/>
            <w:vAlign w:val="center"/>
          </w:tcPr>
          <w:p w14:paraId="3FAF3E33">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hint="eastAsia" w:ascii="Times New Roman"/>
                <w:color w:val="auto"/>
                <w:sz w:val="21"/>
                <w:szCs w:val="21"/>
                <w:highlight w:val="none"/>
                <w:lang w:val="en-US" w:eastAsia="zh-CN"/>
              </w:rPr>
              <w:t>回填区</w:t>
            </w:r>
          </w:p>
        </w:tc>
        <w:tc>
          <w:tcPr>
            <w:tcW w:w="2909" w:type="pct"/>
            <w:tcBorders>
              <w:tl2br w:val="nil"/>
              <w:tr2bl w:val="nil"/>
            </w:tcBorders>
            <w:noWrap w:val="0"/>
            <w:vAlign w:val="center"/>
          </w:tcPr>
          <w:p w14:paraId="52FB6DE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4"/>
                <w:highlight w:val="none"/>
                <w:lang w:bidi="ar"/>
              </w:rPr>
            </w:pPr>
            <w:r>
              <w:rPr>
                <w:rFonts w:hint="eastAsia" w:ascii="Times New Roman" w:hAnsi="Times New Roman" w:eastAsia="宋体" w:cs="Times New Roman"/>
                <w:color w:val="auto"/>
                <w:sz w:val="21"/>
                <w:szCs w:val="21"/>
                <w:highlight w:val="none"/>
                <w:lang w:val="en-US" w:eastAsia="zh-CN" w:bidi="ar-SA"/>
              </w:rPr>
              <w:t>林</w:t>
            </w:r>
            <w:r>
              <w:rPr>
                <w:rFonts w:hint="default" w:ascii="Times New Roman" w:hAnsi="Times New Roman" w:eastAsia="宋体" w:cs="Times New Roman"/>
                <w:color w:val="auto"/>
                <w:sz w:val="21"/>
                <w:szCs w:val="21"/>
                <w:highlight w:val="none"/>
                <w:lang w:val="en-US" w:eastAsia="zh-CN" w:bidi="ar-SA"/>
              </w:rPr>
              <w:t>地：</w:t>
            </w:r>
            <w:r>
              <w:rPr>
                <w:rFonts w:hint="eastAsia" w:ascii="Times New Roman" w:hAnsi="Times New Roman" w:eastAsia="宋体" w:cs="Times New Roman"/>
                <w:color w:val="auto"/>
                <w:sz w:val="21"/>
                <w:szCs w:val="21"/>
                <w:highlight w:val="none"/>
                <w:lang w:val="en-US" w:eastAsia="zh-CN" w:bidi="ar-SA"/>
              </w:rPr>
              <w:t>采用树穴换土的方式栽植耐旱性较好的樟子松及针叶林。</w:t>
            </w:r>
          </w:p>
        </w:tc>
        <w:tc>
          <w:tcPr>
            <w:tcW w:w="672" w:type="pct"/>
            <w:tcBorders>
              <w:tl2br w:val="nil"/>
              <w:tr2bl w:val="nil"/>
            </w:tcBorders>
            <w:noWrap w:val="0"/>
            <w:tcMar>
              <w:left w:w="0" w:type="dxa"/>
              <w:right w:w="0" w:type="dxa"/>
            </w:tcMar>
            <w:vAlign w:val="center"/>
          </w:tcPr>
          <w:p w14:paraId="1A16D6A2">
            <w:pPr>
              <w:keepNext w:val="0"/>
              <w:keepLines w:val="0"/>
              <w:suppressLineNumbers w:val="0"/>
              <w:spacing w:before="0" w:beforeAutospacing="0" w:after="0" w:afterAutospacing="0" w:line="240" w:lineRule="auto"/>
              <w:ind w:left="0" w:right="0" w:firstLine="0" w:firstLineChars="0"/>
              <w:jc w:val="center"/>
              <w:rPr>
                <w:rFonts w:hint="default" w:ascii="Times New Roman" w:eastAsia="宋体"/>
                <w:color w:val="auto"/>
                <w:kern w:val="2"/>
                <w:sz w:val="21"/>
                <w:szCs w:val="24"/>
                <w:highlight w:val="none"/>
                <w:lang w:val="en-US" w:eastAsia="zh-CN"/>
              </w:rPr>
            </w:pPr>
            <w:r>
              <w:rPr>
                <w:rFonts w:hint="eastAsia"/>
                <w:color w:val="auto"/>
                <w:kern w:val="2"/>
                <w:sz w:val="21"/>
                <w:szCs w:val="24"/>
                <w:highlight w:val="none"/>
                <w:lang w:val="en-US" w:eastAsia="zh-CN"/>
              </w:rPr>
              <w:t>100</w:t>
            </w:r>
          </w:p>
        </w:tc>
      </w:tr>
      <w:tr w14:paraId="23021524">
        <w:tblPrEx>
          <w:tblBorders>
            <w:top w:val="single" w:color="auto" w:sz="8" w:space="0"/>
            <w:left w:val="none" w:color="auto" w:sz="0" w:space="0"/>
            <w:bottom w:val="single" w:color="auto" w:sz="8"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406" w:hRule="atLeast"/>
          <w:jc w:val="center"/>
        </w:trPr>
        <w:tc>
          <w:tcPr>
            <w:tcW w:w="515" w:type="pct"/>
            <w:tcBorders>
              <w:tl2br w:val="nil"/>
              <w:tr2bl w:val="nil"/>
            </w:tcBorders>
            <w:noWrap w:val="0"/>
            <w:tcMar>
              <w:left w:w="0" w:type="dxa"/>
              <w:right w:w="0" w:type="dxa"/>
            </w:tcMar>
            <w:vAlign w:val="center"/>
          </w:tcPr>
          <w:p w14:paraId="24CF5B0C">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地下水</w:t>
            </w:r>
          </w:p>
        </w:tc>
        <w:tc>
          <w:tcPr>
            <w:tcW w:w="903" w:type="pct"/>
            <w:tcBorders>
              <w:tl2br w:val="nil"/>
              <w:tr2bl w:val="nil"/>
            </w:tcBorders>
            <w:noWrap w:val="0"/>
            <w:vAlign w:val="center"/>
          </w:tcPr>
          <w:p w14:paraId="19C81A51">
            <w:pPr>
              <w:keepNext w:val="0"/>
              <w:keepLines w:val="0"/>
              <w:suppressLineNumbers w:val="0"/>
              <w:spacing w:before="0" w:beforeAutospacing="0" w:after="0" w:afterAutospacing="0" w:line="240" w:lineRule="auto"/>
              <w:ind w:left="0" w:right="0" w:firstLine="0" w:firstLineChars="0"/>
              <w:jc w:val="center"/>
              <w:rPr>
                <w:rFonts w:hint="eastAsia" w:ascii="Times New Roman" w:eastAsia="宋体"/>
                <w:color w:val="auto"/>
                <w:kern w:val="2"/>
                <w:sz w:val="21"/>
                <w:szCs w:val="24"/>
                <w:highlight w:val="none"/>
                <w:lang w:eastAsia="zh-CN"/>
              </w:rPr>
            </w:pPr>
            <w:r>
              <w:rPr>
                <w:rFonts w:hint="eastAsia" w:ascii="Times New Roman"/>
                <w:color w:val="auto"/>
                <w:sz w:val="21"/>
                <w:szCs w:val="21"/>
                <w:highlight w:val="none"/>
                <w:lang w:val="en-US" w:eastAsia="zh-CN"/>
              </w:rPr>
              <w:t>淋滤水</w:t>
            </w:r>
          </w:p>
        </w:tc>
        <w:tc>
          <w:tcPr>
            <w:tcW w:w="2909" w:type="pct"/>
            <w:tcBorders>
              <w:tl2br w:val="nil"/>
              <w:tr2bl w:val="nil"/>
            </w:tcBorders>
            <w:noWrap w:val="0"/>
            <w:vAlign w:val="center"/>
          </w:tcPr>
          <w:p w14:paraId="7345E1C5">
            <w:pPr>
              <w:keepNext w:val="0"/>
              <w:keepLines w:val="0"/>
              <w:suppressLineNumbers w:val="0"/>
              <w:spacing w:before="0" w:beforeAutospacing="0" w:after="0" w:afterAutospacing="0" w:line="240" w:lineRule="auto"/>
              <w:ind w:left="0" w:right="0" w:firstLine="0" w:firstLineChars="0"/>
              <w:rPr>
                <w:rFonts w:hint="default" w:ascii="Times New Roman" w:eastAsia="宋体"/>
                <w:color w:val="auto"/>
                <w:kern w:val="2"/>
                <w:sz w:val="21"/>
                <w:szCs w:val="24"/>
                <w:highlight w:val="none"/>
                <w:lang w:val="en-US" w:eastAsia="zh-CN"/>
              </w:rPr>
            </w:pPr>
            <w:r>
              <w:rPr>
                <w:rFonts w:hint="eastAsia" w:ascii="Times New Roman"/>
                <w:color w:val="auto"/>
                <w:sz w:val="21"/>
                <w:szCs w:val="21"/>
                <w:highlight w:val="none"/>
                <w:shd w:val="clear" w:color="auto" w:fill="FFFFFF"/>
              </w:rPr>
              <w:t>在场地底部</w:t>
            </w:r>
            <w:r>
              <w:rPr>
                <w:rFonts w:hint="eastAsia" w:ascii="Times New Roman"/>
                <w:color w:val="auto"/>
                <w:sz w:val="21"/>
                <w:szCs w:val="21"/>
                <w:highlight w:val="none"/>
                <w:shd w:val="clear" w:color="auto" w:fill="FFFFFF"/>
                <w:lang w:val="en-US" w:eastAsia="zh-CN"/>
              </w:rPr>
              <w:t>及边坡做基础防渗层</w:t>
            </w:r>
            <w:r>
              <w:rPr>
                <w:rFonts w:hint="eastAsia" w:ascii="Times New Roman"/>
                <w:color w:val="auto"/>
                <w:sz w:val="21"/>
                <w:szCs w:val="21"/>
                <w:highlight w:val="none"/>
                <w:shd w:val="clear" w:color="auto" w:fill="FFFFFF"/>
                <w:lang w:eastAsia="zh-CN"/>
              </w:rPr>
              <w:t>：</w:t>
            </w:r>
            <w:r>
              <w:rPr>
                <w:rFonts w:hint="eastAsia"/>
                <w:color w:val="auto"/>
                <w:sz w:val="21"/>
                <w:szCs w:val="21"/>
                <w:highlight w:val="none"/>
                <w:shd w:val="clear" w:color="auto" w:fill="FFFFFF"/>
                <w:lang w:val="en-US" w:eastAsia="zh-CN"/>
              </w:rPr>
              <w:t>从下往上依次为</w:t>
            </w:r>
            <w:r>
              <w:rPr>
                <w:rFonts w:hint="eastAsia" w:ascii="Times New Roman"/>
                <w:color w:val="auto"/>
                <w:sz w:val="21"/>
                <w:szCs w:val="21"/>
                <w:highlight w:val="none"/>
                <w:shd w:val="clear" w:color="auto" w:fill="FFFFFF"/>
              </w:rPr>
              <w:t>土工布</w:t>
            </w:r>
            <w:r>
              <w:rPr>
                <w:rFonts w:hint="eastAsia"/>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rPr>
              <w:t>厚度2.5mm</w:t>
            </w:r>
            <w:r>
              <w:rPr>
                <w:rFonts w:hint="eastAsia"/>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rPr>
              <w:t>高密度聚乙烯膜2mm</w:t>
            </w:r>
            <w:r>
              <w:rPr>
                <w:rFonts w:hint="eastAsia"/>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lang w:eastAsia="zh-CN"/>
              </w:rPr>
              <w:t>土工布</w:t>
            </w:r>
            <w:r>
              <w:rPr>
                <w:rFonts w:hint="eastAsia"/>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rPr>
              <w:t>厚度2.5mm</w:t>
            </w:r>
            <w:r>
              <w:rPr>
                <w:rFonts w:hint="eastAsia"/>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lang w:eastAsia="zh-CN"/>
              </w:rPr>
              <w:t>。</w:t>
            </w:r>
            <w:r>
              <w:rPr>
                <w:rFonts w:hint="eastAsia" w:ascii="Times New Roman"/>
                <w:color w:val="auto"/>
                <w:sz w:val="21"/>
                <w:szCs w:val="21"/>
                <w:highlight w:val="none"/>
                <w:shd w:val="clear" w:color="auto" w:fill="FFFFFF"/>
              </w:rPr>
              <w:t>其防渗性能</w:t>
            </w:r>
            <w:r>
              <w:rPr>
                <w:rFonts w:hint="default" w:ascii="Times New Roman" w:hAnsi="Times New Roman" w:cs="Times New Roman"/>
                <w:color w:val="auto"/>
                <w:sz w:val="21"/>
                <w:szCs w:val="21"/>
                <w:highlight w:val="none"/>
                <w:shd w:val="clear" w:color="auto" w:fill="FFFFFF"/>
                <w:lang w:val="en-US" w:eastAsia="zh-CN"/>
              </w:rPr>
              <w:t>K≤</w:t>
            </w:r>
            <w:r>
              <w:rPr>
                <w:rFonts w:hint="eastAsia" w:ascii="Times New Roman"/>
                <w:color w:val="auto"/>
                <w:sz w:val="21"/>
                <w:szCs w:val="21"/>
                <w:highlight w:val="none"/>
                <w:shd w:val="clear" w:color="auto" w:fill="FFFFFF"/>
              </w:rPr>
              <w:t>1.0×10</w:t>
            </w:r>
            <w:r>
              <w:rPr>
                <w:rFonts w:hint="eastAsia" w:ascii="Times New Roman"/>
                <w:color w:val="auto"/>
                <w:sz w:val="21"/>
                <w:szCs w:val="21"/>
                <w:highlight w:val="none"/>
                <w:shd w:val="clear" w:color="auto" w:fill="FFFFFF"/>
                <w:vertAlign w:val="superscript"/>
              </w:rPr>
              <w:t>-</w:t>
            </w:r>
            <w:r>
              <w:rPr>
                <w:rFonts w:hint="eastAsia" w:ascii="Times New Roman"/>
                <w:color w:val="auto"/>
                <w:sz w:val="21"/>
                <w:szCs w:val="21"/>
                <w:highlight w:val="none"/>
                <w:shd w:val="clear" w:color="auto" w:fill="FFFFFF"/>
                <w:vertAlign w:val="superscript"/>
                <w:lang w:val="en-US" w:eastAsia="zh-CN"/>
              </w:rPr>
              <w:t>7</w:t>
            </w:r>
            <w:r>
              <w:rPr>
                <w:rFonts w:hint="eastAsia" w:ascii="Times New Roman"/>
                <w:color w:val="auto"/>
                <w:sz w:val="21"/>
                <w:szCs w:val="21"/>
                <w:highlight w:val="none"/>
                <w:shd w:val="clear" w:color="auto" w:fill="FFFFFF"/>
              </w:rPr>
              <w:t>cm/s</w:t>
            </w:r>
            <w:r>
              <w:rPr>
                <w:rFonts w:hint="eastAsia" w:ascii="Times New Roman"/>
                <w:color w:val="auto"/>
                <w:sz w:val="21"/>
                <w:szCs w:val="21"/>
                <w:highlight w:val="none"/>
                <w:shd w:val="clear" w:color="auto" w:fill="FFFFFF"/>
                <w:lang w:eastAsia="zh-CN"/>
              </w:rPr>
              <w:t>。</w:t>
            </w:r>
            <w:r>
              <w:rPr>
                <w:rFonts w:ascii="Times New Roman"/>
                <w:color w:val="auto"/>
                <w:sz w:val="21"/>
                <w:szCs w:val="24"/>
                <w:highlight w:val="none"/>
                <w:lang w:bidi="ar"/>
              </w:rPr>
              <w:t>拟在</w:t>
            </w:r>
            <w:r>
              <w:rPr>
                <w:rFonts w:hint="eastAsia" w:ascii="Times New Roman"/>
                <w:color w:val="auto"/>
                <w:sz w:val="21"/>
                <w:szCs w:val="24"/>
                <w:highlight w:val="none"/>
                <w:lang w:val="en-US" w:eastAsia="zh-CN" w:bidi="ar"/>
              </w:rPr>
              <w:t>回填</w:t>
            </w:r>
            <w:r>
              <w:rPr>
                <w:rFonts w:ascii="Times New Roman"/>
                <w:color w:val="auto"/>
                <w:sz w:val="21"/>
                <w:szCs w:val="24"/>
                <w:highlight w:val="none"/>
                <w:lang w:bidi="ar"/>
              </w:rPr>
              <w:t>场下游</w:t>
            </w:r>
            <w:r>
              <w:rPr>
                <w:rFonts w:hint="eastAsia" w:ascii="Times New Roman"/>
                <w:color w:val="auto"/>
                <w:sz w:val="21"/>
                <w:szCs w:val="24"/>
                <w:highlight w:val="none"/>
                <w:lang w:val="en-US" w:eastAsia="zh-CN" w:bidi="ar"/>
              </w:rPr>
              <w:t>东北</w:t>
            </w:r>
            <w:r>
              <w:rPr>
                <w:rFonts w:ascii="Times New Roman"/>
                <w:color w:val="auto"/>
                <w:sz w:val="21"/>
                <w:szCs w:val="24"/>
                <w:highlight w:val="none"/>
                <w:lang w:bidi="ar"/>
              </w:rPr>
              <w:t>侧</w:t>
            </w:r>
            <w:r>
              <w:rPr>
                <w:rFonts w:hint="eastAsia"/>
                <w:color w:val="auto"/>
                <w:sz w:val="21"/>
                <w:szCs w:val="24"/>
                <w:highlight w:val="none"/>
                <w:lang w:val="en-US" w:eastAsia="zh-CN" w:bidi="ar"/>
              </w:rPr>
              <w:t>15</w:t>
            </w:r>
            <w:r>
              <w:rPr>
                <w:rFonts w:ascii="Times New Roman"/>
                <w:color w:val="auto"/>
                <w:sz w:val="21"/>
                <w:szCs w:val="24"/>
                <w:highlight w:val="none"/>
                <w:lang w:bidi="ar"/>
              </w:rPr>
              <w:t>m处</w:t>
            </w:r>
            <w:r>
              <w:rPr>
                <w:rFonts w:hint="eastAsia" w:ascii="Times New Roman"/>
                <w:color w:val="auto"/>
                <w:sz w:val="21"/>
                <w:szCs w:val="24"/>
                <w:highlight w:val="none"/>
                <w:lang w:bidi="ar"/>
              </w:rPr>
              <w:t>新建</w:t>
            </w:r>
            <w:r>
              <w:rPr>
                <w:rFonts w:ascii="Times New Roman"/>
                <w:color w:val="auto"/>
                <w:sz w:val="21"/>
                <w:szCs w:val="24"/>
                <w:highlight w:val="none"/>
                <w:lang w:bidi="ar"/>
              </w:rPr>
              <w:t>1口地下水跟踪监测井</w:t>
            </w:r>
            <w:r>
              <w:rPr>
                <w:rFonts w:hint="eastAsia"/>
                <w:color w:val="auto"/>
                <w:sz w:val="21"/>
                <w:szCs w:val="24"/>
                <w:highlight w:val="none"/>
                <w:lang w:eastAsia="zh-CN" w:bidi="ar"/>
              </w:rPr>
              <w:t>。防渗层铺设施工全过程拍照留档。</w:t>
            </w:r>
          </w:p>
        </w:tc>
        <w:tc>
          <w:tcPr>
            <w:tcW w:w="672" w:type="pct"/>
            <w:tcBorders>
              <w:tl2br w:val="nil"/>
              <w:tr2bl w:val="nil"/>
            </w:tcBorders>
            <w:noWrap w:val="0"/>
            <w:tcMar>
              <w:left w:w="0" w:type="dxa"/>
              <w:right w:w="0" w:type="dxa"/>
            </w:tcMar>
            <w:vAlign w:val="center"/>
          </w:tcPr>
          <w:p w14:paraId="5967785E">
            <w:pPr>
              <w:keepNext w:val="0"/>
              <w:keepLines w:val="0"/>
              <w:suppressLineNumbers w:val="0"/>
              <w:spacing w:before="0" w:beforeAutospacing="0" w:after="0" w:afterAutospacing="0" w:line="240" w:lineRule="auto"/>
              <w:ind w:left="0" w:right="0" w:firstLine="0" w:firstLineChars="0"/>
              <w:jc w:val="center"/>
              <w:rPr>
                <w:rFonts w:hint="default" w:ascii="Times New Roman" w:eastAsia="宋体"/>
                <w:color w:val="auto"/>
                <w:kern w:val="2"/>
                <w:sz w:val="21"/>
                <w:szCs w:val="24"/>
                <w:highlight w:val="none"/>
                <w:lang w:val="en-US" w:eastAsia="zh-CN"/>
              </w:rPr>
            </w:pPr>
            <w:r>
              <w:rPr>
                <w:rFonts w:hint="eastAsia"/>
                <w:color w:val="auto"/>
                <w:kern w:val="2"/>
                <w:sz w:val="21"/>
                <w:szCs w:val="24"/>
                <w:highlight w:val="none"/>
                <w:lang w:val="en-US" w:eastAsia="zh-CN"/>
              </w:rPr>
              <w:t>200</w:t>
            </w:r>
          </w:p>
        </w:tc>
      </w:tr>
      <w:tr w14:paraId="1BC5A6F1">
        <w:tblPrEx>
          <w:tblBorders>
            <w:top w:val="single" w:color="auto" w:sz="8" w:space="0"/>
            <w:left w:val="none" w:color="auto" w:sz="0" w:space="0"/>
            <w:bottom w:val="single" w:color="auto" w:sz="8"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406" w:hRule="atLeast"/>
          <w:jc w:val="center"/>
        </w:trPr>
        <w:tc>
          <w:tcPr>
            <w:tcW w:w="1418" w:type="pct"/>
            <w:gridSpan w:val="2"/>
            <w:tcBorders>
              <w:tl2br w:val="nil"/>
              <w:tr2bl w:val="nil"/>
            </w:tcBorders>
            <w:noWrap w:val="0"/>
            <w:tcMar>
              <w:left w:w="0" w:type="dxa"/>
              <w:right w:w="0" w:type="dxa"/>
            </w:tcMar>
            <w:vAlign w:val="center"/>
          </w:tcPr>
          <w:p w14:paraId="4C6B6838">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hint="eastAsia" w:ascii="Times New Roman"/>
                <w:color w:val="auto"/>
                <w:kern w:val="2"/>
                <w:sz w:val="21"/>
                <w:szCs w:val="24"/>
                <w:highlight w:val="none"/>
                <w:lang w:val="en-US" w:eastAsia="zh-CN"/>
              </w:rPr>
              <w:t>跟踪</w:t>
            </w:r>
            <w:r>
              <w:rPr>
                <w:rFonts w:hint="eastAsia" w:ascii="Times New Roman"/>
                <w:color w:val="auto"/>
                <w:kern w:val="2"/>
                <w:sz w:val="21"/>
                <w:szCs w:val="24"/>
                <w:highlight w:val="none"/>
              </w:rPr>
              <w:t>监测</w:t>
            </w:r>
          </w:p>
        </w:tc>
        <w:tc>
          <w:tcPr>
            <w:tcW w:w="2909" w:type="pct"/>
            <w:tcBorders>
              <w:tl2br w:val="nil"/>
              <w:tr2bl w:val="nil"/>
            </w:tcBorders>
            <w:noWrap w:val="0"/>
            <w:vAlign w:val="center"/>
          </w:tcPr>
          <w:p w14:paraId="7DDCD060">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hint="eastAsia" w:ascii="Times New Roman"/>
                <w:color w:val="auto"/>
                <w:kern w:val="2"/>
                <w:sz w:val="21"/>
                <w:szCs w:val="24"/>
                <w:highlight w:val="none"/>
              </w:rPr>
              <w:t>废气、噪声、土壤及地下水跟踪监测</w:t>
            </w:r>
          </w:p>
        </w:tc>
        <w:tc>
          <w:tcPr>
            <w:tcW w:w="672" w:type="pct"/>
            <w:tcBorders>
              <w:tl2br w:val="nil"/>
              <w:tr2bl w:val="nil"/>
            </w:tcBorders>
            <w:noWrap w:val="0"/>
            <w:tcMar>
              <w:left w:w="0" w:type="dxa"/>
              <w:right w:w="0" w:type="dxa"/>
            </w:tcMar>
            <w:vAlign w:val="center"/>
          </w:tcPr>
          <w:p w14:paraId="11A783E1">
            <w:pPr>
              <w:keepNext w:val="0"/>
              <w:keepLines w:val="0"/>
              <w:suppressLineNumbers w:val="0"/>
              <w:spacing w:before="0" w:beforeAutospacing="0" w:after="0" w:afterAutospacing="0" w:line="240" w:lineRule="auto"/>
              <w:ind w:left="0" w:right="0" w:firstLine="0" w:firstLineChars="0"/>
              <w:jc w:val="center"/>
              <w:rPr>
                <w:rFonts w:hint="eastAsia" w:ascii="Times New Roman" w:eastAsia="宋体"/>
                <w:color w:val="auto"/>
                <w:kern w:val="2"/>
                <w:sz w:val="21"/>
                <w:szCs w:val="24"/>
                <w:highlight w:val="none"/>
                <w:lang w:val="en-US" w:eastAsia="zh-CN"/>
              </w:rPr>
            </w:pPr>
            <w:r>
              <w:rPr>
                <w:rFonts w:hint="eastAsia"/>
                <w:color w:val="auto"/>
                <w:kern w:val="2"/>
                <w:sz w:val="21"/>
                <w:szCs w:val="24"/>
                <w:highlight w:val="none"/>
                <w:lang w:val="en-US" w:eastAsia="zh-CN"/>
              </w:rPr>
              <w:t>15</w:t>
            </w:r>
          </w:p>
        </w:tc>
      </w:tr>
      <w:tr w14:paraId="16F0F392">
        <w:tblPrEx>
          <w:tblBorders>
            <w:top w:val="single" w:color="auto" w:sz="8" w:space="0"/>
            <w:left w:val="none" w:color="auto" w:sz="0" w:space="0"/>
            <w:bottom w:val="single" w:color="auto" w:sz="8"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406" w:hRule="atLeast"/>
          <w:jc w:val="center"/>
        </w:trPr>
        <w:tc>
          <w:tcPr>
            <w:tcW w:w="4327" w:type="pct"/>
            <w:gridSpan w:val="3"/>
            <w:tcBorders>
              <w:tl2br w:val="nil"/>
              <w:tr2bl w:val="nil"/>
            </w:tcBorders>
            <w:noWrap w:val="0"/>
            <w:tcMar>
              <w:left w:w="0" w:type="dxa"/>
              <w:right w:w="0" w:type="dxa"/>
            </w:tcMar>
            <w:vAlign w:val="center"/>
          </w:tcPr>
          <w:p w14:paraId="0735BCF1">
            <w:pPr>
              <w:keepNext w:val="0"/>
              <w:keepLines w:val="0"/>
              <w:suppressLineNumbers w:val="0"/>
              <w:spacing w:before="0" w:beforeAutospacing="0" w:after="0" w:afterAutospacing="0" w:line="240" w:lineRule="auto"/>
              <w:ind w:left="0" w:right="0" w:firstLine="0" w:firstLineChars="0"/>
              <w:jc w:val="center"/>
              <w:rPr>
                <w:rFonts w:ascii="Times New Roman"/>
                <w:color w:val="auto"/>
                <w:kern w:val="2"/>
                <w:sz w:val="21"/>
                <w:szCs w:val="24"/>
                <w:highlight w:val="none"/>
              </w:rPr>
            </w:pPr>
            <w:r>
              <w:rPr>
                <w:rFonts w:ascii="Times New Roman"/>
                <w:color w:val="auto"/>
                <w:kern w:val="2"/>
                <w:sz w:val="21"/>
                <w:szCs w:val="24"/>
                <w:highlight w:val="none"/>
              </w:rPr>
              <w:t>合计</w:t>
            </w:r>
          </w:p>
        </w:tc>
        <w:tc>
          <w:tcPr>
            <w:tcW w:w="672" w:type="pct"/>
            <w:tcBorders>
              <w:tl2br w:val="nil"/>
              <w:tr2bl w:val="nil"/>
            </w:tcBorders>
            <w:noWrap w:val="0"/>
            <w:tcMar>
              <w:left w:w="0" w:type="dxa"/>
              <w:right w:w="0" w:type="dxa"/>
            </w:tcMar>
            <w:vAlign w:val="center"/>
          </w:tcPr>
          <w:p w14:paraId="639E4DF6">
            <w:pPr>
              <w:keepNext w:val="0"/>
              <w:keepLines w:val="0"/>
              <w:suppressLineNumbers w:val="0"/>
              <w:spacing w:before="0" w:beforeAutospacing="0" w:after="0" w:afterAutospacing="0" w:line="240" w:lineRule="auto"/>
              <w:ind w:left="0" w:right="0" w:firstLine="0" w:firstLineChars="0"/>
              <w:jc w:val="center"/>
              <w:rPr>
                <w:rFonts w:hint="default" w:ascii="Times New Roman" w:eastAsia="宋体"/>
                <w:color w:val="auto"/>
                <w:kern w:val="2"/>
                <w:sz w:val="21"/>
                <w:szCs w:val="24"/>
                <w:highlight w:val="none"/>
                <w:lang w:val="en-US" w:eastAsia="zh-CN"/>
              </w:rPr>
            </w:pPr>
            <w:r>
              <w:rPr>
                <w:rFonts w:hint="eastAsia"/>
                <w:color w:val="auto"/>
                <w:kern w:val="2"/>
                <w:sz w:val="21"/>
                <w:szCs w:val="24"/>
                <w:highlight w:val="none"/>
                <w:lang w:val="en-US" w:eastAsia="zh-CN"/>
              </w:rPr>
              <w:t>420</w:t>
            </w:r>
          </w:p>
        </w:tc>
      </w:tr>
    </w:tbl>
    <w:p w14:paraId="5B023A6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p>
    <w:p w14:paraId="63C2065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sectPr>
          <w:pgSz w:w="11907" w:h="16840"/>
          <w:pgMar w:top="1440" w:right="1440" w:bottom="1440" w:left="1701" w:header="851" w:footer="992" w:gutter="0"/>
          <w:pgBorders>
            <w:top w:val="none" w:sz="0" w:space="0"/>
            <w:left w:val="none" w:sz="0" w:space="0"/>
            <w:bottom w:val="none" w:sz="0" w:space="0"/>
            <w:right w:val="none" w:sz="0" w:space="0"/>
          </w:pgBorders>
          <w:pgNumType w:fmt="numberInDash"/>
          <w:cols w:space="720" w:num="1"/>
          <w:docGrid w:linePitch="312" w:charSpace="0"/>
        </w:sectPr>
      </w:pPr>
    </w:p>
    <w:p w14:paraId="3CBF1E8E">
      <w:pPr>
        <w:pStyle w:val="5"/>
        <w:bidi w:val="0"/>
        <w:rPr>
          <w:rFonts w:hint="eastAsia" w:asciiTheme="minorEastAsia" w:hAnsiTheme="minorEastAsia" w:eastAsiaTheme="minorEastAsia" w:cstheme="minorEastAsia"/>
          <w:color w:val="auto"/>
          <w:highlight w:val="none"/>
        </w:rPr>
      </w:pPr>
      <w:bookmarkStart w:id="727" w:name="_Toc21676"/>
      <w:bookmarkStart w:id="728" w:name="_Toc4582"/>
      <w:bookmarkStart w:id="729" w:name="_Toc2795"/>
      <w:bookmarkStart w:id="730" w:name="_Toc4756"/>
      <w:bookmarkStart w:id="731" w:name="_Toc19518"/>
      <w:bookmarkStart w:id="732" w:name="_Toc11039"/>
      <w:bookmarkStart w:id="733" w:name="_Toc29643"/>
      <w:bookmarkStart w:id="734" w:name="_Toc32375"/>
      <w:bookmarkStart w:id="735" w:name="_Toc6485"/>
      <w:bookmarkStart w:id="736" w:name="_Toc6682"/>
      <w:bookmarkStart w:id="737" w:name="_Toc11046"/>
      <w:bookmarkStart w:id="738" w:name="_Toc30577"/>
      <w:bookmarkStart w:id="739" w:name="_Toc24153"/>
      <w:bookmarkStart w:id="740" w:name="_Toc13370"/>
      <w:bookmarkStart w:id="741" w:name="_Toc18398"/>
      <w:bookmarkStart w:id="742" w:name="_Toc31401"/>
      <w:bookmarkStart w:id="743" w:name="_Toc28507"/>
      <w:bookmarkStart w:id="744" w:name="_Toc22848"/>
      <w:r>
        <w:rPr>
          <w:rFonts w:hint="eastAsia" w:asciiTheme="minorEastAsia" w:hAnsiTheme="minorEastAsia" w:eastAsiaTheme="minorEastAsia" w:cstheme="minorEastAsia"/>
          <w:color w:val="auto"/>
          <w:highlight w:val="none"/>
        </w:rPr>
        <w:t>7环境经济损益分析</w:t>
      </w:r>
      <w:bookmarkEnd w:id="694"/>
      <w:bookmarkEnd w:id="695"/>
      <w:bookmarkEnd w:id="696"/>
      <w:bookmarkEnd w:id="697"/>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61F5963">
      <w:pPr>
        <w:widowControl w:val="0"/>
        <w:snapToGrid w:val="0"/>
        <w:spacing w:line="360" w:lineRule="auto"/>
        <w:ind w:firstLine="480"/>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本项目</w:t>
      </w:r>
      <w:r>
        <w:rPr>
          <w:rFonts w:hint="eastAsia" w:asciiTheme="minorEastAsia" w:hAnsiTheme="minorEastAsia" w:eastAsiaTheme="minorEastAsia" w:cstheme="minorEastAsia"/>
          <w:color w:val="auto"/>
          <w:szCs w:val="24"/>
          <w:highlight w:val="none"/>
          <w:lang w:val="en-US" w:eastAsia="zh-CN"/>
        </w:rPr>
        <w:t>为</w:t>
      </w:r>
      <w:r>
        <w:rPr>
          <w:rFonts w:hint="eastAsia" w:ascii="Times New Roman" w:hAnsi="宋体" w:eastAsia="宋体" w:cs="Times New Roman"/>
          <w:color w:val="auto"/>
          <w:kern w:val="0"/>
          <w:sz w:val="24"/>
          <w:szCs w:val="24"/>
          <w:highlight w:val="none"/>
          <w:lang w:val="en-US" w:eastAsia="zh-CN"/>
        </w:rPr>
        <w:t>灰渣回填复垦利用项目，主要对</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Cs w:val="24"/>
          <w:highlight w:val="none"/>
          <w:lang w:val="en-US" w:eastAsia="zh-CN"/>
        </w:rPr>
        <w:t>坑进行生态修复</w:t>
      </w:r>
      <w:r>
        <w:rPr>
          <w:rFonts w:hint="eastAsia" w:asciiTheme="minorEastAsia" w:hAnsiTheme="minorEastAsia" w:eastAsiaTheme="minorEastAsia" w:cstheme="minorEastAsia"/>
          <w:color w:val="auto"/>
          <w:szCs w:val="24"/>
          <w:highlight w:val="none"/>
        </w:rPr>
        <w:t>，但在其治理过程中也不可避免的产生各种污染物质，需对其本身各环节产生的污染进行控制和治理，以充分发挥其环境效益、社会效益和经济效益的功效。</w:t>
      </w:r>
    </w:p>
    <w:p w14:paraId="1DCF1331">
      <w:pPr>
        <w:widowControl w:val="0"/>
        <w:snapToGrid w:val="0"/>
        <w:spacing w:line="360" w:lineRule="auto"/>
        <w:ind w:firstLine="480"/>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在环境经济损益分析中，经济效益比较直观，而环境效益和社会效益则很难用货币直接计算。本评价环境经济损益分析，采用定性与半定量相结合的方法进行简要的分析。现就本</w:t>
      </w:r>
      <w:r>
        <w:rPr>
          <w:rFonts w:hint="eastAsia" w:asciiTheme="minorEastAsia" w:hAnsiTheme="minorEastAsia" w:eastAsiaTheme="minorEastAsia" w:cstheme="minorEastAsia"/>
          <w:color w:val="auto"/>
          <w:kern w:val="2"/>
          <w:szCs w:val="24"/>
          <w:highlight w:val="none"/>
          <w:lang w:bidi="ar"/>
        </w:rPr>
        <w:t>项目</w:t>
      </w:r>
      <w:r>
        <w:rPr>
          <w:rFonts w:hint="eastAsia" w:asciiTheme="minorEastAsia" w:hAnsiTheme="minorEastAsia" w:eastAsiaTheme="minorEastAsia" w:cstheme="minorEastAsia"/>
          <w:color w:val="auto"/>
          <w:szCs w:val="24"/>
          <w:highlight w:val="none"/>
        </w:rPr>
        <w:t>的环境保护投资，挽回的环境影响损失，社会和经济效益进行简要的分析。</w:t>
      </w:r>
    </w:p>
    <w:p w14:paraId="21061A24">
      <w:pPr>
        <w:pStyle w:val="6"/>
        <w:widowControl w:val="0"/>
        <w:snapToGrid w:val="0"/>
        <w:spacing w:before="0" w:after="0" w:line="360" w:lineRule="auto"/>
        <w:rPr>
          <w:rFonts w:hint="eastAsia" w:asciiTheme="minorEastAsia" w:hAnsiTheme="minorEastAsia" w:eastAsiaTheme="minorEastAsia" w:cstheme="minorEastAsia"/>
          <w:color w:val="auto"/>
          <w:highlight w:val="none"/>
        </w:rPr>
      </w:pPr>
      <w:bookmarkStart w:id="745" w:name="_Toc13828"/>
      <w:bookmarkStart w:id="746" w:name="_Toc24332"/>
      <w:bookmarkStart w:id="747" w:name="_Toc31851"/>
      <w:bookmarkStart w:id="748" w:name="_Toc26985"/>
      <w:r>
        <w:rPr>
          <w:rFonts w:hint="eastAsia" w:asciiTheme="minorEastAsia" w:hAnsiTheme="minorEastAsia" w:eastAsiaTheme="minorEastAsia" w:cstheme="minorEastAsia"/>
          <w:color w:val="auto"/>
          <w:highlight w:val="none"/>
        </w:rPr>
        <w:t>7.1社会效益分析</w:t>
      </w:r>
      <w:bookmarkEnd w:id="745"/>
      <w:bookmarkEnd w:id="746"/>
      <w:bookmarkEnd w:id="747"/>
      <w:bookmarkEnd w:id="748"/>
    </w:p>
    <w:p w14:paraId="2B829DE7">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一般工业固体废物的就近处置，可以减轻企业负担、降低运输过程中的污染风险。一般工业固体废物的处置既要投入大量的资金和物力，又要有强大的技术力量做后盾。只有建设一定规模、技术先进可靠、管理严密、有完善污染防治配套设施的集中处置场，才能有效地处置一般工业固体废物，切实消除一般工业固体废物对环境的影响，防止二次污染，降低处置成本。本项目建设完成后，可以及时有效处置生物质灰渣，避免因一般工业固体废物和污泥无法处置导致的企业减产、停业，是产废企业正常运行的保证，项目的建设可为一般工业固体废物的集中处理提供保障。</w:t>
      </w:r>
    </w:p>
    <w:p w14:paraId="3747C844">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本项目的实施是积极响应国家政策，实现生物质灰渣妥善处置的处理目标，确保一般工业固体废物及时安全处置，避免一般工业固体废物对环境的污染危害，减轻产废企业的经济负担，保护环境。该项目具有良好的社会效益和环境效益，间接经济效益显著，项目的建设是非常必要的。</w:t>
      </w:r>
    </w:p>
    <w:p w14:paraId="5AEBB466">
      <w:pPr>
        <w:pStyle w:val="6"/>
        <w:widowControl w:val="0"/>
        <w:snapToGrid w:val="0"/>
        <w:spacing w:before="0" w:after="0" w:line="360" w:lineRule="auto"/>
        <w:rPr>
          <w:rFonts w:hint="eastAsia" w:asciiTheme="minorEastAsia" w:hAnsiTheme="minorEastAsia" w:eastAsiaTheme="minorEastAsia" w:cstheme="minorEastAsia"/>
          <w:color w:val="auto"/>
          <w:highlight w:val="none"/>
        </w:rPr>
      </w:pPr>
      <w:bookmarkStart w:id="749" w:name="_Toc29818"/>
      <w:bookmarkStart w:id="750" w:name="_Toc414"/>
      <w:bookmarkStart w:id="751" w:name="_Toc20818"/>
      <w:bookmarkStart w:id="752" w:name="_Toc25351"/>
      <w:r>
        <w:rPr>
          <w:rFonts w:hint="eastAsia" w:asciiTheme="minorEastAsia" w:hAnsiTheme="minorEastAsia" w:eastAsiaTheme="minorEastAsia" w:cstheme="minorEastAsia"/>
          <w:color w:val="auto"/>
          <w:highlight w:val="none"/>
        </w:rPr>
        <w:t>7.2经济效益分析</w:t>
      </w:r>
      <w:bookmarkEnd w:id="749"/>
      <w:bookmarkEnd w:id="750"/>
      <w:bookmarkEnd w:id="751"/>
      <w:bookmarkEnd w:id="752"/>
    </w:p>
    <w:p w14:paraId="6297D013">
      <w:pPr>
        <w:widowControl w:val="0"/>
        <w:snapToGrid w:val="0"/>
        <w:spacing w:line="360" w:lineRule="auto"/>
        <w:ind w:firstLine="480"/>
        <w:rPr>
          <w:rFonts w:hint="eastAsia" w:asciiTheme="minorEastAsia" w:hAnsiTheme="minorEastAsia" w:eastAsiaTheme="minorEastAsia" w:cstheme="minorEastAsia"/>
          <w:bCs/>
          <w:iCs/>
          <w:color w:val="auto"/>
          <w:szCs w:val="18"/>
          <w:highlight w:val="none"/>
        </w:rPr>
      </w:pPr>
      <w:r>
        <w:rPr>
          <w:rFonts w:hint="eastAsia" w:asciiTheme="minorEastAsia" w:hAnsiTheme="minorEastAsia" w:eastAsiaTheme="minorEastAsia" w:cstheme="minorEastAsia"/>
          <w:bCs/>
          <w:iCs/>
          <w:color w:val="auto"/>
          <w:szCs w:val="18"/>
          <w:highlight w:val="none"/>
        </w:rPr>
        <w:t>本项目属于</w:t>
      </w:r>
      <w:r>
        <w:rPr>
          <w:rFonts w:hint="eastAsia" w:ascii="Times New Roman" w:hAnsi="宋体" w:eastAsia="宋体" w:cs="Times New Roman"/>
          <w:color w:val="auto"/>
          <w:kern w:val="0"/>
          <w:sz w:val="24"/>
          <w:szCs w:val="24"/>
          <w:highlight w:val="none"/>
          <w:lang w:val="en-US" w:eastAsia="zh-CN"/>
        </w:rPr>
        <w:t>灰渣回填复垦利用项目，主要对</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Cs w:val="24"/>
          <w:highlight w:val="none"/>
          <w:lang w:val="en-US" w:eastAsia="zh-CN"/>
        </w:rPr>
        <w:t>进行生态修复</w:t>
      </w:r>
      <w:r>
        <w:rPr>
          <w:rFonts w:hint="eastAsia" w:asciiTheme="minorEastAsia" w:hAnsiTheme="minorEastAsia" w:eastAsiaTheme="minorEastAsia" w:cstheme="minorEastAsia"/>
          <w:bCs/>
          <w:iCs/>
          <w:color w:val="auto"/>
          <w:szCs w:val="18"/>
          <w:highlight w:val="none"/>
        </w:rPr>
        <w:t>，属于环保工程，可以通过污染物的减少来降低环保税的缴纳。</w:t>
      </w:r>
    </w:p>
    <w:p w14:paraId="3274A105">
      <w:pPr>
        <w:pStyle w:val="6"/>
        <w:widowControl w:val="0"/>
        <w:snapToGrid w:val="0"/>
        <w:spacing w:before="0" w:after="0" w:line="360" w:lineRule="auto"/>
        <w:jc w:val="both"/>
        <w:rPr>
          <w:rFonts w:hint="eastAsia" w:asciiTheme="minorEastAsia" w:hAnsiTheme="minorEastAsia" w:eastAsiaTheme="minorEastAsia" w:cstheme="minorEastAsia"/>
          <w:color w:val="auto"/>
          <w:highlight w:val="none"/>
        </w:rPr>
      </w:pPr>
      <w:bookmarkStart w:id="753" w:name="_Toc25297"/>
      <w:bookmarkStart w:id="754" w:name="_Toc445"/>
      <w:bookmarkStart w:id="755" w:name="_Toc2882"/>
      <w:bookmarkStart w:id="756" w:name="_Toc8742"/>
      <w:r>
        <w:rPr>
          <w:rFonts w:hint="eastAsia" w:asciiTheme="minorEastAsia" w:hAnsiTheme="minorEastAsia" w:eastAsiaTheme="minorEastAsia" w:cstheme="minorEastAsia"/>
          <w:color w:val="auto"/>
          <w:highlight w:val="none"/>
        </w:rPr>
        <w:t>7.3环境效益分析</w:t>
      </w:r>
      <w:bookmarkEnd w:id="753"/>
      <w:bookmarkEnd w:id="754"/>
      <w:bookmarkEnd w:id="755"/>
      <w:bookmarkEnd w:id="756"/>
    </w:p>
    <w:p w14:paraId="5981A483">
      <w:pPr>
        <w:spacing w:line="360" w:lineRule="auto"/>
        <w:ind w:firstLine="480"/>
        <w:rPr>
          <w:rFonts w:ascii="Times New Roman"/>
          <w:color w:val="auto"/>
          <w:highlight w:val="none"/>
        </w:rPr>
      </w:pPr>
      <w:r>
        <w:rPr>
          <w:rFonts w:ascii="Times New Roman"/>
          <w:color w:val="auto"/>
          <w:highlight w:val="none"/>
        </w:rPr>
        <w:t>项目</w:t>
      </w:r>
      <w:r>
        <w:rPr>
          <w:rFonts w:hint="eastAsia"/>
          <w:color w:val="auto"/>
          <w:highlight w:val="none"/>
          <w:lang w:val="en-US" w:eastAsia="zh-CN"/>
        </w:rPr>
        <w:t>现状为</w:t>
      </w:r>
      <w:r>
        <w:rPr>
          <w:rFonts w:hint="eastAsia" w:ascii="Times New Roman" w:hAnsi="Times New Roman" w:eastAsia="宋体" w:cs="Times New Roman"/>
          <w:color w:val="auto"/>
          <w:kern w:val="0"/>
          <w:sz w:val="24"/>
          <w:szCs w:val="24"/>
          <w:highlight w:val="none"/>
        </w:rPr>
        <w:t>历史遗留</w:t>
      </w:r>
      <w:r>
        <w:rPr>
          <w:rFonts w:hint="eastAsia" w:ascii="Times New Roman" w:hAnsi="Times New Roman" w:eastAsia="宋体" w:cs="Times New Roman"/>
          <w:color w:val="auto"/>
          <w:kern w:val="0"/>
          <w:sz w:val="24"/>
          <w:szCs w:val="24"/>
          <w:highlight w:val="none"/>
          <w:lang w:val="en-US" w:eastAsia="zh-CN"/>
        </w:rPr>
        <w:t>废弃</w:t>
      </w:r>
      <w:r>
        <w:rPr>
          <w:rFonts w:hint="eastAsia" w:asciiTheme="minorEastAsia" w:hAnsiTheme="minorEastAsia" w:eastAsiaTheme="minorEastAsia" w:cstheme="minorEastAsia"/>
          <w:color w:val="auto"/>
          <w:szCs w:val="24"/>
          <w:highlight w:val="none"/>
        </w:rPr>
        <w:t>采砂坑</w:t>
      </w:r>
      <w:r>
        <w:rPr>
          <w:rFonts w:hint="eastAsia" w:ascii="Times New Roman" w:hAnsi="Times New Roman" w:eastAsia="宋体" w:cs="Times New Roman"/>
          <w:color w:val="auto"/>
          <w:kern w:val="0"/>
          <w:sz w:val="24"/>
          <w:szCs w:val="24"/>
          <w:highlight w:val="none"/>
          <w:lang w:eastAsia="zh-CN"/>
        </w:rPr>
        <w:t>，</w:t>
      </w:r>
      <w:r>
        <w:rPr>
          <w:rFonts w:ascii="Times New Roman"/>
          <w:color w:val="auto"/>
          <w:highlight w:val="none"/>
        </w:rPr>
        <w:t>原有开采过程中，给矿区及周边生态环境带来了一定的影响和危害，露天开采和</w:t>
      </w:r>
      <w:r>
        <w:rPr>
          <w:rFonts w:hint="eastAsia" w:asciiTheme="minorEastAsia" w:hAnsiTheme="minorEastAsia" w:eastAsiaTheme="minorEastAsia" w:cstheme="minorEastAsia"/>
          <w:color w:val="auto"/>
          <w:szCs w:val="24"/>
          <w:highlight w:val="none"/>
        </w:rPr>
        <w:t>采砂坑</w:t>
      </w:r>
      <w:r>
        <w:rPr>
          <w:rFonts w:ascii="Times New Roman"/>
          <w:color w:val="auto"/>
          <w:highlight w:val="none"/>
        </w:rPr>
        <w:t>造成了区域植被覆盖率降低，对矿区生态环境产生较大的影响。</w:t>
      </w:r>
      <w:r>
        <w:rPr>
          <w:rFonts w:hint="eastAsia" w:asciiTheme="minorEastAsia" w:hAnsiTheme="minorEastAsia" w:eastAsiaTheme="minorEastAsia" w:cstheme="minorEastAsia"/>
          <w:color w:val="auto"/>
          <w:szCs w:val="24"/>
          <w:highlight w:val="none"/>
        </w:rPr>
        <w:t>采砂坑</w:t>
      </w:r>
      <w:r>
        <w:rPr>
          <w:rFonts w:ascii="Times New Roman"/>
          <w:color w:val="auto"/>
          <w:highlight w:val="none"/>
        </w:rPr>
        <w:t>生态恢复治理工程通过植被重建，防止生态系统退化。</w:t>
      </w:r>
    </w:p>
    <w:p w14:paraId="34D4EB71">
      <w:pPr>
        <w:widowControl/>
        <w:spacing w:line="360" w:lineRule="auto"/>
        <w:ind w:firstLine="436" w:firstLineChars="182"/>
        <w:rPr>
          <w:rFonts w:ascii="Times New Roman"/>
          <w:color w:val="auto"/>
          <w:szCs w:val="24"/>
          <w:highlight w:val="none"/>
        </w:rPr>
      </w:pPr>
      <w:r>
        <w:rPr>
          <w:rFonts w:ascii="Times New Roman"/>
          <w:color w:val="auto"/>
          <w:szCs w:val="24"/>
          <w:highlight w:val="none"/>
        </w:rPr>
        <w:t>本项目</w:t>
      </w:r>
      <w:r>
        <w:rPr>
          <w:rFonts w:hint="eastAsia" w:ascii="Times New Roman"/>
          <w:color w:val="auto"/>
          <w:szCs w:val="24"/>
          <w:highlight w:val="none"/>
        </w:rPr>
        <w:t>对</w:t>
      </w:r>
      <w:r>
        <w:rPr>
          <w:rFonts w:hint="eastAsia" w:ascii="Times New Roman" w:hAnsi="Times New Roman" w:eastAsia="宋体" w:cs="Times New Roman"/>
          <w:color w:val="auto"/>
          <w:kern w:val="0"/>
          <w:sz w:val="24"/>
          <w:szCs w:val="24"/>
          <w:highlight w:val="none"/>
        </w:rPr>
        <w:t>历史遗留</w:t>
      </w:r>
      <w:r>
        <w:rPr>
          <w:rFonts w:hint="eastAsia" w:ascii="Times New Roman" w:hAnsi="Times New Roman" w:eastAsia="宋体" w:cs="Times New Roman"/>
          <w:color w:val="auto"/>
          <w:kern w:val="0"/>
          <w:sz w:val="24"/>
          <w:szCs w:val="24"/>
          <w:highlight w:val="none"/>
          <w:lang w:val="en-US" w:eastAsia="zh-CN"/>
        </w:rPr>
        <w:t>废弃</w:t>
      </w:r>
      <w:r>
        <w:rPr>
          <w:rFonts w:hint="eastAsia" w:asciiTheme="minorEastAsia" w:hAnsiTheme="minorEastAsia" w:eastAsiaTheme="minorEastAsia" w:cstheme="minorEastAsia"/>
          <w:color w:val="auto"/>
          <w:szCs w:val="24"/>
          <w:highlight w:val="none"/>
        </w:rPr>
        <w:t>采砂坑</w:t>
      </w:r>
      <w:r>
        <w:rPr>
          <w:rFonts w:hint="eastAsia" w:ascii="Times New Roman"/>
          <w:color w:val="auto"/>
          <w:szCs w:val="24"/>
          <w:highlight w:val="none"/>
        </w:rPr>
        <w:t>进行生态恢复治理</w:t>
      </w:r>
      <w:r>
        <w:rPr>
          <w:rFonts w:ascii="Times New Roman"/>
          <w:color w:val="auto"/>
          <w:szCs w:val="24"/>
          <w:highlight w:val="none"/>
        </w:rPr>
        <w:t>，项目建成</w:t>
      </w:r>
      <w:r>
        <w:rPr>
          <w:rFonts w:hint="eastAsia"/>
          <w:color w:val="auto"/>
          <w:szCs w:val="24"/>
          <w:highlight w:val="none"/>
          <w:lang w:val="en-US" w:eastAsia="zh-CN"/>
        </w:rPr>
        <w:t>绿化</w:t>
      </w:r>
      <w:r>
        <w:rPr>
          <w:rFonts w:ascii="Times New Roman"/>
          <w:color w:val="auto"/>
          <w:szCs w:val="24"/>
          <w:highlight w:val="none"/>
        </w:rPr>
        <w:t>后，可在最大程度上减少区域内的环境空气、土壤、地下水污染问题。</w:t>
      </w:r>
    </w:p>
    <w:p w14:paraId="4EA41B0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ascii="Times New Roman"/>
          <w:color w:val="auto"/>
          <w:szCs w:val="24"/>
          <w:highlight w:val="none"/>
        </w:rPr>
        <w:t>本项目建设利用</w:t>
      </w:r>
      <w:r>
        <w:rPr>
          <w:rFonts w:hint="eastAsia" w:ascii="Times New Roman" w:hAnsi="Times New Roman" w:eastAsia="宋体" w:cs="Times New Roman"/>
          <w:color w:val="auto"/>
          <w:kern w:val="0"/>
          <w:sz w:val="24"/>
          <w:szCs w:val="24"/>
          <w:highlight w:val="none"/>
        </w:rPr>
        <w:t>历史遗留</w:t>
      </w:r>
      <w:r>
        <w:rPr>
          <w:rFonts w:hint="eastAsia" w:ascii="Times New Roman" w:hAnsi="Times New Roman" w:eastAsia="宋体" w:cs="Times New Roman"/>
          <w:color w:val="auto"/>
          <w:kern w:val="0"/>
          <w:sz w:val="24"/>
          <w:szCs w:val="24"/>
          <w:highlight w:val="none"/>
          <w:lang w:val="en-US" w:eastAsia="zh-CN"/>
        </w:rPr>
        <w:t>废弃</w:t>
      </w:r>
      <w:r>
        <w:rPr>
          <w:rFonts w:hint="eastAsia" w:asciiTheme="minorEastAsia" w:hAnsiTheme="minorEastAsia" w:eastAsiaTheme="minorEastAsia" w:cstheme="minorEastAsia"/>
          <w:color w:val="auto"/>
          <w:szCs w:val="24"/>
          <w:highlight w:val="none"/>
        </w:rPr>
        <w:t>采砂坑</w:t>
      </w:r>
      <w:r>
        <w:rPr>
          <w:rFonts w:ascii="Times New Roman"/>
          <w:color w:val="auto"/>
          <w:szCs w:val="24"/>
          <w:highlight w:val="none"/>
        </w:rPr>
        <w:t>，不占用农田，可减少建设区域内的水土流失，减少雨季洪涝期。</w:t>
      </w:r>
      <w:r>
        <w:rPr>
          <w:rFonts w:hint="eastAsia"/>
          <w:color w:val="auto"/>
          <w:szCs w:val="24"/>
          <w:highlight w:val="none"/>
          <w:lang w:val="en-US" w:eastAsia="zh-CN"/>
        </w:rPr>
        <w:t>修复绿化后，</w:t>
      </w:r>
      <w:r>
        <w:rPr>
          <w:rFonts w:ascii="Times New Roman"/>
          <w:color w:val="auto"/>
          <w:highlight w:val="none"/>
        </w:rPr>
        <w:t>植被覆盖率得到明显提高</w:t>
      </w:r>
      <w:r>
        <w:rPr>
          <w:rFonts w:ascii="Times New Roman"/>
          <w:color w:val="auto"/>
          <w:szCs w:val="24"/>
          <w:highlight w:val="none"/>
        </w:rPr>
        <w:t>，可有效提高土地利用率，工程的实施将产生良好的生态环境效益。</w:t>
      </w:r>
    </w:p>
    <w:p w14:paraId="5FFD9B75">
      <w:pPr>
        <w:pStyle w:val="6"/>
        <w:widowControl w:val="0"/>
        <w:snapToGrid w:val="0"/>
        <w:spacing w:before="0" w:after="0" w:line="360" w:lineRule="auto"/>
        <w:rPr>
          <w:rFonts w:hint="eastAsia" w:asciiTheme="minorEastAsia" w:hAnsiTheme="minorEastAsia" w:eastAsiaTheme="minorEastAsia" w:cstheme="minorEastAsia"/>
          <w:color w:val="auto"/>
          <w:highlight w:val="none"/>
        </w:rPr>
      </w:pPr>
      <w:bookmarkStart w:id="757" w:name="_Toc25657"/>
      <w:bookmarkStart w:id="758" w:name="_Toc16022"/>
      <w:bookmarkStart w:id="759" w:name="_Toc16577"/>
      <w:bookmarkStart w:id="760" w:name="_Toc9930"/>
      <w:bookmarkStart w:id="761" w:name="_Toc476386429"/>
      <w:r>
        <w:rPr>
          <w:rFonts w:hint="eastAsia" w:asciiTheme="minorEastAsia" w:hAnsiTheme="minorEastAsia" w:eastAsiaTheme="minorEastAsia" w:cstheme="minorEastAsia"/>
          <w:color w:val="auto"/>
          <w:highlight w:val="none"/>
        </w:rPr>
        <w:t>7.4小结</w:t>
      </w:r>
      <w:bookmarkEnd w:id="757"/>
      <w:bookmarkEnd w:id="758"/>
      <w:bookmarkEnd w:id="759"/>
      <w:bookmarkEnd w:id="760"/>
      <w:bookmarkEnd w:id="761"/>
    </w:p>
    <w:p w14:paraId="3A5EF596">
      <w:pPr>
        <w:widowControl/>
        <w:spacing w:line="360" w:lineRule="auto"/>
        <w:ind w:firstLine="480" w:firstLineChars="200"/>
        <w:jc w:val="left"/>
        <w:rPr>
          <w:rFonts w:hint="eastAsia" w:asciiTheme="minorEastAsia" w:hAnsiTheme="minorEastAsia" w:eastAsiaTheme="minorEastAsia" w:cstheme="minorEastAsia"/>
          <w:color w:val="auto"/>
          <w:kern w:val="0"/>
          <w:szCs w:val="20"/>
          <w:highlight w:val="none"/>
        </w:rPr>
        <w:sectPr>
          <w:pgSz w:w="11907" w:h="16840"/>
          <w:pgMar w:top="1440" w:right="1440" w:bottom="1440" w:left="1701" w:header="851" w:footer="992" w:gutter="0"/>
          <w:pgBorders>
            <w:top w:val="none" w:sz="0" w:space="0"/>
            <w:left w:val="none" w:sz="0" w:space="0"/>
            <w:bottom w:val="none" w:sz="0" w:space="0"/>
            <w:right w:val="none" w:sz="0" w:space="0"/>
          </w:pgBorders>
          <w:pgNumType w:fmt="numberInDash"/>
          <w:cols w:space="720" w:num="1"/>
          <w:docGrid w:linePitch="312" w:charSpace="0"/>
        </w:sectPr>
      </w:pPr>
      <w:r>
        <w:rPr>
          <w:rFonts w:hint="eastAsia" w:asciiTheme="minorEastAsia" w:hAnsiTheme="minorEastAsia" w:eastAsiaTheme="minorEastAsia" w:cstheme="minorEastAsia"/>
          <w:bCs/>
          <w:iCs/>
          <w:color w:val="auto"/>
          <w:szCs w:val="18"/>
          <w:highlight w:val="none"/>
        </w:rPr>
        <w:t>本项目属于</w:t>
      </w:r>
      <w:r>
        <w:rPr>
          <w:rFonts w:hint="eastAsia" w:ascii="Times New Roman" w:hAnsi="宋体" w:eastAsia="宋体" w:cs="Times New Roman"/>
          <w:color w:val="auto"/>
          <w:kern w:val="0"/>
          <w:sz w:val="24"/>
          <w:szCs w:val="24"/>
          <w:highlight w:val="none"/>
          <w:lang w:val="en-US" w:eastAsia="zh-CN"/>
        </w:rPr>
        <w:t>灰渣回填复垦利用项目，主要对</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Cs w:val="24"/>
          <w:highlight w:val="none"/>
          <w:lang w:val="en-US" w:eastAsia="zh-CN"/>
        </w:rPr>
        <w:t>进行生态修复</w:t>
      </w:r>
      <w:r>
        <w:rPr>
          <w:rFonts w:hint="eastAsia" w:asciiTheme="minorEastAsia" w:hAnsiTheme="minorEastAsia" w:eastAsiaTheme="minorEastAsia" w:cstheme="minorEastAsia"/>
          <w:bCs/>
          <w:iCs/>
          <w:color w:val="auto"/>
          <w:szCs w:val="18"/>
          <w:highlight w:val="none"/>
        </w:rPr>
        <w:t>，</w:t>
      </w:r>
      <w:r>
        <w:rPr>
          <w:rFonts w:hint="eastAsia" w:asciiTheme="minorEastAsia" w:hAnsiTheme="minorEastAsia" w:eastAsiaTheme="minorEastAsia" w:cstheme="minorEastAsia"/>
          <w:color w:val="auto"/>
          <w:highlight w:val="none"/>
        </w:rPr>
        <w:t>它的建成投产具有显著的社会效益和环境效益。本项目以“消除地质灾害”为建设宗旨，利用</w:t>
      </w:r>
      <w:r>
        <w:rPr>
          <w:rFonts w:hint="eastAsia" w:asciiTheme="minorEastAsia" w:hAnsiTheme="minorEastAsia" w:eastAsiaTheme="minorEastAsia" w:cstheme="minorEastAsia"/>
          <w:color w:val="auto"/>
          <w:highlight w:val="none"/>
          <w:lang w:val="en-US" w:eastAsia="zh-CN"/>
        </w:rPr>
        <w:t>尚志周边供热企业</w:t>
      </w:r>
      <w:r>
        <w:rPr>
          <w:rFonts w:hint="eastAsia" w:asciiTheme="minorEastAsia" w:hAnsiTheme="minorEastAsia" w:eastAsiaTheme="minorEastAsia" w:cstheme="minorEastAsia"/>
          <w:iCs/>
          <w:color w:val="auto"/>
          <w:highlight w:val="none"/>
          <w:lang w:val="zh-CN"/>
        </w:rPr>
        <w:t>生产过程</w:t>
      </w:r>
      <w:r>
        <w:rPr>
          <w:rFonts w:hint="eastAsia" w:asciiTheme="minorEastAsia" w:hAnsiTheme="minorEastAsia" w:eastAsiaTheme="minorEastAsia" w:cstheme="minorEastAsia"/>
          <w:color w:val="auto"/>
          <w:kern w:val="2"/>
          <w:szCs w:val="24"/>
          <w:highlight w:val="none"/>
          <w:lang w:bidi="ar"/>
        </w:rPr>
        <w:t>产生的灰渣</w:t>
      </w:r>
      <w:r>
        <w:rPr>
          <w:rFonts w:hint="eastAsia" w:asciiTheme="minorEastAsia" w:hAnsiTheme="minorEastAsia" w:eastAsiaTheme="minorEastAsia" w:cstheme="minorEastAsia"/>
          <w:color w:val="auto"/>
          <w:highlight w:val="none"/>
        </w:rPr>
        <w:t>做为采坑</w:t>
      </w:r>
      <w:r>
        <w:rPr>
          <w:rFonts w:hint="eastAsia" w:asciiTheme="minorEastAsia" w:hAnsiTheme="minorEastAsia" w:eastAsiaTheme="minorEastAsia" w:cstheme="minorEastAsia"/>
          <w:color w:val="auto"/>
          <w:szCs w:val="24"/>
          <w:highlight w:val="none"/>
        </w:rPr>
        <w:t>回填</w:t>
      </w:r>
      <w:r>
        <w:rPr>
          <w:rFonts w:hint="eastAsia" w:asciiTheme="minorEastAsia" w:hAnsiTheme="minorEastAsia" w:eastAsiaTheme="minorEastAsia" w:cstheme="minorEastAsia"/>
          <w:color w:val="auto"/>
          <w:highlight w:val="none"/>
        </w:rPr>
        <w:t>材料，体现了一定的经济效益。通过采取本报告所要求的一系列的环境保护措施，本项目建设对环境产生的不良影响较小，造成的环境损失较小，是可以接受的</w:t>
      </w:r>
      <w:r>
        <w:rPr>
          <w:rFonts w:hint="eastAsia" w:asciiTheme="minorEastAsia" w:hAnsiTheme="minorEastAsia" w:eastAsiaTheme="minorEastAsia" w:cstheme="minorEastAsia"/>
          <w:color w:val="auto"/>
          <w:kern w:val="0"/>
          <w:szCs w:val="20"/>
          <w:highlight w:val="none"/>
        </w:rPr>
        <w:t>。</w:t>
      </w:r>
    </w:p>
    <w:p w14:paraId="7537CD54">
      <w:pPr>
        <w:pStyle w:val="5"/>
        <w:bidi w:val="0"/>
        <w:rPr>
          <w:rFonts w:hint="eastAsia" w:asciiTheme="minorEastAsia" w:hAnsiTheme="minorEastAsia" w:eastAsiaTheme="minorEastAsia" w:cstheme="minorEastAsia"/>
          <w:color w:val="auto"/>
          <w:szCs w:val="36"/>
          <w:highlight w:val="none"/>
        </w:rPr>
      </w:pPr>
      <w:bookmarkStart w:id="762" w:name="_Toc15277"/>
      <w:bookmarkStart w:id="763" w:name="_Toc2803"/>
      <w:bookmarkStart w:id="764" w:name="_Toc28099"/>
      <w:bookmarkStart w:id="765" w:name="_Toc15640"/>
      <w:bookmarkStart w:id="766" w:name="_Toc21714"/>
      <w:bookmarkStart w:id="767" w:name="_Toc30695"/>
      <w:bookmarkStart w:id="768" w:name="_Toc490466592"/>
      <w:bookmarkStart w:id="769" w:name="_Toc600"/>
      <w:bookmarkStart w:id="770" w:name="_Toc12802"/>
      <w:bookmarkStart w:id="771" w:name="_Toc31836"/>
      <w:bookmarkStart w:id="772" w:name="_Toc19856"/>
      <w:bookmarkStart w:id="773" w:name="_Toc22889"/>
      <w:bookmarkStart w:id="774" w:name="_Toc26069"/>
      <w:bookmarkStart w:id="775" w:name="_Toc26448"/>
      <w:bookmarkStart w:id="776" w:name="_Toc31627"/>
      <w:bookmarkStart w:id="777" w:name="_Toc27413"/>
      <w:bookmarkStart w:id="778" w:name="_Toc5725"/>
      <w:bookmarkStart w:id="779" w:name="_Toc634"/>
      <w:bookmarkStart w:id="780" w:name="_Toc20729"/>
      <w:bookmarkStart w:id="781" w:name="_Toc24208"/>
      <w:bookmarkStart w:id="782" w:name="_Toc25488"/>
      <w:r>
        <w:rPr>
          <w:rFonts w:hint="eastAsia" w:asciiTheme="minorEastAsia" w:hAnsiTheme="minorEastAsia" w:eastAsiaTheme="minorEastAsia" w:cstheme="minorEastAsia"/>
          <w:color w:val="auto"/>
          <w:highlight w:val="none"/>
        </w:rPr>
        <w:t>8环境管理和环境监测计划</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60B1B4DA">
      <w:pPr>
        <w:pStyle w:val="6"/>
        <w:widowControl w:val="0"/>
        <w:snapToGrid w:val="0"/>
        <w:spacing w:before="0" w:after="0" w:line="360" w:lineRule="auto"/>
        <w:rPr>
          <w:rFonts w:hint="eastAsia" w:asciiTheme="minorEastAsia" w:hAnsiTheme="minorEastAsia" w:eastAsiaTheme="minorEastAsia" w:cstheme="minorEastAsia"/>
          <w:color w:val="auto"/>
          <w:highlight w:val="none"/>
        </w:rPr>
      </w:pPr>
      <w:bookmarkStart w:id="783" w:name="_Toc174530321"/>
      <w:bookmarkStart w:id="784" w:name="_Toc166472586"/>
      <w:bookmarkStart w:id="785" w:name="_Toc280714456"/>
      <w:bookmarkStart w:id="786" w:name="_Toc221635847"/>
      <w:bookmarkStart w:id="787" w:name="_Toc281912466"/>
      <w:bookmarkStart w:id="788" w:name="_Toc166471750"/>
      <w:bookmarkStart w:id="789" w:name="_Toc290631016"/>
      <w:bookmarkStart w:id="790" w:name="_Toc4273"/>
      <w:bookmarkStart w:id="791" w:name="_Toc416353863"/>
      <w:bookmarkStart w:id="792" w:name="_Toc306880853"/>
      <w:bookmarkStart w:id="793" w:name="_Toc347059257"/>
      <w:bookmarkStart w:id="794" w:name="_Toc19966"/>
      <w:bookmarkStart w:id="795" w:name="_Toc14638"/>
      <w:bookmarkStart w:id="796" w:name="_Toc327541694"/>
      <w:bookmarkStart w:id="797" w:name="_Toc526865661"/>
      <w:r>
        <w:rPr>
          <w:rFonts w:hint="eastAsia" w:asciiTheme="minorEastAsia" w:hAnsiTheme="minorEastAsia" w:eastAsiaTheme="minorEastAsia" w:cstheme="minorEastAsia"/>
          <w:color w:val="auto"/>
          <w:highlight w:val="none"/>
        </w:rPr>
        <w:t>8.1</w:t>
      </w:r>
      <w:bookmarkEnd w:id="783"/>
      <w:bookmarkEnd w:id="784"/>
      <w:bookmarkEnd w:id="785"/>
      <w:bookmarkEnd w:id="786"/>
      <w:bookmarkEnd w:id="787"/>
      <w:bookmarkEnd w:id="788"/>
      <w:r>
        <w:rPr>
          <w:rFonts w:hint="eastAsia" w:asciiTheme="minorEastAsia" w:hAnsiTheme="minorEastAsia" w:eastAsiaTheme="minorEastAsia" w:cstheme="minorEastAsia"/>
          <w:color w:val="auto"/>
          <w:highlight w:val="none"/>
        </w:rPr>
        <w:t>环境管理</w:t>
      </w:r>
      <w:bookmarkEnd w:id="789"/>
      <w:bookmarkEnd w:id="790"/>
      <w:bookmarkEnd w:id="791"/>
      <w:bookmarkEnd w:id="792"/>
      <w:bookmarkEnd w:id="793"/>
      <w:bookmarkEnd w:id="794"/>
      <w:bookmarkEnd w:id="795"/>
      <w:bookmarkEnd w:id="796"/>
      <w:bookmarkEnd w:id="797"/>
    </w:p>
    <w:p w14:paraId="6FBACF46">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环境管理是环境保护工作的重要内容之一，也是企业管理的重要组成部分。它利用行政、经济、技术、法律和教育等手段，对企业生产、经营、发展与环境保护的关系进行协调，将其列入企业的议事日程，对生产过程中发生的或可能发生的环境问题进行深入细致的研究，</w:t>
      </w:r>
      <w:r>
        <w:rPr>
          <w:rFonts w:hint="eastAsia" w:asciiTheme="minorEastAsia" w:hAnsiTheme="minorEastAsia" w:eastAsiaTheme="minorEastAsia" w:cstheme="minorEastAsia"/>
          <w:color w:val="auto"/>
          <w:szCs w:val="24"/>
          <w:highlight w:val="none"/>
          <w:lang w:eastAsia="zh-CN"/>
        </w:rPr>
        <w:t>制定</w:t>
      </w:r>
      <w:r>
        <w:rPr>
          <w:rFonts w:hint="eastAsia" w:asciiTheme="minorEastAsia" w:hAnsiTheme="minorEastAsia" w:eastAsiaTheme="minorEastAsia" w:cstheme="minorEastAsia"/>
          <w:color w:val="auto"/>
          <w:szCs w:val="24"/>
          <w:highlight w:val="none"/>
        </w:rPr>
        <w:t>合理的污染治理方案，以期达到既发展生产，增加经济效益，又保护环境的目的。只有有效的环境管理才能使企业的环境保护工作落实到实处，才能保证环保措施正常运转。</w:t>
      </w:r>
    </w:p>
    <w:p w14:paraId="6944D564">
      <w:pPr>
        <w:pStyle w:val="7"/>
        <w:widowControl w:val="0"/>
        <w:numPr>
          <w:ilvl w:val="2"/>
          <w:numId w:val="0"/>
        </w:numPr>
        <w:snapToGrid w:val="0"/>
        <w:spacing w:before="0" w:after="0" w:line="360" w:lineRule="auto"/>
        <w:ind w:leftChars="0"/>
        <w:jc w:val="both"/>
        <w:rPr>
          <w:rFonts w:hint="eastAsia" w:asciiTheme="minorEastAsia" w:hAnsiTheme="minorEastAsia" w:eastAsiaTheme="minorEastAsia" w:cstheme="minorEastAsia"/>
          <w:color w:val="auto"/>
          <w:szCs w:val="22"/>
          <w:highlight w:val="none"/>
        </w:rPr>
      </w:pPr>
      <w:bookmarkStart w:id="798" w:name="_Toc31324"/>
      <w:r>
        <w:rPr>
          <w:rFonts w:hint="eastAsia" w:asciiTheme="minorEastAsia" w:hAnsiTheme="minorEastAsia" w:eastAsiaTheme="minorEastAsia" w:cstheme="minorEastAsia"/>
          <w:color w:val="auto"/>
          <w:szCs w:val="22"/>
          <w:highlight w:val="none"/>
        </w:rPr>
        <w:t>8.1.1</w:t>
      </w:r>
      <w:bookmarkEnd w:id="798"/>
      <w:r>
        <w:rPr>
          <w:rFonts w:hint="eastAsia" w:asciiTheme="minorEastAsia" w:hAnsiTheme="minorEastAsia" w:eastAsiaTheme="minorEastAsia" w:cstheme="minorEastAsia"/>
          <w:color w:val="auto"/>
          <w:szCs w:val="22"/>
          <w:highlight w:val="none"/>
        </w:rPr>
        <w:t>环境保护机构设置的目的</w:t>
      </w:r>
    </w:p>
    <w:p w14:paraId="1FD99B23">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环境管理是整个管理工作中的重要组成部分，其目的主要是通过环境管理工作的开展，提高全体员工的环保意识，促进企业积极主动地预防和治理污染，避免因管理不善而可能产生的环境污染。</w:t>
      </w:r>
    </w:p>
    <w:p w14:paraId="44624F56">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lang w:val="en-US" w:eastAsia="zh-CN"/>
        </w:rPr>
        <w:t>企业</w:t>
      </w:r>
      <w:r>
        <w:rPr>
          <w:rFonts w:hint="eastAsia" w:asciiTheme="minorEastAsia" w:hAnsiTheme="minorEastAsia" w:eastAsiaTheme="minorEastAsia" w:cstheme="minorEastAsia"/>
          <w:color w:val="auto"/>
          <w:szCs w:val="24"/>
          <w:highlight w:val="none"/>
        </w:rPr>
        <w:t>环境保护机构</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抓好环境保护措施、项目的设计审查以及施工、验收工作的正常运行，建立健全的环境保护机构、建立环境管理档案，建立健全的企业环境管理的各项规章制度，制定环境保护设施的技术规程和操作规程，开展环境保护教育，加强对</w:t>
      </w:r>
      <w:r>
        <w:rPr>
          <w:rFonts w:hint="eastAsia" w:asciiTheme="minorEastAsia" w:hAnsiTheme="minorEastAsia" w:eastAsiaTheme="minorEastAsia" w:cstheme="minorEastAsia"/>
          <w:color w:val="auto"/>
          <w:szCs w:val="24"/>
          <w:highlight w:val="none"/>
          <w:lang w:eastAsia="zh-CN"/>
        </w:rPr>
        <w:t>岩石</w:t>
      </w:r>
      <w:r>
        <w:rPr>
          <w:rFonts w:hint="eastAsia" w:asciiTheme="minorEastAsia" w:hAnsiTheme="minorEastAsia" w:eastAsiaTheme="minorEastAsia" w:cstheme="minorEastAsia"/>
          <w:color w:val="auto"/>
          <w:szCs w:val="24"/>
          <w:highlight w:val="none"/>
        </w:rPr>
        <w:t>倾倒、填埋人员的培训，以保证项目运营后顺利开展环境保护工作。</w:t>
      </w:r>
    </w:p>
    <w:p w14:paraId="2D9D8C9B">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8.1.2环境管理机构设置</w:t>
      </w:r>
    </w:p>
    <w:p w14:paraId="1D43088C">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lang w:val="en-US" w:eastAsia="zh-CN"/>
        </w:rPr>
        <w:t>实施主体为</w:t>
      </w:r>
      <w:r>
        <w:rPr>
          <w:rFonts w:hint="eastAsia" w:ascii="Times New Roman" w:hAnsi="宋体" w:eastAsia="宋体" w:cs="Times New Roman"/>
          <w:color w:val="auto"/>
          <w:kern w:val="0"/>
          <w:sz w:val="24"/>
          <w:szCs w:val="24"/>
          <w:highlight w:val="none"/>
          <w:lang w:val="en-US" w:eastAsia="zh-CN"/>
        </w:rPr>
        <w:t>黑龙江嘉龙环保科技有限公司</w:t>
      </w:r>
      <w:r>
        <w:rPr>
          <w:rFonts w:hint="eastAsia" w:asciiTheme="minorEastAsia" w:hAnsiTheme="minorEastAsia" w:eastAsiaTheme="minorEastAsia" w:cstheme="minorEastAsia"/>
          <w:color w:val="auto"/>
          <w:szCs w:val="24"/>
          <w:highlight w:val="none"/>
          <w:lang w:val="en-US" w:eastAsia="zh-CN"/>
        </w:rPr>
        <w:t>，企业至少</w:t>
      </w:r>
      <w:r>
        <w:rPr>
          <w:rFonts w:hint="default" w:ascii="Times New Roman" w:hAnsi="Times New Roman" w:cs="Times New Roman"/>
          <w:color w:val="auto"/>
          <w:highlight w:val="none"/>
        </w:rPr>
        <w:t>有一名副经理负责环保工作，设立环境保护管理机构，配备专职环保管理人员两人</w:t>
      </w:r>
      <w:r>
        <w:rPr>
          <w:rFonts w:hint="eastAsia" w:ascii="Times New Roman" w:cs="Times New Roman"/>
          <w:color w:val="auto"/>
          <w:highlight w:val="none"/>
          <w:lang w:eastAsia="zh-CN"/>
        </w:rPr>
        <w:t>，</w:t>
      </w:r>
      <w:r>
        <w:rPr>
          <w:rFonts w:hint="eastAsia" w:asciiTheme="minorEastAsia" w:hAnsiTheme="minorEastAsia" w:eastAsiaTheme="minorEastAsia" w:cstheme="minorEastAsia"/>
          <w:color w:val="auto"/>
          <w:szCs w:val="24"/>
          <w:highlight w:val="none"/>
        </w:rPr>
        <w:t>负责环保管理、治理和环境监测等工作。其主要职责为：</w:t>
      </w:r>
    </w:p>
    <w:p w14:paraId="460BAFE7">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(1)掌握污染源排放情况，污染防治设施运行情况；</w:t>
      </w:r>
    </w:p>
    <w:p w14:paraId="0AB13A76">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(2)污染控制、环境保护治理设施运行文件的管理；</w:t>
      </w:r>
    </w:p>
    <w:p w14:paraId="7EB34BD8">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(3)督促</w:t>
      </w:r>
      <w:r>
        <w:rPr>
          <w:rFonts w:hint="eastAsia" w:asciiTheme="minorEastAsia" w:hAnsiTheme="minorEastAsia" w:eastAsiaTheme="minorEastAsia" w:cstheme="minorEastAsia"/>
          <w:color w:val="auto"/>
          <w:szCs w:val="24"/>
          <w:highlight w:val="none"/>
          <w:lang w:val="zh-CN"/>
        </w:rPr>
        <w:t>生物质灰渣</w:t>
      </w:r>
      <w:r>
        <w:rPr>
          <w:rFonts w:hint="eastAsia" w:asciiTheme="minorEastAsia" w:hAnsiTheme="minorEastAsia" w:eastAsiaTheme="minorEastAsia" w:cstheme="minorEastAsia"/>
          <w:color w:val="auto"/>
          <w:szCs w:val="24"/>
          <w:highlight w:val="none"/>
        </w:rPr>
        <w:t>倾倒、填埋人员按照操作规程进行倾倒作业；督促运输人员按车辆保养、检修制度强化管理；</w:t>
      </w:r>
    </w:p>
    <w:p w14:paraId="552C97F1">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(4)及时与上级环保部门沟通，获取相关的信息和技术；</w:t>
      </w:r>
    </w:p>
    <w:p w14:paraId="27814015">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(5)负责公司环境保护技术资料、文件的归档工作；</w:t>
      </w:r>
    </w:p>
    <w:p w14:paraId="27F61841">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(6)负责公司环境保护工作的培训和宣传工作；</w:t>
      </w:r>
    </w:p>
    <w:p w14:paraId="337B26F2">
      <w:pPr>
        <w:widowControl w:val="0"/>
        <w:snapToGrid w:val="0"/>
        <w:spacing w:line="360" w:lineRule="auto"/>
        <w:ind w:firstLine="480"/>
        <w:jc w:val="both"/>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w:t>
      </w:r>
      <w:r>
        <w:rPr>
          <w:rFonts w:hint="eastAsia" w:asciiTheme="minorEastAsia" w:hAnsiTheme="minorEastAsia" w:eastAsiaTheme="minorEastAsia" w:cstheme="minorEastAsia"/>
          <w:color w:val="auto"/>
          <w:szCs w:val="24"/>
          <w:highlight w:val="none"/>
          <w:lang w:val="en-US" w:eastAsia="zh-CN"/>
        </w:rPr>
        <w:t>7</w:t>
      </w:r>
      <w:r>
        <w:rPr>
          <w:rFonts w:hint="eastAsia" w:asciiTheme="minorEastAsia" w:hAnsiTheme="minorEastAsia" w:eastAsiaTheme="minorEastAsia" w:cstheme="minorEastAsia"/>
          <w:color w:val="auto"/>
          <w:szCs w:val="24"/>
          <w:highlight w:val="none"/>
        </w:rPr>
        <w:t>)制定公司监测计划。</w:t>
      </w:r>
    </w:p>
    <w:p w14:paraId="1712F6C1">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bookmarkStart w:id="799" w:name="_Toc5923"/>
      <w:bookmarkStart w:id="800" w:name="_Toc133138879"/>
      <w:bookmarkStart w:id="801" w:name="_Toc133688742"/>
      <w:bookmarkStart w:id="802" w:name="_Toc165190400"/>
      <w:bookmarkStart w:id="803" w:name="_Toc133669107"/>
      <w:bookmarkStart w:id="804" w:name="_Toc133237069"/>
      <w:bookmarkStart w:id="805" w:name="_Toc173213323"/>
      <w:bookmarkStart w:id="806" w:name="_Toc133644732"/>
      <w:r>
        <w:rPr>
          <w:rFonts w:hint="eastAsia" w:asciiTheme="minorEastAsia" w:hAnsiTheme="minorEastAsia" w:eastAsiaTheme="minorEastAsia" w:cstheme="minorEastAsia"/>
          <w:color w:val="auto"/>
          <w:highlight w:val="none"/>
        </w:rPr>
        <w:t>8.1.3环境保护监督管理计划</w:t>
      </w:r>
      <w:bookmarkEnd w:id="799"/>
    </w:p>
    <w:p w14:paraId="27F9F8AA">
      <w:pPr>
        <w:pStyle w:val="246"/>
        <w:widowControl w:val="0"/>
        <w:snapToGrid w:val="0"/>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各阶段环境管理和监督计划详见表8</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 w:val="24"/>
          <w:szCs w:val="24"/>
          <w:highlight w:val="none"/>
        </w:rPr>
        <w:t>1-1。</w:t>
      </w:r>
    </w:p>
    <w:p w14:paraId="5AFA07F4">
      <w:pPr>
        <w:widowControl w:val="0"/>
        <w:snapToGrid w:val="0"/>
        <w:spacing w:line="240" w:lineRule="auto"/>
        <w:ind w:firstLine="480"/>
        <w:jc w:val="center"/>
        <w:rPr>
          <w:rFonts w:hint="eastAsia"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rPr>
        <w:t>表8</w:t>
      </w:r>
      <w:r>
        <w:rPr>
          <w:rFonts w:hint="eastAsia" w:asciiTheme="minorEastAsia" w:hAnsiTheme="minorEastAsia" w:eastAsiaTheme="minorEastAsia" w:cstheme="minorEastAsia"/>
          <w:b/>
          <w:bCs/>
          <w:color w:val="auto"/>
          <w:highlight w:val="none"/>
          <w:lang w:val="en-US" w:eastAsia="zh-CN"/>
        </w:rPr>
        <w:t>.</w:t>
      </w:r>
      <w:r>
        <w:rPr>
          <w:rFonts w:hint="eastAsia" w:asciiTheme="minorEastAsia" w:hAnsiTheme="minorEastAsia" w:eastAsiaTheme="minorEastAsia" w:cstheme="minorEastAsia"/>
          <w:b/>
          <w:bCs/>
          <w:color w:val="auto"/>
          <w:highlight w:val="none"/>
        </w:rPr>
        <w:t>1-1</w:t>
      </w:r>
      <w:r>
        <w:rPr>
          <w:rFonts w:hint="eastAsia" w:asciiTheme="minorEastAsia" w:hAnsiTheme="minorEastAsia" w:eastAsiaTheme="minorEastAsia" w:cstheme="minorEastAsia"/>
          <w:b/>
          <w:bCs/>
          <w:color w:val="auto"/>
          <w:highlight w:val="none"/>
          <w:lang w:val="en-US" w:eastAsia="zh-CN"/>
        </w:rPr>
        <w:t xml:space="preserve">  </w:t>
      </w:r>
      <w:r>
        <w:rPr>
          <w:rFonts w:hint="eastAsia" w:asciiTheme="minorEastAsia" w:hAnsiTheme="minorEastAsia" w:eastAsiaTheme="minorEastAsia" w:cstheme="minorEastAsia"/>
          <w:b/>
          <w:bCs/>
          <w:color w:val="auto"/>
          <w:highlight w:val="none"/>
        </w:rPr>
        <w:t>环境管理监督计划</w:t>
      </w:r>
    </w:p>
    <w:tbl>
      <w:tblPr>
        <w:tblStyle w:val="84"/>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7378"/>
      </w:tblGrid>
      <w:tr w14:paraId="274953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1" w:type="pct"/>
            <w:tcBorders>
              <w:tl2br w:val="nil"/>
              <w:tr2bl w:val="nil"/>
            </w:tcBorders>
            <w:vAlign w:val="center"/>
          </w:tcPr>
          <w:p w14:paraId="54909F30">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阶段</w:t>
            </w:r>
          </w:p>
        </w:tc>
        <w:tc>
          <w:tcPr>
            <w:tcW w:w="4328" w:type="pct"/>
            <w:tcBorders>
              <w:tl2br w:val="nil"/>
              <w:tr2bl w:val="nil"/>
            </w:tcBorders>
            <w:vAlign w:val="center"/>
          </w:tcPr>
          <w:p w14:paraId="403447E4">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环境管理工作主要内容</w:t>
            </w:r>
          </w:p>
        </w:tc>
      </w:tr>
      <w:tr w14:paraId="7DEEB6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1" w:type="pct"/>
            <w:tcBorders>
              <w:tl2br w:val="nil"/>
              <w:tr2bl w:val="nil"/>
            </w:tcBorders>
            <w:vAlign w:val="center"/>
          </w:tcPr>
          <w:p w14:paraId="50892791">
            <w:pPr>
              <w:keepNext w:val="0"/>
              <w:keepLines w:val="0"/>
              <w:widowControl w:val="0"/>
              <w:suppressLineNumbers w:val="0"/>
              <w:snapToGrid w:val="0"/>
              <w:spacing w:before="0" w:beforeAutospacing="0" w:after="0" w:afterAutospacing="0"/>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实施主体</w:t>
            </w:r>
          </w:p>
        </w:tc>
        <w:tc>
          <w:tcPr>
            <w:tcW w:w="4328" w:type="pct"/>
            <w:tcBorders>
              <w:tl2br w:val="nil"/>
              <w:tr2bl w:val="nil"/>
            </w:tcBorders>
            <w:vAlign w:val="center"/>
          </w:tcPr>
          <w:p w14:paraId="0B5B86DB">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imes New Roman" w:hAnsi="宋体" w:eastAsia="宋体" w:cs="Times New Roman"/>
                <w:color w:val="auto"/>
                <w:kern w:val="0"/>
                <w:sz w:val="21"/>
                <w:szCs w:val="21"/>
                <w:highlight w:val="none"/>
                <w:lang w:val="en-US" w:eastAsia="zh-CN"/>
              </w:rPr>
              <w:t>黑龙江嘉龙环保科技有限公司</w:t>
            </w:r>
          </w:p>
        </w:tc>
      </w:tr>
      <w:tr w14:paraId="3801F1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1" w:type="pct"/>
            <w:tcBorders>
              <w:tl2br w:val="nil"/>
              <w:tr2bl w:val="nil"/>
            </w:tcBorders>
            <w:vAlign w:val="center"/>
          </w:tcPr>
          <w:p w14:paraId="381D4860">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管理机构职能</w:t>
            </w:r>
          </w:p>
        </w:tc>
        <w:tc>
          <w:tcPr>
            <w:tcW w:w="4328" w:type="pct"/>
            <w:tcBorders>
              <w:tl2br w:val="nil"/>
              <w:tr2bl w:val="nil"/>
            </w:tcBorders>
            <w:vAlign w:val="center"/>
          </w:tcPr>
          <w:p w14:paraId="24E5D9CE">
            <w:pPr>
              <w:keepNext w:val="0"/>
              <w:keepLines w:val="0"/>
              <w:widowControl w:val="0"/>
              <w:suppressLineNumbers w:val="0"/>
              <w:snapToGrid w:val="0"/>
              <w:spacing w:before="0" w:beforeAutospacing="0" w:after="0" w:afterAutospacing="0"/>
              <w:ind w:left="0" w:right="0"/>
              <w:rPr>
                <w:rFonts w:hint="eastAsia" w:asciiTheme="minorEastAsia" w:hAnsiTheme="minorEastAsia" w:eastAsiaTheme="minorEastAsia" w:cstheme="minorEastAsia"/>
                <w:b w:val="0"/>
                <w:bCs w:val="0"/>
                <w:color w:val="auto"/>
                <w:sz w:val="21"/>
                <w:szCs w:val="21"/>
                <w:highlight w:val="none"/>
                <w:lang w:eastAsia="zh-CN"/>
              </w:rPr>
            </w:pPr>
            <w:r>
              <w:rPr>
                <w:rFonts w:hint="eastAsia" w:asciiTheme="minorEastAsia" w:hAnsiTheme="minorEastAsia" w:eastAsiaTheme="minorEastAsia" w:cstheme="minorEastAsia"/>
                <w:b w:val="0"/>
                <w:bCs w:val="0"/>
                <w:color w:val="auto"/>
                <w:sz w:val="21"/>
                <w:szCs w:val="21"/>
                <w:highlight w:val="none"/>
              </w:rPr>
              <w:t>根据国家建设项目环境管理规定，认真落实各项环保手续，完成各级主管部门对本企业提出的环境管理要求，对本企业内部各项管理计划的执行及完成情况进行监督、控制，确保环境管理工作真正发挥作用</w:t>
            </w:r>
            <w:r>
              <w:rPr>
                <w:rFonts w:hint="eastAsia" w:asciiTheme="minorEastAsia" w:hAnsiTheme="minorEastAsia" w:eastAsiaTheme="minorEastAsia" w:cstheme="minorEastAsia"/>
                <w:b w:val="0"/>
                <w:bCs w:val="0"/>
                <w:color w:val="auto"/>
                <w:sz w:val="21"/>
                <w:szCs w:val="21"/>
                <w:highlight w:val="none"/>
                <w:lang w:eastAsia="zh-CN"/>
              </w:rPr>
              <w:t>。</w:t>
            </w:r>
          </w:p>
        </w:tc>
      </w:tr>
      <w:tr w14:paraId="574840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1" w:type="pct"/>
            <w:tcBorders>
              <w:tl2br w:val="nil"/>
              <w:tr2bl w:val="nil"/>
            </w:tcBorders>
            <w:vAlign w:val="center"/>
          </w:tcPr>
          <w:p w14:paraId="7477E310">
            <w:pPr>
              <w:keepNext w:val="0"/>
              <w:keepLines w:val="0"/>
              <w:widowControl w:val="0"/>
              <w:suppressLineNumbers w:val="0"/>
              <w:snapToGrid w:val="0"/>
              <w:spacing w:before="0" w:beforeAutospacing="0" w:after="0" w:afterAutospacing="0"/>
              <w:ind w:left="0" w:right="0"/>
              <w:jc w:val="center"/>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回填期</w:t>
            </w:r>
          </w:p>
        </w:tc>
        <w:tc>
          <w:tcPr>
            <w:tcW w:w="4328" w:type="pct"/>
            <w:tcBorders>
              <w:tl2br w:val="nil"/>
              <w:tr2bl w:val="nil"/>
            </w:tcBorders>
            <w:vAlign w:val="center"/>
          </w:tcPr>
          <w:p w14:paraId="0705A0E5">
            <w:pPr>
              <w:keepNext w:val="0"/>
              <w:keepLines w:val="0"/>
              <w:widowControl w:val="0"/>
              <w:suppressLineNumbers w:val="0"/>
              <w:snapToGrid w:val="0"/>
              <w:spacing w:before="0" w:beforeAutospacing="0" w:after="0" w:afterAutospacing="0"/>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1、聘请有资质的单位对项目进行设计、施工；</w:t>
            </w:r>
          </w:p>
          <w:p w14:paraId="34A1E10E">
            <w:pPr>
              <w:keepNext w:val="0"/>
              <w:keepLines w:val="0"/>
              <w:widowControl w:val="0"/>
              <w:suppressLineNumbers w:val="0"/>
              <w:snapToGrid w:val="0"/>
              <w:spacing w:before="0" w:beforeAutospacing="0" w:after="0" w:afterAutospacing="0"/>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2、对照设计、环评，检查施工质量并做好记录；</w:t>
            </w:r>
          </w:p>
          <w:p w14:paraId="01AB2E53">
            <w:pPr>
              <w:keepNext w:val="0"/>
              <w:keepLines w:val="0"/>
              <w:widowControl w:val="0"/>
              <w:suppressLineNumbers w:val="0"/>
              <w:snapToGrid w:val="0"/>
              <w:spacing w:before="0" w:beforeAutospacing="0" w:after="0" w:afterAutospacing="0"/>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rPr>
              <w:t>3、向环保部门和周围可能受施工影响的环境敏感目标进行提交告知，并采取相应预防及治理措施，确保因施工对周围环境造成的影响降至最低；</w:t>
            </w:r>
          </w:p>
          <w:p w14:paraId="61EB5FB6">
            <w:pPr>
              <w:keepNext w:val="0"/>
              <w:keepLines w:val="0"/>
              <w:widowControl w:val="0"/>
              <w:suppressLineNumbers w:val="0"/>
              <w:snapToGrid w:val="0"/>
              <w:spacing w:before="0" w:beforeAutospacing="0" w:after="0" w:afterAutospacing="0"/>
              <w:ind w:left="0" w:right="0"/>
              <w:rPr>
                <w:rFonts w:hint="default"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4</w:t>
            </w:r>
            <w:r>
              <w:rPr>
                <w:rFonts w:hint="default" w:asciiTheme="minorEastAsia" w:hAnsiTheme="minorEastAsia" w:eastAsiaTheme="minorEastAsia" w:cstheme="minorEastAsia"/>
                <w:b w:val="0"/>
                <w:bCs w:val="0"/>
                <w:color w:val="auto"/>
                <w:sz w:val="21"/>
                <w:szCs w:val="21"/>
                <w:highlight w:val="none"/>
              </w:rPr>
              <w:t>、加强项目运营设备与设施的巡查检查，对于损坏的零部件要及时更换或维修，加强对回填区的围挡</w:t>
            </w:r>
            <w:r>
              <w:rPr>
                <w:rFonts w:hint="eastAsia" w:asciiTheme="minorEastAsia" w:hAnsiTheme="minorEastAsia" w:eastAsiaTheme="minorEastAsia" w:cstheme="minorEastAsia"/>
                <w:b w:val="0"/>
                <w:bCs w:val="0"/>
                <w:color w:val="auto"/>
                <w:sz w:val="21"/>
                <w:szCs w:val="21"/>
                <w:highlight w:val="none"/>
                <w:lang w:val="en-US" w:eastAsia="zh-CN"/>
              </w:rPr>
              <w:t>进行</w:t>
            </w:r>
            <w:r>
              <w:rPr>
                <w:rFonts w:hint="default" w:asciiTheme="minorEastAsia" w:hAnsiTheme="minorEastAsia" w:eastAsiaTheme="minorEastAsia" w:cstheme="minorEastAsia"/>
                <w:b w:val="0"/>
                <w:bCs w:val="0"/>
                <w:color w:val="auto"/>
                <w:sz w:val="21"/>
                <w:szCs w:val="21"/>
                <w:highlight w:val="none"/>
              </w:rPr>
              <w:t>日常检查，对于潜在的环境风险及时采取有效措施加以防治处理。</w:t>
            </w:r>
          </w:p>
          <w:p w14:paraId="680A906E">
            <w:pPr>
              <w:keepNext w:val="0"/>
              <w:keepLines w:val="0"/>
              <w:widowControl w:val="0"/>
              <w:suppressLineNumbers w:val="0"/>
              <w:snapToGrid w:val="0"/>
              <w:spacing w:before="0" w:beforeAutospacing="0" w:after="0" w:afterAutospacing="0"/>
              <w:ind w:left="0" w:right="0"/>
              <w:rPr>
                <w:rFonts w:hint="default"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5</w:t>
            </w:r>
            <w:r>
              <w:rPr>
                <w:rFonts w:hint="default" w:asciiTheme="minorEastAsia" w:hAnsiTheme="minorEastAsia" w:eastAsiaTheme="minorEastAsia" w:cstheme="minorEastAsia"/>
                <w:b w:val="0"/>
                <w:bCs w:val="0"/>
                <w:color w:val="auto"/>
                <w:sz w:val="21"/>
                <w:szCs w:val="21"/>
                <w:highlight w:val="none"/>
              </w:rPr>
              <w:t>、明确环境监测的职责，建立健全回填区的各项规章制度：根据国家环境标准，对重点污染源及污染物开展日常监测工作，编制表格和报表，定期上报有关主管部门，建立监测档案。</w:t>
            </w:r>
          </w:p>
          <w:p w14:paraId="2EB40A92">
            <w:pPr>
              <w:keepNext w:val="0"/>
              <w:keepLines w:val="0"/>
              <w:widowControl w:val="0"/>
              <w:suppressLineNumbers w:val="0"/>
              <w:snapToGrid w:val="0"/>
              <w:spacing w:before="0" w:beforeAutospacing="0" w:after="0" w:afterAutospacing="0"/>
              <w:ind w:left="0" w:right="0"/>
              <w:rPr>
                <w:rFonts w:hint="eastAsia" w:asciiTheme="minorEastAsia" w:hAnsiTheme="minorEastAsia" w:eastAsiaTheme="minorEastAsia" w:cstheme="minorEastAsia"/>
                <w:b w:val="0"/>
                <w:bCs w:val="0"/>
                <w:color w:val="auto"/>
                <w:sz w:val="21"/>
                <w:szCs w:val="21"/>
                <w:highlight w:val="none"/>
              </w:rPr>
            </w:pPr>
            <w:r>
              <w:rPr>
                <w:rFonts w:hint="eastAsia" w:asciiTheme="minorEastAsia" w:hAnsiTheme="minorEastAsia" w:eastAsiaTheme="minorEastAsia" w:cstheme="minorEastAsia"/>
                <w:b w:val="0"/>
                <w:bCs w:val="0"/>
                <w:color w:val="auto"/>
                <w:sz w:val="21"/>
                <w:szCs w:val="21"/>
                <w:highlight w:val="none"/>
                <w:lang w:val="en-US" w:eastAsia="zh-CN"/>
              </w:rPr>
              <w:t>6</w:t>
            </w:r>
            <w:r>
              <w:rPr>
                <w:rFonts w:hint="default" w:asciiTheme="minorEastAsia" w:hAnsiTheme="minorEastAsia" w:eastAsiaTheme="minorEastAsia" w:cstheme="minorEastAsia"/>
                <w:b w:val="0"/>
                <w:bCs w:val="0"/>
                <w:color w:val="auto"/>
                <w:sz w:val="21"/>
                <w:szCs w:val="21"/>
                <w:highlight w:val="none"/>
              </w:rPr>
              <w:t>、做好回填区运行情况记录，包括</w:t>
            </w:r>
            <w:r>
              <w:rPr>
                <w:rFonts w:hint="eastAsia" w:asciiTheme="minorEastAsia" w:hAnsiTheme="minorEastAsia" w:eastAsiaTheme="minorEastAsia" w:cstheme="minorEastAsia"/>
                <w:b w:val="0"/>
                <w:bCs w:val="0"/>
                <w:color w:val="auto"/>
                <w:sz w:val="21"/>
                <w:szCs w:val="21"/>
                <w:highlight w:val="none"/>
                <w:lang w:val="en-US" w:eastAsia="zh-CN"/>
              </w:rPr>
              <w:t>生物质灰渣、燃煤炉渣、表土的</w:t>
            </w:r>
            <w:r>
              <w:rPr>
                <w:rFonts w:hint="default" w:asciiTheme="minorEastAsia" w:hAnsiTheme="minorEastAsia" w:eastAsiaTheme="minorEastAsia" w:cstheme="minorEastAsia"/>
                <w:b w:val="0"/>
                <w:bCs w:val="0"/>
                <w:color w:val="auto"/>
                <w:sz w:val="21"/>
                <w:szCs w:val="21"/>
                <w:highlight w:val="none"/>
              </w:rPr>
              <w:t>来源、数量、进场时间、回填位置等，记录单位应存档至少3年。定期对回填区进行检查，发现问题及时采取措施维修。</w:t>
            </w:r>
          </w:p>
        </w:tc>
      </w:tr>
      <w:tr w14:paraId="525680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1" w:type="pct"/>
            <w:tcBorders>
              <w:tl2br w:val="nil"/>
              <w:tr2bl w:val="nil"/>
            </w:tcBorders>
            <w:vAlign w:val="center"/>
          </w:tcPr>
          <w:p w14:paraId="49CDB894">
            <w:pPr>
              <w:keepNext w:val="0"/>
              <w:keepLines w:val="0"/>
              <w:widowControl w:val="0"/>
              <w:suppressLineNumbers w:val="0"/>
              <w:snapToGrid w:val="0"/>
              <w:spacing w:before="0" w:beforeAutospacing="0" w:after="0" w:afterAutospacing="0"/>
              <w:ind w:left="0" w:right="0"/>
              <w:jc w:val="center"/>
              <w:rPr>
                <w:rFonts w:hint="default" w:asciiTheme="minorEastAsia" w:hAnsiTheme="minorEastAsia" w:eastAsiaTheme="minorEastAsia" w:cstheme="minorEastAsia"/>
                <w:b w:val="0"/>
                <w:bCs w:val="0"/>
                <w:color w:val="auto"/>
                <w:sz w:val="21"/>
                <w:szCs w:val="21"/>
                <w:highlight w:val="none"/>
                <w:lang w:val="en-US" w:eastAsia="zh-CN"/>
              </w:rPr>
            </w:pPr>
            <w:bookmarkStart w:id="807" w:name="_Toc9864"/>
            <w:r>
              <w:rPr>
                <w:rFonts w:hint="eastAsia" w:asciiTheme="minorEastAsia" w:hAnsiTheme="minorEastAsia" w:eastAsiaTheme="minorEastAsia" w:cstheme="minorEastAsia"/>
                <w:b w:val="0"/>
                <w:bCs w:val="0"/>
                <w:color w:val="auto"/>
                <w:sz w:val="21"/>
                <w:szCs w:val="21"/>
                <w:highlight w:val="none"/>
                <w:lang w:val="en-US" w:eastAsia="zh-CN"/>
              </w:rPr>
              <w:t>植被恢复期</w:t>
            </w:r>
          </w:p>
        </w:tc>
        <w:tc>
          <w:tcPr>
            <w:tcW w:w="4328" w:type="pct"/>
            <w:tcBorders>
              <w:tl2br w:val="nil"/>
              <w:tr2bl w:val="nil"/>
            </w:tcBorders>
            <w:vAlign w:val="center"/>
          </w:tcPr>
          <w:p w14:paraId="7F07DFFA">
            <w:pPr>
              <w:keepNext w:val="0"/>
              <w:keepLines w:val="0"/>
              <w:widowControl w:val="0"/>
              <w:suppressLineNumbers w:val="0"/>
              <w:snapToGrid w:val="0"/>
              <w:spacing w:before="0" w:beforeAutospacing="0" w:after="0" w:afterAutospacing="0"/>
              <w:ind w:left="0" w:right="0"/>
              <w:rPr>
                <w:rFonts w:hint="default" w:asciiTheme="minorEastAsia" w:hAnsiTheme="minorEastAsia" w:eastAsiaTheme="minorEastAsia" w:cstheme="minorEastAsia"/>
                <w:b w:val="0"/>
                <w:bCs w:val="0"/>
                <w:color w:val="auto"/>
                <w:sz w:val="21"/>
                <w:szCs w:val="21"/>
                <w:highlight w:val="none"/>
                <w:lang w:eastAsia="zh-CN"/>
              </w:rPr>
            </w:pPr>
            <w:r>
              <w:rPr>
                <w:rFonts w:hint="default" w:asciiTheme="minorEastAsia" w:hAnsiTheme="minorEastAsia" w:eastAsiaTheme="minorEastAsia" w:cstheme="minorEastAsia"/>
                <w:b w:val="0"/>
                <w:bCs w:val="0"/>
                <w:color w:val="auto"/>
                <w:sz w:val="21"/>
                <w:szCs w:val="21"/>
                <w:highlight w:val="none"/>
                <w:lang w:eastAsia="zh-CN"/>
              </w:rPr>
              <w:t>回填结束后实施生态恢复计划。</w:t>
            </w:r>
          </w:p>
          <w:p w14:paraId="59CBF20E">
            <w:pPr>
              <w:keepNext w:val="0"/>
              <w:keepLines w:val="0"/>
              <w:widowControl w:val="0"/>
              <w:suppressLineNumbers w:val="0"/>
              <w:snapToGrid w:val="0"/>
              <w:spacing w:before="0" w:beforeAutospacing="0" w:after="0" w:afterAutospacing="0"/>
              <w:ind w:left="0" w:right="0"/>
              <w:rPr>
                <w:rFonts w:hint="default" w:asciiTheme="minorEastAsia" w:hAnsiTheme="minorEastAsia" w:eastAsiaTheme="minorEastAsia" w:cstheme="minorEastAsia"/>
                <w:b w:val="0"/>
                <w:bCs w:val="0"/>
                <w:color w:val="auto"/>
                <w:sz w:val="21"/>
                <w:szCs w:val="21"/>
                <w:highlight w:val="none"/>
                <w:lang w:eastAsia="zh-CN"/>
              </w:rPr>
            </w:pPr>
            <w:r>
              <w:rPr>
                <w:rFonts w:hint="eastAsia" w:asciiTheme="minorEastAsia" w:hAnsiTheme="minorEastAsia" w:eastAsiaTheme="minorEastAsia" w:cstheme="minorEastAsia"/>
                <w:b w:val="0"/>
                <w:bCs w:val="0"/>
                <w:color w:val="auto"/>
                <w:sz w:val="21"/>
                <w:szCs w:val="21"/>
                <w:highlight w:val="none"/>
                <w:lang w:val="en-US" w:eastAsia="zh-CN"/>
              </w:rPr>
              <w:t>1、</w:t>
            </w:r>
            <w:r>
              <w:rPr>
                <w:rFonts w:hint="default" w:asciiTheme="minorEastAsia" w:hAnsiTheme="minorEastAsia" w:eastAsiaTheme="minorEastAsia" w:cstheme="minorEastAsia"/>
                <w:b w:val="0"/>
                <w:bCs w:val="0"/>
                <w:color w:val="auto"/>
                <w:sz w:val="21"/>
                <w:szCs w:val="21"/>
                <w:highlight w:val="none"/>
                <w:lang w:eastAsia="zh-CN"/>
              </w:rPr>
              <w:t>维护最终覆盖层的完整性和有效性，进行必要的维修以消除沉降和凹陷及其他影响。</w:t>
            </w:r>
          </w:p>
          <w:p w14:paraId="0DD70841">
            <w:pPr>
              <w:keepNext w:val="0"/>
              <w:keepLines w:val="0"/>
              <w:widowControl w:val="0"/>
              <w:suppressLineNumbers w:val="0"/>
              <w:snapToGrid w:val="0"/>
              <w:spacing w:before="0" w:beforeAutospacing="0" w:after="0" w:afterAutospacing="0"/>
              <w:ind w:left="0" w:right="0"/>
              <w:rPr>
                <w:rFonts w:hint="default" w:asciiTheme="minorEastAsia" w:hAnsiTheme="minorEastAsia" w:eastAsiaTheme="minorEastAsia" w:cstheme="minorEastAsia"/>
                <w:b w:val="0"/>
                <w:bCs w:val="0"/>
                <w:color w:val="auto"/>
                <w:sz w:val="21"/>
                <w:szCs w:val="21"/>
                <w:highlight w:val="none"/>
                <w:lang w:eastAsia="zh-CN"/>
              </w:rPr>
            </w:pPr>
            <w:r>
              <w:rPr>
                <w:rFonts w:hint="eastAsia" w:asciiTheme="minorEastAsia" w:hAnsiTheme="minorEastAsia" w:eastAsiaTheme="minorEastAsia" w:cstheme="minorEastAsia"/>
                <w:b w:val="0"/>
                <w:bCs w:val="0"/>
                <w:color w:val="auto"/>
                <w:sz w:val="21"/>
                <w:szCs w:val="21"/>
                <w:highlight w:val="none"/>
                <w:lang w:val="en-US" w:eastAsia="zh-CN"/>
              </w:rPr>
              <w:t>2、</w:t>
            </w:r>
            <w:r>
              <w:rPr>
                <w:rFonts w:hint="default" w:asciiTheme="minorEastAsia" w:hAnsiTheme="minorEastAsia" w:eastAsiaTheme="minorEastAsia" w:cstheme="minorEastAsia"/>
                <w:b w:val="0"/>
                <w:bCs w:val="0"/>
                <w:color w:val="auto"/>
                <w:sz w:val="21"/>
                <w:szCs w:val="21"/>
                <w:highlight w:val="none"/>
                <w:lang w:eastAsia="zh-CN"/>
              </w:rPr>
              <w:t>恢复目标</w:t>
            </w:r>
          </w:p>
          <w:p w14:paraId="31400653">
            <w:pPr>
              <w:keepNext w:val="0"/>
              <w:keepLines w:val="0"/>
              <w:widowControl w:val="0"/>
              <w:suppressLineNumbers w:val="0"/>
              <w:snapToGrid w:val="0"/>
              <w:spacing w:before="0" w:beforeAutospacing="0" w:after="0" w:afterAutospacing="0"/>
              <w:ind w:left="0" w:right="0"/>
              <w:rPr>
                <w:rFonts w:hint="default" w:asciiTheme="minorEastAsia" w:hAnsiTheme="minorEastAsia" w:eastAsiaTheme="minorEastAsia" w:cstheme="minorEastAsia"/>
                <w:b w:val="0"/>
                <w:bCs w:val="0"/>
                <w:color w:val="auto"/>
                <w:sz w:val="21"/>
                <w:szCs w:val="21"/>
                <w:highlight w:val="none"/>
                <w:lang w:eastAsia="zh-CN"/>
              </w:rPr>
            </w:pPr>
            <w:r>
              <w:rPr>
                <w:rFonts w:hint="default" w:asciiTheme="minorEastAsia" w:hAnsiTheme="minorEastAsia" w:eastAsiaTheme="minorEastAsia" w:cstheme="minorEastAsia"/>
                <w:b w:val="0"/>
                <w:bCs w:val="0"/>
                <w:color w:val="auto"/>
                <w:sz w:val="21"/>
                <w:szCs w:val="21"/>
                <w:highlight w:val="none"/>
                <w:lang w:eastAsia="zh-CN"/>
              </w:rPr>
              <w:t>本项目回填后复垦为</w:t>
            </w:r>
            <w:r>
              <w:rPr>
                <w:rFonts w:hint="eastAsia" w:asciiTheme="minorEastAsia" w:hAnsiTheme="minorEastAsia" w:eastAsiaTheme="minorEastAsia" w:cstheme="minorEastAsia"/>
                <w:b w:val="0"/>
                <w:bCs w:val="0"/>
                <w:color w:val="auto"/>
                <w:sz w:val="21"/>
                <w:szCs w:val="21"/>
                <w:highlight w:val="none"/>
                <w:lang w:val="en-US" w:eastAsia="zh-CN"/>
              </w:rPr>
              <w:t>林地</w:t>
            </w:r>
            <w:r>
              <w:rPr>
                <w:rFonts w:hint="default" w:asciiTheme="minorEastAsia" w:hAnsiTheme="minorEastAsia" w:eastAsiaTheme="minorEastAsia" w:cstheme="minorEastAsia"/>
                <w:b w:val="0"/>
                <w:bCs w:val="0"/>
                <w:color w:val="auto"/>
                <w:sz w:val="21"/>
                <w:szCs w:val="21"/>
                <w:highlight w:val="none"/>
                <w:lang w:eastAsia="zh-CN"/>
              </w:rPr>
              <w:t>，面积为</w:t>
            </w:r>
            <w:r>
              <w:rPr>
                <w:rFonts w:hint="eastAsia" w:ascii="Times New Roman" w:hAnsi="宋体" w:eastAsia="宋体" w:cs="Times New Roman"/>
                <w:color w:val="auto"/>
                <w:kern w:val="0"/>
                <w:sz w:val="21"/>
                <w:szCs w:val="21"/>
                <w:highlight w:val="none"/>
                <w:lang w:val="en-US" w:eastAsia="zh-CN"/>
              </w:rPr>
              <w:t>11296.10</w:t>
            </w:r>
            <w:r>
              <w:rPr>
                <w:rFonts w:hint="eastAsia" w:asciiTheme="minorEastAsia" w:hAnsiTheme="minorEastAsia" w:eastAsiaTheme="minorEastAsia" w:cstheme="minorEastAsia"/>
                <w:b w:val="0"/>
                <w:bCs w:val="0"/>
                <w:color w:val="auto"/>
                <w:sz w:val="21"/>
                <w:szCs w:val="21"/>
                <w:highlight w:val="none"/>
                <w:lang w:val="en-US" w:eastAsia="zh-CN"/>
              </w:rPr>
              <w:t>m</w:t>
            </w:r>
            <w:r>
              <w:rPr>
                <w:rFonts w:hint="eastAsia" w:asciiTheme="minorEastAsia" w:hAnsiTheme="minorEastAsia" w:eastAsiaTheme="minorEastAsia" w:cstheme="minorEastAsia"/>
                <w:b w:val="0"/>
                <w:bCs w:val="0"/>
                <w:color w:val="auto"/>
                <w:sz w:val="21"/>
                <w:szCs w:val="21"/>
                <w:highlight w:val="none"/>
                <w:vertAlign w:val="superscript"/>
                <w:lang w:val="en-US" w:eastAsia="zh-CN"/>
              </w:rPr>
              <w:t>2</w:t>
            </w:r>
            <w:r>
              <w:rPr>
                <w:rFonts w:hint="eastAsia" w:asciiTheme="minorEastAsia" w:hAnsiTheme="minorEastAsia" w:eastAsiaTheme="minorEastAsia" w:cstheme="minorEastAsia"/>
                <w:b w:val="0"/>
                <w:bCs w:val="0"/>
                <w:color w:val="auto"/>
                <w:sz w:val="21"/>
                <w:szCs w:val="21"/>
                <w:highlight w:val="none"/>
                <w:lang w:val="en-US" w:eastAsia="zh-CN"/>
              </w:rPr>
              <w:t>，</w:t>
            </w:r>
            <w:r>
              <w:rPr>
                <w:rFonts w:hint="eastAsia" w:ascii="Times New Roman" w:hAnsi="Times New Roman" w:cs="Times New Roman"/>
                <w:color w:val="auto"/>
                <w:sz w:val="21"/>
                <w:szCs w:val="21"/>
                <w:highlight w:val="none"/>
                <w:lang w:eastAsia="zh-CN"/>
              </w:rPr>
              <w:t>采用树穴换土的方式栽植耐旱性较好的樟子松及针叶林，</w:t>
            </w:r>
            <w:r>
              <w:rPr>
                <w:rFonts w:hint="default" w:asciiTheme="minorEastAsia" w:hAnsiTheme="minorEastAsia" w:eastAsiaTheme="minorEastAsia" w:cstheme="minorEastAsia"/>
                <w:b w:val="0"/>
                <w:bCs w:val="0"/>
                <w:color w:val="auto"/>
                <w:sz w:val="21"/>
                <w:szCs w:val="21"/>
                <w:highlight w:val="none"/>
                <w:lang w:eastAsia="zh-CN"/>
              </w:rPr>
              <w:t>保证植被的成活率，死苗要及时补种，达到预期效果。</w:t>
            </w:r>
          </w:p>
          <w:p w14:paraId="103CE346">
            <w:pPr>
              <w:keepNext w:val="0"/>
              <w:keepLines w:val="0"/>
              <w:widowControl w:val="0"/>
              <w:suppressLineNumbers w:val="0"/>
              <w:snapToGrid w:val="0"/>
              <w:spacing w:before="0" w:beforeAutospacing="0" w:after="0" w:afterAutospacing="0"/>
              <w:ind w:left="0" w:right="0"/>
              <w:rPr>
                <w:rFonts w:hint="default" w:asciiTheme="minorEastAsia" w:hAnsiTheme="minorEastAsia" w:eastAsiaTheme="minorEastAsia" w:cstheme="minorEastAsia"/>
                <w:b w:val="0"/>
                <w:bCs w:val="0"/>
                <w:color w:val="auto"/>
                <w:sz w:val="21"/>
                <w:szCs w:val="21"/>
                <w:highlight w:val="none"/>
                <w:lang w:eastAsia="zh-CN"/>
              </w:rPr>
            </w:pPr>
            <w:r>
              <w:rPr>
                <w:rFonts w:hint="eastAsia" w:asciiTheme="minorEastAsia" w:hAnsiTheme="minorEastAsia" w:eastAsiaTheme="minorEastAsia" w:cstheme="minorEastAsia"/>
                <w:b w:val="0"/>
                <w:bCs w:val="0"/>
                <w:color w:val="auto"/>
                <w:sz w:val="21"/>
                <w:szCs w:val="21"/>
                <w:highlight w:val="none"/>
                <w:lang w:val="en-US" w:eastAsia="zh-CN"/>
              </w:rPr>
              <w:t>2、</w:t>
            </w:r>
            <w:r>
              <w:rPr>
                <w:rFonts w:hint="default" w:asciiTheme="minorEastAsia" w:hAnsiTheme="minorEastAsia" w:eastAsiaTheme="minorEastAsia" w:cstheme="minorEastAsia"/>
                <w:b w:val="0"/>
                <w:bCs w:val="0"/>
                <w:color w:val="auto"/>
                <w:sz w:val="21"/>
                <w:szCs w:val="21"/>
                <w:highlight w:val="none"/>
                <w:lang w:eastAsia="zh-CN"/>
              </w:rPr>
              <w:t>复垦后土壤质量监测</w:t>
            </w:r>
          </w:p>
          <w:p w14:paraId="06671338">
            <w:pPr>
              <w:keepNext w:val="0"/>
              <w:keepLines w:val="0"/>
              <w:widowControl w:val="0"/>
              <w:suppressLineNumbers w:val="0"/>
              <w:snapToGrid w:val="0"/>
              <w:spacing w:before="0" w:beforeAutospacing="0" w:after="0" w:afterAutospacing="0"/>
              <w:ind w:left="0" w:right="0"/>
              <w:rPr>
                <w:rFonts w:hint="default" w:asciiTheme="minorEastAsia" w:hAnsiTheme="minorEastAsia" w:eastAsiaTheme="minorEastAsia" w:cstheme="minorEastAsia"/>
                <w:b w:val="0"/>
                <w:bCs w:val="0"/>
                <w:color w:val="auto"/>
                <w:sz w:val="21"/>
                <w:szCs w:val="21"/>
                <w:highlight w:val="none"/>
                <w:lang w:eastAsia="zh-CN"/>
              </w:rPr>
            </w:pPr>
            <w:r>
              <w:rPr>
                <w:rFonts w:hint="default" w:asciiTheme="minorEastAsia" w:hAnsiTheme="minorEastAsia" w:eastAsiaTheme="minorEastAsia" w:cstheme="minorEastAsia"/>
                <w:b w:val="0"/>
                <w:bCs w:val="0"/>
                <w:color w:val="auto"/>
                <w:sz w:val="21"/>
                <w:szCs w:val="21"/>
                <w:highlight w:val="none"/>
                <w:lang w:eastAsia="zh-CN"/>
              </w:rPr>
              <w:t>监测内容包括 ：地形坡度、有效土层厚度、土壤有效水分、土壤容重、酸碱度（pH 值）、有机质含量、有效磷含量、全氮含量、土壤侵蚀模数等。</w:t>
            </w:r>
          </w:p>
          <w:p w14:paraId="332C9BB8">
            <w:pPr>
              <w:keepNext w:val="0"/>
              <w:keepLines w:val="0"/>
              <w:widowControl w:val="0"/>
              <w:suppressLineNumbers w:val="0"/>
              <w:snapToGrid w:val="0"/>
              <w:spacing w:before="0" w:beforeAutospacing="0" w:after="0" w:afterAutospacing="0"/>
              <w:ind w:left="0" w:right="0"/>
              <w:rPr>
                <w:rFonts w:hint="default" w:asciiTheme="minorEastAsia" w:hAnsiTheme="minorEastAsia" w:eastAsiaTheme="minorEastAsia" w:cstheme="minorEastAsia"/>
                <w:b w:val="0"/>
                <w:bCs w:val="0"/>
                <w:color w:val="auto"/>
                <w:sz w:val="21"/>
                <w:szCs w:val="21"/>
                <w:highlight w:val="none"/>
                <w:lang w:eastAsia="zh-CN"/>
              </w:rPr>
            </w:pPr>
            <w:r>
              <w:rPr>
                <w:rFonts w:hint="eastAsia" w:asciiTheme="minorEastAsia" w:hAnsiTheme="minorEastAsia" w:eastAsiaTheme="minorEastAsia" w:cstheme="minorEastAsia"/>
                <w:b w:val="0"/>
                <w:bCs w:val="0"/>
                <w:color w:val="auto"/>
                <w:sz w:val="21"/>
                <w:szCs w:val="21"/>
                <w:highlight w:val="none"/>
                <w:lang w:val="en-US" w:eastAsia="zh-CN"/>
              </w:rPr>
              <w:t>3</w:t>
            </w:r>
            <w:r>
              <w:rPr>
                <w:rFonts w:hint="default" w:asciiTheme="minorEastAsia" w:hAnsiTheme="minorEastAsia" w:eastAsiaTheme="minorEastAsia" w:cstheme="minorEastAsia"/>
                <w:b w:val="0"/>
                <w:bCs w:val="0"/>
                <w:color w:val="auto"/>
                <w:sz w:val="21"/>
                <w:szCs w:val="21"/>
                <w:highlight w:val="none"/>
                <w:lang w:eastAsia="zh-CN"/>
              </w:rPr>
              <w:t>、植被生长监测</w:t>
            </w:r>
          </w:p>
          <w:p w14:paraId="450BEC1B">
            <w:pPr>
              <w:keepNext w:val="0"/>
              <w:keepLines w:val="0"/>
              <w:widowControl w:val="0"/>
              <w:suppressLineNumbers w:val="0"/>
              <w:snapToGrid w:val="0"/>
              <w:spacing w:before="0" w:beforeAutospacing="0" w:after="0" w:afterAutospacing="0"/>
              <w:ind w:left="0" w:right="0"/>
              <w:rPr>
                <w:rFonts w:hint="eastAsia" w:asciiTheme="minorEastAsia" w:hAnsiTheme="minorEastAsia" w:eastAsiaTheme="minorEastAsia" w:cstheme="minorEastAsia"/>
                <w:b w:val="0"/>
                <w:bCs w:val="0"/>
                <w:color w:val="auto"/>
                <w:sz w:val="21"/>
                <w:szCs w:val="21"/>
                <w:highlight w:val="none"/>
              </w:rPr>
            </w:pPr>
            <w:r>
              <w:rPr>
                <w:rFonts w:hint="default" w:asciiTheme="minorEastAsia" w:hAnsiTheme="minorEastAsia" w:eastAsiaTheme="minorEastAsia" w:cstheme="minorEastAsia"/>
                <w:b w:val="0"/>
                <w:bCs w:val="0"/>
                <w:color w:val="auto"/>
                <w:sz w:val="21"/>
                <w:szCs w:val="21"/>
                <w:highlight w:val="none"/>
                <w:lang w:eastAsia="zh-CN"/>
              </w:rPr>
              <w:t>采用样方随机调查法，监测复垦后林地的生长势、高度、种植密度、成活率、郁闭度、生长量等。监测点位3个，每个点位每年监测1次，监测时间为三年。</w:t>
            </w:r>
          </w:p>
        </w:tc>
      </w:tr>
    </w:tbl>
    <w:p w14:paraId="626534DE">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p>
    <w:p w14:paraId="3B737AFD">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8.1.4污染物排放清单</w:t>
      </w:r>
      <w:bookmarkEnd w:id="807"/>
    </w:p>
    <w:p w14:paraId="7BDAABD7">
      <w:pPr>
        <w:pStyle w:val="246"/>
        <w:widowControl w:val="0"/>
        <w:snapToGrid w:val="0"/>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建设单位必须采取相应的污染防治对策来保护环境。</w:t>
      </w:r>
    </w:p>
    <w:p w14:paraId="3A393080">
      <w:pPr>
        <w:pStyle w:val="3"/>
        <w:widowControl w:val="0"/>
        <w:ind w:firstLine="400"/>
        <w:rPr>
          <w:rFonts w:hint="eastAsia" w:asciiTheme="minorEastAsia" w:hAnsiTheme="minorEastAsia" w:eastAsiaTheme="minorEastAsia" w:cstheme="minorEastAsia"/>
          <w:color w:val="auto"/>
          <w:highlight w:val="none"/>
        </w:rPr>
        <w:sectPr>
          <w:pgSz w:w="11906" w:h="16838"/>
          <w:pgMar w:top="1440" w:right="1800" w:bottom="1440" w:left="1800" w:header="850" w:footer="992" w:gutter="0"/>
          <w:pgBorders>
            <w:top w:val="none" w:sz="0" w:space="0"/>
            <w:left w:val="none" w:sz="0" w:space="0"/>
            <w:bottom w:val="none" w:sz="0" w:space="0"/>
            <w:right w:val="none" w:sz="0" w:space="0"/>
          </w:pgBorders>
          <w:pgNumType w:fmt="numberInDash"/>
          <w:cols w:space="720" w:num="1"/>
          <w:docGrid w:linePitch="326" w:charSpace="0"/>
        </w:sectPr>
      </w:pPr>
    </w:p>
    <w:p w14:paraId="4E2BB34A">
      <w:pPr>
        <w:widowControl w:val="0"/>
        <w:spacing w:line="460" w:lineRule="exact"/>
        <w:ind w:firstLine="480"/>
        <w:jc w:val="center"/>
        <w:rPr>
          <w:rFonts w:hint="eastAsia" w:asciiTheme="minorEastAsia" w:hAnsiTheme="minorEastAsia" w:eastAsiaTheme="minorEastAsia" w:cstheme="minorEastAsia"/>
          <w:b/>
          <w:bCs/>
          <w:color w:val="auto"/>
          <w:highlight w:val="none"/>
        </w:rPr>
        <w:sectPr>
          <w:type w:val="continuous"/>
          <w:pgSz w:w="11906" w:h="16838"/>
          <w:pgMar w:top="1440" w:right="1800" w:bottom="1440" w:left="1800" w:header="1418" w:footer="1418" w:gutter="0"/>
          <w:pgBorders>
            <w:top w:val="none" w:sz="0" w:space="0"/>
            <w:left w:val="none" w:sz="0" w:space="0"/>
            <w:bottom w:val="none" w:sz="0" w:space="0"/>
            <w:right w:val="none" w:sz="0" w:space="0"/>
          </w:pgBorders>
          <w:pgNumType w:fmt="numberInDash"/>
          <w:cols w:space="720" w:num="1"/>
          <w:docGrid w:linePitch="312" w:charSpace="0"/>
        </w:sectPr>
      </w:pPr>
    </w:p>
    <w:p w14:paraId="30C9FBAF">
      <w:pPr>
        <w:widowControl w:val="0"/>
        <w:spacing w:line="460" w:lineRule="exact"/>
        <w:ind w:firstLine="480"/>
        <w:jc w:val="center"/>
        <w:rPr>
          <w:rFonts w:hint="eastAsia"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rPr>
        <w:t>表8</w:t>
      </w:r>
      <w:r>
        <w:rPr>
          <w:rFonts w:hint="eastAsia" w:asciiTheme="minorEastAsia" w:hAnsiTheme="minorEastAsia" w:eastAsiaTheme="minorEastAsia" w:cstheme="minorEastAsia"/>
          <w:b/>
          <w:bCs/>
          <w:color w:val="auto"/>
          <w:highlight w:val="none"/>
          <w:lang w:val="en-US" w:eastAsia="zh-CN"/>
        </w:rPr>
        <w:t>.</w:t>
      </w:r>
      <w:r>
        <w:rPr>
          <w:rFonts w:hint="eastAsia" w:asciiTheme="minorEastAsia" w:hAnsiTheme="minorEastAsia" w:eastAsiaTheme="minorEastAsia" w:cstheme="minorEastAsia"/>
          <w:b/>
          <w:bCs/>
          <w:color w:val="auto"/>
          <w:highlight w:val="none"/>
        </w:rPr>
        <w:t>1-2</w:t>
      </w:r>
      <w:r>
        <w:rPr>
          <w:rFonts w:hint="eastAsia" w:asciiTheme="minorEastAsia" w:hAnsiTheme="minorEastAsia" w:eastAsiaTheme="minorEastAsia" w:cstheme="minorEastAsia"/>
          <w:b/>
          <w:bCs/>
          <w:color w:val="auto"/>
          <w:highlight w:val="none"/>
          <w:lang w:val="en-US" w:eastAsia="zh-CN"/>
        </w:rPr>
        <w:t xml:space="preserve">  </w:t>
      </w:r>
      <w:r>
        <w:rPr>
          <w:rFonts w:hint="eastAsia" w:asciiTheme="minorEastAsia" w:hAnsiTheme="minorEastAsia" w:eastAsiaTheme="minorEastAsia" w:cstheme="minorEastAsia"/>
          <w:b/>
          <w:bCs/>
          <w:color w:val="auto"/>
          <w:highlight w:val="none"/>
        </w:rPr>
        <w:t>污染物产生及排放情况一览表</w:t>
      </w:r>
    </w:p>
    <w:bookmarkEnd w:id="800"/>
    <w:bookmarkEnd w:id="801"/>
    <w:bookmarkEnd w:id="802"/>
    <w:bookmarkEnd w:id="803"/>
    <w:bookmarkEnd w:id="804"/>
    <w:bookmarkEnd w:id="805"/>
    <w:bookmarkEnd w:id="806"/>
    <w:tbl>
      <w:tblPr>
        <w:tblStyle w:val="84"/>
        <w:tblW w:w="9288" w:type="dxa"/>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92"/>
        <w:gridCol w:w="709"/>
        <w:gridCol w:w="850"/>
        <w:gridCol w:w="1644"/>
        <w:gridCol w:w="1556"/>
        <w:gridCol w:w="3024"/>
        <w:gridCol w:w="1113"/>
      </w:tblGrid>
      <w:tr w14:paraId="5D00F4F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2" w:type="dxa"/>
            <w:tcBorders>
              <w:tl2br w:val="nil"/>
              <w:tr2bl w:val="nil"/>
            </w:tcBorders>
            <w:noWrap w:val="0"/>
            <w:vAlign w:val="center"/>
          </w:tcPr>
          <w:p w14:paraId="436615F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val="zh-CN" w:bidi="ar"/>
              </w:rPr>
              <w:t>序号</w:t>
            </w:r>
          </w:p>
        </w:tc>
        <w:tc>
          <w:tcPr>
            <w:tcW w:w="709" w:type="dxa"/>
            <w:tcBorders>
              <w:tl2br w:val="nil"/>
              <w:tr2bl w:val="nil"/>
            </w:tcBorders>
            <w:noWrap w:val="0"/>
            <w:vAlign w:val="center"/>
          </w:tcPr>
          <w:p w14:paraId="5C49B0B9">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val="zh-CN" w:bidi="ar"/>
              </w:rPr>
              <w:t>污染物种类</w:t>
            </w:r>
          </w:p>
        </w:tc>
        <w:tc>
          <w:tcPr>
            <w:tcW w:w="850" w:type="dxa"/>
            <w:tcBorders>
              <w:tl2br w:val="nil"/>
              <w:tr2bl w:val="nil"/>
            </w:tcBorders>
            <w:noWrap w:val="0"/>
            <w:vAlign w:val="center"/>
          </w:tcPr>
          <w:p w14:paraId="34B38DDA">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val="zh-CN" w:bidi="ar"/>
              </w:rPr>
              <w:t>污染物名称</w:t>
            </w:r>
          </w:p>
        </w:tc>
        <w:tc>
          <w:tcPr>
            <w:tcW w:w="1644" w:type="dxa"/>
            <w:tcBorders>
              <w:tl2br w:val="nil"/>
              <w:tr2bl w:val="nil"/>
            </w:tcBorders>
            <w:noWrap w:val="0"/>
            <w:vAlign w:val="center"/>
          </w:tcPr>
          <w:p w14:paraId="53216EE8">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val="zh-CN" w:bidi="ar"/>
              </w:rPr>
              <w:t>主要污染因子</w:t>
            </w:r>
          </w:p>
        </w:tc>
        <w:tc>
          <w:tcPr>
            <w:tcW w:w="1556" w:type="dxa"/>
            <w:tcBorders>
              <w:tl2br w:val="nil"/>
              <w:tr2bl w:val="nil"/>
            </w:tcBorders>
            <w:noWrap w:val="0"/>
            <w:vAlign w:val="center"/>
          </w:tcPr>
          <w:p w14:paraId="6A10AF0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val="zh-CN" w:bidi="ar"/>
              </w:rPr>
              <w:t>排放量</w:t>
            </w:r>
          </w:p>
        </w:tc>
        <w:tc>
          <w:tcPr>
            <w:tcW w:w="3024" w:type="dxa"/>
            <w:tcBorders>
              <w:tl2br w:val="nil"/>
              <w:tr2bl w:val="nil"/>
            </w:tcBorders>
            <w:noWrap w:val="0"/>
            <w:vAlign w:val="center"/>
          </w:tcPr>
          <w:p w14:paraId="7D87F80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val="zh-CN" w:bidi="ar"/>
              </w:rPr>
              <w:t>控制措施及去向</w:t>
            </w:r>
          </w:p>
        </w:tc>
        <w:tc>
          <w:tcPr>
            <w:tcW w:w="1113" w:type="dxa"/>
            <w:tcBorders>
              <w:tl2br w:val="nil"/>
              <w:tr2bl w:val="nil"/>
            </w:tcBorders>
            <w:noWrap w:val="0"/>
            <w:vAlign w:val="center"/>
          </w:tcPr>
          <w:p w14:paraId="132774B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hint="eastAsia" w:ascii="Times New Roman"/>
                <w:color w:val="auto"/>
                <w:sz w:val="21"/>
                <w:szCs w:val="21"/>
                <w:highlight w:val="none"/>
                <w:lang w:val="zh-CN" w:bidi="ar"/>
              </w:rPr>
              <w:t>执行排放标准</w:t>
            </w:r>
          </w:p>
        </w:tc>
      </w:tr>
      <w:tr w14:paraId="5E40455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2" w:type="dxa"/>
            <w:vMerge w:val="restart"/>
            <w:tcBorders>
              <w:tl2br w:val="nil"/>
              <w:tr2bl w:val="nil"/>
            </w:tcBorders>
            <w:noWrap w:val="0"/>
            <w:vAlign w:val="center"/>
          </w:tcPr>
          <w:p w14:paraId="0F73194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bidi="ar"/>
              </w:rPr>
              <w:t>1</w:t>
            </w:r>
          </w:p>
        </w:tc>
        <w:tc>
          <w:tcPr>
            <w:tcW w:w="709" w:type="dxa"/>
            <w:vMerge w:val="restart"/>
            <w:tcBorders>
              <w:tl2br w:val="nil"/>
              <w:tr2bl w:val="nil"/>
            </w:tcBorders>
            <w:noWrap w:val="0"/>
            <w:vAlign w:val="center"/>
          </w:tcPr>
          <w:p w14:paraId="3BB2C5C4">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bidi="ar"/>
              </w:rPr>
              <w:t>废气</w:t>
            </w:r>
          </w:p>
        </w:tc>
        <w:tc>
          <w:tcPr>
            <w:tcW w:w="850" w:type="dxa"/>
            <w:tcBorders>
              <w:tl2br w:val="nil"/>
              <w:tr2bl w:val="nil"/>
            </w:tcBorders>
            <w:noWrap w:val="0"/>
            <w:vAlign w:val="center"/>
          </w:tcPr>
          <w:p w14:paraId="30FF198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扬尘</w:t>
            </w:r>
          </w:p>
        </w:tc>
        <w:tc>
          <w:tcPr>
            <w:tcW w:w="1644" w:type="dxa"/>
            <w:tcBorders>
              <w:tl2br w:val="nil"/>
              <w:tr2bl w:val="nil"/>
            </w:tcBorders>
            <w:noWrap w:val="0"/>
            <w:vAlign w:val="center"/>
          </w:tcPr>
          <w:p w14:paraId="12A62F6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颗粒物</w:t>
            </w:r>
          </w:p>
        </w:tc>
        <w:tc>
          <w:tcPr>
            <w:tcW w:w="1556" w:type="dxa"/>
            <w:tcBorders>
              <w:tl2br w:val="nil"/>
              <w:tr2bl w:val="nil"/>
            </w:tcBorders>
            <w:noWrap w:val="0"/>
            <w:vAlign w:val="center"/>
          </w:tcPr>
          <w:p w14:paraId="3B37539A">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eastAsia="zh-CN" w:bidi="ar"/>
              </w:rPr>
            </w:pPr>
            <w:r>
              <w:rPr>
                <w:rFonts w:hint="eastAsia"/>
                <w:color w:val="auto"/>
                <w:sz w:val="21"/>
                <w:szCs w:val="21"/>
                <w:highlight w:val="none"/>
                <w:lang w:val="en-US" w:eastAsia="zh-CN" w:bidi="ar"/>
              </w:rPr>
              <w:t>0.5873t</w:t>
            </w:r>
            <w:r>
              <w:rPr>
                <w:rFonts w:hint="eastAsia" w:ascii="Times New Roman"/>
                <w:color w:val="auto"/>
                <w:sz w:val="21"/>
                <w:szCs w:val="21"/>
                <w:highlight w:val="none"/>
                <w:lang w:bidi="ar"/>
              </w:rPr>
              <w:t>/</w:t>
            </w:r>
            <w:r>
              <w:rPr>
                <w:rFonts w:hint="eastAsia" w:ascii="Times New Roman"/>
                <w:color w:val="auto"/>
                <w:sz w:val="21"/>
                <w:szCs w:val="21"/>
                <w:highlight w:val="none"/>
                <w:lang w:val="en-US" w:eastAsia="zh-CN" w:bidi="ar"/>
              </w:rPr>
              <w:t>a</w:t>
            </w:r>
          </w:p>
        </w:tc>
        <w:tc>
          <w:tcPr>
            <w:tcW w:w="3024" w:type="dxa"/>
            <w:tcBorders>
              <w:tl2br w:val="nil"/>
              <w:tr2bl w:val="nil"/>
            </w:tcBorders>
            <w:noWrap w:val="0"/>
            <w:vAlign w:val="center"/>
          </w:tcPr>
          <w:p w14:paraId="3CAED08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hint="eastAsia" w:ascii="Times New Roman"/>
                <w:color w:val="auto"/>
                <w:sz w:val="21"/>
                <w:szCs w:val="21"/>
                <w:highlight w:val="none"/>
                <w:lang w:bidi="ar"/>
              </w:rPr>
              <w:t>灰渣</w:t>
            </w:r>
            <w:r>
              <w:rPr>
                <w:rFonts w:ascii="Times New Roman"/>
                <w:color w:val="auto"/>
                <w:sz w:val="21"/>
                <w:szCs w:val="21"/>
                <w:highlight w:val="none"/>
                <w:lang w:bidi="ar"/>
              </w:rPr>
              <w:t>回填过程中分块摊铺并及时碾压，回填场地及时洒水抑尘、分阶段进行施工；避免大面积作业、尽量降低卸车落差；大风天气禁止作业；在距施工场地</w:t>
            </w:r>
            <w:r>
              <w:rPr>
                <w:rFonts w:hint="eastAsia"/>
                <w:color w:val="auto"/>
                <w:sz w:val="21"/>
                <w:szCs w:val="21"/>
                <w:highlight w:val="none"/>
                <w:lang w:val="en-US" w:eastAsia="zh-CN" w:bidi="ar"/>
              </w:rPr>
              <w:t>四周</w:t>
            </w:r>
            <w:r>
              <w:rPr>
                <w:rFonts w:ascii="Times New Roman"/>
                <w:color w:val="auto"/>
                <w:sz w:val="21"/>
                <w:szCs w:val="21"/>
                <w:highlight w:val="none"/>
                <w:lang w:bidi="ar"/>
              </w:rPr>
              <w:t>施工时设置</w:t>
            </w:r>
            <w:r>
              <w:rPr>
                <w:rFonts w:hint="eastAsia" w:ascii="Times New Roman"/>
                <w:color w:val="auto"/>
                <w:sz w:val="21"/>
                <w:szCs w:val="21"/>
                <w:highlight w:val="none"/>
                <w:shd w:val="clear" w:color="auto" w:fill="FFFFFF"/>
                <w:lang w:eastAsia="zh-CN"/>
              </w:rPr>
              <w:t>隔声隔尘挡板</w:t>
            </w:r>
            <w:r>
              <w:rPr>
                <w:rFonts w:hint="eastAsia" w:ascii="Times New Roman"/>
                <w:color w:val="auto"/>
                <w:sz w:val="21"/>
                <w:szCs w:val="21"/>
                <w:highlight w:val="none"/>
                <w:lang w:bidi="ar"/>
              </w:rPr>
              <w:t>，采用密闭的车辆运输避免撒落，运输道路及时洒水抑尘，车辆加盖苫布，车辆运输过程中减速慢行，严格限制超载、超速，定期对运输车辆及施工机械进行维护</w:t>
            </w:r>
          </w:p>
        </w:tc>
        <w:tc>
          <w:tcPr>
            <w:tcW w:w="1113" w:type="dxa"/>
            <w:vMerge w:val="restart"/>
            <w:tcBorders>
              <w:tl2br w:val="nil"/>
              <w:tr2bl w:val="nil"/>
            </w:tcBorders>
            <w:noWrap w:val="0"/>
            <w:vAlign w:val="center"/>
          </w:tcPr>
          <w:p w14:paraId="0A0DF45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《大气污染物综合排放标</w:t>
            </w:r>
            <w:r>
              <w:rPr>
                <w:rFonts w:ascii="Times New Roman"/>
                <w:color w:val="auto"/>
                <w:spacing w:val="-6"/>
                <w:sz w:val="21"/>
                <w:szCs w:val="21"/>
                <w:highlight w:val="none"/>
                <w:lang w:bidi="ar"/>
              </w:rPr>
              <w:t>准》（GB16297-1996）无组织排放限值要求</w:t>
            </w:r>
          </w:p>
        </w:tc>
      </w:tr>
      <w:tr w14:paraId="34F811B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392" w:type="dxa"/>
            <w:vMerge w:val="continue"/>
            <w:tcBorders>
              <w:tl2br w:val="nil"/>
              <w:tr2bl w:val="nil"/>
            </w:tcBorders>
            <w:noWrap w:val="0"/>
            <w:vAlign w:val="center"/>
          </w:tcPr>
          <w:p w14:paraId="519C9B04">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709" w:type="dxa"/>
            <w:vMerge w:val="continue"/>
            <w:tcBorders>
              <w:tl2br w:val="nil"/>
              <w:tr2bl w:val="nil"/>
            </w:tcBorders>
            <w:noWrap w:val="0"/>
            <w:vAlign w:val="center"/>
          </w:tcPr>
          <w:p w14:paraId="647521D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850" w:type="dxa"/>
            <w:vMerge w:val="restart"/>
            <w:tcBorders>
              <w:tl2br w:val="nil"/>
              <w:tr2bl w:val="nil"/>
            </w:tcBorders>
            <w:noWrap w:val="0"/>
            <w:vAlign w:val="center"/>
          </w:tcPr>
          <w:p w14:paraId="72F1F5A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汽车尾气</w:t>
            </w:r>
          </w:p>
        </w:tc>
        <w:tc>
          <w:tcPr>
            <w:tcW w:w="1644" w:type="dxa"/>
            <w:tcBorders>
              <w:tl2br w:val="nil"/>
              <w:tr2bl w:val="nil"/>
            </w:tcBorders>
            <w:noWrap w:val="0"/>
            <w:vAlign w:val="center"/>
          </w:tcPr>
          <w:p w14:paraId="7CAC8A0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CO</w:t>
            </w:r>
          </w:p>
        </w:tc>
        <w:tc>
          <w:tcPr>
            <w:tcW w:w="1556" w:type="dxa"/>
            <w:tcBorders>
              <w:tl2br w:val="nil"/>
              <w:tr2bl w:val="nil"/>
            </w:tcBorders>
            <w:noWrap w:val="0"/>
            <w:vAlign w:val="center"/>
          </w:tcPr>
          <w:p w14:paraId="0009025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center"/>
              <w:rPr>
                <w:rFonts w:ascii="Times New Roman"/>
                <w:color w:val="auto"/>
                <w:sz w:val="21"/>
                <w:szCs w:val="21"/>
                <w:highlight w:val="none"/>
                <w:lang w:bidi="ar"/>
              </w:rPr>
            </w:pPr>
            <w:r>
              <w:rPr>
                <w:rFonts w:hint="eastAsia"/>
                <w:color w:val="auto"/>
                <w:sz w:val="21"/>
                <w:szCs w:val="21"/>
                <w:highlight w:val="none"/>
                <w:lang w:val="en-US" w:eastAsia="zh-CN"/>
              </w:rPr>
              <w:t>0.0014</w:t>
            </w:r>
            <w:r>
              <w:rPr>
                <w:rFonts w:hint="eastAsia"/>
                <w:color w:val="auto"/>
                <w:sz w:val="21"/>
                <w:szCs w:val="21"/>
                <w:highlight w:val="none"/>
                <w:lang w:val="en-US" w:eastAsia="zh-CN" w:bidi="ar"/>
              </w:rPr>
              <w:t>t</w:t>
            </w:r>
            <w:r>
              <w:rPr>
                <w:rFonts w:hint="eastAsia" w:ascii="Times New Roman"/>
                <w:color w:val="auto"/>
                <w:sz w:val="21"/>
                <w:szCs w:val="21"/>
                <w:highlight w:val="none"/>
                <w:lang w:bidi="ar"/>
              </w:rPr>
              <w:t>/</w:t>
            </w:r>
            <w:r>
              <w:rPr>
                <w:rFonts w:hint="eastAsia" w:ascii="Times New Roman"/>
                <w:color w:val="auto"/>
                <w:sz w:val="21"/>
                <w:szCs w:val="21"/>
                <w:highlight w:val="none"/>
                <w:lang w:val="en-US" w:eastAsia="zh-CN" w:bidi="ar"/>
              </w:rPr>
              <w:t>a</w:t>
            </w:r>
          </w:p>
        </w:tc>
        <w:tc>
          <w:tcPr>
            <w:tcW w:w="3024" w:type="dxa"/>
            <w:vMerge w:val="restart"/>
            <w:tcBorders>
              <w:tl2br w:val="nil"/>
              <w:tr2bl w:val="nil"/>
            </w:tcBorders>
            <w:noWrap w:val="0"/>
            <w:vAlign w:val="center"/>
          </w:tcPr>
          <w:p w14:paraId="53191111">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加强交通运输车辆管理</w:t>
            </w:r>
            <w:r>
              <w:rPr>
                <w:rFonts w:hint="eastAsia" w:ascii="Times New Roman"/>
                <w:color w:val="auto"/>
                <w:sz w:val="21"/>
                <w:szCs w:val="21"/>
                <w:highlight w:val="none"/>
                <w:lang w:val="en-US" w:eastAsia="zh-CN" w:bidi="ar"/>
              </w:rPr>
              <w:t>和保养</w:t>
            </w:r>
            <w:r>
              <w:rPr>
                <w:rFonts w:ascii="Times New Roman"/>
                <w:color w:val="auto"/>
                <w:sz w:val="21"/>
                <w:szCs w:val="21"/>
                <w:highlight w:val="none"/>
                <w:lang w:bidi="ar"/>
              </w:rPr>
              <w:t>，禁止尾气严重超标车辆上路行驶</w:t>
            </w:r>
          </w:p>
        </w:tc>
        <w:tc>
          <w:tcPr>
            <w:tcW w:w="1113" w:type="dxa"/>
            <w:vMerge w:val="continue"/>
            <w:tcBorders>
              <w:tl2br w:val="nil"/>
              <w:tr2bl w:val="nil"/>
            </w:tcBorders>
            <w:noWrap w:val="0"/>
            <w:vAlign w:val="center"/>
          </w:tcPr>
          <w:p w14:paraId="14AA8A7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r>
      <w:tr w14:paraId="2C838B0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392" w:type="dxa"/>
            <w:vMerge w:val="continue"/>
            <w:tcBorders>
              <w:tl2br w:val="nil"/>
              <w:tr2bl w:val="nil"/>
            </w:tcBorders>
            <w:noWrap w:val="0"/>
            <w:vAlign w:val="center"/>
          </w:tcPr>
          <w:p w14:paraId="5054C4BC">
            <w:pPr>
              <w:keepNext w:val="0"/>
              <w:keepLines w:val="0"/>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p>
        </w:tc>
        <w:tc>
          <w:tcPr>
            <w:tcW w:w="709" w:type="dxa"/>
            <w:vMerge w:val="continue"/>
            <w:tcBorders>
              <w:tl2br w:val="nil"/>
              <w:tr2bl w:val="nil"/>
            </w:tcBorders>
            <w:noWrap w:val="0"/>
            <w:vAlign w:val="center"/>
          </w:tcPr>
          <w:p w14:paraId="7EDDED1E">
            <w:pPr>
              <w:keepNext w:val="0"/>
              <w:keepLines w:val="0"/>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p>
        </w:tc>
        <w:tc>
          <w:tcPr>
            <w:tcW w:w="850" w:type="dxa"/>
            <w:vMerge w:val="continue"/>
            <w:tcBorders>
              <w:tl2br w:val="nil"/>
              <w:tr2bl w:val="nil"/>
            </w:tcBorders>
            <w:noWrap w:val="0"/>
            <w:vAlign w:val="center"/>
          </w:tcPr>
          <w:p w14:paraId="515E7E5C">
            <w:pPr>
              <w:keepNext w:val="0"/>
              <w:keepLines w:val="0"/>
              <w:suppressLineNumbers w:val="0"/>
              <w:adjustRightInd w:val="0"/>
              <w:snapToGrid w:val="0"/>
              <w:spacing w:before="0" w:beforeAutospacing="0" w:after="0" w:afterAutospacing="0" w:line="240" w:lineRule="auto"/>
              <w:ind w:left="0" w:right="0" w:firstLine="0" w:firstLineChars="0"/>
              <w:jc w:val="center"/>
              <w:rPr>
                <w:color w:val="auto"/>
                <w:sz w:val="21"/>
                <w:szCs w:val="21"/>
                <w:highlight w:val="none"/>
              </w:rPr>
            </w:pPr>
          </w:p>
        </w:tc>
        <w:tc>
          <w:tcPr>
            <w:tcW w:w="1644" w:type="dxa"/>
            <w:tcBorders>
              <w:tl2br w:val="nil"/>
              <w:tr2bl w:val="nil"/>
            </w:tcBorders>
            <w:noWrap w:val="0"/>
            <w:vAlign w:val="center"/>
          </w:tcPr>
          <w:p w14:paraId="717A16DF">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NOx</w:t>
            </w:r>
          </w:p>
        </w:tc>
        <w:tc>
          <w:tcPr>
            <w:tcW w:w="1556" w:type="dxa"/>
            <w:tcBorders>
              <w:tl2br w:val="nil"/>
              <w:tr2bl w:val="nil"/>
            </w:tcBorders>
            <w:noWrap w:val="0"/>
            <w:vAlign w:val="center"/>
          </w:tcPr>
          <w:p w14:paraId="2890CD9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center"/>
              <w:rPr>
                <w:rFonts w:ascii="Times New Roman"/>
                <w:color w:val="auto"/>
                <w:sz w:val="21"/>
                <w:szCs w:val="21"/>
                <w:highlight w:val="none"/>
                <w:lang w:bidi="ar"/>
              </w:rPr>
            </w:pPr>
            <w:r>
              <w:rPr>
                <w:rFonts w:hint="eastAsia"/>
                <w:color w:val="auto"/>
                <w:sz w:val="21"/>
                <w:szCs w:val="21"/>
                <w:highlight w:val="none"/>
                <w:lang w:val="en-US" w:eastAsia="zh-CN"/>
              </w:rPr>
              <w:t>0.00045</w:t>
            </w:r>
            <w:r>
              <w:rPr>
                <w:rFonts w:hint="eastAsia"/>
                <w:color w:val="auto"/>
                <w:sz w:val="21"/>
                <w:szCs w:val="21"/>
                <w:highlight w:val="none"/>
                <w:lang w:val="en-US" w:eastAsia="zh-CN" w:bidi="ar"/>
              </w:rPr>
              <w:t>t</w:t>
            </w:r>
            <w:r>
              <w:rPr>
                <w:rFonts w:hint="eastAsia" w:ascii="Times New Roman"/>
                <w:color w:val="auto"/>
                <w:sz w:val="21"/>
                <w:szCs w:val="21"/>
                <w:highlight w:val="none"/>
                <w:lang w:bidi="ar"/>
              </w:rPr>
              <w:t>/</w:t>
            </w:r>
            <w:r>
              <w:rPr>
                <w:rFonts w:hint="eastAsia" w:ascii="Times New Roman"/>
                <w:color w:val="auto"/>
                <w:sz w:val="21"/>
                <w:szCs w:val="21"/>
                <w:highlight w:val="none"/>
                <w:lang w:val="en-US" w:eastAsia="zh-CN" w:bidi="ar"/>
              </w:rPr>
              <w:t>a</w:t>
            </w:r>
          </w:p>
        </w:tc>
        <w:tc>
          <w:tcPr>
            <w:tcW w:w="3024" w:type="dxa"/>
            <w:vMerge w:val="continue"/>
            <w:tcBorders>
              <w:tl2br w:val="nil"/>
              <w:tr2bl w:val="nil"/>
            </w:tcBorders>
            <w:noWrap w:val="0"/>
            <w:vAlign w:val="center"/>
          </w:tcPr>
          <w:p w14:paraId="3085C72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113" w:type="dxa"/>
            <w:vMerge w:val="continue"/>
            <w:tcBorders>
              <w:tl2br w:val="nil"/>
              <w:tr2bl w:val="nil"/>
            </w:tcBorders>
            <w:noWrap w:val="0"/>
            <w:vAlign w:val="center"/>
          </w:tcPr>
          <w:p w14:paraId="008D0A24">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r>
      <w:tr w14:paraId="75A4B3D1">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392" w:type="dxa"/>
            <w:vMerge w:val="continue"/>
            <w:tcBorders>
              <w:tl2br w:val="nil"/>
              <w:tr2bl w:val="nil"/>
            </w:tcBorders>
            <w:noWrap w:val="0"/>
            <w:vAlign w:val="center"/>
          </w:tcPr>
          <w:p w14:paraId="4F2CA7E8">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709" w:type="dxa"/>
            <w:vMerge w:val="continue"/>
            <w:tcBorders>
              <w:tl2br w:val="nil"/>
              <w:tr2bl w:val="nil"/>
            </w:tcBorders>
            <w:noWrap w:val="0"/>
            <w:vAlign w:val="center"/>
          </w:tcPr>
          <w:p w14:paraId="3DAEDF7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850" w:type="dxa"/>
            <w:vMerge w:val="continue"/>
            <w:tcBorders>
              <w:tl2br w:val="nil"/>
              <w:tr2bl w:val="nil"/>
            </w:tcBorders>
            <w:noWrap w:val="0"/>
            <w:vAlign w:val="center"/>
          </w:tcPr>
          <w:p w14:paraId="02F66D7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644" w:type="dxa"/>
            <w:tcBorders>
              <w:tl2br w:val="nil"/>
              <w:tr2bl w:val="nil"/>
            </w:tcBorders>
            <w:noWrap w:val="0"/>
            <w:vAlign w:val="center"/>
          </w:tcPr>
          <w:p w14:paraId="278D82F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HC</w:t>
            </w:r>
          </w:p>
        </w:tc>
        <w:tc>
          <w:tcPr>
            <w:tcW w:w="1556" w:type="dxa"/>
            <w:tcBorders>
              <w:tl2br w:val="nil"/>
              <w:tr2bl w:val="nil"/>
            </w:tcBorders>
            <w:noWrap w:val="0"/>
            <w:vAlign w:val="center"/>
          </w:tcPr>
          <w:p w14:paraId="41CF125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center"/>
              <w:rPr>
                <w:rFonts w:ascii="Times New Roman"/>
                <w:color w:val="auto"/>
                <w:sz w:val="21"/>
                <w:szCs w:val="21"/>
                <w:highlight w:val="none"/>
                <w:lang w:bidi="ar"/>
              </w:rPr>
            </w:pPr>
            <w:r>
              <w:rPr>
                <w:rFonts w:hint="eastAsia"/>
                <w:color w:val="auto"/>
                <w:sz w:val="21"/>
                <w:szCs w:val="21"/>
                <w:highlight w:val="none"/>
                <w:lang w:val="en-US" w:eastAsia="zh-CN"/>
              </w:rPr>
              <w:t>0.002</w:t>
            </w:r>
            <w:r>
              <w:rPr>
                <w:rFonts w:hint="eastAsia"/>
                <w:color w:val="auto"/>
                <w:sz w:val="21"/>
                <w:szCs w:val="21"/>
                <w:highlight w:val="none"/>
                <w:lang w:val="en-US" w:eastAsia="zh-CN" w:bidi="ar"/>
              </w:rPr>
              <w:t>t</w:t>
            </w:r>
            <w:r>
              <w:rPr>
                <w:rFonts w:hint="eastAsia" w:ascii="Times New Roman"/>
                <w:color w:val="auto"/>
                <w:sz w:val="21"/>
                <w:szCs w:val="21"/>
                <w:highlight w:val="none"/>
                <w:lang w:bidi="ar"/>
              </w:rPr>
              <w:t>/</w:t>
            </w:r>
            <w:r>
              <w:rPr>
                <w:rFonts w:hint="eastAsia" w:ascii="Times New Roman"/>
                <w:color w:val="auto"/>
                <w:sz w:val="21"/>
                <w:szCs w:val="21"/>
                <w:highlight w:val="none"/>
                <w:lang w:val="en-US" w:eastAsia="zh-CN" w:bidi="ar"/>
              </w:rPr>
              <w:t>a</w:t>
            </w:r>
          </w:p>
        </w:tc>
        <w:tc>
          <w:tcPr>
            <w:tcW w:w="3024" w:type="dxa"/>
            <w:vMerge w:val="continue"/>
            <w:tcBorders>
              <w:tl2br w:val="nil"/>
              <w:tr2bl w:val="nil"/>
            </w:tcBorders>
            <w:noWrap w:val="0"/>
            <w:vAlign w:val="center"/>
          </w:tcPr>
          <w:p w14:paraId="2C4A76C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1113" w:type="dxa"/>
            <w:vMerge w:val="continue"/>
            <w:tcBorders>
              <w:tl2br w:val="nil"/>
              <w:tr2bl w:val="nil"/>
            </w:tcBorders>
            <w:noWrap w:val="0"/>
            <w:vAlign w:val="center"/>
          </w:tcPr>
          <w:p w14:paraId="3E3B615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r>
      <w:tr w14:paraId="054F1C9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392" w:type="dxa"/>
            <w:vMerge w:val="restart"/>
            <w:tcBorders>
              <w:tl2br w:val="nil"/>
              <w:tr2bl w:val="nil"/>
            </w:tcBorders>
            <w:noWrap w:val="0"/>
            <w:vAlign w:val="center"/>
          </w:tcPr>
          <w:p w14:paraId="42391A9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bidi="ar"/>
              </w:rPr>
              <w:t>2</w:t>
            </w:r>
          </w:p>
        </w:tc>
        <w:tc>
          <w:tcPr>
            <w:tcW w:w="709" w:type="dxa"/>
            <w:vMerge w:val="restart"/>
            <w:tcBorders>
              <w:tl2br w:val="nil"/>
              <w:tr2bl w:val="nil"/>
            </w:tcBorders>
            <w:noWrap w:val="0"/>
            <w:vAlign w:val="center"/>
          </w:tcPr>
          <w:p w14:paraId="7A272E1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bidi="ar"/>
              </w:rPr>
              <w:t>废水</w:t>
            </w:r>
          </w:p>
        </w:tc>
        <w:tc>
          <w:tcPr>
            <w:tcW w:w="850" w:type="dxa"/>
            <w:tcBorders>
              <w:tl2br w:val="nil"/>
              <w:tr2bl w:val="nil"/>
            </w:tcBorders>
            <w:noWrap w:val="0"/>
            <w:vAlign w:val="center"/>
          </w:tcPr>
          <w:p w14:paraId="1BC59C41">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员工生活污水</w:t>
            </w:r>
          </w:p>
        </w:tc>
        <w:tc>
          <w:tcPr>
            <w:tcW w:w="1644" w:type="dxa"/>
            <w:tcBorders>
              <w:tl2br w:val="nil"/>
              <w:tr2bl w:val="nil"/>
            </w:tcBorders>
            <w:noWrap w:val="0"/>
            <w:vAlign w:val="center"/>
          </w:tcPr>
          <w:p w14:paraId="36B08D7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COD、氨氮</w:t>
            </w:r>
          </w:p>
        </w:tc>
        <w:tc>
          <w:tcPr>
            <w:tcW w:w="1556" w:type="dxa"/>
            <w:tcBorders>
              <w:tl2br w:val="nil"/>
              <w:tr2bl w:val="nil"/>
            </w:tcBorders>
            <w:noWrap w:val="0"/>
            <w:vAlign w:val="center"/>
          </w:tcPr>
          <w:p w14:paraId="2D211936">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eastAsia="zh-CN" w:bidi="ar"/>
              </w:rPr>
            </w:pPr>
            <w:r>
              <w:rPr>
                <w:rFonts w:hint="eastAsia"/>
                <w:color w:val="auto"/>
                <w:sz w:val="21"/>
                <w:szCs w:val="21"/>
                <w:highlight w:val="none"/>
                <w:lang w:val="en-US" w:eastAsia="zh-CN"/>
              </w:rPr>
              <w:t>192</w:t>
            </w:r>
            <w:r>
              <w:rPr>
                <w:rFonts w:hint="eastAsia"/>
                <w:color w:val="auto"/>
                <w:sz w:val="21"/>
                <w:szCs w:val="21"/>
                <w:highlight w:val="none"/>
                <w:lang w:val="en-US" w:eastAsia="zh-CN" w:bidi="ar"/>
              </w:rPr>
              <w:t>m</w:t>
            </w:r>
            <w:r>
              <w:rPr>
                <w:rFonts w:hint="eastAsia"/>
                <w:color w:val="auto"/>
                <w:sz w:val="21"/>
                <w:szCs w:val="21"/>
                <w:highlight w:val="none"/>
                <w:vertAlign w:val="superscript"/>
                <w:lang w:val="en-US" w:eastAsia="zh-CN" w:bidi="ar"/>
              </w:rPr>
              <w:t>3</w:t>
            </w:r>
            <w:r>
              <w:rPr>
                <w:rFonts w:hint="eastAsia" w:ascii="Times New Roman"/>
                <w:color w:val="auto"/>
                <w:sz w:val="21"/>
                <w:szCs w:val="21"/>
                <w:highlight w:val="none"/>
                <w:lang w:bidi="ar"/>
              </w:rPr>
              <w:t>/</w:t>
            </w:r>
            <w:r>
              <w:rPr>
                <w:rFonts w:hint="eastAsia" w:ascii="Times New Roman"/>
                <w:color w:val="auto"/>
                <w:sz w:val="21"/>
                <w:szCs w:val="21"/>
                <w:highlight w:val="none"/>
                <w:lang w:val="en-US" w:eastAsia="zh-CN" w:bidi="ar"/>
              </w:rPr>
              <w:t>a</w:t>
            </w:r>
          </w:p>
        </w:tc>
        <w:tc>
          <w:tcPr>
            <w:tcW w:w="3024" w:type="dxa"/>
            <w:tcBorders>
              <w:tl2br w:val="nil"/>
              <w:tr2bl w:val="nil"/>
            </w:tcBorders>
            <w:noWrap w:val="0"/>
            <w:vAlign w:val="center"/>
          </w:tcPr>
          <w:p w14:paraId="5DC9E86D">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eastAsia="zh-CN" w:bidi="ar"/>
              </w:rPr>
            </w:pPr>
            <w:r>
              <w:rPr>
                <w:rFonts w:hint="eastAsia" w:ascii="Times New Roman" w:eastAsia="宋体"/>
                <w:color w:val="auto"/>
                <w:sz w:val="21"/>
                <w:szCs w:val="21"/>
                <w:highlight w:val="none"/>
                <w:lang w:eastAsia="zh-CN" w:bidi="ar"/>
              </w:rPr>
              <w:t>民房防渗旱厕，定期外运堆肥。</w:t>
            </w:r>
          </w:p>
        </w:tc>
        <w:tc>
          <w:tcPr>
            <w:tcW w:w="1113" w:type="dxa"/>
            <w:tcBorders>
              <w:tl2br w:val="nil"/>
              <w:tr2bl w:val="nil"/>
            </w:tcBorders>
            <w:noWrap w:val="0"/>
            <w:vAlign w:val="center"/>
          </w:tcPr>
          <w:p w14:paraId="216C71F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不外排</w:t>
            </w:r>
          </w:p>
        </w:tc>
      </w:tr>
      <w:tr w14:paraId="39241069">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392" w:type="dxa"/>
            <w:vMerge w:val="continue"/>
            <w:tcBorders>
              <w:tl2br w:val="nil"/>
              <w:tr2bl w:val="nil"/>
            </w:tcBorders>
            <w:noWrap w:val="0"/>
            <w:vAlign w:val="center"/>
          </w:tcPr>
          <w:p w14:paraId="7AA0803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709" w:type="dxa"/>
            <w:vMerge w:val="continue"/>
            <w:tcBorders>
              <w:tl2br w:val="nil"/>
              <w:tr2bl w:val="nil"/>
            </w:tcBorders>
            <w:noWrap w:val="0"/>
            <w:vAlign w:val="center"/>
          </w:tcPr>
          <w:p w14:paraId="0EC9E187">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850" w:type="dxa"/>
            <w:tcBorders>
              <w:tl2br w:val="nil"/>
              <w:tr2bl w:val="nil"/>
            </w:tcBorders>
            <w:noWrap w:val="0"/>
            <w:vAlign w:val="center"/>
          </w:tcPr>
          <w:p w14:paraId="6BB5AFCE">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sz w:val="21"/>
                <w:szCs w:val="21"/>
                <w:highlight w:val="none"/>
                <w:lang w:val="en-US" w:eastAsia="zh-CN" w:bidi="ar"/>
              </w:rPr>
            </w:pPr>
            <w:r>
              <w:rPr>
                <w:rFonts w:hint="default" w:ascii="Times New Roman" w:eastAsia="宋体"/>
                <w:color w:val="auto"/>
                <w:sz w:val="21"/>
                <w:szCs w:val="21"/>
                <w:highlight w:val="none"/>
                <w:lang w:val="en-US" w:eastAsia="zh-CN" w:bidi="ar"/>
              </w:rPr>
              <w:t>淋滤水</w:t>
            </w:r>
          </w:p>
        </w:tc>
        <w:tc>
          <w:tcPr>
            <w:tcW w:w="1644" w:type="dxa"/>
            <w:tcBorders>
              <w:tl2br w:val="nil"/>
              <w:tr2bl w:val="nil"/>
            </w:tcBorders>
            <w:noWrap w:val="0"/>
            <w:vAlign w:val="center"/>
          </w:tcPr>
          <w:p w14:paraId="2B1BFCE9">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sz w:val="21"/>
                <w:szCs w:val="21"/>
                <w:highlight w:val="none"/>
                <w:lang w:val="en-US" w:eastAsia="zh-CN" w:bidi="ar"/>
              </w:rPr>
            </w:pPr>
            <w:r>
              <w:rPr>
                <w:rFonts w:ascii="Times New Roman" w:eastAsia="宋体"/>
                <w:color w:val="auto"/>
                <w:spacing w:val="7"/>
                <w:sz w:val="21"/>
                <w:szCs w:val="21"/>
                <w:highlight w:val="none"/>
              </w:rPr>
              <w:t>氟</w:t>
            </w:r>
            <w:r>
              <w:rPr>
                <w:rFonts w:ascii="Times New Roman" w:eastAsia="宋体"/>
                <w:color w:val="auto"/>
                <w:spacing w:val="6"/>
                <w:sz w:val="21"/>
                <w:szCs w:val="21"/>
                <w:highlight w:val="none"/>
              </w:rPr>
              <w:t>化物</w:t>
            </w:r>
            <w:r>
              <w:rPr>
                <w:rFonts w:hint="eastAsia" w:ascii="Times New Roman" w:eastAsia="宋体"/>
                <w:color w:val="auto"/>
                <w:spacing w:val="6"/>
                <w:sz w:val="21"/>
                <w:szCs w:val="21"/>
                <w:highlight w:val="none"/>
                <w:lang w:eastAsia="zh-CN"/>
              </w:rPr>
              <w:t>、</w:t>
            </w:r>
            <w:r>
              <w:rPr>
                <w:rFonts w:hint="eastAsia" w:ascii="Times New Roman" w:eastAsia="宋体"/>
                <w:color w:val="auto"/>
                <w:spacing w:val="6"/>
                <w:sz w:val="21"/>
                <w:szCs w:val="21"/>
                <w:highlight w:val="none"/>
                <w:lang w:val="en-US" w:eastAsia="zh-CN"/>
              </w:rPr>
              <w:t>铬、汞、</w:t>
            </w:r>
            <w:r>
              <w:rPr>
                <w:rFonts w:hint="eastAsia" w:ascii="Times New Roman" w:eastAsia="宋体"/>
                <w:color w:val="auto"/>
                <w:sz w:val="21"/>
                <w:szCs w:val="21"/>
                <w:highlight w:val="none"/>
                <w:lang w:val="en-US" w:eastAsia="zh-CN"/>
              </w:rPr>
              <w:t>可吸附有机卤化物（氯化物计）、镍、砷、铜、BOD</w:t>
            </w:r>
            <w:r>
              <w:rPr>
                <w:rFonts w:hint="eastAsia" w:ascii="Times New Roman" w:eastAsia="宋体"/>
                <w:color w:val="auto"/>
                <w:sz w:val="21"/>
                <w:szCs w:val="21"/>
                <w:highlight w:val="none"/>
                <w:vertAlign w:val="subscript"/>
                <w:lang w:val="en-US" w:eastAsia="zh-CN"/>
              </w:rPr>
              <w:t>5、</w:t>
            </w:r>
            <w:r>
              <w:rPr>
                <w:rFonts w:hint="eastAsia" w:ascii="Times New Roman" w:eastAsia="宋体"/>
                <w:color w:val="auto"/>
                <w:sz w:val="21"/>
                <w:szCs w:val="21"/>
                <w:highlight w:val="none"/>
                <w:lang w:val="en-US" w:eastAsia="zh-CN"/>
              </w:rPr>
              <w:t>硒、银、总磷、三氯甲烷、pH</w:t>
            </w:r>
          </w:p>
        </w:tc>
        <w:tc>
          <w:tcPr>
            <w:tcW w:w="1556" w:type="dxa"/>
            <w:tcBorders>
              <w:tl2br w:val="nil"/>
              <w:tr2bl w:val="nil"/>
            </w:tcBorders>
            <w:noWrap w:val="0"/>
            <w:vAlign w:val="center"/>
          </w:tcPr>
          <w:p w14:paraId="23DED9C0">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color w:val="auto"/>
                <w:sz w:val="21"/>
                <w:szCs w:val="21"/>
                <w:highlight w:val="none"/>
                <w:lang w:val="en-US" w:eastAsia="zh-CN" w:bidi="ar"/>
              </w:rPr>
            </w:pPr>
            <w:r>
              <w:rPr>
                <w:rFonts w:hint="eastAsia"/>
                <w:b w:val="0"/>
                <w:color w:val="auto"/>
                <w:spacing w:val="-2"/>
                <w:sz w:val="21"/>
                <w:szCs w:val="21"/>
                <w:highlight w:val="none"/>
                <w:lang w:val="en-US" w:eastAsia="zh-CN"/>
              </w:rPr>
              <w:t>664</w:t>
            </w:r>
            <w:r>
              <w:rPr>
                <w:rFonts w:hint="eastAsia" w:ascii="Times New Roman" w:eastAsia="宋体"/>
                <w:b w:val="0"/>
                <w:color w:val="auto"/>
                <w:spacing w:val="-2"/>
                <w:sz w:val="21"/>
                <w:szCs w:val="21"/>
                <w:highlight w:val="none"/>
                <w:lang w:val="en-US" w:eastAsia="zh-CN"/>
              </w:rPr>
              <w:t>m</w:t>
            </w:r>
            <w:r>
              <w:rPr>
                <w:rFonts w:hint="eastAsia" w:ascii="Times New Roman" w:eastAsia="宋体"/>
                <w:b w:val="0"/>
                <w:color w:val="auto"/>
                <w:spacing w:val="-2"/>
                <w:sz w:val="21"/>
                <w:szCs w:val="21"/>
                <w:highlight w:val="none"/>
                <w:vertAlign w:val="superscript"/>
                <w:lang w:val="en-US" w:eastAsia="zh-CN"/>
              </w:rPr>
              <w:t>3</w:t>
            </w:r>
            <w:r>
              <w:rPr>
                <w:rFonts w:hint="eastAsia" w:ascii="Times New Roman" w:eastAsia="宋体"/>
                <w:b w:val="0"/>
                <w:color w:val="auto"/>
                <w:spacing w:val="-2"/>
                <w:sz w:val="21"/>
                <w:szCs w:val="21"/>
                <w:highlight w:val="none"/>
                <w:lang w:val="en-US" w:eastAsia="zh-CN"/>
              </w:rPr>
              <w:t>/a</w:t>
            </w:r>
          </w:p>
        </w:tc>
        <w:tc>
          <w:tcPr>
            <w:tcW w:w="3024" w:type="dxa"/>
            <w:tcBorders>
              <w:tl2br w:val="nil"/>
              <w:tr2bl w:val="nil"/>
            </w:tcBorders>
            <w:noWrap w:val="0"/>
            <w:vAlign w:val="center"/>
          </w:tcPr>
          <w:p w14:paraId="1FB157F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color w:val="auto"/>
                <w:sz w:val="21"/>
                <w:szCs w:val="21"/>
                <w:highlight w:val="none"/>
                <w:lang w:val="en-US" w:eastAsia="zh-CN"/>
              </w:rPr>
              <w:t>雨水渗水排入沉淀</w:t>
            </w:r>
            <w:r>
              <w:rPr>
                <w:rFonts w:hint="eastAsia"/>
                <w:color w:val="auto"/>
                <w:sz w:val="21"/>
                <w:szCs w:val="21"/>
                <w:highlight w:val="none"/>
              </w:rPr>
              <w:t>池</w:t>
            </w:r>
            <w:r>
              <w:rPr>
                <w:rFonts w:hint="eastAsia"/>
                <w:color w:val="auto"/>
                <w:sz w:val="21"/>
                <w:szCs w:val="21"/>
                <w:highlight w:val="none"/>
                <w:lang w:val="en-US" w:eastAsia="zh-CN"/>
              </w:rPr>
              <w:t>经</w:t>
            </w:r>
            <w:r>
              <w:rPr>
                <w:rFonts w:hint="eastAsia"/>
                <w:color w:val="auto"/>
                <w:sz w:val="21"/>
                <w:szCs w:val="21"/>
                <w:highlight w:val="none"/>
              </w:rPr>
              <w:t>沉淀处理</w:t>
            </w:r>
            <w:r>
              <w:rPr>
                <w:rFonts w:hint="eastAsia"/>
                <w:color w:val="auto"/>
                <w:sz w:val="21"/>
                <w:szCs w:val="21"/>
                <w:highlight w:val="none"/>
                <w:lang w:val="en-US" w:eastAsia="zh-CN"/>
              </w:rPr>
              <w:t>后用于回填区洒水降尘</w:t>
            </w:r>
          </w:p>
        </w:tc>
        <w:tc>
          <w:tcPr>
            <w:tcW w:w="1113" w:type="dxa"/>
            <w:tcBorders>
              <w:tl2br w:val="nil"/>
              <w:tr2bl w:val="nil"/>
            </w:tcBorders>
            <w:noWrap w:val="0"/>
            <w:vAlign w:val="center"/>
          </w:tcPr>
          <w:p w14:paraId="4828BDF5">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val="en-US" w:eastAsia="zh-CN" w:bidi="ar"/>
              </w:rPr>
            </w:pPr>
            <w:r>
              <w:rPr>
                <w:rFonts w:ascii="Times New Roman"/>
                <w:color w:val="auto"/>
                <w:sz w:val="21"/>
                <w:szCs w:val="21"/>
                <w:highlight w:val="none"/>
                <w:lang w:bidi="ar"/>
              </w:rPr>
              <w:t>不外排</w:t>
            </w:r>
          </w:p>
        </w:tc>
      </w:tr>
      <w:tr w14:paraId="6E569C8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2" w:type="dxa"/>
            <w:vMerge w:val="restart"/>
            <w:tcBorders>
              <w:tl2br w:val="nil"/>
              <w:tr2bl w:val="nil"/>
            </w:tcBorders>
            <w:noWrap w:val="0"/>
            <w:vAlign w:val="center"/>
          </w:tcPr>
          <w:p w14:paraId="0441809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bidi="ar"/>
              </w:rPr>
              <w:t>3</w:t>
            </w:r>
          </w:p>
        </w:tc>
        <w:tc>
          <w:tcPr>
            <w:tcW w:w="709" w:type="dxa"/>
            <w:vMerge w:val="restart"/>
            <w:tcBorders>
              <w:tl2br w:val="nil"/>
              <w:tr2bl w:val="nil"/>
            </w:tcBorders>
            <w:noWrap w:val="0"/>
            <w:vAlign w:val="center"/>
          </w:tcPr>
          <w:p w14:paraId="6F3E25A0">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固体废物</w:t>
            </w:r>
          </w:p>
        </w:tc>
        <w:tc>
          <w:tcPr>
            <w:tcW w:w="850" w:type="dxa"/>
            <w:tcBorders>
              <w:tl2br w:val="nil"/>
              <w:tr2bl w:val="nil"/>
            </w:tcBorders>
            <w:noWrap w:val="0"/>
            <w:vAlign w:val="center"/>
          </w:tcPr>
          <w:p w14:paraId="3EF46051">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eastAsia="zh-CN" w:bidi="ar"/>
              </w:rPr>
            </w:pPr>
            <w:r>
              <w:rPr>
                <w:rFonts w:ascii="Times New Roman"/>
                <w:color w:val="auto"/>
                <w:kern w:val="2"/>
                <w:sz w:val="21"/>
                <w:szCs w:val="21"/>
                <w:highlight w:val="none"/>
              </w:rPr>
              <w:t>员工生活垃圾</w:t>
            </w:r>
          </w:p>
        </w:tc>
        <w:tc>
          <w:tcPr>
            <w:tcW w:w="1644" w:type="dxa"/>
            <w:tcBorders>
              <w:tl2br w:val="nil"/>
              <w:tr2bl w:val="nil"/>
            </w:tcBorders>
            <w:noWrap w:val="0"/>
            <w:vAlign w:val="center"/>
          </w:tcPr>
          <w:p w14:paraId="34C2DEE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w:t>
            </w:r>
          </w:p>
        </w:tc>
        <w:tc>
          <w:tcPr>
            <w:tcW w:w="1556" w:type="dxa"/>
            <w:tcBorders>
              <w:tl2br w:val="nil"/>
              <w:tr2bl w:val="nil"/>
            </w:tcBorders>
            <w:noWrap w:val="0"/>
            <w:vAlign w:val="center"/>
          </w:tcPr>
          <w:p w14:paraId="1F75109C">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eastAsia="zh-CN" w:bidi="ar"/>
              </w:rPr>
            </w:pPr>
            <w:r>
              <w:rPr>
                <w:rFonts w:hint="eastAsia"/>
                <w:color w:val="auto"/>
                <w:sz w:val="21"/>
                <w:szCs w:val="21"/>
                <w:highlight w:val="none"/>
                <w:lang w:val="en-US" w:eastAsia="zh-CN" w:bidi="ar"/>
              </w:rPr>
              <w:t>1.5</w:t>
            </w:r>
            <w:r>
              <w:rPr>
                <w:rFonts w:hint="eastAsia" w:ascii="Times New Roman"/>
                <w:color w:val="auto"/>
                <w:sz w:val="21"/>
                <w:szCs w:val="21"/>
                <w:highlight w:val="none"/>
                <w:lang w:bidi="ar"/>
              </w:rPr>
              <w:t>t/</w:t>
            </w:r>
            <w:r>
              <w:rPr>
                <w:rFonts w:hint="eastAsia" w:ascii="Times New Roman"/>
                <w:color w:val="auto"/>
                <w:sz w:val="21"/>
                <w:szCs w:val="21"/>
                <w:highlight w:val="none"/>
                <w:lang w:val="en-US" w:eastAsia="zh-CN" w:bidi="ar"/>
              </w:rPr>
              <w:t>a</w:t>
            </w:r>
          </w:p>
        </w:tc>
        <w:tc>
          <w:tcPr>
            <w:tcW w:w="3024" w:type="dxa"/>
            <w:tcBorders>
              <w:tl2br w:val="nil"/>
              <w:tr2bl w:val="nil"/>
            </w:tcBorders>
            <w:noWrap w:val="0"/>
            <w:vAlign w:val="center"/>
          </w:tcPr>
          <w:p w14:paraId="777AB5B5">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集中</w:t>
            </w:r>
            <w:r>
              <w:rPr>
                <w:rFonts w:ascii="Times New Roman"/>
                <w:color w:val="auto"/>
                <w:sz w:val="21"/>
                <w:szCs w:val="21"/>
                <w:highlight w:val="none"/>
                <w:lang w:bidi="ar"/>
              </w:rPr>
              <w:t>收集</w:t>
            </w:r>
            <w:r>
              <w:rPr>
                <w:rFonts w:hint="eastAsia"/>
                <w:color w:val="auto"/>
                <w:sz w:val="21"/>
                <w:szCs w:val="21"/>
                <w:highlight w:val="none"/>
                <w:lang w:eastAsia="zh-CN" w:bidi="ar"/>
              </w:rPr>
              <w:t>，</w:t>
            </w:r>
            <w:r>
              <w:rPr>
                <w:rFonts w:hint="eastAsia"/>
                <w:color w:val="auto"/>
                <w:sz w:val="21"/>
                <w:szCs w:val="21"/>
                <w:highlight w:val="none"/>
                <w:lang w:val="en-US" w:eastAsia="zh-CN" w:bidi="ar"/>
              </w:rPr>
              <w:t>定期由市政环卫部门处理</w:t>
            </w:r>
          </w:p>
        </w:tc>
        <w:tc>
          <w:tcPr>
            <w:tcW w:w="1113" w:type="dxa"/>
            <w:vMerge w:val="restart"/>
            <w:tcBorders>
              <w:tl2br w:val="nil"/>
              <w:tr2bl w:val="nil"/>
            </w:tcBorders>
            <w:noWrap w:val="0"/>
            <w:vAlign w:val="center"/>
          </w:tcPr>
          <w:p w14:paraId="208AB7C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snapToGrid w:val="0"/>
                <w:color w:val="auto"/>
                <w:sz w:val="21"/>
                <w:szCs w:val="21"/>
                <w:highlight w:val="none"/>
              </w:rPr>
              <w:t>固废处置率100%</w:t>
            </w:r>
          </w:p>
        </w:tc>
      </w:tr>
      <w:tr w14:paraId="7C548B3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2" w:type="dxa"/>
            <w:vMerge w:val="continue"/>
            <w:tcBorders>
              <w:tl2br w:val="nil"/>
              <w:tr2bl w:val="nil"/>
            </w:tcBorders>
            <w:noWrap w:val="0"/>
            <w:vAlign w:val="center"/>
          </w:tcPr>
          <w:p w14:paraId="41B9A8B8">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709" w:type="dxa"/>
            <w:vMerge w:val="continue"/>
            <w:tcBorders>
              <w:tl2br w:val="nil"/>
              <w:tr2bl w:val="nil"/>
            </w:tcBorders>
            <w:noWrap w:val="0"/>
            <w:vAlign w:val="center"/>
          </w:tcPr>
          <w:p w14:paraId="1F7CC97F">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850" w:type="dxa"/>
            <w:tcBorders>
              <w:tl2br w:val="nil"/>
              <w:tr2bl w:val="nil"/>
            </w:tcBorders>
            <w:noWrap w:val="0"/>
            <w:vAlign w:val="center"/>
          </w:tcPr>
          <w:p w14:paraId="722A57DF">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kern w:val="2"/>
                <w:sz w:val="21"/>
                <w:szCs w:val="21"/>
                <w:highlight w:val="none"/>
                <w:lang w:val="en-US" w:eastAsia="zh-CN"/>
              </w:rPr>
            </w:pPr>
            <w:r>
              <w:rPr>
                <w:rFonts w:hint="eastAsia" w:ascii="Times New Roman"/>
                <w:color w:val="auto"/>
                <w:kern w:val="2"/>
                <w:sz w:val="21"/>
                <w:szCs w:val="21"/>
                <w:highlight w:val="none"/>
                <w:lang w:val="en-US" w:eastAsia="zh-CN"/>
              </w:rPr>
              <w:t>沉渣</w:t>
            </w:r>
          </w:p>
        </w:tc>
        <w:tc>
          <w:tcPr>
            <w:tcW w:w="1644" w:type="dxa"/>
            <w:tcBorders>
              <w:tl2br w:val="nil"/>
              <w:tr2bl w:val="nil"/>
            </w:tcBorders>
            <w:noWrap w:val="0"/>
            <w:vAlign w:val="center"/>
          </w:tcPr>
          <w:p w14:paraId="18663225">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val="en-US" w:eastAsia="zh-CN" w:bidi="ar"/>
              </w:rPr>
            </w:pPr>
            <w:r>
              <w:rPr>
                <w:rFonts w:hint="eastAsia" w:ascii="Times New Roman"/>
                <w:color w:val="auto"/>
                <w:sz w:val="21"/>
                <w:szCs w:val="21"/>
                <w:highlight w:val="none"/>
                <w:lang w:val="en-US" w:eastAsia="zh-CN" w:bidi="ar"/>
              </w:rPr>
              <w:t>/</w:t>
            </w:r>
          </w:p>
        </w:tc>
        <w:tc>
          <w:tcPr>
            <w:tcW w:w="1556" w:type="dxa"/>
            <w:tcBorders>
              <w:tl2br w:val="nil"/>
              <w:tr2bl w:val="nil"/>
            </w:tcBorders>
            <w:noWrap w:val="0"/>
            <w:vAlign w:val="center"/>
          </w:tcPr>
          <w:p w14:paraId="42B1E404">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color w:val="auto"/>
                <w:sz w:val="21"/>
                <w:szCs w:val="21"/>
                <w:highlight w:val="none"/>
                <w:lang w:val="en-US" w:eastAsia="zh-CN" w:bidi="ar"/>
              </w:rPr>
            </w:pPr>
            <w:r>
              <w:rPr>
                <w:rFonts w:hint="eastAsia"/>
                <w:color w:val="auto"/>
                <w:sz w:val="21"/>
                <w:szCs w:val="21"/>
                <w:highlight w:val="none"/>
                <w:lang w:val="en-US" w:eastAsia="zh-CN" w:bidi="ar"/>
              </w:rPr>
              <w:t>0.3t/a</w:t>
            </w:r>
          </w:p>
        </w:tc>
        <w:tc>
          <w:tcPr>
            <w:tcW w:w="3024" w:type="dxa"/>
            <w:tcBorders>
              <w:tl2br w:val="nil"/>
              <w:tr2bl w:val="nil"/>
            </w:tcBorders>
            <w:noWrap w:val="0"/>
            <w:vAlign w:val="center"/>
          </w:tcPr>
          <w:p w14:paraId="26729A75">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color w:val="auto"/>
                <w:sz w:val="21"/>
                <w:szCs w:val="21"/>
                <w:highlight w:val="none"/>
                <w:lang w:bidi="ar"/>
              </w:rPr>
            </w:pPr>
            <w:r>
              <w:rPr>
                <w:rFonts w:hint="eastAsia" w:ascii="Times New Roman"/>
                <w:color w:val="auto"/>
                <w:sz w:val="21"/>
                <w:szCs w:val="21"/>
                <w:highlight w:val="none"/>
                <w:lang w:bidi="ar"/>
              </w:rPr>
              <w:t>集中收集综合</w:t>
            </w:r>
            <w:r>
              <w:rPr>
                <w:rFonts w:hint="eastAsia" w:ascii="Times New Roman"/>
                <w:color w:val="auto"/>
                <w:sz w:val="21"/>
                <w:szCs w:val="21"/>
                <w:highlight w:val="none"/>
                <w:lang w:eastAsia="zh-CN" w:bidi="ar"/>
              </w:rPr>
              <w:t>利用厂区修路</w:t>
            </w:r>
            <w:r>
              <w:rPr>
                <w:rFonts w:hint="eastAsia" w:ascii="Times New Roman"/>
                <w:color w:val="auto"/>
                <w:sz w:val="21"/>
                <w:szCs w:val="21"/>
                <w:highlight w:val="none"/>
                <w:lang w:bidi="ar"/>
              </w:rPr>
              <w:t>。</w:t>
            </w:r>
          </w:p>
        </w:tc>
        <w:tc>
          <w:tcPr>
            <w:tcW w:w="1113" w:type="dxa"/>
            <w:vMerge w:val="continue"/>
            <w:tcBorders>
              <w:tl2br w:val="nil"/>
              <w:tr2bl w:val="nil"/>
            </w:tcBorders>
            <w:noWrap w:val="0"/>
            <w:vAlign w:val="center"/>
          </w:tcPr>
          <w:p w14:paraId="644FDA9D">
            <w:pPr>
              <w:keepNext w:val="0"/>
              <w:keepLines w:val="0"/>
              <w:suppressLineNumbers w:val="0"/>
              <w:adjustRightInd w:val="0"/>
              <w:snapToGrid w:val="0"/>
              <w:spacing w:before="0" w:beforeAutospacing="0" w:after="0" w:afterAutospacing="0" w:line="240" w:lineRule="auto"/>
              <w:ind w:left="0" w:right="0" w:firstLine="0" w:firstLineChars="0"/>
              <w:jc w:val="center"/>
              <w:rPr>
                <w:snapToGrid w:val="0"/>
                <w:color w:val="auto"/>
                <w:sz w:val="21"/>
                <w:szCs w:val="21"/>
                <w:highlight w:val="none"/>
              </w:rPr>
            </w:pPr>
          </w:p>
        </w:tc>
      </w:tr>
      <w:tr w14:paraId="64C0FC6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2" w:type="dxa"/>
            <w:vMerge w:val="restart"/>
            <w:tcBorders>
              <w:tl2br w:val="nil"/>
              <w:tr2bl w:val="nil"/>
            </w:tcBorders>
            <w:noWrap w:val="0"/>
            <w:vAlign w:val="center"/>
          </w:tcPr>
          <w:p w14:paraId="4CD27B3E">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bidi="ar"/>
              </w:rPr>
              <w:t>4</w:t>
            </w:r>
          </w:p>
        </w:tc>
        <w:tc>
          <w:tcPr>
            <w:tcW w:w="709" w:type="dxa"/>
            <w:vMerge w:val="restart"/>
            <w:tcBorders>
              <w:tl2br w:val="nil"/>
              <w:tr2bl w:val="nil"/>
            </w:tcBorders>
            <w:noWrap w:val="0"/>
            <w:vAlign w:val="center"/>
          </w:tcPr>
          <w:p w14:paraId="49926FD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val="zh-CN" w:bidi="ar"/>
              </w:rPr>
            </w:pPr>
            <w:r>
              <w:rPr>
                <w:rFonts w:ascii="Times New Roman"/>
                <w:color w:val="auto"/>
                <w:sz w:val="21"/>
                <w:szCs w:val="21"/>
                <w:highlight w:val="none"/>
                <w:lang w:bidi="ar"/>
              </w:rPr>
              <w:t>噪声</w:t>
            </w:r>
          </w:p>
        </w:tc>
        <w:tc>
          <w:tcPr>
            <w:tcW w:w="850" w:type="dxa"/>
            <w:tcBorders>
              <w:tl2br w:val="nil"/>
              <w:tr2bl w:val="nil"/>
            </w:tcBorders>
            <w:noWrap w:val="0"/>
            <w:vAlign w:val="center"/>
          </w:tcPr>
          <w:p w14:paraId="7CD89AD4">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机械</w:t>
            </w:r>
          </w:p>
          <w:p w14:paraId="1DF8145F">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噪声</w:t>
            </w:r>
          </w:p>
        </w:tc>
        <w:tc>
          <w:tcPr>
            <w:tcW w:w="1644" w:type="dxa"/>
            <w:tcBorders>
              <w:tl2br w:val="nil"/>
              <w:tr2bl w:val="nil"/>
            </w:tcBorders>
            <w:noWrap w:val="0"/>
            <w:vAlign w:val="center"/>
          </w:tcPr>
          <w:p w14:paraId="4790678C">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噪声</w:t>
            </w:r>
          </w:p>
        </w:tc>
        <w:tc>
          <w:tcPr>
            <w:tcW w:w="1556" w:type="dxa"/>
            <w:tcBorders>
              <w:tl2br w:val="nil"/>
              <w:tr2bl w:val="nil"/>
            </w:tcBorders>
            <w:noWrap w:val="0"/>
            <w:vAlign w:val="center"/>
          </w:tcPr>
          <w:p w14:paraId="3718AAB8">
            <w:pPr>
              <w:keepNext w:val="0"/>
              <w:keepLines w:val="0"/>
              <w:suppressLineNumbers w:val="0"/>
              <w:adjustRightInd w:val="0"/>
              <w:snapToGrid w:val="0"/>
              <w:spacing w:before="0" w:beforeAutospacing="0" w:after="0" w:afterAutospacing="0" w:line="240" w:lineRule="auto"/>
              <w:ind w:left="0" w:right="0" w:firstLine="0" w:firstLineChars="0"/>
              <w:jc w:val="both"/>
              <w:rPr>
                <w:rFonts w:ascii="Times New Roman"/>
                <w:color w:val="auto"/>
                <w:sz w:val="21"/>
                <w:szCs w:val="21"/>
                <w:highlight w:val="none"/>
                <w:lang w:val="zh-CN" w:bidi="ar"/>
              </w:rPr>
            </w:pPr>
            <w:r>
              <w:rPr>
                <w:rFonts w:hint="eastAsia" w:ascii="Times New Roman"/>
                <w:color w:val="auto"/>
                <w:sz w:val="21"/>
                <w:szCs w:val="21"/>
                <w:highlight w:val="none"/>
                <w:lang w:val="en-US" w:eastAsia="zh-CN" w:bidi="ar"/>
              </w:rPr>
              <w:t>78</w:t>
            </w:r>
            <w:r>
              <w:rPr>
                <w:rFonts w:ascii="Times New Roman"/>
                <w:color w:val="auto"/>
                <w:sz w:val="21"/>
                <w:szCs w:val="21"/>
                <w:highlight w:val="none"/>
                <w:lang w:bidi="ar"/>
              </w:rPr>
              <w:t>～</w:t>
            </w:r>
            <w:r>
              <w:rPr>
                <w:rFonts w:hint="eastAsia" w:ascii="Times New Roman"/>
                <w:color w:val="auto"/>
                <w:sz w:val="21"/>
                <w:szCs w:val="21"/>
                <w:highlight w:val="none"/>
                <w:lang w:val="en-US" w:eastAsia="zh-CN" w:bidi="ar"/>
              </w:rPr>
              <w:t>83</w:t>
            </w:r>
            <w:r>
              <w:rPr>
                <w:rFonts w:ascii="Times New Roman"/>
                <w:color w:val="auto"/>
                <w:sz w:val="21"/>
                <w:szCs w:val="21"/>
                <w:highlight w:val="none"/>
                <w:lang w:bidi="ar"/>
              </w:rPr>
              <w:t>dB（A）</w:t>
            </w:r>
          </w:p>
        </w:tc>
        <w:tc>
          <w:tcPr>
            <w:tcW w:w="3024" w:type="dxa"/>
            <w:tcBorders>
              <w:tl2br w:val="nil"/>
              <w:tr2bl w:val="nil"/>
            </w:tcBorders>
            <w:noWrap w:val="0"/>
            <w:vAlign w:val="center"/>
          </w:tcPr>
          <w:p w14:paraId="44C5A08F">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ascii="Times New Roman" w:eastAsia="宋体"/>
                <w:color w:val="auto"/>
                <w:sz w:val="21"/>
                <w:szCs w:val="21"/>
                <w:highlight w:val="none"/>
                <w:lang w:val="en-US" w:eastAsia="zh-CN" w:bidi="ar"/>
              </w:rPr>
            </w:pPr>
            <w:r>
              <w:rPr>
                <w:rFonts w:hint="eastAsia" w:ascii="Times New Roman"/>
                <w:color w:val="auto"/>
                <w:sz w:val="21"/>
                <w:szCs w:val="21"/>
                <w:highlight w:val="none"/>
                <w:lang w:val="en-US" w:eastAsia="zh-CN" w:bidi="ar"/>
              </w:rPr>
              <w:t>选择</w:t>
            </w:r>
            <w:r>
              <w:rPr>
                <w:rFonts w:ascii="Times New Roman"/>
                <w:color w:val="auto"/>
                <w:sz w:val="21"/>
                <w:szCs w:val="21"/>
                <w:highlight w:val="none"/>
                <w:lang w:bidi="ar"/>
              </w:rPr>
              <w:t>低噪声设备</w:t>
            </w:r>
            <w:r>
              <w:rPr>
                <w:rFonts w:hint="eastAsia" w:ascii="Times New Roman"/>
                <w:color w:val="auto"/>
                <w:sz w:val="21"/>
                <w:szCs w:val="21"/>
                <w:highlight w:val="none"/>
                <w:lang w:eastAsia="zh-CN" w:bidi="ar"/>
              </w:rPr>
              <w:t>，</w:t>
            </w:r>
            <w:r>
              <w:rPr>
                <w:rFonts w:ascii="Times New Roman"/>
                <w:color w:val="auto"/>
                <w:sz w:val="21"/>
                <w:szCs w:val="21"/>
                <w:highlight w:val="none"/>
                <w:lang w:bidi="ar"/>
              </w:rPr>
              <w:t>加强作业机械维修、管理、作业现场合理布局</w:t>
            </w:r>
            <w:r>
              <w:rPr>
                <w:rFonts w:hint="eastAsia" w:ascii="Times New Roman"/>
                <w:color w:val="auto"/>
                <w:sz w:val="21"/>
                <w:szCs w:val="21"/>
                <w:highlight w:val="none"/>
                <w:lang w:eastAsia="zh-CN" w:bidi="ar"/>
              </w:rPr>
              <w:t>，</w:t>
            </w:r>
            <w:r>
              <w:rPr>
                <w:rFonts w:hint="eastAsia" w:ascii="Times New Roman"/>
                <w:color w:val="auto"/>
                <w:sz w:val="21"/>
                <w:szCs w:val="21"/>
                <w:highlight w:val="none"/>
                <w:lang w:val="en-US" w:eastAsia="zh-CN" w:bidi="ar"/>
              </w:rPr>
              <w:t>设置</w:t>
            </w:r>
            <w:r>
              <w:rPr>
                <w:rFonts w:hint="eastAsia" w:ascii="Times New Roman"/>
                <w:color w:val="auto"/>
                <w:sz w:val="21"/>
                <w:szCs w:val="21"/>
                <w:highlight w:val="none"/>
                <w:lang w:eastAsia="zh-CN" w:bidi="ar"/>
              </w:rPr>
              <w:t>隔声隔尘挡板，</w:t>
            </w:r>
            <w:r>
              <w:rPr>
                <w:rFonts w:ascii="Times New Roman"/>
                <w:color w:val="auto"/>
                <w:sz w:val="21"/>
                <w:szCs w:val="21"/>
                <w:highlight w:val="none"/>
                <w:lang w:bidi="ar"/>
              </w:rPr>
              <w:t>严格控制施工时间、</w:t>
            </w:r>
            <w:r>
              <w:rPr>
                <w:rFonts w:hint="eastAsia"/>
                <w:color w:val="auto"/>
                <w:sz w:val="21"/>
                <w:szCs w:val="21"/>
                <w:highlight w:val="none"/>
                <w:lang w:val="en-US" w:eastAsia="zh-CN" w:bidi="ar"/>
              </w:rPr>
              <w:t>夜间禁止施工</w:t>
            </w:r>
          </w:p>
        </w:tc>
        <w:tc>
          <w:tcPr>
            <w:tcW w:w="1113" w:type="dxa"/>
            <w:tcBorders>
              <w:tl2br w:val="nil"/>
              <w:tr2bl w:val="nil"/>
            </w:tcBorders>
            <w:noWrap w:val="0"/>
            <w:vAlign w:val="center"/>
          </w:tcPr>
          <w:p w14:paraId="675F2888">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hint="eastAsia" w:ascii="Times New Roman"/>
                <w:color w:val="auto"/>
                <w:sz w:val="21"/>
                <w:szCs w:val="21"/>
                <w:highlight w:val="none"/>
                <w:lang w:bidi="ar"/>
              </w:rPr>
              <w:t>厂界满足《工业企业厂界环境噪声排放标准》表1中的1类标准</w:t>
            </w:r>
          </w:p>
        </w:tc>
      </w:tr>
      <w:tr w14:paraId="6CAB748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2" w:type="dxa"/>
            <w:vMerge w:val="continue"/>
            <w:tcBorders>
              <w:tl2br w:val="nil"/>
              <w:tr2bl w:val="nil"/>
            </w:tcBorders>
            <w:noWrap w:val="0"/>
            <w:vAlign w:val="center"/>
          </w:tcPr>
          <w:p w14:paraId="3ACF2D3A">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709" w:type="dxa"/>
            <w:vMerge w:val="continue"/>
            <w:tcBorders>
              <w:tl2br w:val="nil"/>
              <w:tr2bl w:val="nil"/>
            </w:tcBorders>
            <w:noWrap w:val="0"/>
            <w:vAlign w:val="center"/>
          </w:tcPr>
          <w:p w14:paraId="2961F7E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p>
        </w:tc>
        <w:tc>
          <w:tcPr>
            <w:tcW w:w="850" w:type="dxa"/>
            <w:tcBorders>
              <w:tl2br w:val="nil"/>
              <w:tr2bl w:val="nil"/>
            </w:tcBorders>
            <w:noWrap w:val="0"/>
            <w:vAlign w:val="center"/>
          </w:tcPr>
          <w:p w14:paraId="6713473A">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交通车辆噪声</w:t>
            </w:r>
          </w:p>
        </w:tc>
        <w:tc>
          <w:tcPr>
            <w:tcW w:w="1644" w:type="dxa"/>
            <w:tcBorders>
              <w:tl2br w:val="nil"/>
              <w:tr2bl w:val="nil"/>
            </w:tcBorders>
            <w:noWrap w:val="0"/>
            <w:vAlign w:val="center"/>
          </w:tcPr>
          <w:p w14:paraId="408D3ACD">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噪声</w:t>
            </w:r>
          </w:p>
        </w:tc>
        <w:tc>
          <w:tcPr>
            <w:tcW w:w="1556" w:type="dxa"/>
            <w:tcBorders>
              <w:tl2br w:val="nil"/>
              <w:tr2bl w:val="nil"/>
            </w:tcBorders>
            <w:noWrap w:val="0"/>
            <w:vAlign w:val="center"/>
          </w:tcPr>
          <w:p w14:paraId="161347B6">
            <w:pPr>
              <w:keepNext w:val="0"/>
              <w:keepLines w:val="0"/>
              <w:suppressLineNumbers w:val="0"/>
              <w:adjustRightInd w:val="0"/>
              <w:snapToGrid w:val="0"/>
              <w:spacing w:before="0" w:beforeAutospacing="0" w:after="0" w:afterAutospacing="0" w:line="240" w:lineRule="auto"/>
              <w:ind w:left="0" w:right="0" w:firstLine="0" w:firstLineChars="0"/>
              <w:jc w:val="center"/>
              <w:rPr>
                <w:rFonts w:hint="eastAsia" w:ascii="Times New Roman" w:eastAsia="宋体"/>
                <w:color w:val="auto"/>
                <w:sz w:val="21"/>
                <w:szCs w:val="21"/>
                <w:highlight w:val="none"/>
                <w:lang w:eastAsia="zh-CN" w:bidi="ar"/>
              </w:rPr>
            </w:pPr>
            <w:r>
              <w:rPr>
                <w:rFonts w:hint="eastAsia" w:ascii="Times New Roman"/>
                <w:color w:val="auto"/>
                <w:sz w:val="21"/>
                <w:szCs w:val="21"/>
                <w:highlight w:val="none"/>
                <w:lang w:bidi="ar"/>
              </w:rPr>
              <w:t>噪声级（7.5m处）约69.25dB</w:t>
            </w:r>
            <w:r>
              <w:rPr>
                <w:rFonts w:hint="eastAsia" w:ascii="Times New Roman"/>
                <w:color w:val="auto"/>
                <w:sz w:val="21"/>
                <w:szCs w:val="21"/>
                <w:highlight w:val="none"/>
                <w:lang w:eastAsia="zh-CN" w:bidi="ar"/>
              </w:rPr>
              <w:t>（</w:t>
            </w:r>
            <w:r>
              <w:rPr>
                <w:rFonts w:hint="eastAsia" w:ascii="Times New Roman"/>
                <w:color w:val="auto"/>
                <w:sz w:val="21"/>
                <w:szCs w:val="21"/>
                <w:highlight w:val="none"/>
                <w:lang w:bidi="ar"/>
              </w:rPr>
              <w:t>A</w:t>
            </w:r>
            <w:r>
              <w:rPr>
                <w:rFonts w:hint="eastAsia" w:ascii="Times New Roman"/>
                <w:color w:val="auto"/>
                <w:sz w:val="21"/>
                <w:szCs w:val="21"/>
                <w:highlight w:val="none"/>
                <w:lang w:eastAsia="zh-CN" w:bidi="ar"/>
              </w:rPr>
              <w:t>）</w:t>
            </w:r>
          </w:p>
        </w:tc>
        <w:tc>
          <w:tcPr>
            <w:tcW w:w="3024" w:type="dxa"/>
            <w:tcBorders>
              <w:tl2br w:val="nil"/>
              <w:tr2bl w:val="nil"/>
            </w:tcBorders>
            <w:noWrap w:val="0"/>
            <w:vAlign w:val="center"/>
          </w:tcPr>
          <w:p w14:paraId="153DBB5B">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z w:val="21"/>
                <w:szCs w:val="21"/>
                <w:highlight w:val="none"/>
                <w:lang w:bidi="ar"/>
              </w:rPr>
            </w:pPr>
            <w:r>
              <w:rPr>
                <w:rFonts w:ascii="Times New Roman"/>
                <w:color w:val="auto"/>
                <w:sz w:val="21"/>
                <w:szCs w:val="21"/>
                <w:highlight w:val="none"/>
                <w:lang w:bidi="ar"/>
              </w:rPr>
              <w:t>加强机动车辆管理，加强作业机械维修</w:t>
            </w:r>
            <w:r>
              <w:rPr>
                <w:rFonts w:hint="eastAsia" w:ascii="Times New Roman"/>
                <w:color w:val="auto"/>
                <w:sz w:val="21"/>
                <w:szCs w:val="21"/>
                <w:highlight w:val="none"/>
                <w:lang w:val="en-US" w:eastAsia="zh-CN" w:bidi="ar"/>
              </w:rPr>
              <w:t>保养，</w:t>
            </w:r>
            <w:r>
              <w:rPr>
                <w:rFonts w:ascii="Times New Roman"/>
                <w:color w:val="auto"/>
                <w:sz w:val="21"/>
                <w:szCs w:val="21"/>
                <w:highlight w:val="none"/>
                <w:lang w:bidi="ar"/>
              </w:rPr>
              <w:t>敏感点情况设置车辆禁止鸣笛措施</w:t>
            </w:r>
          </w:p>
        </w:tc>
        <w:tc>
          <w:tcPr>
            <w:tcW w:w="1113" w:type="dxa"/>
            <w:tcBorders>
              <w:tl2br w:val="nil"/>
              <w:tr2bl w:val="nil"/>
            </w:tcBorders>
            <w:noWrap w:val="0"/>
            <w:vAlign w:val="center"/>
          </w:tcPr>
          <w:p w14:paraId="32940476">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pacing w:val="-7"/>
                <w:sz w:val="21"/>
                <w:szCs w:val="21"/>
                <w:highlight w:val="none"/>
                <w:lang w:bidi="ar"/>
              </w:rPr>
            </w:pPr>
            <w:r>
              <w:rPr>
                <w:rFonts w:ascii="Times New Roman"/>
                <w:color w:val="auto"/>
                <w:spacing w:val="-7"/>
                <w:sz w:val="21"/>
                <w:szCs w:val="21"/>
                <w:highlight w:val="none"/>
                <w:lang w:bidi="ar"/>
              </w:rPr>
              <w:t>符合《声环</w:t>
            </w:r>
            <w:r>
              <w:rPr>
                <w:rFonts w:hint="eastAsia" w:ascii="Times New Roman"/>
                <w:color w:val="auto"/>
                <w:spacing w:val="-7"/>
                <w:sz w:val="21"/>
                <w:szCs w:val="21"/>
                <w:highlight w:val="none"/>
                <w:lang w:eastAsia="zh-CN" w:bidi="ar"/>
              </w:rPr>
              <w:t>境质</w:t>
            </w:r>
            <w:r>
              <w:rPr>
                <w:rFonts w:ascii="Times New Roman"/>
                <w:color w:val="auto"/>
                <w:spacing w:val="-7"/>
                <w:sz w:val="21"/>
                <w:szCs w:val="21"/>
                <w:highlight w:val="none"/>
                <w:lang w:bidi="ar"/>
              </w:rPr>
              <w:t>量标准》</w:t>
            </w:r>
          </w:p>
          <w:p w14:paraId="49094451">
            <w:pPr>
              <w:keepNext w:val="0"/>
              <w:keepLines w:val="0"/>
              <w:suppressLineNumbers w:val="0"/>
              <w:adjustRightInd w:val="0"/>
              <w:snapToGrid w:val="0"/>
              <w:spacing w:before="0" w:beforeAutospacing="0" w:after="0" w:afterAutospacing="0" w:line="240" w:lineRule="auto"/>
              <w:ind w:left="0" w:right="0" w:firstLine="0" w:firstLineChars="0"/>
              <w:jc w:val="center"/>
              <w:rPr>
                <w:rFonts w:ascii="Times New Roman"/>
                <w:color w:val="auto"/>
                <w:spacing w:val="-7"/>
                <w:sz w:val="21"/>
                <w:szCs w:val="21"/>
                <w:highlight w:val="none"/>
                <w:lang w:bidi="ar"/>
              </w:rPr>
            </w:pPr>
            <w:r>
              <w:rPr>
                <w:rFonts w:ascii="Times New Roman"/>
                <w:color w:val="auto"/>
                <w:spacing w:val="-7"/>
                <w:sz w:val="21"/>
                <w:szCs w:val="21"/>
                <w:highlight w:val="none"/>
                <w:lang w:bidi="ar"/>
              </w:rPr>
              <w:t>（GB3096-2008）标准</w:t>
            </w:r>
          </w:p>
        </w:tc>
      </w:tr>
    </w:tbl>
    <w:p w14:paraId="0D949499">
      <w:pPr>
        <w:widowControl w:val="0"/>
        <w:spacing w:line="500" w:lineRule="exact"/>
        <w:rPr>
          <w:rFonts w:hint="eastAsia" w:asciiTheme="minorEastAsia" w:hAnsiTheme="minorEastAsia" w:eastAsiaTheme="minorEastAsia" w:cstheme="minorEastAsia"/>
          <w:color w:val="auto"/>
          <w:highlight w:val="none"/>
        </w:rPr>
        <w:sectPr>
          <w:pgSz w:w="11906" w:h="16838"/>
          <w:pgMar w:top="1800" w:right="1440" w:bottom="1800" w:left="1440" w:header="1418" w:footer="1418" w:gutter="0"/>
          <w:pgBorders>
            <w:top w:val="none" w:sz="0" w:space="0"/>
            <w:left w:val="none" w:sz="0" w:space="0"/>
            <w:bottom w:val="none" w:sz="0" w:space="0"/>
            <w:right w:val="none" w:sz="0" w:space="0"/>
          </w:pgBorders>
          <w:pgNumType w:fmt="numberInDash"/>
          <w:cols w:space="720" w:num="1"/>
          <w:docGrid w:linePitch="326" w:charSpace="0"/>
        </w:sectPr>
      </w:pPr>
    </w:p>
    <w:p w14:paraId="11C8DAFE">
      <w:pPr>
        <w:pStyle w:val="7"/>
        <w:widowControl w:val="0"/>
        <w:numPr>
          <w:ilvl w:val="2"/>
          <w:numId w:val="0"/>
        </w:numPr>
        <w:snapToGrid w:val="0"/>
        <w:spacing w:before="0" w:after="0" w:line="360" w:lineRule="auto"/>
        <w:ind w:leftChars="0"/>
        <w:jc w:val="both"/>
        <w:rPr>
          <w:rFonts w:hint="eastAsia" w:asciiTheme="minorEastAsia" w:hAnsiTheme="minorEastAsia" w:eastAsiaTheme="minorEastAsia" w:cstheme="minorEastAsia"/>
          <w:color w:val="auto"/>
          <w:highlight w:val="none"/>
        </w:rPr>
      </w:pPr>
      <w:bookmarkStart w:id="808" w:name="_Toc29468"/>
      <w:r>
        <w:rPr>
          <w:rFonts w:hint="eastAsia" w:asciiTheme="minorEastAsia" w:hAnsiTheme="minorEastAsia" w:eastAsiaTheme="minorEastAsia" w:cstheme="minorEastAsia"/>
          <w:color w:val="auto"/>
          <w:highlight w:val="none"/>
        </w:rPr>
        <w:t>8.1.5环保信息公开</w:t>
      </w:r>
      <w:bookmarkEnd w:id="808"/>
    </w:p>
    <w:p w14:paraId="342F0FFF">
      <w:pPr>
        <w:widowControl w:val="0"/>
        <w:snapToGrid w:val="0"/>
        <w:spacing w:line="360" w:lineRule="auto"/>
        <w:ind w:firstLine="482"/>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为了更好的完善企业环境管理工作，本评价建议企业建立环境信息公开制度，参照《企业事业单位环境信息公开办法》部令（第31号）中的相关要求，本项目可参考对社会公开以下环保信息。</w:t>
      </w:r>
    </w:p>
    <w:p w14:paraId="3E6B121F">
      <w:pPr>
        <w:widowControl w:val="0"/>
        <w:snapToGrid w:val="0"/>
        <w:spacing w:line="360" w:lineRule="auto"/>
        <w:ind w:firstLine="482"/>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（1）基础信息，包括单位名称、组织机构代码、法定代表人、生产地址、联系方式，以及生产经营和管理服务的主要内容、产品及规模；</w:t>
      </w:r>
    </w:p>
    <w:p w14:paraId="63752912">
      <w:pPr>
        <w:widowControl w:val="0"/>
        <w:snapToGrid w:val="0"/>
        <w:spacing w:line="360" w:lineRule="auto"/>
        <w:ind w:firstLine="482"/>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（2）排污信息，包括主要污染物及特征污染物的名称、排放方式、排放口数量和分布情况、排放浓度和总量、超标情况，以及执行的污染物排放标准、核定的排放总量；</w:t>
      </w:r>
    </w:p>
    <w:p w14:paraId="2C7509B8">
      <w:pPr>
        <w:widowControl w:val="0"/>
        <w:snapToGrid w:val="0"/>
        <w:spacing w:line="360" w:lineRule="auto"/>
        <w:ind w:firstLine="482"/>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（3）防治污染设施的建设和运行情况；</w:t>
      </w:r>
    </w:p>
    <w:p w14:paraId="0F0BF3CD">
      <w:pPr>
        <w:widowControl w:val="0"/>
        <w:snapToGrid w:val="0"/>
        <w:spacing w:line="360" w:lineRule="auto"/>
        <w:ind w:firstLine="482"/>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（4）建设项目环境影响评价及其他环境保护行政许可情况。</w:t>
      </w:r>
    </w:p>
    <w:p w14:paraId="03B20E43">
      <w:pPr>
        <w:pStyle w:val="6"/>
        <w:widowControl w:val="0"/>
        <w:snapToGrid w:val="0"/>
        <w:spacing w:before="0" w:after="0" w:line="360" w:lineRule="auto"/>
        <w:jc w:val="both"/>
        <w:rPr>
          <w:rFonts w:hint="eastAsia" w:asciiTheme="minorEastAsia" w:hAnsiTheme="minorEastAsia" w:eastAsiaTheme="minorEastAsia" w:cstheme="minorEastAsia"/>
          <w:color w:val="auto"/>
          <w:highlight w:val="none"/>
        </w:rPr>
      </w:pPr>
      <w:bookmarkStart w:id="809" w:name="_Toc4310"/>
      <w:bookmarkStart w:id="810" w:name="_Toc133138880"/>
      <w:bookmarkStart w:id="811" w:name="_Toc165190401"/>
      <w:bookmarkStart w:id="812" w:name="_Toc22859"/>
      <w:bookmarkStart w:id="813" w:name="_Toc133237070"/>
      <w:bookmarkStart w:id="814" w:name="_Toc4677"/>
      <w:bookmarkStart w:id="815" w:name="_Toc334779748"/>
      <w:bookmarkStart w:id="816" w:name="_Toc173213324"/>
      <w:bookmarkStart w:id="817" w:name="_Toc133644733"/>
      <w:bookmarkStart w:id="818" w:name="_Toc133669108"/>
      <w:bookmarkStart w:id="819" w:name="_Toc133688743"/>
      <w:bookmarkStart w:id="820" w:name="_Toc526865662"/>
      <w:r>
        <w:rPr>
          <w:rFonts w:hint="eastAsia" w:asciiTheme="minorEastAsia" w:hAnsiTheme="minorEastAsia" w:eastAsiaTheme="minorEastAsia" w:cstheme="minorEastAsia"/>
          <w:color w:val="auto"/>
          <w:highlight w:val="none"/>
        </w:rPr>
        <w:t>8.2环境监测计划</w:t>
      </w:r>
      <w:bookmarkEnd w:id="809"/>
      <w:bookmarkEnd w:id="810"/>
      <w:bookmarkEnd w:id="811"/>
      <w:bookmarkEnd w:id="812"/>
      <w:bookmarkEnd w:id="813"/>
      <w:bookmarkEnd w:id="814"/>
      <w:bookmarkEnd w:id="815"/>
      <w:bookmarkEnd w:id="816"/>
      <w:bookmarkEnd w:id="817"/>
      <w:bookmarkEnd w:id="818"/>
      <w:bookmarkEnd w:id="819"/>
      <w:bookmarkEnd w:id="820"/>
    </w:p>
    <w:p w14:paraId="03D8D1C2">
      <w:pPr>
        <w:widowControl w:val="0"/>
        <w:snapToGrid w:val="0"/>
        <w:spacing w:line="360" w:lineRule="auto"/>
        <w:ind w:firstLine="480" w:firstLineChars="200"/>
        <w:jc w:val="both"/>
        <w:rPr>
          <w:rFonts w:hint="eastAsia" w:asciiTheme="minorEastAsia" w:hAnsiTheme="minorEastAsia" w:eastAsiaTheme="minorEastAsia" w:cstheme="minorEastAsia"/>
          <w:snapToGrid w:val="0"/>
          <w:color w:val="auto"/>
          <w:highlight w:val="none"/>
        </w:rPr>
      </w:pPr>
      <w:r>
        <w:rPr>
          <w:rFonts w:hint="eastAsia" w:asciiTheme="minorEastAsia" w:hAnsiTheme="minorEastAsia" w:eastAsiaTheme="minorEastAsia" w:cstheme="minorEastAsia"/>
          <w:snapToGrid w:val="0"/>
          <w:color w:val="auto"/>
          <w:highlight w:val="none"/>
        </w:rPr>
        <w:t>环境监测是环境管理的依据和基础，它为环境统计和环境定量评价提供科学依据，并据此制定防治对策和规划。</w:t>
      </w:r>
    </w:p>
    <w:p w14:paraId="112DE03F">
      <w:pPr>
        <w:pStyle w:val="7"/>
        <w:widowControl w:val="0"/>
        <w:numPr>
          <w:ilvl w:val="2"/>
          <w:numId w:val="0"/>
        </w:numPr>
        <w:snapToGrid w:val="0"/>
        <w:spacing w:before="0" w:after="0" w:line="360" w:lineRule="auto"/>
        <w:ind w:leftChars="0"/>
        <w:jc w:val="both"/>
        <w:rPr>
          <w:rFonts w:hint="eastAsia" w:asciiTheme="minorEastAsia" w:hAnsiTheme="minorEastAsia" w:eastAsiaTheme="minorEastAsia" w:cstheme="minorEastAsia"/>
          <w:color w:val="auto"/>
          <w:highlight w:val="none"/>
        </w:rPr>
      </w:pPr>
      <w:bookmarkStart w:id="821" w:name="_Toc3568"/>
      <w:r>
        <w:rPr>
          <w:rFonts w:hint="eastAsia" w:asciiTheme="minorEastAsia" w:hAnsiTheme="minorEastAsia" w:eastAsiaTheme="minorEastAsia" w:cstheme="minorEastAsia"/>
          <w:color w:val="auto"/>
          <w:highlight w:val="none"/>
        </w:rPr>
        <w:t>8.2.1环境监测的必要性</w:t>
      </w:r>
      <w:bookmarkEnd w:id="821"/>
    </w:p>
    <w:p w14:paraId="43F5CC5D">
      <w:pPr>
        <w:widowControl w:val="0"/>
        <w:snapToGrid w:val="0"/>
        <w:spacing w:line="360" w:lineRule="auto"/>
        <w:ind w:firstLine="480" w:firstLineChars="200"/>
        <w:jc w:val="both"/>
        <w:rPr>
          <w:rFonts w:hint="eastAsia" w:asciiTheme="minorEastAsia" w:hAnsiTheme="minorEastAsia" w:eastAsiaTheme="minorEastAsia" w:cstheme="minorEastAsia"/>
          <w:snapToGrid w:val="0"/>
          <w:color w:val="auto"/>
          <w:szCs w:val="22"/>
          <w:highlight w:val="none"/>
        </w:rPr>
      </w:pPr>
      <w:r>
        <w:rPr>
          <w:rFonts w:hint="eastAsia" w:asciiTheme="minorEastAsia" w:hAnsiTheme="minorEastAsia" w:eastAsiaTheme="minorEastAsia" w:cstheme="minorEastAsia"/>
          <w:snapToGrid w:val="0"/>
          <w:color w:val="auto"/>
          <w:szCs w:val="22"/>
          <w:highlight w:val="none"/>
        </w:rPr>
        <w:t>环境监测既是项目执行管理的需要，也是环保部门了解项目执行情况、研究对策，实行宏观指导的依据。通过现场监测，能及时发现问题和了解运行数据是否理想，达到总结经验、解决问题、改善管理的目的，以确保项目顺利实现预期目的。</w:t>
      </w:r>
    </w:p>
    <w:p w14:paraId="6DD62065">
      <w:pPr>
        <w:pStyle w:val="7"/>
        <w:widowControl w:val="0"/>
        <w:numPr>
          <w:ilvl w:val="2"/>
          <w:numId w:val="0"/>
        </w:numPr>
        <w:snapToGrid w:val="0"/>
        <w:spacing w:before="0" w:after="0" w:line="360" w:lineRule="auto"/>
        <w:ind w:leftChars="0"/>
        <w:jc w:val="both"/>
        <w:rPr>
          <w:rFonts w:hint="eastAsia" w:asciiTheme="minorEastAsia" w:hAnsiTheme="minorEastAsia" w:eastAsiaTheme="minorEastAsia" w:cstheme="minorEastAsia"/>
          <w:color w:val="auto"/>
          <w:highlight w:val="none"/>
        </w:rPr>
      </w:pPr>
      <w:bookmarkStart w:id="822" w:name="_Toc30130"/>
      <w:r>
        <w:rPr>
          <w:rFonts w:hint="eastAsia" w:asciiTheme="minorEastAsia" w:hAnsiTheme="minorEastAsia" w:eastAsiaTheme="minorEastAsia" w:cstheme="minorEastAsia"/>
          <w:color w:val="auto"/>
          <w:highlight w:val="none"/>
        </w:rPr>
        <w:t>8.2.2环境监测机构设置</w:t>
      </w:r>
      <w:bookmarkEnd w:id="822"/>
    </w:p>
    <w:p w14:paraId="654197C4">
      <w:pPr>
        <w:widowControl w:val="0"/>
        <w:snapToGrid w:val="0"/>
        <w:spacing w:line="360" w:lineRule="auto"/>
        <w:ind w:firstLine="480" w:firstLineChars="200"/>
        <w:jc w:val="both"/>
        <w:rPr>
          <w:rFonts w:hint="eastAsia" w:asciiTheme="minorEastAsia" w:hAnsiTheme="minorEastAsia" w:eastAsiaTheme="minorEastAsia" w:cstheme="minorEastAsia"/>
          <w:snapToGrid w:val="0"/>
          <w:color w:val="auto"/>
          <w:szCs w:val="22"/>
          <w:highlight w:val="none"/>
        </w:rPr>
      </w:pPr>
      <w:r>
        <w:rPr>
          <w:rFonts w:hint="eastAsia" w:asciiTheme="minorEastAsia" w:hAnsiTheme="minorEastAsia" w:eastAsiaTheme="minorEastAsia" w:cstheme="minorEastAsia"/>
          <w:snapToGrid w:val="0"/>
          <w:color w:val="auto"/>
          <w:szCs w:val="22"/>
          <w:highlight w:val="none"/>
        </w:rPr>
        <w:t>为了及时准确地了解项目的污染物排放情况和污染物治理设施的运行状况，企业应委托有资质的监测机构进行常规监测。</w:t>
      </w:r>
    </w:p>
    <w:p w14:paraId="6AD578A0">
      <w:pPr>
        <w:pStyle w:val="7"/>
        <w:widowControl w:val="0"/>
        <w:numPr>
          <w:ilvl w:val="2"/>
          <w:numId w:val="0"/>
        </w:numPr>
        <w:snapToGrid w:val="0"/>
        <w:spacing w:before="0" w:after="0" w:line="360" w:lineRule="auto"/>
        <w:ind w:leftChars="0"/>
        <w:jc w:val="both"/>
        <w:rPr>
          <w:rFonts w:hint="eastAsia" w:asciiTheme="minorEastAsia" w:hAnsiTheme="minorEastAsia" w:eastAsiaTheme="minorEastAsia" w:cstheme="minorEastAsia"/>
          <w:color w:val="auto"/>
          <w:highlight w:val="none"/>
        </w:rPr>
      </w:pPr>
      <w:bookmarkStart w:id="823" w:name="_Toc5136"/>
      <w:r>
        <w:rPr>
          <w:rFonts w:hint="eastAsia" w:asciiTheme="minorEastAsia" w:hAnsiTheme="minorEastAsia" w:eastAsiaTheme="minorEastAsia" w:cstheme="minorEastAsia"/>
          <w:color w:val="auto"/>
          <w:highlight w:val="none"/>
        </w:rPr>
        <w:t>8.2.</w:t>
      </w:r>
      <w:bookmarkEnd w:id="823"/>
      <w:r>
        <w:rPr>
          <w:rFonts w:hint="eastAsia" w:asciiTheme="minorEastAsia" w:hAnsiTheme="minorEastAsia" w:eastAsiaTheme="minorEastAsia" w:cstheme="minorEastAsia"/>
          <w:color w:val="auto"/>
          <w:highlight w:val="none"/>
        </w:rPr>
        <w:t>3排污口设置及规范化管理</w:t>
      </w:r>
    </w:p>
    <w:p w14:paraId="5481ACD1">
      <w:pPr>
        <w:widowControl w:val="0"/>
        <w:snapToGrid w:val="0"/>
        <w:spacing w:line="360" w:lineRule="auto"/>
        <w:ind w:firstLine="480" w:firstLineChars="200"/>
        <w:jc w:val="both"/>
        <w:rPr>
          <w:rFonts w:hint="eastAsia" w:asciiTheme="minorEastAsia" w:hAnsiTheme="minorEastAsia" w:eastAsiaTheme="minorEastAsia" w:cstheme="minorEastAsia"/>
          <w:snapToGrid w:val="0"/>
          <w:color w:val="auto"/>
          <w:szCs w:val="22"/>
          <w:highlight w:val="none"/>
        </w:rPr>
      </w:pPr>
      <w:bookmarkStart w:id="824" w:name="_Toc14212"/>
      <w:r>
        <w:rPr>
          <w:rFonts w:hint="eastAsia" w:asciiTheme="minorEastAsia" w:hAnsiTheme="minorEastAsia" w:eastAsiaTheme="minorEastAsia" w:cstheme="minorEastAsia"/>
          <w:snapToGrid w:val="0"/>
          <w:color w:val="auto"/>
          <w:szCs w:val="22"/>
          <w:highlight w:val="none"/>
        </w:rPr>
        <w:t>根据国家标准《环境保护图形标志—排放口（源）》和国家环境保护总局《排污口规范化整治要求》（试行）的技术要求，企业所有排放口（包括水、气、声、渣）必须按照“便于采样、便于计量检测、便于日常现场监督检查”的原则和规范化要求，设置与之相适应的环境保护图形标志牌，绘制企业排放口分布图，对治理设施安装运行监控装置、排污口的规范化要符合有关环保要求。</w:t>
      </w:r>
    </w:p>
    <w:p w14:paraId="02973FB6">
      <w:pPr>
        <w:widowControl w:val="0"/>
        <w:snapToGrid w:val="0"/>
        <w:spacing w:line="360" w:lineRule="auto"/>
        <w:ind w:firstLine="480" w:firstLineChars="200"/>
        <w:jc w:val="both"/>
        <w:rPr>
          <w:rFonts w:hint="eastAsia" w:asciiTheme="minorEastAsia" w:hAnsiTheme="minorEastAsia" w:eastAsiaTheme="minorEastAsia" w:cstheme="minorEastAsia"/>
          <w:snapToGrid w:val="0"/>
          <w:color w:val="auto"/>
          <w:szCs w:val="22"/>
          <w:highlight w:val="none"/>
        </w:rPr>
      </w:pPr>
      <w:r>
        <w:rPr>
          <w:rFonts w:hint="eastAsia" w:asciiTheme="minorEastAsia" w:hAnsiTheme="minorEastAsia" w:eastAsiaTheme="minorEastAsia" w:cstheme="minorEastAsia"/>
          <w:snapToGrid w:val="0"/>
          <w:color w:val="auto"/>
          <w:szCs w:val="22"/>
          <w:highlight w:val="none"/>
        </w:rPr>
        <w:t>1、排污口设置标志牌要求</w:t>
      </w:r>
    </w:p>
    <w:p w14:paraId="64120E13">
      <w:pPr>
        <w:widowControl w:val="0"/>
        <w:snapToGrid w:val="0"/>
        <w:spacing w:line="360" w:lineRule="auto"/>
        <w:ind w:firstLine="480" w:firstLineChars="200"/>
        <w:jc w:val="both"/>
        <w:rPr>
          <w:rFonts w:hint="eastAsia" w:asciiTheme="minorEastAsia" w:hAnsiTheme="minorEastAsia" w:eastAsiaTheme="minorEastAsia" w:cstheme="minorEastAsia"/>
          <w:snapToGrid w:val="0"/>
          <w:color w:val="auto"/>
          <w:szCs w:val="22"/>
          <w:highlight w:val="none"/>
        </w:rPr>
      </w:pPr>
      <w:r>
        <w:rPr>
          <w:rFonts w:hint="eastAsia" w:asciiTheme="minorEastAsia" w:hAnsiTheme="minorEastAsia" w:eastAsiaTheme="minorEastAsia" w:cstheme="minorEastAsia"/>
          <w:snapToGrid w:val="0"/>
          <w:color w:val="auto"/>
          <w:szCs w:val="22"/>
          <w:highlight w:val="none"/>
        </w:rPr>
        <w:t>复垦区入口处设置明显的标志，标志的设置应严格执行《环境保护图形标志排放口(源》(GB15562.1-1995)和《一般工业固体废物贮存和填埋污染控制标准》(GB18599-2020)中有关规定。环境保护图形标志牌设置位置应距离污染物排放口及采样点较近且醒目处，设置高度一般为标志牌上缘距离地面约2m。</w:t>
      </w:r>
    </w:p>
    <w:p w14:paraId="68E9198B">
      <w:pPr>
        <w:bidi w:val="0"/>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drawing>
          <wp:inline distT="0" distB="0" distL="0" distR="0">
            <wp:extent cx="4514850" cy="2362200"/>
            <wp:effectExtent l="0" t="0" r="0" b="0"/>
            <wp:docPr id="43" name="currentImg" descr="?url=http%3A%2F%2Fdingy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currentImg" descr="?url=http%3A%2F%2Fdingyu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4514850" cy="2362200"/>
                    </a:xfrm>
                    <a:prstGeom prst="rect">
                      <a:avLst/>
                    </a:prstGeom>
                    <a:noFill/>
                    <a:ln>
                      <a:noFill/>
                    </a:ln>
                  </pic:spPr>
                </pic:pic>
              </a:graphicData>
            </a:graphic>
          </wp:inline>
        </w:drawing>
      </w:r>
    </w:p>
    <w:p w14:paraId="111C25DC">
      <w:pPr>
        <w:widowControl w:val="0"/>
        <w:snapToGrid w:val="0"/>
        <w:spacing w:line="360" w:lineRule="auto"/>
        <w:ind w:firstLine="475"/>
        <w:jc w:val="center"/>
        <w:rPr>
          <w:rFonts w:hint="eastAsia"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rPr>
        <w:t>图8</w:t>
      </w:r>
      <w:r>
        <w:rPr>
          <w:rFonts w:hint="eastAsia" w:asciiTheme="minorEastAsia" w:hAnsiTheme="minorEastAsia" w:eastAsiaTheme="minorEastAsia" w:cstheme="minorEastAsia"/>
          <w:b/>
          <w:bCs/>
          <w:color w:val="auto"/>
          <w:highlight w:val="none"/>
          <w:lang w:val="en-US" w:eastAsia="zh-CN"/>
        </w:rPr>
        <w:t>.</w:t>
      </w:r>
      <w:r>
        <w:rPr>
          <w:rFonts w:hint="eastAsia" w:asciiTheme="minorEastAsia" w:hAnsiTheme="minorEastAsia" w:eastAsiaTheme="minorEastAsia" w:cstheme="minorEastAsia"/>
          <w:b/>
          <w:bCs/>
          <w:color w:val="auto"/>
          <w:highlight w:val="none"/>
        </w:rPr>
        <w:t>2-1</w:t>
      </w:r>
      <w:r>
        <w:rPr>
          <w:rFonts w:hint="eastAsia" w:asciiTheme="minorEastAsia" w:hAnsiTheme="minorEastAsia" w:eastAsiaTheme="minorEastAsia" w:cstheme="minorEastAsia"/>
          <w:b/>
          <w:bCs/>
          <w:color w:val="auto"/>
          <w:highlight w:val="none"/>
          <w:lang w:val="en-US" w:eastAsia="zh-CN"/>
        </w:rPr>
        <w:t xml:space="preserve">  </w:t>
      </w:r>
      <w:r>
        <w:rPr>
          <w:rFonts w:hint="eastAsia" w:asciiTheme="minorEastAsia" w:hAnsiTheme="minorEastAsia" w:eastAsiaTheme="minorEastAsia" w:cstheme="minorEastAsia"/>
          <w:b/>
          <w:bCs/>
          <w:color w:val="auto"/>
          <w:highlight w:val="none"/>
        </w:rPr>
        <w:t>环境保护图形标志</w:t>
      </w:r>
    </w:p>
    <w:p w14:paraId="42888E20">
      <w:pPr>
        <w:pStyle w:val="2"/>
        <w:widowControl w:val="0"/>
        <w:snapToGrid w:val="0"/>
        <w:spacing w:after="0"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2、排污口的建档管理</w:t>
      </w:r>
    </w:p>
    <w:p w14:paraId="0F0635A1">
      <w:pPr>
        <w:widowControl w:val="0"/>
        <w:snapToGrid w:val="0"/>
        <w:spacing w:line="360" w:lineRule="auto"/>
        <w:ind w:firstLine="480" w:firstLineChars="200"/>
        <w:jc w:val="both"/>
        <w:rPr>
          <w:rFonts w:hint="eastAsia" w:asciiTheme="minorEastAsia" w:hAnsiTheme="minorEastAsia" w:eastAsiaTheme="minorEastAsia" w:cstheme="minorEastAsia"/>
          <w:snapToGrid w:val="0"/>
          <w:color w:val="auto"/>
          <w:szCs w:val="22"/>
          <w:highlight w:val="none"/>
        </w:rPr>
      </w:pPr>
      <w:r>
        <w:rPr>
          <w:rFonts w:hint="eastAsia" w:asciiTheme="minorEastAsia" w:hAnsiTheme="minorEastAsia" w:eastAsiaTheme="minorEastAsia" w:cstheme="minorEastAsia"/>
          <w:snapToGrid w:val="0"/>
          <w:color w:val="auto"/>
          <w:szCs w:val="22"/>
          <w:highlight w:val="none"/>
        </w:rPr>
        <w:t>使用国家</w:t>
      </w:r>
      <w:r>
        <w:rPr>
          <w:rFonts w:hint="eastAsia" w:asciiTheme="minorEastAsia" w:hAnsiTheme="minorEastAsia" w:eastAsiaTheme="minorEastAsia" w:cstheme="minorEastAsia"/>
          <w:snapToGrid w:val="0"/>
          <w:color w:val="auto"/>
          <w:szCs w:val="22"/>
          <w:highlight w:val="none"/>
          <w:lang w:eastAsia="zh-CN"/>
        </w:rPr>
        <w:t>生态环境部</w:t>
      </w:r>
      <w:r>
        <w:rPr>
          <w:rFonts w:hint="eastAsia" w:asciiTheme="minorEastAsia" w:hAnsiTheme="minorEastAsia" w:eastAsiaTheme="minorEastAsia" w:cstheme="minorEastAsia"/>
          <w:snapToGrid w:val="0"/>
          <w:color w:val="auto"/>
          <w:szCs w:val="22"/>
          <w:highlight w:val="none"/>
        </w:rPr>
        <w:t>统一印制的《中华人民共和国规范化排污口标志登记证》并按要求填写有关内容。</w:t>
      </w:r>
    </w:p>
    <w:p w14:paraId="0512E044">
      <w:pPr>
        <w:pStyle w:val="7"/>
        <w:widowControl w:val="0"/>
        <w:numPr>
          <w:ilvl w:val="2"/>
          <w:numId w:val="0"/>
        </w:numPr>
        <w:snapToGrid w:val="0"/>
        <w:spacing w:before="0" w:after="0" w:line="360" w:lineRule="auto"/>
        <w:ind w:leftChars="0"/>
        <w:jc w:val="both"/>
        <w:rPr>
          <w:rFonts w:hint="eastAsia" w:asciiTheme="minorEastAsia" w:hAnsiTheme="minorEastAsia" w:eastAsiaTheme="minorEastAsia" w:cstheme="minorEastAsia"/>
          <w:b w:val="0"/>
          <w:bCs/>
          <w:snapToGrid w:val="0"/>
          <w:color w:val="auto"/>
          <w:szCs w:val="32"/>
          <w:highlight w:val="none"/>
        </w:rPr>
      </w:pPr>
      <w:r>
        <w:rPr>
          <w:rFonts w:hint="eastAsia" w:asciiTheme="minorEastAsia" w:hAnsiTheme="minorEastAsia" w:eastAsiaTheme="minorEastAsia" w:cstheme="minorEastAsia"/>
          <w:color w:val="auto"/>
          <w:highlight w:val="none"/>
        </w:rPr>
        <w:t>8.2.4环境监测计划</w:t>
      </w:r>
      <w:bookmarkEnd w:id="824"/>
    </w:p>
    <w:p w14:paraId="4865068F">
      <w:pPr>
        <w:widowControl w:val="0"/>
        <w:snapToGrid w:val="0"/>
        <w:spacing w:line="360" w:lineRule="auto"/>
        <w:ind w:firstLine="480" w:firstLineChars="200"/>
        <w:jc w:val="both"/>
        <w:rPr>
          <w:rFonts w:hint="eastAsia" w:asciiTheme="minorEastAsia" w:hAnsiTheme="minorEastAsia" w:eastAsiaTheme="minorEastAsia" w:cstheme="minorEastAsia"/>
          <w:snapToGrid w:val="0"/>
          <w:color w:val="auto"/>
          <w:szCs w:val="22"/>
          <w:highlight w:val="none"/>
        </w:rPr>
      </w:pPr>
      <w:r>
        <w:rPr>
          <w:rFonts w:hint="eastAsia" w:asciiTheme="minorEastAsia" w:hAnsiTheme="minorEastAsia" w:eastAsiaTheme="minorEastAsia" w:cstheme="minorEastAsia"/>
          <w:snapToGrid w:val="0"/>
          <w:color w:val="auto"/>
          <w:szCs w:val="22"/>
          <w:highlight w:val="none"/>
        </w:rPr>
        <w:t>（1）环境质量监测</w:t>
      </w:r>
    </w:p>
    <w:p w14:paraId="4A8E3F84">
      <w:pPr>
        <w:widowControl w:val="0"/>
        <w:snapToGrid w:val="0"/>
        <w:spacing w:line="360" w:lineRule="auto"/>
        <w:ind w:firstLine="480" w:firstLineChars="200"/>
        <w:jc w:val="both"/>
        <w:rPr>
          <w:rFonts w:hint="eastAsia" w:asciiTheme="minorEastAsia" w:hAnsiTheme="minorEastAsia" w:eastAsiaTheme="minorEastAsia" w:cstheme="minorEastAsia"/>
          <w:snapToGrid w:val="0"/>
          <w:color w:val="auto"/>
          <w:szCs w:val="22"/>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720" w:num="1"/>
          <w:docGrid w:type="linesAndChars" w:linePitch="326" w:charSpace="0"/>
        </w:sectPr>
      </w:pPr>
      <w:r>
        <w:rPr>
          <w:rFonts w:hint="eastAsia" w:asciiTheme="minorEastAsia" w:hAnsiTheme="minorEastAsia" w:eastAsiaTheme="minorEastAsia" w:cstheme="minorEastAsia"/>
          <w:snapToGrid w:val="0"/>
          <w:color w:val="auto"/>
          <w:szCs w:val="22"/>
          <w:highlight w:val="none"/>
        </w:rPr>
        <w:t>制定环境监测计划的目的是为了监督各项措施的落实，以便根据监测结果适时调整本项目相关的环境保护行动计划，为环保措施的实施时间和实施方案提供依据。环境监测单位应根据国家</w:t>
      </w:r>
      <w:r>
        <w:rPr>
          <w:rFonts w:hint="eastAsia" w:asciiTheme="minorEastAsia" w:hAnsiTheme="minorEastAsia" w:eastAsiaTheme="minorEastAsia" w:cstheme="minorEastAsia"/>
          <w:snapToGrid w:val="0"/>
          <w:color w:val="auto"/>
          <w:szCs w:val="22"/>
          <w:highlight w:val="none"/>
          <w:lang w:eastAsia="zh-CN"/>
        </w:rPr>
        <w:t>生态环境部</w:t>
      </w:r>
      <w:r>
        <w:rPr>
          <w:rFonts w:hint="eastAsia" w:asciiTheme="minorEastAsia" w:hAnsiTheme="minorEastAsia" w:eastAsiaTheme="minorEastAsia" w:cstheme="minorEastAsia"/>
          <w:snapToGrid w:val="0"/>
          <w:color w:val="auto"/>
          <w:szCs w:val="22"/>
          <w:highlight w:val="none"/>
        </w:rPr>
        <w:t>颁布的各项导则和标准规定的方法进行采样、保存和分析样品，各污染物监测和分析方法按照《排污单位自行监测技术指南总则》（HJ819-2017）</w:t>
      </w:r>
      <w:r>
        <w:rPr>
          <w:rFonts w:hint="eastAsia" w:asciiTheme="minorEastAsia" w:hAnsiTheme="minorEastAsia" w:eastAsiaTheme="minorEastAsia" w:cstheme="minorEastAsia"/>
          <w:snapToGrid w:val="0"/>
          <w:color w:val="auto"/>
          <w:szCs w:val="22"/>
          <w:highlight w:val="none"/>
          <w:lang w:eastAsia="zh-CN"/>
        </w:rPr>
        <w:t>、</w:t>
      </w:r>
      <w:r>
        <w:rPr>
          <w:rFonts w:hint="eastAsia" w:asciiTheme="minorEastAsia" w:hAnsiTheme="minorEastAsia" w:eastAsiaTheme="minorEastAsia" w:cstheme="minorEastAsia"/>
          <w:snapToGrid w:val="0"/>
          <w:color w:val="auto"/>
          <w:szCs w:val="22"/>
          <w:highlight w:val="none"/>
        </w:rPr>
        <w:t>《排污单位自行监测技术指南  工业固体废物和危险废物治理》（HJ1250-2022）、《一般工业固体废物贮存和填埋污染控制标准》（GB18599-2020）。排污单位自行监测信息公开内容及方式按照《企业事业单位环境信息公开办法》（环境保护部令第31号）执行，企业自行监测计划见表8</w:t>
      </w:r>
      <w:r>
        <w:rPr>
          <w:rFonts w:hint="eastAsia" w:asciiTheme="minorEastAsia" w:hAnsiTheme="minorEastAsia" w:eastAsiaTheme="minorEastAsia" w:cstheme="minorEastAsia"/>
          <w:snapToGrid w:val="0"/>
          <w:color w:val="auto"/>
          <w:szCs w:val="22"/>
          <w:highlight w:val="none"/>
          <w:lang w:val="en-US" w:eastAsia="zh-CN"/>
        </w:rPr>
        <w:t>.</w:t>
      </w:r>
      <w:r>
        <w:rPr>
          <w:rFonts w:hint="eastAsia" w:asciiTheme="minorEastAsia" w:hAnsiTheme="minorEastAsia" w:eastAsiaTheme="minorEastAsia" w:cstheme="minorEastAsia"/>
          <w:snapToGrid w:val="0"/>
          <w:color w:val="auto"/>
          <w:szCs w:val="22"/>
          <w:highlight w:val="none"/>
        </w:rPr>
        <w:t>2-1。企业委托有资质的监测单位进行污染源监测，并将监测报告存档。</w:t>
      </w:r>
    </w:p>
    <w:p w14:paraId="0D79FFE4">
      <w:pPr>
        <w:widowControl w:val="0"/>
        <w:snapToGrid w:val="0"/>
        <w:spacing w:line="240" w:lineRule="auto"/>
        <w:ind w:firstLine="200"/>
        <w:jc w:val="center"/>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表8</w:t>
      </w:r>
      <w:r>
        <w:rPr>
          <w:rFonts w:hint="eastAsia" w:asciiTheme="minorEastAsia" w:hAnsiTheme="minorEastAsia" w:eastAsiaTheme="minorEastAsia" w:cstheme="minorEastAsia"/>
          <w:b/>
          <w:color w:val="auto"/>
          <w:highlight w:val="none"/>
          <w:lang w:val="en-US" w:eastAsia="zh-CN"/>
        </w:rPr>
        <w:t>.</w:t>
      </w:r>
      <w:r>
        <w:rPr>
          <w:rFonts w:hint="eastAsia" w:asciiTheme="minorEastAsia" w:hAnsiTheme="minorEastAsia" w:eastAsiaTheme="minorEastAsia" w:cstheme="minorEastAsia"/>
          <w:b/>
          <w:color w:val="auto"/>
          <w:highlight w:val="none"/>
        </w:rPr>
        <w:t>2-1</w:t>
      </w:r>
      <w:r>
        <w:rPr>
          <w:rFonts w:hint="eastAsia" w:asciiTheme="minorEastAsia" w:hAnsiTheme="minorEastAsia" w:eastAsiaTheme="minorEastAsia" w:cstheme="minorEastAsia"/>
          <w:b/>
          <w:color w:val="auto"/>
          <w:highlight w:val="none"/>
          <w:lang w:val="en-US" w:eastAsia="zh-CN"/>
        </w:rPr>
        <w:t xml:space="preserve">  </w:t>
      </w:r>
      <w:r>
        <w:rPr>
          <w:rFonts w:hint="eastAsia" w:asciiTheme="minorEastAsia" w:hAnsiTheme="minorEastAsia" w:eastAsiaTheme="minorEastAsia" w:cstheme="minorEastAsia"/>
          <w:b/>
          <w:color w:val="auto"/>
          <w:highlight w:val="none"/>
        </w:rPr>
        <w:t>环境监测计划</w:t>
      </w:r>
    </w:p>
    <w:tbl>
      <w:tblPr>
        <w:tblStyle w:val="1346"/>
        <w:tblW w:w="4959" w:type="pct"/>
        <w:tblInd w:w="11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334"/>
        <w:gridCol w:w="1208"/>
        <w:gridCol w:w="1429"/>
        <w:gridCol w:w="1998"/>
        <w:gridCol w:w="2345"/>
        <w:gridCol w:w="2169"/>
        <w:gridCol w:w="3520"/>
      </w:tblGrid>
      <w:tr w14:paraId="584BE48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76" w:type="pct"/>
            <w:tcBorders>
              <w:tl2br w:val="nil"/>
              <w:tr2bl w:val="nil"/>
            </w:tcBorders>
            <w:vAlign w:val="center"/>
          </w:tcPr>
          <w:p w14:paraId="7F3EA9ED">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监测时段</w:t>
            </w:r>
          </w:p>
        </w:tc>
        <w:tc>
          <w:tcPr>
            <w:tcW w:w="941" w:type="pct"/>
            <w:gridSpan w:val="2"/>
            <w:tcBorders>
              <w:tl2br w:val="nil"/>
              <w:tr2bl w:val="nil"/>
            </w:tcBorders>
            <w:vAlign w:val="center"/>
          </w:tcPr>
          <w:p w14:paraId="258CC293">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监测方案</w:t>
            </w:r>
          </w:p>
          <w:p w14:paraId="24114A4F">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监测内容</w:t>
            </w:r>
          </w:p>
        </w:tc>
        <w:tc>
          <w:tcPr>
            <w:tcW w:w="713" w:type="pct"/>
            <w:tcBorders>
              <w:tl2br w:val="nil"/>
              <w:tr2bl w:val="nil"/>
            </w:tcBorders>
            <w:vAlign w:val="center"/>
          </w:tcPr>
          <w:p w14:paraId="465C886C">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监测点位</w:t>
            </w:r>
          </w:p>
        </w:tc>
        <w:tc>
          <w:tcPr>
            <w:tcW w:w="837" w:type="pct"/>
            <w:tcBorders>
              <w:tl2br w:val="nil"/>
              <w:tr2bl w:val="nil"/>
            </w:tcBorders>
            <w:vAlign w:val="center"/>
          </w:tcPr>
          <w:p w14:paraId="66EA7B43">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监测指标</w:t>
            </w:r>
          </w:p>
        </w:tc>
        <w:tc>
          <w:tcPr>
            <w:tcW w:w="774" w:type="pct"/>
            <w:tcBorders>
              <w:tl2br w:val="nil"/>
              <w:tr2bl w:val="nil"/>
            </w:tcBorders>
            <w:vAlign w:val="center"/>
          </w:tcPr>
          <w:p w14:paraId="4C87A5FC">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监测频率</w:t>
            </w:r>
          </w:p>
        </w:tc>
        <w:tc>
          <w:tcPr>
            <w:tcW w:w="1256" w:type="pct"/>
            <w:tcBorders>
              <w:tl2br w:val="nil"/>
              <w:tr2bl w:val="nil"/>
            </w:tcBorders>
            <w:vAlign w:val="center"/>
          </w:tcPr>
          <w:p w14:paraId="0AF79CED">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监测要求</w:t>
            </w:r>
          </w:p>
        </w:tc>
      </w:tr>
      <w:tr w14:paraId="405544A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76" w:type="pct"/>
            <w:vMerge w:val="restart"/>
            <w:tcBorders>
              <w:tl2br w:val="nil"/>
              <w:tr2bl w:val="nil"/>
            </w:tcBorders>
            <w:vAlign w:val="center"/>
          </w:tcPr>
          <w:p w14:paraId="6FBB5290">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回填复垦期</w:t>
            </w:r>
          </w:p>
        </w:tc>
        <w:tc>
          <w:tcPr>
            <w:tcW w:w="431" w:type="pct"/>
            <w:vMerge w:val="restart"/>
            <w:tcBorders>
              <w:tl2br w:val="nil"/>
              <w:tr2bl w:val="nil"/>
            </w:tcBorders>
            <w:vAlign w:val="center"/>
          </w:tcPr>
          <w:p w14:paraId="728BAE64">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污染物排放监测</w:t>
            </w:r>
          </w:p>
        </w:tc>
        <w:tc>
          <w:tcPr>
            <w:tcW w:w="510" w:type="pct"/>
            <w:tcBorders>
              <w:tl2br w:val="nil"/>
              <w:tr2bl w:val="nil"/>
            </w:tcBorders>
            <w:vAlign w:val="center"/>
          </w:tcPr>
          <w:p w14:paraId="73AE22DE">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废气</w:t>
            </w:r>
          </w:p>
        </w:tc>
        <w:tc>
          <w:tcPr>
            <w:tcW w:w="713" w:type="pct"/>
            <w:tcBorders>
              <w:tl2br w:val="nil"/>
              <w:tr2bl w:val="nil"/>
            </w:tcBorders>
            <w:vAlign w:val="center"/>
          </w:tcPr>
          <w:p w14:paraId="7A7C9841">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厂界</w:t>
            </w:r>
          </w:p>
        </w:tc>
        <w:tc>
          <w:tcPr>
            <w:tcW w:w="837" w:type="pct"/>
            <w:tcBorders>
              <w:tl2br w:val="nil"/>
              <w:tr2bl w:val="nil"/>
            </w:tcBorders>
            <w:vAlign w:val="center"/>
          </w:tcPr>
          <w:p w14:paraId="18E9EE53">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TSP</w:t>
            </w:r>
          </w:p>
        </w:tc>
        <w:tc>
          <w:tcPr>
            <w:tcW w:w="774" w:type="pct"/>
            <w:tcBorders>
              <w:tl2br w:val="nil"/>
              <w:tr2bl w:val="nil"/>
            </w:tcBorders>
            <w:vAlign w:val="center"/>
          </w:tcPr>
          <w:p w14:paraId="6168B19A">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每季度一次</w:t>
            </w:r>
          </w:p>
        </w:tc>
        <w:tc>
          <w:tcPr>
            <w:tcW w:w="1256" w:type="pct"/>
            <w:tcBorders>
              <w:tl2br w:val="nil"/>
              <w:tr2bl w:val="nil"/>
            </w:tcBorders>
            <w:vAlign w:val="center"/>
          </w:tcPr>
          <w:p w14:paraId="2684664C">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《大气污染物综合排放标准》（GB16297-1996）表2中无组织排放监控浓度限值（周界外浓度最高点≤1.0mg/m</w:t>
            </w:r>
            <w:r>
              <w:rPr>
                <w:rFonts w:hint="eastAsia" w:ascii="宋体" w:hAnsi="宋体" w:eastAsia="宋体" w:cs="宋体"/>
                <w:snapToGrid w:val="0"/>
                <w:color w:val="auto"/>
                <w:sz w:val="21"/>
                <w:szCs w:val="21"/>
                <w:highlight w:val="none"/>
                <w:vertAlign w:val="superscript"/>
              </w:rPr>
              <w:t>3</w:t>
            </w:r>
            <w:r>
              <w:rPr>
                <w:rFonts w:hint="eastAsia" w:ascii="宋体" w:hAnsi="宋体" w:eastAsia="宋体" w:cs="宋体"/>
                <w:snapToGrid w:val="0"/>
                <w:color w:val="auto"/>
                <w:sz w:val="21"/>
                <w:szCs w:val="21"/>
                <w:highlight w:val="none"/>
              </w:rPr>
              <w:t>）</w:t>
            </w:r>
          </w:p>
        </w:tc>
      </w:tr>
      <w:tr w14:paraId="7CB66DD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76" w:type="pct"/>
            <w:vMerge w:val="continue"/>
            <w:tcBorders>
              <w:tl2br w:val="nil"/>
              <w:tr2bl w:val="nil"/>
            </w:tcBorders>
            <w:vAlign w:val="center"/>
          </w:tcPr>
          <w:p w14:paraId="4C3D2003">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p>
        </w:tc>
        <w:tc>
          <w:tcPr>
            <w:tcW w:w="431" w:type="pct"/>
            <w:vMerge w:val="continue"/>
            <w:tcBorders>
              <w:tl2br w:val="nil"/>
              <w:tr2bl w:val="nil"/>
            </w:tcBorders>
            <w:vAlign w:val="center"/>
          </w:tcPr>
          <w:p w14:paraId="08CAA69F">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p>
        </w:tc>
        <w:tc>
          <w:tcPr>
            <w:tcW w:w="510" w:type="pct"/>
            <w:tcBorders>
              <w:tl2br w:val="nil"/>
              <w:tr2bl w:val="nil"/>
            </w:tcBorders>
            <w:vAlign w:val="center"/>
          </w:tcPr>
          <w:p w14:paraId="6166C820">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噪声</w:t>
            </w:r>
          </w:p>
        </w:tc>
        <w:tc>
          <w:tcPr>
            <w:tcW w:w="713" w:type="pct"/>
            <w:tcBorders>
              <w:tl2br w:val="nil"/>
              <w:tr2bl w:val="nil"/>
            </w:tcBorders>
            <w:vAlign w:val="center"/>
          </w:tcPr>
          <w:p w14:paraId="3F184D77">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厂界</w:t>
            </w:r>
          </w:p>
        </w:tc>
        <w:tc>
          <w:tcPr>
            <w:tcW w:w="837" w:type="pct"/>
            <w:tcBorders>
              <w:tl2br w:val="nil"/>
              <w:tr2bl w:val="nil"/>
            </w:tcBorders>
            <w:vAlign w:val="center"/>
          </w:tcPr>
          <w:p w14:paraId="22609FE8">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等效连续A声级</w:t>
            </w:r>
          </w:p>
        </w:tc>
        <w:tc>
          <w:tcPr>
            <w:tcW w:w="774" w:type="pct"/>
            <w:tcBorders>
              <w:tl2br w:val="nil"/>
              <w:tr2bl w:val="nil"/>
            </w:tcBorders>
            <w:vAlign w:val="center"/>
          </w:tcPr>
          <w:p w14:paraId="6FE33A4E">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每季度一次</w:t>
            </w:r>
          </w:p>
        </w:tc>
        <w:tc>
          <w:tcPr>
            <w:tcW w:w="1256" w:type="pct"/>
            <w:tcBorders>
              <w:tl2br w:val="nil"/>
              <w:tr2bl w:val="nil"/>
            </w:tcBorders>
            <w:vAlign w:val="center"/>
          </w:tcPr>
          <w:p w14:paraId="7B40B6EC">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《工业企业厂界环境噪声排放标准》（GB12348-2008）中1类标准</w:t>
            </w:r>
          </w:p>
        </w:tc>
      </w:tr>
      <w:tr w14:paraId="1945968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76" w:type="pct"/>
            <w:vMerge w:val="continue"/>
            <w:tcBorders>
              <w:tl2br w:val="nil"/>
              <w:tr2bl w:val="nil"/>
            </w:tcBorders>
            <w:vAlign w:val="center"/>
          </w:tcPr>
          <w:p w14:paraId="46B451F5">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p>
        </w:tc>
        <w:tc>
          <w:tcPr>
            <w:tcW w:w="431" w:type="pct"/>
            <w:vMerge w:val="restart"/>
            <w:tcBorders>
              <w:tl2br w:val="nil"/>
              <w:tr2bl w:val="nil"/>
            </w:tcBorders>
            <w:vAlign w:val="center"/>
          </w:tcPr>
          <w:p w14:paraId="5A4D9025">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环境质量影响监测</w:t>
            </w:r>
          </w:p>
        </w:tc>
        <w:tc>
          <w:tcPr>
            <w:tcW w:w="510" w:type="pct"/>
            <w:tcBorders>
              <w:tl2br w:val="nil"/>
              <w:tr2bl w:val="nil"/>
            </w:tcBorders>
            <w:vAlign w:val="center"/>
          </w:tcPr>
          <w:p w14:paraId="6C9FC490">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地下水环境质量监测</w:t>
            </w:r>
          </w:p>
        </w:tc>
        <w:tc>
          <w:tcPr>
            <w:tcW w:w="713" w:type="pct"/>
            <w:tcBorders>
              <w:tl2br w:val="nil"/>
              <w:tr2bl w:val="nil"/>
            </w:tcBorders>
            <w:vAlign w:val="center"/>
          </w:tcPr>
          <w:p w14:paraId="2619AF1D">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3口地下水监控井</w:t>
            </w:r>
          </w:p>
        </w:tc>
        <w:tc>
          <w:tcPr>
            <w:tcW w:w="837" w:type="pct"/>
            <w:tcBorders>
              <w:tl2br w:val="nil"/>
              <w:tr2bl w:val="nil"/>
            </w:tcBorders>
            <w:vAlign w:val="center"/>
          </w:tcPr>
          <w:p w14:paraId="425FB989">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b w:val="0"/>
                <w:bCs w:val="0"/>
                <w:snapToGrid w:val="0"/>
                <w:color w:val="auto"/>
                <w:sz w:val="21"/>
                <w:szCs w:val="21"/>
                <w:highlight w:val="none"/>
              </w:rPr>
              <w:t>浑浊度、pH、溶解性总固体、氯化物、</w:t>
            </w:r>
            <w:r>
              <w:rPr>
                <w:rFonts w:hint="eastAsia" w:hAnsi="宋体" w:cs="宋体"/>
                <w:b w:val="0"/>
                <w:bCs w:val="0"/>
                <w:snapToGrid w:val="0"/>
                <w:color w:val="auto"/>
                <w:sz w:val="21"/>
                <w:szCs w:val="21"/>
                <w:highlight w:val="none"/>
                <w:lang w:val="en-US" w:eastAsia="zh-CN"/>
              </w:rPr>
              <w:t>硝酸盐、亚硝酸盐、</w:t>
            </w:r>
            <w:r>
              <w:rPr>
                <w:rFonts w:hint="eastAsia" w:ascii="宋体" w:hAnsi="宋体" w:eastAsia="宋体" w:cs="宋体"/>
                <w:b w:val="0"/>
                <w:bCs w:val="0"/>
                <w:snapToGrid w:val="0"/>
                <w:color w:val="auto"/>
                <w:sz w:val="21"/>
                <w:szCs w:val="21"/>
                <w:highlight w:val="none"/>
                <w:lang w:val="en-US" w:eastAsia="zh-CN"/>
              </w:rPr>
              <w:t>耗氧量</w:t>
            </w:r>
            <w:r>
              <w:rPr>
                <w:rFonts w:hint="eastAsia" w:ascii="宋体" w:hAnsi="宋体" w:eastAsia="宋体" w:cs="宋体"/>
                <w:b w:val="0"/>
                <w:bCs w:val="0"/>
                <w:snapToGrid w:val="0"/>
                <w:color w:val="auto"/>
                <w:sz w:val="21"/>
                <w:szCs w:val="21"/>
                <w:highlight w:val="none"/>
              </w:rPr>
              <w:t>、氨氮、镉、汞、砷、铅、铬、铜、镍、锌</w:t>
            </w:r>
          </w:p>
        </w:tc>
        <w:tc>
          <w:tcPr>
            <w:tcW w:w="774" w:type="pct"/>
            <w:tcBorders>
              <w:tl2br w:val="nil"/>
              <w:tr2bl w:val="nil"/>
            </w:tcBorders>
            <w:vAlign w:val="center"/>
          </w:tcPr>
          <w:p w14:paraId="1843FF2D">
            <w:pPr>
              <w:pStyle w:val="1080"/>
              <w:keepNext w:val="0"/>
              <w:keepLines w:val="0"/>
              <w:suppressLineNumbers w:val="0"/>
              <w:adjustRightInd w:val="0"/>
              <w:snapToGrid w:val="0"/>
              <w:spacing w:before="0" w:beforeAutospacing="0" w:after="0" w:afterAutospacing="0"/>
              <w:ind w:left="0" w:right="0"/>
              <w:jc w:val="center"/>
              <w:rPr>
                <w:rFonts w:hint="eastAsia" w:hAnsi="宋体" w:cs="宋体"/>
                <w:snapToGrid w:val="0"/>
                <w:color w:val="auto"/>
                <w:sz w:val="21"/>
                <w:szCs w:val="21"/>
                <w:highlight w:val="none"/>
                <w:lang w:eastAsia="zh-CN"/>
              </w:rPr>
            </w:pPr>
            <w:r>
              <w:rPr>
                <w:rFonts w:hint="eastAsia" w:hAnsi="宋体" w:cs="宋体"/>
                <w:snapToGrid w:val="0"/>
                <w:color w:val="auto"/>
                <w:sz w:val="21"/>
                <w:szCs w:val="21"/>
                <w:highlight w:val="none"/>
                <w:lang w:val="en-US" w:eastAsia="zh-CN"/>
              </w:rPr>
              <w:t>至少</w:t>
            </w:r>
            <w:r>
              <w:rPr>
                <w:rFonts w:hint="eastAsia" w:ascii="宋体" w:hAnsi="宋体" w:eastAsia="宋体" w:cs="宋体"/>
                <w:snapToGrid w:val="0"/>
                <w:color w:val="auto"/>
                <w:sz w:val="21"/>
                <w:szCs w:val="21"/>
                <w:highlight w:val="none"/>
              </w:rPr>
              <w:t>每季度一次</w:t>
            </w:r>
            <w:r>
              <w:rPr>
                <w:rFonts w:hint="eastAsia" w:hAnsi="宋体" w:cs="宋体"/>
                <w:snapToGrid w:val="0"/>
                <w:color w:val="auto"/>
                <w:sz w:val="21"/>
                <w:szCs w:val="21"/>
                <w:highlight w:val="none"/>
                <w:lang w:eastAsia="zh-CN"/>
              </w:rPr>
              <w:t>，</w:t>
            </w:r>
          </w:p>
          <w:p w14:paraId="6D5D99FA">
            <w:pPr>
              <w:pStyle w:val="1080"/>
              <w:keepNext w:val="0"/>
              <w:keepLines w:val="0"/>
              <w:suppressLineNumbers w:val="0"/>
              <w:adjustRightInd w:val="0"/>
              <w:snapToGrid w:val="0"/>
              <w:spacing w:before="0" w:beforeAutospacing="0" w:after="0" w:afterAutospacing="0"/>
              <w:ind w:left="0" w:right="0"/>
              <w:jc w:val="center"/>
              <w:rPr>
                <w:rFonts w:hint="default" w:ascii="宋体" w:hAnsi="宋体" w:eastAsia="宋体" w:cs="宋体"/>
                <w:snapToGrid w:val="0"/>
                <w:color w:val="auto"/>
                <w:sz w:val="21"/>
                <w:szCs w:val="21"/>
                <w:highlight w:val="none"/>
                <w:lang w:val="en-US" w:eastAsia="zh-CN"/>
              </w:rPr>
            </w:pPr>
            <w:r>
              <w:rPr>
                <w:rFonts w:hint="eastAsia" w:hAnsi="宋体" w:cs="宋体"/>
                <w:snapToGrid w:val="0"/>
                <w:color w:val="auto"/>
                <w:sz w:val="21"/>
                <w:szCs w:val="21"/>
                <w:highlight w:val="none"/>
                <w:lang w:val="en-US" w:eastAsia="zh-CN"/>
              </w:rPr>
              <w:t>每两次监测之间间隔不少于1个月。</w:t>
            </w:r>
          </w:p>
        </w:tc>
        <w:tc>
          <w:tcPr>
            <w:tcW w:w="1256" w:type="pct"/>
            <w:tcBorders>
              <w:tl2br w:val="nil"/>
              <w:tr2bl w:val="nil"/>
            </w:tcBorders>
            <w:vAlign w:val="center"/>
          </w:tcPr>
          <w:p w14:paraId="3AE90A86">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《地下水质量标准》（GB/T14848-2017）Ⅲ类标准</w:t>
            </w:r>
          </w:p>
        </w:tc>
      </w:tr>
      <w:tr w14:paraId="4C3DC36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76" w:type="pct"/>
            <w:vMerge w:val="continue"/>
            <w:tcBorders>
              <w:tl2br w:val="nil"/>
              <w:tr2bl w:val="nil"/>
            </w:tcBorders>
            <w:vAlign w:val="center"/>
          </w:tcPr>
          <w:p w14:paraId="46867ED6">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p>
        </w:tc>
        <w:tc>
          <w:tcPr>
            <w:tcW w:w="431" w:type="pct"/>
            <w:vMerge w:val="continue"/>
            <w:tcBorders>
              <w:tl2br w:val="nil"/>
              <w:tr2bl w:val="nil"/>
            </w:tcBorders>
            <w:vAlign w:val="center"/>
          </w:tcPr>
          <w:p w14:paraId="30BCBB19">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p>
        </w:tc>
        <w:tc>
          <w:tcPr>
            <w:tcW w:w="510" w:type="pct"/>
            <w:tcBorders>
              <w:tl2br w:val="nil"/>
              <w:tr2bl w:val="nil"/>
            </w:tcBorders>
            <w:vAlign w:val="center"/>
          </w:tcPr>
          <w:p w14:paraId="53628260">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土壤环境质量监测</w:t>
            </w:r>
          </w:p>
        </w:tc>
        <w:tc>
          <w:tcPr>
            <w:tcW w:w="713" w:type="pct"/>
            <w:tcBorders>
              <w:tl2br w:val="nil"/>
              <w:tr2bl w:val="nil"/>
            </w:tcBorders>
            <w:vAlign w:val="center"/>
          </w:tcPr>
          <w:p w14:paraId="053083FB">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场区东南侧</w:t>
            </w:r>
          </w:p>
        </w:tc>
        <w:tc>
          <w:tcPr>
            <w:tcW w:w="837" w:type="pct"/>
            <w:tcBorders>
              <w:tl2br w:val="nil"/>
              <w:tr2bl w:val="nil"/>
            </w:tcBorders>
            <w:vAlign w:val="center"/>
          </w:tcPr>
          <w:p w14:paraId="3143E543">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kern w:val="0"/>
                <w:sz w:val="21"/>
                <w:szCs w:val="21"/>
                <w:highlight w:val="none"/>
              </w:rPr>
            </w:pPr>
            <w:r>
              <w:rPr>
                <w:rFonts w:hint="eastAsia" w:ascii="宋体" w:hAnsi="宋体" w:eastAsia="宋体" w:cs="宋体"/>
                <w:snapToGrid w:val="0"/>
                <w:color w:val="auto"/>
                <w:sz w:val="21"/>
                <w:szCs w:val="21"/>
                <w:highlight w:val="none"/>
              </w:rPr>
              <w:t>pH、镉、汞、砷、铜、铅、铬、镍、锌</w:t>
            </w:r>
          </w:p>
        </w:tc>
        <w:tc>
          <w:tcPr>
            <w:tcW w:w="774" w:type="pct"/>
            <w:tcBorders>
              <w:tl2br w:val="nil"/>
              <w:tr2bl w:val="nil"/>
            </w:tcBorders>
            <w:vAlign w:val="center"/>
          </w:tcPr>
          <w:p w14:paraId="14BF1435">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每年一次</w:t>
            </w:r>
          </w:p>
        </w:tc>
        <w:tc>
          <w:tcPr>
            <w:tcW w:w="1256" w:type="pct"/>
            <w:tcBorders>
              <w:tl2br w:val="nil"/>
              <w:tr2bl w:val="nil"/>
            </w:tcBorders>
            <w:vAlign w:val="center"/>
          </w:tcPr>
          <w:p w14:paraId="0176F911">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《土壤环境质量 农用地土壤污染风险管控标准（试行）》（GB15618-2018）</w:t>
            </w:r>
          </w:p>
        </w:tc>
      </w:tr>
      <w:tr w14:paraId="68A41D3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76" w:type="pct"/>
            <w:vMerge w:val="restart"/>
            <w:tcBorders>
              <w:tl2br w:val="nil"/>
              <w:tr2bl w:val="nil"/>
            </w:tcBorders>
            <w:vAlign w:val="center"/>
          </w:tcPr>
          <w:p w14:paraId="68B0077E">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生态恢复期</w:t>
            </w:r>
          </w:p>
        </w:tc>
        <w:tc>
          <w:tcPr>
            <w:tcW w:w="431" w:type="pct"/>
            <w:vMerge w:val="restart"/>
            <w:tcBorders>
              <w:tl2br w:val="nil"/>
              <w:tr2bl w:val="nil"/>
            </w:tcBorders>
            <w:vAlign w:val="center"/>
          </w:tcPr>
          <w:p w14:paraId="1DAC05A5">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环境质量影响监测</w:t>
            </w:r>
          </w:p>
        </w:tc>
        <w:tc>
          <w:tcPr>
            <w:tcW w:w="510" w:type="pct"/>
            <w:tcBorders>
              <w:tl2br w:val="nil"/>
              <w:tr2bl w:val="nil"/>
            </w:tcBorders>
            <w:vAlign w:val="center"/>
          </w:tcPr>
          <w:p w14:paraId="6B614D8D">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土壤环境质量监测</w:t>
            </w:r>
          </w:p>
        </w:tc>
        <w:tc>
          <w:tcPr>
            <w:tcW w:w="713" w:type="pct"/>
            <w:tcBorders>
              <w:tl2br w:val="nil"/>
              <w:tr2bl w:val="nil"/>
            </w:tcBorders>
            <w:vAlign w:val="center"/>
          </w:tcPr>
          <w:p w14:paraId="0EE9066C">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场区东南侧</w:t>
            </w:r>
          </w:p>
        </w:tc>
        <w:tc>
          <w:tcPr>
            <w:tcW w:w="837" w:type="pct"/>
            <w:tcBorders>
              <w:tl2br w:val="nil"/>
              <w:tr2bl w:val="nil"/>
            </w:tcBorders>
            <w:vAlign w:val="center"/>
          </w:tcPr>
          <w:p w14:paraId="1CA81BCD">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pH、镉、汞、砷、铜、铅、铬、镍、锌</w:t>
            </w:r>
          </w:p>
        </w:tc>
        <w:tc>
          <w:tcPr>
            <w:tcW w:w="774" w:type="pct"/>
            <w:tcBorders>
              <w:tl2br w:val="nil"/>
              <w:tr2bl w:val="nil"/>
            </w:tcBorders>
            <w:vAlign w:val="center"/>
          </w:tcPr>
          <w:p w14:paraId="783F54A5">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每年一次</w:t>
            </w:r>
          </w:p>
        </w:tc>
        <w:tc>
          <w:tcPr>
            <w:tcW w:w="1256" w:type="pct"/>
            <w:tcBorders>
              <w:tl2br w:val="nil"/>
              <w:tr2bl w:val="nil"/>
            </w:tcBorders>
            <w:vAlign w:val="center"/>
          </w:tcPr>
          <w:p w14:paraId="309F4197">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《土壤环境质量 农用地土壤污染风险管控标准（试行）》（GB15618-2018）</w:t>
            </w:r>
          </w:p>
        </w:tc>
      </w:tr>
      <w:tr w14:paraId="369F158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76" w:type="pct"/>
            <w:vMerge w:val="continue"/>
            <w:tcBorders>
              <w:tl2br w:val="nil"/>
              <w:tr2bl w:val="nil"/>
            </w:tcBorders>
            <w:vAlign w:val="center"/>
          </w:tcPr>
          <w:p w14:paraId="110C2A51">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p>
        </w:tc>
        <w:tc>
          <w:tcPr>
            <w:tcW w:w="431" w:type="pct"/>
            <w:vMerge w:val="continue"/>
            <w:tcBorders>
              <w:tl2br w:val="nil"/>
              <w:tr2bl w:val="nil"/>
            </w:tcBorders>
            <w:vAlign w:val="center"/>
          </w:tcPr>
          <w:p w14:paraId="6CCF8D50">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p>
        </w:tc>
        <w:tc>
          <w:tcPr>
            <w:tcW w:w="510" w:type="pct"/>
            <w:tcBorders>
              <w:tl2br w:val="nil"/>
              <w:tr2bl w:val="nil"/>
            </w:tcBorders>
            <w:vAlign w:val="center"/>
          </w:tcPr>
          <w:p w14:paraId="716D2B3F">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地下水环境质量监测</w:t>
            </w:r>
          </w:p>
        </w:tc>
        <w:tc>
          <w:tcPr>
            <w:tcW w:w="713" w:type="pct"/>
            <w:tcBorders>
              <w:tl2br w:val="nil"/>
              <w:tr2bl w:val="nil"/>
            </w:tcBorders>
            <w:vAlign w:val="center"/>
          </w:tcPr>
          <w:p w14:paraId="04211364">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3口地下水监控井</w:t>
            </w:r>
          </w:p>
        </w:tc>
        <w:tc>
          <w:tcPr>
            <w:tcW w:w="837" w:type="pct"/>
            <w:tcBorders>
              <w:tl2br w:val="nil"/>
              <w:tr2bl w:val="nil"/>
            </w:tcBorders>
            <w:vAlign w:val="center"/>
          </w:tcPr>
          <w:p w14:paraId="03F18E6A">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b w:val="0"/>
                <w:bCs w:val="0"/>
                <w:snapToGrid w:val="0"/>
                <w:color w:val="auto"/>
                <w:sz w:val="21"/>
                <w:szCs w:val="21"/>
                <w:highlight w:val="none"/>
              </w:rPr>
              <w:t>浑浊度、pH、溶解性总固体、氯化物、</w:t>
            </w:r>
            <w:r>
              <w:rPr>
                <w:rFonts w:hint="eastAsia" w:hAnsi="宋体" w:cs="宋体"/>
                <w:b w:val="0"/>
                <w:bCs w:val="0"/>
                <w:snapToGrid w:val="0"/>
                <w:color w:val="auto"/>
                <w:sz w:val="21"/>
                <w:szCs w:val="21"/>
                <w:highlight w:val="none"/>
                <w:lang w:val="en-US" w:eastAsia="zh-CN"/>
              </w:rPr>
              <w:t>硝酸盐、亚硝酸盐、</w:t>
            </w:r>
            <w:r>
              <w:rPr>
                <w:rFonts w:hint="eastAsia" w:ascii="宋体" w:hAnsi="宋体" w:eastAsia="宋体" w:cs="宋体"/>
                <w:b w:val="0"/>
                <w:bCs w:val="0"/>
                <w:snapToGrid w:val="0"/>
                <w:color w:val="auto"/>
                <w:sz w:val="21"/>
                <w:szCs w:val="21"/>
                <w:highlight w:val="none"/>
                <w:lang w:val="en-US" w:eastAsia="zh-CN"/>
              </w:rPr>
              <w:t>耗氧量</w:t>
            </w:r>
            <w:r>
              <w:rPr>
                <w:rFonts w:hint="eastAsia" w:ascii="宋体" w:hAnsi="宋体" w:eastAsia="宋体" w:cs="宋体"/>
                <w:b w:val="0"/>
                <w:bCs w:val="0"/>
                <w:snapToGrid w:val="0"/>
                <w:color w:val="auto"/>
                <w:sz w:val="21"/>
                <w:szCs w:val="21"/>
                <w:highlight w:val="none"/>
              </w:rPr>
              <w:t>、氨氮、镉、汞、砷、铅、铬、铜、镍、锌</w:t>
            </w:r>
          </w:p>
        </w:tc>
        <w:tc>
          <w:tcPr>
            <w:tcW w:w="774" w:type="pct"/>
            <w:tcBorders>
              <w:tl2br w:val="nil"/>
              <w:tr2bl w:val="nil"/>
            </w:tcBorders>
            <w:vAlign w:val="center"/>
          </w:tcPr>
          <w:p w14:paraId="30F4C16A">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hAnsi="宋体" w:cs="宋体"/>
                <w:snapToGrid w:val="0"/>
                <w:color w:val="auto"/>
                <w:sz w:val="21"/>
                <w:szCs w:val="21"/>
                <w:highlight w:val="none"/>
                <w:lang w:val="en-US" w:eastAsia="zh-CN"/>
              </w:rPr>
              <w:t>至少</w:t>
            </w:r>
            <w:r>
              <w:rPr>
                <w:rFonts w:hint="eastAsia" w:ascii="宋体" w:hAnsi="宋体" w:eastAsia="宋体" w:cs="宋体"/>
                <w:snapToGrid w:val="0"/>
                <w:color w:val="auto"/>
                <w:sz w:val="21"/>
                <w:szCs w:val="21"/>
                <w:highlight w:val="none"/>
              </w:rPr>
              <w:t>每半年1次，</w:t>
            </w:r>
          </w:p>
          <w:p w14:paraId="64F13CFE">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直到地下水水质连续2年不超出地下水本底水平</w:t>
            </w:r>
          </w:p>
        </w:tc>
        <w:tc>
          <w:tcPr>
            <w:tcW w:w="1256" w:type="pct"/>
            <w:tcBorders>
              <w:tl2br w:val="nil"/>
              <w:tr2bl w:val="nil"/>
            </w:tcBorders>
            <w:vAlign w:val="center"/>
          </w:tcPr>
          <w:p w14:paraId="15BDB6DD">
            <w:pPr>
              <w:pStyle w:val="1080"/>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snapToGrid w:val="0"/>
                <w:color w:val="auto"/>
                <w:sz w:val="21"/>
                <w:szCs w:val="21"/>
                <w:highlight w:val="none"/>
              </w:rPr>
            </w:pPr>
            <w:r>
              <w:rPr>
                <w:rFonts w:hint="eastAsia" w:ascii="宋体" w:hAnsi="宋体" w:eastAsia="宋体" w:cs="宋体"/>
                <w:snapToGrid w:val="0"/>
                <w:color w:val="auto"/>
                <w:sz w:val="21"/>
                <w:szCs w:val="21"/>
                <w:highlight w:val="none"/>
              </w:rPr>
              <w:t>《地下水质量标准》（GB/T14848-2017）Ⅲ类标准</w:t>
            </w:r>
          </w:p>
        </w:tc>
      </w:tr>
    </w:tbl>
    <w:p w14:paraId="75D8FD6A">
      <w:pPr>
        <w:widowControl w:val="0"/>
        <w:snapToGrid w:val="0"/>
        <w:spacing w:line="240" w:lineRule="auto"/>
        <w:ind w:firstLine="200"/>
        <w:jc w:val="center"/>
        <w:rPr>
          <w:rFonts w:hint="eastAsia" w:asciiTheme="minorEastAsia" w:hAnsiTheme="minorEastAsia" w:eastAsiaTheme="minorEastAsia" w:cstheme="minorEastAsia"/>
          <w:b/>
          <w:color w:val="auto"/>
          <w:highlight w:val="none"/>
        </w:rPr>
      </w:pPr>
    </w:p>
    <w:p w14:paraId="04AD1B7C">
      <w:pPr>
        <w:widowControl w:val="0"/>
        <w:snapToGrid w:val="0"/>
        <w:spacing w:line="240" w:lineRule="auto"/>
        <w:ind w:firstLine="200"/>
        <w:jc w:val="center"/>
        <w:rPr>
          <w:rFonts w:hint="eastAsia" w:asciiTheme="minorEastAsia" w:hAnsiTheme="minorEastAsia" w:eastAsiaTheme="minorEastAsia" w:cstheme="minorEastAsia"/>
          <w:b/>
          <w:color w:val="auto"/>
          <w:highlight w:val="none"/>
        </w:rPr>
      </w:pPr>
    </w:p>
    <w:p w14:paraId="5A64588D">
      <w:pPr>
        <w:widowControl/>
        <w:topLinePunct/>
        <w:spacing w:line="420" w:lineRule="auto"/>
        <w:jc w:val="left"/>
        <w:outlineLvl w:val="0"/>
        <w:rPr>
          <w:rFonts w:hint="eastAsia" w:asciiTheme="minorEastAsia" w:hAnsiTheme="minorEastAsia" w:eastAsiaTheme="minorEastAsia" w:cstheme="minorEastAsia"/>
          <w:color w:val="auto"/>
          <w:sz w:val="32"/>
          <w:szCs w:val="32"/>
          <w:highlight w:val="none"/>
        </w:rPr>
        <w:sectPr>
          <w:pgSz w:w="16783" w:h="11850" w:orient="landscape"/>
          <w:pgMar w:top="1701" w:right="1440" w:bottom="1270" w:left="1440" w:header="851" w:footer="992" w:gutter="0"/>
          <w:pgBorders>
            <w:top w:val="none" w:sz="0" w:space="0"/>
            <w:left w:val="none" w:sz="0" w:space="0"/>
            <w:bottom w:val="none" w:sz="0" w:space="0"/>
            <w:right w:val="none" w:sz="0" w:space="0"/>
          </w:pgBorders>
          <w:pgNumType w:fmt="numberInDash"/>
          <w:cols w:space="720" w:num="1"/>
          <w:docGrid w:linePitch="312" w:charSpace="0"/>
        </w:sectPr>
      </w:pPr>
    </w:p>
    <w:p w14:paraId="43067535">
      <w:pPr>
        <w:widowControl w:val="0"/>
        <w:snapToGrid w:val="0"/>
        <w:spacing w:line="360" w:lineRule="auto"/>
        <w:ind w:firstLine="480" w:firstLineChars="200"/>
        <w:rPr>
          <w:rFonts w:hint="eastAsia" w:asciiTheme="minorEastAsia" w:hAnsiTheme="minorEastAsia" w:eastAsiaTheme="minorEastAsia" w:cstheme="minorEastAsia"/>
          <w:color w:val="auto"/>
          <w:highlight w:val="none"/>
        </w:rPr>
      </w:pPr>
      <w:bookmarkStart w:id="825" w:name="_Toc335315196"/>
      <w:bookmarkStart w:id="826" w:name="_Toc416353866"/>
      <w:bookmarkStart w:id="827" w:name="_Toc347059260"/>
      <w:bookmarkStart w:id="828" w:name="_Toc3636"/>
      <w:bookmarkStart w:id="829" w:name="_Toc296354450"/>
      <w:bookmarkStart w:id="830" w:name="_Toc322967145"/>
      <w:bookmarkStart w:id="831" w:name="_Toc330205349"/>
      <w:bookmarkStart w:id="832" w:name="_Toc526865663"/>
      <w:bookmarkStart w:id="833" w:name="_Toc296416665"/>
      <w:bookmarkStart w:id="834" w:name="_Toc29590"/>
      <w:bookmarkStart w:id="835" w:name="_Toc22243"/>
      <w:bookmarkStart w:id="836" w:name="_Toc32123"/>
      <w:bookmarkStart w:id="837" w:name="_Toc25998"/>
      <w:bookmarkStart w:id="838" w:name="_Toc7290"/>
      <w:bookmarkStart w:id="839" w:name="_Toc17945"/>
      <w:bookmarkStart w:id="840" w:name="_Toc5276"/>
      <w:bookmarkStart w:id="841" w:name="_Toc17260"/>
      <w:bookmarkStart w:id="842" w:name="_Toc26524"/>
      <w:bookmarkStart w:id="843" w:name="_Toc13472"/>
      <w:bookmarkStart w:id="844" w:name="_Toc26506"/>
      <w:bookmarkStart w:id="845" w:name="_Toc27943"/>
      <w:bookmarkStart w:id="846" w:name="_Toc490466596"/>
      <w:bookmarkStart w:id="847" w:name="_Toc29304"/>
      <w:bookmarkStart w:id="848" w:name="_Toc6756"/>
      <w:bookmarkStart w:id="849" w:name="_Toc9531"/>
      <w:bookmarkStart w:id="850" w:name="_Toc1330"/>
      <w:bookmarkStart w:id="851" w:name="_Toc25955"/>
      <w:bookmarkStart w:id="852" w:name="_Toc8194"/>
      <w:bookmarkStart w:id="853" w:name="_Toc19296"/>
      <w:bookmarkStart w:id="854" w:name="_Toc2568"/>
      <w:r>
        <w:rPr>
          <w:rFonts w:hint="eastAsia" w:asciiTheme="minorEastAsia" w:hAnsiTheme="minorEastAsia" w:eastAsiaTheme="minorEastAsia" w:cstheme="minorEastAsia"/>
          <w:color w:val="auto"/>
          <w:highlight w:val="none"/>
        </w:rPr>
        <w:t>（2）信息报告</w:t>
      </w:r>
    </w:p>
    <w:p w14:paraId="2AB77E79">
      <w:pPr>
        <w:widowControl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排污单位应编写自行监测年度报告，年度报告至少应包含以下内容：</w:t>
      </w:r>
    </w:p>
    <w:p w14:paraId="11501A95">
      <w:pPr>
        <w:widowControl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a）监测方案的调整变化情况及变更原因；</w:t>
      </w:r>
    </w:p>
    <w:p w14:paraId="11FC012B">
      <w:pPr>
        <w:widowControl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b）企业及各主要生产设施（至少涵盖废气主要污染源相关生产设施）全年运行天数，各监测点、各监测指标全年监测次数、超标情况、浓度分布情况；</w:t>
      </w:r>
    </w:p>
    <w:p w14:paraId="786427E2">
      <w:pPr>
        <w:widowControl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c）按要求开展的周边环境质量影响状况监测结果；</w:t>
      </w:r>
    </w:p>
    <w:p w14:paraId="13778344">
      <w:pPr>
        <w:widowControl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d）自行监测开展的其他情况说明；</w:t>
      </w:r>
    </w:p>
    <w:p w14:paraId="1C5E2A01">
      <w:pPr>
        <w:widowControl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e）排污单位实现达标排放所采取的主要措施。</w:t>
      </w:r>
    </w:p>
    <w:p w14:paraId="58D5DB16">
      <w:pPr>
        <w:widowControl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（3）应急报告</w:t>
      </w:r>
    </w:p>
    <w:p w14:paraId="4264552A">
      <w:pPr>
        <w:widowControl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监测结果出现超标的，排污单位应加密监测，并检查超标原因。短期内无法实现稳定达标排放的，应向环境保护主管部门提交事故分析报告，说明事故发生的原因，采取减轻或防止污染的措施，以及今后的预防及改进措施等。</w:t>
      </w:r>
    </w:p>
    <w:p w14:paraId="470675FA">
      <w:pPr>
        <w:widowControl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（4）信息公开</w:t>
      </w:r>
    </w:p>
    <w:p w14:paraId="340D4102">
      <w:pPr>
        <w:widowControl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排污单位自行监测信息公开内容及方式按照《企业事业单位环境信息公开办法》（环境保护部令第31号）及《国家重点监控企业自行监测及信息公开办法（试行）》（环发</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2013</w:t>
      </w:r>
      <w:r>
        <w:rPr>
          <w:rFonts w:hint="eastAsia" w:asciiTheme="minorEastAsia" w:hAnsiTheme="minorEastAsia" w:eastAsiaTheme="minorEastAsia" w:cstheme="minorEastAsia"/>
          <w:color w:val="auto"/>
          <w:highlight w:val="none"/>
          <w:lang w:eastAsia="zh-CN"/>
        </w:rPr>
        <w:t>】</w:t>
      </w:r>
      <w:r>
        <w:rPr>
          <w:rFonts w:hint="eastAsia" w:asciiTheme="minorEastAsia" w:hAnsiTheme="minorEastAsia" w:eastAsiaTheme="minorEastAsia" w:cstheme="minorEastAsia"/>
          <w:color w:val="auto"/>
          <w:highlight w:val="none"/>
        </w:rPr>
        <w:t>81号）执行。非重点排污单位的信息公开要求由地方环境保护主管部门确定。</w:t>
      </w:r>
    </w:p>
    <w:bookmarkEnd w:id="825"/>
    <w:bookmarkEnd w:id="826"/>
    <w:bookmarkEnd w:id="827"/>
    <w:bookmarkEnd w:id="828"/>
    <w:bookmarkEnd w:id="829"/>
    <w:bookmarkEnd w:id="830"/>
    <w:bookmarkEnd w:id="831"/>
    <w:bookmarkEnd w:id="832"/>
    <w:bookmarkEnd w:id="833"/>
    <w:p w14:paraId="7EE11CB2">
      <w:pPr>
        <w:pStyle w:val="6"/>
        <w:widowControl w:val="0"/>
        <w:snapToGrid w:val="0"/>
        <w:spacing w:before="0" w:after="0" w:line="360" w:lineRule="auto"/>
        <w:rPr>
          <w:rFonts w:hint="eastAsia" w:asciiTheme="minorEastAsia" w:hAnsiTheme="minorEastAsia" w:eastAsiaTheme="minorEastAsia" w:cstheme="minorEastAsia"/>
          <w:color w:val="auto"/>
          <w:highlight w:val="none"/>
        </w:rPr>
      </w:pPr>
      <w:bookmarkStart w:id="855" w:name="_Toc18761"/>
      <w:bookmarkStart w:id="856" w:name="_Toc9917"/>
      <w:r>
        <w:rPr>
          <w:rFonts w:hint="eastAsia" w:asciiTheme="minorEastAsia" w:hAnsiTheme="minorEastAsia" w:eastAsiaTheme="minorEastAsia" w:cstheme="minorEastAsia"/>
          <w:color w:val="auto"/>
          <w:highlight w:val="none"/>
        </w:rPr>
        <w:t>8.3排污许可证制度衔接</w:t>
      </w:r>
      <w:bookmarkEnd w:id="855"/>
      <w:bookmarkEnd w:id="856"/>
    </w:p>
    <w:p w14:paraId="3F3E4DA3">
      <w:pPr>
        <w:widowControl w:val="0"/>
        <w:snapToGrid w:val="0"/>
        <w:spacing w:line="360" w:lineRule="auto"/>
        <w:ind w:firstLine="480" w:firstLineChars="200"/>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目前我国正在推进排污许可制度改革工作。</w:t>
      </w:r>
      <w:r>
        <w:rPr>
          <w:rFonts w:hint="eastAsia" w:asciiTheme="minorEastAsia" w:hAnsiTheme="minorEastAsia" w:eastAsiaTheme="minorEastAsia" w:cstheme="minorEastAsia"/>
          <w:color w:val="auto"/>
          <w:szCs w:val="24"/>
          <w:highlight w:val="none"/>
          <w:lang w:eastAsia="zh-CN"/>
        </w:rPr>
        <w:t>生态环境部</w:t>
      </w:r>
      <w:r>
        <w:rPr>
          <w:rFonts w:hint="eastAsia" w:asciiTheme="minorEastAsia" w:hAnsiTheme="minorEastAsia" w:eastAsiaTheme="minorEastAsia" w:cstheme="minorEastAsia"/>
          <w:color w:val="auto"/>
          <w:szCs w:val="24"/>
          <w:highlight w:val="none"/>
        </w:rPr>
        <w:t>也大力推进排污许可证制度，并作为“十三五”国家固定源环境管理的核心，《国务院办公厅关于印发控制污染物排放许可制实施方案的通知》（国办发</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2016</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81号）明确将排污许可制建设成为固定污染源环境管理的核心制度，作为企业守法、部门执法、社会监督的依据，为提高环境管理效能和改善环境质量奠定坚实基础。</w:t>
      </w:r>
    </w:p>
    <w:p w14:paraId="381EBDB4">
      <w:pPr>
        <w:widowControl w:val="0"/>
        <w:snapToGrid w:val="0"/>
        <w:spacing w:line="360" w:lineRule="auto"/>
        <w:ind w:firstLine="480" w:firstLineChars="200"/>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本项目应严格按照国家排污许可证改革的要求，推进刷卡排污及污染源</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一证式</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管理工作，并作为建设单位在生产回填期接受环境监管和</w:t>
      </w:r>
      <w:r>
        <w:rPr>
          <w:rFonts w:hint="eastAsia" w:asciiTheme="minorEastAsia" w:hAnsiTheme="minorEastAsia" w:eastAsiaTheme="minorEastAsia" w:cstheme="minorEastAsia"/>
          <w:color w:val="auto"/>
          <w:szCs w:val="24"/>
          <w:highlight w:val="none"/>
          <w:lang w:eastAsia="zh-CN"/>
        </w:rPr>
        <w:t>生态环境部</w:t>
      </w:r>
      <w:r>
        <w:rPr>
          <w:rFonts w:hint="eastAsia" w:asciiTheme="minorEastAsia" w:hAnsiTheme="minorEastAsia" w:eastAsiaTheme="minorEastAsia" w:cstheme="minorEastAsia"/>
          <w:color w:val="auto"/>
          <w:szCs w:val="24"/>
          <w:highlight w:val="none"/>
        </w:rPr>
        <w:t>门实施监管的主要法律文书，单位依法申领排污许可证，按证排污，自证守法。</w:t>
      </w:r>
      <w:r>
        <w:rPr>
          <w:rFonts w:hint="eastAsia" w:asciiTheme="minorEastAsia" w:hAnsiTheme="minorEastAsia" w:eastAsiaTheme="minorEastAsia" w:cstheme="minorEastAsia"/>
          <w:color w:val="auto"/>
          <w:szCs w:val="24"/>
          <w:highlight w:val="none"/>
          <w:lang w:eastAsia="zh-CN"/>
        </w:rPr>
        <w:t>生态环境部</w:t>
      </w:r>
      <w:r>
        <w:rPr>
          <w:rFonts w:hint="eastAsia" w:asciiTheme="minorEastAsia" w:hAnsiTheme="minorEastAsia" w:eastAsiaTheme="minorEastAsia" w:cstheme="minorEastAsia"/>
          <w:color w:val="auto"/>
          <w:szCs w:val="24"/>
          <w:highlight w:val="none"/>
        </w:rPr>
        <w:t>门基于企事业单位守法承诺，依法发放排污许可证，依证强化事中事后监管，对违法排污行为实施严厉打击。</w:t>
      </w:r>
    </w:p>
    <w:p w14:paraId="410D54E4">
      <w:pPr>
        <w:widowControl w:val="0"/>
        <w:snapToGrid w:val="0"/>
        <w:spacing w:line="360" w:lineRule="auto"/>
        <w:ind w:firstLine="48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Cs w:val="24"/>
          <w:highlight w:val="none"/>
        </w:rPr>
        <w:t>根据《关于做好环境影响评价制度与排污许可制衔接相关工作的通知》（环办环评</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2017</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rPr>
        <w:t>84号），建设项目发生实际排污行为之前，排污单位应当按照国家环境保护相关法律法规以及排污许可证申请与核发技术规范要求申请排污许可证，不得无证排污或不按证排污。环境影响报告书（表）2015年1月1日（含）后获得批准的建设项目，其环境影响报告书（表）以及审批文件中与污染物排放相关的主要内容应当纳入排污许可证。为此，下阶段应将项目建设内容、产品方案、建设规模，采用的工艺流程、工艺技术方案，污染预防和清洁生产措施，环保设施和治理措施，各类污染物排放总量，在线监测和自主监测要求，环境安全防范措施，环境应急体系和应急设施等，全部按装置、设施载入排污许可证。企业在设计，建设和运营过程中，需按照许可证管理要求进行监测和申报，自证守法；许可证内容发生变更应进行申报，重大变更应重新环评和申请许可证变更。环保管理部门对许可证内容进行定期和不定期的监督核查。</w:t>
      </w:r>
    </w:p>
    <w:p w14:paraId="148B4D65">
      <w:pPr>
        <w:pStyle w:val="6"/>
        <w:widowControl w:val="0"/>
        <w:snapToGrid w:val="0"/>
        <w:spacing w:before="0" w:after="0" w:line="360" w:lineRule="auto"/>
        <w:rPr>
          <w:rFonts w:hint="eastAsia" w:asciiTheme="minorEastAsia" w:hAnsiTheme="minorEastAsia" w:eastAsiaTheme="minorEastAsia" w:cstheme="minorEastAsia"/>
          <w:color w:val="auto"/>
          <w:highlight w:val="none"/>
        </w:rPr>
      </w:pPr>
      <w:bookmarkStart w:id="857" w:name="_Toc198981766"/>
      <w:bookmarkStart w:id="858" w:name="_Toc716"/>
      <w:bookmarkStart w:id="859" w:name="_Toc16504"/>
      <w:bookmarkStart w:id="860" w:name="_Toc526865664"/>
      <w:bookmarkStart w:id="861" w:name="_Toc27558"/>
      <w:r>
        <w:rPr>
          <w:rFonts w:hint="eastAsia" w:asciiTheme="minorEastAsia" w:hAnsiTheme="minorEastAsia" w:eastAsiaTheme="minorEastAsia" w:cstheme="minorEastAsia"/>
          <w:color w:val="auto"/>
          <w:highlight w:val="none"/>
        </w:rPr>
        <w:t>8.4污染物总量控制</w:t>
      </w:r>
      <w:bookmarkEnd w:id="857"/>
      <w:r>
        <w:rPr>
          <w:rFonts w:hint="eastAsia" w:asciiTheme="minorEastAsia" w:hAnsiTheme="minorEastAsia" w:eastAsiaTheme="minorEastAsia" w:cstheme="minorEastAsia"/>
          <w:color w:val="auto"/>
          <w:highlight w:val="none"/>
        </w:rPr>
        <w:t>分析</w:t>
      </w:r>
      <w:bookmarkEnd w:id="858"/>
      <w:bookmarkEnd w:id="859"/>
      <w:bookmarkEnd w:id="860"/>
      <w:bookmarkEnd w:id="861"/>
    </w:p>
    <w:p w14:paraId="284CE6DB">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bookmarkStart w:id="862" w:name="_Toc29824"/>
      <w:bookmarkStart w:id="863" w:name="_Toc65821656"/>
      <w:bookmarkStart w:id="864" w:name="_Toc65821923"/>
      <w:bookmarkStart w:id="865" w:name="_Toc65822340"/>
      <w:bookmarkStart w:id="866" w:name="_Toc65821466"/>
      <w:bookmarkStart w:id="867" w:name="_Toc65822478"/>
      <w:r>
        <w:rPr>
          <w:rFonts w:hint="eastAsia" w:asciiTheme="minorEastAsia" w:hAnsiTheme="minorEastAsia" w:eastAsiaTheme="minorEastAsia" w:cstheme="minorEastAsia"/>
          <w:color w:val="auto"/>
          <w:highlight w:val="none"/>
        </w:rPr>
        <w:t>8.4.1总量控制原则</w:t>
      </w:r>
      <w:bookmarkEnd w:id="862"/>
    </w:p>
    <w:p w14:paraId="52146374">
      <w:pPr>
        <w:widowControl w:val="0"/>
        <w:tabs>
          <w:tab w:val="left" w:pos="180"/>
        </w:tabs>
        <w:snapToGrid w:val="0"/>
        <w:spacing w:line="360" w:lineRule="auto"/>
        <w:ind w:firstLine="475"/>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根据国家当前的产业政策和环保技术政策，本项目总量控制原则和思路是：</w:t>
      </w:r>
    </w:p>
    <w:p w14:paraId="09CE1369">
      <w:pPr>
        <w:widowControl w:val="0"/>
        <w:tabs>
          <w:tab w:val="left" w:pos="180"/>
        </w:tabs>
        <w:snapToGrid w:val="0"/>
        <w:spacing w:line="360" w:lineRule="auto"/>
        <w:ind w:firstLine="475"/>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（1）以国家产业政策为指导，分析产品方向的合理性和规模效益水平。</w:t>
      </w:r>
    </w:p>
    <w:p w14:paraId="5F06E7F4">
      <w:pPr>
        <w:widowControl w:val="0"/>
        <w:tabs>
          <w:tab w:val="left" w:pos="180"/>
        </w:tabs>
        <w:snapToGrid w:val="0"/>
        <w:spacing w:line="360" w:lineRule="auto"/>
        <w:ind w:firstLine="475"/>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（2）采用全方位总量控制思想，提高资源的综合利用率，选用清洁能源，降低能耗水平，实现清洁生产，将污染物尽可能的消除在生产过程中。</w:t>
      </w:r>
    </w:p>
    <w:p w14:paraId="5517995C">
      <w:pPr>
        <w:widowControl w:val="0"/>
        <w:tabs>
          <w:tab w:val="left" w:pos="180"/>
        </w:tabs>
        <w:snapToGrid w:val="0"/>
        <w:spacing w:line="360" w:lineRule="auto"/>
        <w:ind w:firstLine="475"/>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（3）强化末端治理，降低污染物的排放浓度，实现达标排放。</w:t>
      </w:r>
    </w:p>
    <w:p w14:paraId="6F7F1238">
      <w:pPr>
        <w:widowControl w:val="0"/>
        <w:tabs>
          <w:tab w:val="left" w:pos="180"/>
        </w:tabs>
        <w:snapToGrid w:val="0"/>
        <w:spacing w:line="360" w:lineRule="auto"/>
        <w:ind w:firstLine="475"/>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（4）满足地方环境管理要求，参照区域总量控制规划，使项目造成的环境影响低于项目所在地区的环境保护目标控制水平。</w:t>
      </w:r>
    </w:p>
    <w:p w14:paraId="48EB26FD">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highlight w:val="none"/>
        </w:rPr>
      </w:pPr>
      <w:bookmarkStart w:id="868" w:name="_Toc17120"/>
      <w:r>
        <w:rPr>
          <w:rFonts w:hint="eastAsia" w:asciiTheme="minorEastAsia" w:hAnsiTheme="minorEastAsia" w:eastAsiaTheme="minorEastAsia" w:cstheme="minorEastAsia"/>
          <w:color w:val="auto"/>
          <w:highlight w:val="none"/>
        </w:rPr>
        <w:t>8.4.2总量控制</w:t>
      </w:r>
      <w:bookmarkEnd w:id="863"/>
      <w:bookmarkEnd w:id="864"/>
      <w:bookmarkEnd w:id="865"/>
      <w:bookmarkEnd w:id="866"/>
      <w:bookmarkEnd w:id="867"/>
      <w:bookmarkEnd w:id="868"/>
      <w:r>
        <w:rPr>
          <w:rFonts w:hint="eastAsia" w:asciiTheme="minorEastAsia" w:hAnsiTheme="minorEastAsia" w:eastAsiaTheme="minorEastAsia" w:cstheme="minorEastAsia"/>
          <w:color w:val="auto"/>
          <w:highlight w:val="none"/>
        </w:rPr>
        <w:t>指标</w:t>
      </w:r>
    </w:p>
    <w:p w14:paraId="5656B9ED">
      <w:pPr>
        <w:ind w:firstLine="480"/>
        <w:rPr>
          <w:rFonts w:hint="eastAsia"/>
          <w:color w:val="auto"/>
          <w:highlight w:val="none"/>
          <w:lang w:eastAsia="zh-CN"/>
        </w:rPr>
      </w:pPr>
      <w:bookmarkStart w:id="869" w:name="_Toc12969"/>
      <w:bookmarkStart w:id="870" w:name="_Toc49175154"/>
      <w:bookmarkStart w:id="871" w:name="_Toc61943989"/>
      <w:bookmarkStart w:id="872" w:name="_Toc49174638"/>
      <w:bookmarkStart w:id="873" w:name="_Toc78441897"/>
      <w:bookmarkStart w:id="874" w:name="_Toc49174906"/>
      <w:bookmarkStart w:id="875" w:name="_Toc49174747"/>
      <w:bookmarkStart w:id="876" w:name="_Toc61943864"/>
      <w:bookmarkStart w:id="877" w:name="_Toc67629585"/>
      <w:bookmarkStart w:id="878" w:name="_Toc50307233"/>
      <w:bookmarkStart w:id="879" w:name="_Toc75357828"/>
      <w:bookmarkStart w:id="880" w:name="_Toc1443"/>
      <w:bookmarkStart w:id="881" w:name="_Toc49175081"/>
      <w:bookmarkStart w:id="882" w:name="_Toc49174429"/>
      <w:r>
        <w:rPr>
          <w:rFonts w:hint="eastAsia"/>
          <w:color w:val="auto"/>
          <w:highlight w:val="none"/>
        </w:rPr>
        <w:t>本项目属于</w:t>
      </w:r>
      <w:r>
        <w:rPr>
          <w:rFonts w:hint="eastAsia" w:ascii="Times New Roman"/>
          <w:color w:val="auto"/>
          <w:highlight w:val="none"/>
          <w:lang w:eastAsia="zh-CN"/>
        </w:rPr>
        <w:t>历史遗留矿山生态修复</w:t>
      </w:r>
      <w:r>
        <w:rPr>
          <w:rFonts w:hint="eastAsia"/>
          <w:color w:val="auto"/>
          <w:highlight w:val="none"/>
          <w:lang w:eastAsia="zh-CN"/>
        </w:rPr>
        <w:t>，</w:t>
      </w:r>
      <w:r>
        <w:rPr>
          <w:rFonts w:ascii="Times New Roman"/>
          <w:color w:val="auto"/>
          <w:highlight w:val="none"/>
        </w:rPr>
        <w:t>项目</w:t>
      </w:r>
      <w:r>
        <w:rPr>
          <w:rFonts w:hint="eastAsia"/>
          <w:color w:val="auto"/>
          <w:highlight w:val="none"/>
          <w:lang w:val="en-US" w:eastAsia="zh-CN"/>
        </w:rPr>
        <w:t>回填期间</w:t>
      </w:r>
      <w:r>
        <w:rPr>
          <w:rFonts w:ascii="Times New Roman"/>
          <w:color w:val="auto"/>
          <w:highlight w:val="none"/>
        </w:rPr>
        <w:t>，</w:t>
      </w:r>
      <w:r>
        <w:rPr>
          <w:rFonts w:hint="eastAsia"/>
          <w:color w:val="auto"/>
          <w:highlight w:val="none"/>
          <w:lang w:val="en-US" w:eastAsia="zh-CN"/>
        </w:rPr>
        <w:t>产生的废气颗粒物，无组织排放。</w:t>
      </w:r>
    </w:p>
    <w:p w14:paraId="24B71FF1">
      <w:pPr>
        <w:pStyle w:val="217"/>
        <w:ind w:firstLine="480"/>
        <w:rPr>
          <w:rFonts w:cs="Times New Roman"/>
          <w:color w:val="auto"/>
          <w:highlight w:val="none"/>
        </w:rPr>
      </w:pPr>
      <w:r>
        <w:rPr>
          <w:rFonts w:cs="Times New Roman"/>
          <w:color w:val="auto"/>
          <w:highlight w:val="none"/>
        </w:rPr>
        <w:t>本项目总量核算见表8</w:t>
      </w:r>
      <w:r>
        <w:rPr>
          <w:rFonts w:hint="eastAsia" w:cs="Times New Roman"/>
          <w:color w:val="auto"/>
          <w:highlight w:val="none"/>
          <w:lang w:val="en-US" w:eastAsia="zh-CN"/>
        </w:rPr>
        <w:t>.4</w:t>
      </w:r>
      <w:r>
        <w:rPr>
          <w:rFonts w:cs="Times New Roman"/>
          <w:color w:val="auto"/>
          <w:highlight w:val="none"/>
        </w:rPr>
        <w:t>-</w:t>
      </w:r>
      <w:r>
        <w:rPr>
          <w:rFonts w:hint="eastAsia" w:cs="Times New Roman"/>
          <w:color w:val="auto"/>
          <w:highlight w:val="none"/>
          <w:lang w:val="en-US" w:eastAsia="zh-CN"/>
        </w:rPr>
        <w:t>1</w:t>
      </w:r>
      <w:r>
        <w:rPr>
          <w:rFonts w:cs="Times New Roman"/>
          <w:color w:val="auto"/>
          <w:highlight w:val="none"/>
        </w:rPr>
        <w:t>。</w:t>
      </w:r>
    </w:p>
    <w:p w14:paraId="12AE95D5">
      <w:pPr>
        <w:bidi w:val="0"/>
        <w:jc w:val="center"/>
        <w:rPr>
          <w:b/>
          <w:bCs/>
          <w:color w:val="auto"/>
          <w:highlight w:val="none"/>
        </w:rPr>
      </w:pPr>
      <w:r>
        <w:rPr>
          <w:b/>
          <w:bCs/>
          <w:color w:val="auto"/>
          <w:highlight w:val="none"/>
        </w:rPr>
        <w:t>表8</w:t>
      </w:r>
      <w:r>
        <w:rPr>
          <w:rFonts w:hint="eastAsia"/>
          <w:b/>
          <w:bCs/>
          <w:color w:val="auto"/>
          <w:highlight w:val="none"/>
          <w:lang w:val="en-US" w:eastAsia="zh-CN"/>
        </w:rPr>
        <w:t>.4</w:t>
      </w:r>
      <w:r>
        <w:rPr>
          <w:b/>
          <w:bCs/>
          <w:color w:val="auto"/>
          <w:highlight w:val="none"/>
        </w:rPr>
        <w:t>-</w:t>
      </w:r>
      <w:r>
        <w:rPr>
          <w:rFonts w:hint="eastAsia"/>
          <w:b/>
          <w:bCs/>
          <w:color w:val="auto"/>
          <w:highlight w:val="none"/>
          <w:lang w:val="en-US" w:eastAsia="zh-CN"/>
        </w:rPr>
        <w:t xml:space="preserve">1  </w:t>
      </w:r>
      <w:r>
        <w:rPr>
          <w:b/>
          <w:bCs/>
          <w:color w:val="auto"/>
          <w:highlight w:val="none"/>
        </w:rPr>
        <w:t>项目总量控制指标    单位：t/a</w:t>
      </w:r>
    </w:p>
    <w:tbl>
      <w:tblPr>
        <w:tblStyle w:val="84"/>
        <w:tblW w:w="5000" w:type="pct"/>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894"/>
        <w:gridCol w:w="2832"/>
        <w:gridCol w:w="2835"/>
      </w:tblGrid>
      <w:tr w14:paraId="28A3E9D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90" w:type="pct"/>
            <w:tcBorders>
              <w:tl2br w:val="nil"/>
              <w:tr2bl w:val="nil"/>
            </w:tcBorders>
            <w:noWrap w:val="0"/>
            <w:vAlign w:val="center"/>
          </w:tcPr>
          <w:p w14:paraId="367246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color w:val="auto"/>
                <w:sz w:val="21"/>
                <w:szCs w:val="21"/>
                <w:highlight w:val="none"/>
              </w:rPr>
            </w:pPr>
            <w:r>
              <w:rPr>
                <w:color w:val="auto"/>
                <w:sz w:val="21"/>
                <w:szCs w:val="21"/>
                <w:highlight w:val="none"/>
              </w:rPr>
              <w:t>项目</w:t>
            </w:r>
          </w:p>
        </w:tc>
        <w:tc>
          <w:tcPr>
            <w:tcW w:w="1054" w:type="pct"/>
            <w:tcBorders>
              <w:tl2br w:val="nil"/>
              <w:tr2bl w:val="nil"/>
            </w:tcBorders>
            <w:noWrap w:val="0"/>
            <w:vAlign w:val="center"/>
          </w:tcPr>
          <w:p w14:paraId="0EB194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color w:val="auto"/>
                <w:sz w:val="21"/>
                <w:szCs w:val="21"/>
                <w:highlight w:val="none"/>
              </w:rPr>
            </w:pPr>
            <w:r>
              <w:rPr>
                <w:color w:val="auto"/>
                <w:sz w:val="21"/>
                <w:szCs w:val="21"/>
                <w:highlight w:val="none"/>
              </w:rPr>
              <w:t>名称</w:t>
            </w:r>
          </w:p>
        </w:tc>
        <w:tc>
          <w:tcPr>
            <w:tcW w:w="1576" w:type="pct"/>
            <w:tcBorders>
              <w:tl2br w:val="nil"/>
              <w:tr2bl w:val="nil"/>
            </w:tcBorders>
            <w:noWrap w:val="0"/>
            <w:vAlign w:val="center"/>
          </w:tcPr>
          <w:p w14:paraId="2E509B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color w:val="auto"/>
                <w:sz w:val="21"/>
                <w:szCs w:val="21"/>
                <w:highlight w:val="none"/>
              </w:rPr>
            </w:pPr>
            <w:r>
              <w:rPr>
                <w:color w:val="auto"/>
                <w:sz w:val="21"/>
                <w:szCs w:val="21"/>
                <w:highlight w:val="none"/>
              </w:rPr>
              <w:t>预测排放量</w:t>
            </w:r>
          </w:p>
        </w:tc>
        <w:tc>
          <w:tcPr>
            <w:tcW w:w="1577" w:type="pct"/>
            <w:tcBorders>
              <w:tl2br w:val="nil"/>
              <w:tr2bl w:val="nil"/>
            </w:tcBorders>
            <w:noWrap w:val="0"/>
            <w:vAlign w:val="center"/>
          </w:tcPr>
          <w:p w14:paraId="626563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color w:val="auto"/>
                <w:sz w:val="21"/>
                <w:szCs w:val="21"/>
                <w:highlight w:val="none"/>
              </w:rPr>
            </w:pPr>
            <w:r>
              <w:rPr>
                <w:color w:val="auto"/>
                <w:sz w:val="21"/>
                <w:szCs w:val="21"/>
                <w:highlight w:val="none"/>
              </w:rPr>
              <w:t>核定排放量</w:t>
            </w:r>
          </w:p>
        </w:tc>
      </w:tr>
      <w:tr w14:paraId="1A62BF1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90" w:type="pct"/>
            <w:tcBorders>
              <w:tl2br w:val="nil"/>
              <w:tr2bl w:val="nil"/>
            </w:tcBorders>
            <w:noWrap w:val="0"/>
            <w:vAlign w:val="center"/>
          </w:tcPr>
          <w:p w14:paraId="664CE4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color w:val="auto"/>
                <w:sz w:val="21"/>
                <w:szCs w:val="21"/>
                <w:highlight w:val="none"/>
              </w:rPr>
            </w:pPr>
            <w:r>
              <w:rPr>
                <w:color w:val="auto"/>
                <w:sz w:val="21"/>
                <w:szCs w:val="21"/>
                <w:highlight w:val="none"/>
              </w:rPr>
              <w:t>废气</w:t>
            </w:r>
          </w:p>
        </w:tc>
        <w:tc>
          <w:tcPr>
            <w:tcW w:w="1054" w:type="pct"/>
            <w:tcBorders>
              <w:tl2br w:val="nil"/>
              <w:tr2bl w:val="nil"/>
            </w:tcBorders>
            <w:noWrap w:val="0"/>
            <w:vAlign w:val="center"/>
          </w:tcPr>
          <w:p w14:paraId="7C4DD3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color w:val="auto"/>
                <w:sz w:val="21"/>
                <w:szCs w:val="21"/>
                <w:highlight w:val="none"/>
              </w:rPr>
            </w:pPr>
            <w:r>
              <w:rPr>
                <w:color w:val="auto"/>
                <w:sz w:val="21"/>
                <w:szCs w:val="21"/>
                <w:highlight w:val="none"/>
              </w:rPr>
              <w:t>颗粒物</w:t>
            </w:r>
          </w:p>
        </w:tc>
        <w:tc>
          <w:tcPr>
            <w:tcW w:w="1576" w:type="pct"/>
            <w:tcBorders>
              <w:tl2br w:val="nil"/>
              <w:tr2bl w:val="nil"/>
            </w:tcBorders>
            <w:noWrap w:val="0"/>
            <w:vAlign w:val="center"/>
          </w:tcPr>
          <w:p w14:paraId="3677D2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bidi="ar-SA"/>
              </w:rPr>
              <w:t>0.5873</w:t>
            </w:r>
          </w:p>
        </w:tc>
        <w:tc>
          <w:tcPr>
            <w:tcW w:w="1577" w:type="pct"/>
            <w:tcBorders>
              <w:tl2br w:val="nil"/>
              <w:tr2bl w:val="nil"/>
            </w:tcBorders>
            <w:noWrap w:val="0"/>
            <w:vAlign w:val="center"/>
          </w:tcPr>
          <w:p w14:paraId="7DDA2F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bidi="ar-SA"/>
              </w:rPr>
              <w:t>0.5873</w:t>
            </w:r>
          </w:p>
        </w:tc>
      </w:t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tbl>
    <w:p w14:paraId="0BFC471B">
      <w:pPr>
        <w:rPr>
          <w:rFonts w:hint="eastAsia"/>
          <w:color w:val="auto"/>
          <w:highlight w:val="none"/>
        </w:rPr>
      </w:pPr>
      <w:bookmarkStart w:id="883" w:name="_Toc30087"/>
      <w:bookmarkStart w:id="884" w:name="_Toc526865665"/>
      <w:bookmarkStart w:id="885" w:name="_Toc17827"/>
      <w:bookmarkStart w:id="886" w:name="_Toc7152"/>
    </w:p>
    <w:p w14:paraId="5830DCAD">
      <w:pPr>
        <w:pStyle w:val="6"/>
        <w:widowControl w:val="0"/>
        <w:snapToGrid w:val="0"/>
        <w:spacing w:before="0" w:after="0"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8.5环保设施“三同时”验收</w:t>
      </w:r>
      <w:bookmarkEnd w:id="883"/>
      <w:bookmarkEnd w:id="884"/>
      <w:bookmarkEnd w:id="885"/>
      <w:bookmarkEnd w:id="886"/>
    </w:p>
    <w:p w14:paraId="559E51A2">
      <w:pPr>
        <w:pStyle w:val="33"/>
        <w:widowControl w:val="0"/>
        <w:snapToGrid w:val="0"/>
        <w:spacing w:after="0" w:line="360" w:lineRule="auto"/>
        <w:ind w:left="0" w:leftChars="0" w:firstLine="475"/>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建成后建设单位应根据中华人民共和国国务院令第682号（2017年10月1日）《国务院关于修改&lt;建设项目环境保护管理条例&gt;的决定》、《关于发布&lt;建设项目竣工环境保护验收暂行办法&gt;的公告》（国环规环评[2017]4号）、《关于印发&lt;黑龙江省历史遗留矿山生态修复验收管理办法（试行）&gt;的通知》（黑自然资发[2023]34号）规定，进行建设项目竣工环境保护验收。验收节点为全部恢复完成后。其竣工环境保护验收</w:t>
      </w:r>
      <w:r>
        <w:rPr>
          <w:rFonts w:hint="eastAsia" w:asciiTheme="minorEastAsia" w:hAnsiTheme="minorEastAsia" w:eastAsiaTheme="minorEastAsia" w:cstheme="minorEastAsia"/>
          <w:color w:val="auto"/>
          <w:highlight w:val="none"/>
          <w:lang w:val="en-US" w:eastAsia="zh-CN"/>
        </w:rPr>
        <w:t>主要内容</w:t>
      </w:r>
      <w:r>
        <w:rPr>
          <w:rFonts w:hint="eastAsia" w:asciiTheme="minorEastAsia" w:hAnsiTheme="minorEastAsia" w:eastAsiaTheme="minorEastAsia" w:cstheme="minorEastAsia"/>
          <w:color w:val="auto"/>
          <w:highlight w:val="none"/>
        </w:rPr>
        <w:t>见表8</w:t>
      </w:r>
      <w:r>
        <w:rPr>
          <w:rFonts w:hint="eastAsia" w:asciiTheme="minorEastAsia" w:hAnsiTheme="minorEastAsia" w:eastAsiaTheme="minorEastAsia" w:cstheme="minorEastAsia"/>
          <w:color w:val="auto"/>
          <w:highlight w:val="none"/>
          <w:lang w:val="en-US" w:eastAsia="zh-CN"/>
        </w:rPr>
        <w:t>.</w:t>
      </w:r>
      <w:r>
        <w:rPr>
          <w:rFonts w:hint="eastAsia" w:asciiTheme="minorEastAsia" w:hAnsiTheme="minorEastAsia" w:eastAsiaTheme="minorEastAsia" w:cstheme="minorEastAsia"/>
          <w:color w:val="auto"/>
          <w:highlight w:val="none"/>
        </w:rPr>
        <w:t>5-1。</w:t>
      </w:r>
    </w:p>
    <w:p w14:paraId="283818E4">
      <w:pPr>
        <w:widowControl w:val="0"/>
        <w:snapToGrid w:val="0"/>
        <w:spacing w:line="240" w:lineRule="auto"/>
        <w:ind w:firstLine="200"/>
        <w:jc w:val="center"/>
        <w:rPr>
          <w:rFonts w:hint="eastAsia" w:asciiTheme="minorEastAsia" w:hAnsiTheme="minorEastAsia" w:eastAsiaTheme="minorEastAsia" w:cstheme="minorEastAsia"/>
          <w:b/>
          <w:color w:val="auto"/>
          <w:highlight w:val="none"/>
        </w:rPr>
        <w:sectPr>
          <w:footerReference r:id="rId14" w:type="default"/>
          <w:pgSz w:w="11906" w:h="16838"/>
          <w:pgMar w:top="1440" w:right="1440" w:bottom="1440" w:left="1701" w:header="851" w:footer="992" w:gutter="0"/>
          <w:pgBorders>
            <w:top w:val="none" w:sz="0" w:space="0"/>
            <w:left w:val="none" w:sz="0" w:space="0"/>
            <w:bottom w:val="none" w:sz="0" w:space="0"/>
            <w:right w:val="none" w:sz="0" w:space="0"/>
          </w:pgBorders>
          <w:pgNumType w:fmt="numberInDash"/>
          <w:cols w:space="720" w:num="1"/>
          <w:docGrid w:linePitch="312" w:charSpace="0"/>
        </w:sectPr>
      </w:pPr>
    </w:p>
    <w:p w14:paraId="2EC3A52D">
      <w:pPr>
        <w:pStyle w:val="2"/>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b/>
          <w:bCs/>
          <w:color w:val="auto"/>
          <w:highlight w:val="none"/>
        </w:rPr>
      </w:pPr>
      <w:r>
        <w:rPr>
          <w:rFonts w:eastAsia="宋体"/>
          <w:b/>
          <w:bCs/>
          <w:color w:val="auto"/>
          <w:sz w:val="24"/>
          <w:highlight w:val="none"/>
        </w:rPr>
        <w:t>表8</w:t>
      </w:r>
      <w:r>
        <w:rPr>
          <w:rFonts w:hint="eastAsia" w:eastAsia="宋体"/>
          <w:b/>
          <w:bCs/>
          <w:color w:val="auto"/>
          <w:sz w:val="24"/>
          <w:highlight w:val="none"/>
          <w:lang w:val="en-US" w:eastAsia="zh-CN"/>
        </w:rPr>
        <w:t>.</w:t>
      </w:r>
      <w:r>
        <w:rPr>
          <w:rFonts w:hint="eastAsia"/>
          <w:b/>
          <w:bCs/>
          <w:color w:val="auto"/>
          <w:sz w:val="24"/>
          <w:highlight w:val="none"/>
          <w:lang w:val="en-US" w:eastAsia="zh-CN"/>
        </w:rPr>
        <w:t>5</w:t>
      </w:r>
      <w:r>
        <w:rPr>
          <w:rFonts w:hint="eastAsia" w:eastAsia="宋体"/>
          <w:b/>
          <w:bCs/>
          <w:color w:val="auto"/>
          <w:sz w:val="24"/>
          <w:highlight w:val="none"/>
          <w:lang w:val="en-US" w:eastAsia="zh-CN"/>
        </w:rPr>
        <w:t>-1</w:t>
      </w:r>
      <w:r>
        <w:rPr>
          <w:rFonts w:eastAsia="宋体"/>
          <w:b/>
          <w:bCs/>
          <w:color w:val="auto"/>
          <w:sz w:val="24"/>
          <w:highlight w:val="none"/>
        </w:rPr>
        <w:t>环境保护</w:t>
      </w:r>
      <w:r>
        <w:rPr>
          <w:rFonts w:hint="eastAsia"/>
          <w:b/>
          <w:bCs/>
          <w:color w:val="auto"/>
          <w:sz w:val="24"/>
          <w:highlight w:val="none"/>
          <w:lang w:eastAsia="zh-CN"/>
        </w:rPr>
        <w:t>“</w:t>
      </w:r>
      <w:r>
        <w:rPr>
          <w:rFonts w:eastAsia="宋体"/>
          <w:b/>
          <w:bCs/>
          <w:color w:val="auto"/>
          <w:sz w:val="24"/>
          <w:highlight w:val="none"/>
        </w:rPr>
        <w:t>三同时</w:t>
      </w:r>
      <w:r>
        <w:rPr>
          <w:rFonts w:hint="eastAsia"/>
          <w:b/>
          <w:bCs/>
          <w:color w:val="auto"/>
          <w:sz w:val="24"/>
          <w:highlight w:val="none"/>
          <w:lang w:eastAsia="zh-CN"/>
        </w:rPr>
        <w:t>”</w:t>
      </w:r>
      <w:r>
        <w:rPr>
          <w:rFonts w:eastAsia="宋体"/>
          <w:b/>
          <w:bCs/>
          <w:color w:val="auto"/>
          <w:sz w:val="24"/>
          <w:highlight w:val="none"/>
        </w:rPr>
        <w:t>验收监测一览表</w:t>
      </w:r>
    </w:p>
    <w:tbl>
      <w:tblPr>
        <w:tblStyle w:val="84"/>
        <w:tblW w:w="14219" w:type="dxa"/>
        <w:jc w:val="center"/>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12"/>
        <w:gridCol w:w="1200"/>
        <w:gridCol w:w="691"/>
        <w:gridCol w:w="782"/>
        <w:gridCol w:w="1785"/>
        <w:gridCol w:w="3400"/>
        <w:gridCol w:w="1369"/>
        <w:gridCol w:w="3380"/>
      </w:tblGrid>
      <w:tr w14:paraId="5DF7C76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2812" w:type="dxa"/>
            <w:gridSpan w:val="2"/>
            <w:tcBorders>
              <w:tl2br w:val="nil"/>
              <w:tr2bl w:val="nil"/>
            </w:tcBorders>
            <w:noWrap w:val="0"/>
            <w:vAlign w:val="center"/>
          </w:tcPr>
          <w:p w14:paraId="787C71CE">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阶段</w:t>
            </w:r>
          </w:p>
        </w:tc>
        <w:tc>
          <w:tcPr>
            <w:tcW w:w="691" w:type="dxa"/>
            <w:tcBorders>
              <w:tl2br w:val="nil"/>
              <w:tr2bl w:val="nil"/>
            </w:tcBorders>
            <w:noWrap w:val="0"/>
            <w:vAlign w:val="center"/>
          </w:tcPr>
          <w:p w14:paraId="7D73CBD7">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产污节点</w:t>
            </w:r>
          </w:p>
        </w:tc>
        <w:tc>
          <w:tcPr>
            <w:tcW w:w="782" w:type="dxa"/>
            <w:tcBorders>
              <w:tl2br w:val="nil"/>
              <w:tr2bl w:val="nil"/>
            </w:tcBorders>
            <w:noWrap w:val="0"/>
            <w:vAlign w:val="center"/>
          </w:tcPr>
          <w:p w14:paraId="7481193E">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污染源编号</w:t>
            </w:r>
          </w:p>
        </w:tc>
        <w:tc>
          <w:tcPr>
            <w:tcW w:w="1785" w:type="dxa"/>
            <w:tcBorders>
              <w:tl2br w:val="nil"/>
              <w:tr2bl w:val="nil"/>
            </w:tcBorders>
            <w:noWrap w:val="0"/>
            <w:vAlign w:val="center"/>
          </w:tcPr>
          <w:p w14:paraId="7CCF9213">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污染物</w:t>
            </w:r>
          </w:p>
        </w:tc>
        <w:tc>
          <w:tcPr>
            <w:tcW w:w="3400" w:type="dxa"/>
            <w:tcBorders>
              <w:tl2br w:val="nil"/>
              <w:tr2bl w:val="nil"/>
            </w:tcBorders>
            <w:noWrap w:val="0"/>
            <w:vAlign w:val="center"/>
          </w:tcPr>
          <w:p w14:paraId="311DA4B5">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处理措施</w:t>
            </w:r>
          </w:p>
        </w:tc>
        <w:tc>
          <w:tcPr>
            <w:tcW w:w="1369" w:type="dxa"/>
            <w:tcBorders>
              <w:tl2br w:val="nil"/>
              <w:tr2bl w:val="nil"/>
            </w:tcBorders>
            <w:noWrap w:val="0"/>
            <w:vAlign w:val="center"/>
          </w:tcPr>
          <w:p w14:paraId="7EA7E65D">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排放去向</w:t>
            </w:r>
          </w:p>
        </w:tc>
        <w:tc>
          <w:tcPr>
            <w:tcW w:w="3380" w:type="dxa"/>
            <w:tcBorders>
              <w:tl2br w:val="nil"/>
              <w:tr2bl w:val="nil"/>
            </w:tcBorders>
            <w:noWrap w:val="0"/>
            <w:vAlign w:val="center"/>
          </w:tcPr>
          <w:p w14:paraId="1DE159BE">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排放标准</w:t>
            </w:r>
          </w:p>
        </w:tc>
      </w:tr>
      <w:tr w14:paraId="2CAE481D">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restart"/>
            <w:tcBorders>
              <w:tl2br w:val="nil"/>
              <w:tr2bl w:val="nil"/>
            </w:tcBorders>
            <w:noWrap w:val="0"/>
            <w:vAlign w:val="center"/>
          </w:tcPr>
          <w:p w14:paraId="334611DA">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hint="eastAsia" w:ascii="Times New Roman" w:hAnsi="Times New Roman" w:eastAsia="宋体"/>
                <w:b w:val="0"/>
                <w:bCs/>
                <w:color w:val="auto"/>
                <w:sz w:val="21"/>
                <w:szCs w:val="21"/>
                <w:highlight w:val="none"/>
                <w:lang w:val="en-US" w:eastAsia="zh-CN"/>
              </w:rPr>
              <w:t>回填</w:t>
            </w:r>
            <w:r>
              <w:rPr>
                <w:rFonts w:ascii="Times New Roman" w:hAnsi="Times New Roman" w:eastAsia="宋体"/>
                <w:b w:val="0"/>
                <w:bCs/>
                <w:color w:val="auto"/>
                <w:sz w:val="21"/>
                <w:szCs w:val="21"/>
                <w:highlight w:val="none"/>
              </w:rPr>
              <w:t>期</w:t>
            </w:r>
          </w:p>
        </w:tc>
        <w:tc>
          <w:tcPr>
            <w:tcW w:w="1200" w:type="dxa"/>
            <w:tcBorders>
              <w:tl2br w:val="nil"/>
              <w:tr2bl w:val="nil"/>
            </w:tcBorders>
            <w:noWrap w:val="0"/>
            <w:vAlign w:val="center"/>
          </w:tcPr>
          <w:p w14:paraId="6AF1EB40">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废气</w:t>
            </w:r>
          </w:p>
        </w:tc>
        <w:tc>
          <w:tcPr>
            <w:tcW w:w="691" w:type="dxa"/>
            <w:tcBorders>
              <w:tl2br w:val="nil"/>
              <w:tr2bl w:val="nil"/>
            </w:tcBorders>
            <w:noWrap w:val="0"/>
            <w:vAlign w:val="center"/>
          </w:tcPr>
          <w:p w14:paraId="27901EB2">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hint="eastAsia" w:ascii="Times New Roman" w:hAnsi="Times New Roman" w:eastAsia="宋体"/>
                <w:b w:val="0"/>
                <w:bCs/>
                <w:color w:val="auto"/>
                <w:sz w:val="21"/>
                <w:szCs w:val="21"/>
                <w:highlight w:val="none"/>
                <w:lang w:val="en-US" w:eastAsia="zh-CN"/>
              </w:rPr>
              <w:t>回填</w:t>
            </w:r>
            <w:r>
              <w:rPr>
                <w:rFonts w:ascii="Times New Roman" w:hAnsi="Times New Roman" w:eastAsia="宋体"/>
                <w:b w:val="0"/>
                <w:bCs/>
                <w:color w:val="auto"/>
                <w:sz w:val="21"/>
                <w:szCs w:val="21"/>
                <w:highlight w:val="none"/>
              </w:rPr>
              <w:t>作业</w:t>
            </w:r>
          </w:p>
        </w:tc>
        <w:tc>
          <w:tcPr>
            <w:tcW w:w="782" w:type="dxa"/>
            <w:tcBorders>
              <w:tl2br w:val="nil"/>
              <w:tr2bl w:val="nil"/>
            </w:tcBorders>
            <w:noWrap w:val="0"/>
            <w:vAlign w:val="center"/>
          </w:tcPr>
          <w:p w14:paraId="17329F84">
            <w:pPr>
              <w:pStyle w:val="1362"/>
              <w:keepNext w:val="0"/>
              <w:keepLines w:val="0"/>
              <w:suppressLineNumbers w:val="0"/>
              <w:snapToGrid w:val="0"/>
              <w:spacing w:before="0" w:beforeAutospacing="0" w:after="0" w:afterAutospacing="0"/>
              <w:ind w:left="0" w:leftChars="0" w:right="0" w:rightChars="0" w:firstLine="0" w:firstLineChars="0"/>
              <w:rPr>
                <w:rFonts w:hint="eastAsia" w:ascii="Times New Roman" w:hAnsi="Times New Roman" w:eastAsia="宋体"/>
                <w:b w:val="0"/>
                <w:bCs/>
                <w:color w:val="auto"/>
                <w:sz w:val="21"/>
                <w:szCs w:val="21"/>
                <w:highlight w:val="none"/>
                <w:lang w:eastAsia="zh-CN"/>
              </w:rPr>
            </w:pPr>
            <w:r>
              <w:rPr>
                <w:rFonts w:hint="eastAsia" w:ascii="Times New Roman" w:hAnsi="Times New Roman" w:eastAsia="宋体"/>
                <w:b w:val="0"/>
                <w:bCs/>
                <w:color w:val="auto"/>
                <w:sz w:val="21"/>
                <w:szCs w:val="21"/>
                <w:highlight w:val="none"/>
                <w:lang w:val="en-US" w:eastAsia="zh-CN"/>
              </w:rPr>
              <w:t>/</w:t>
            </w:r>
          </w:p>
        </w:tc>
        <w:tc>
          <w:tcPr>
            <w:tcW w:w="1785" w:type="dxa"/>
            <w:tcBorders>
              <w:tl2br w:val="nil"/>
              <w:tr2bl w:val="nil"/>
            </w:tcBorders>
            <w:noWrap w:val="0"/>
            <w:vAlign w:val="center"/>
          </w:tcPr>
          <w:p w14:paraId="333F4774">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颗粒物</w:t>
            </w:r>
          </w:p>
        </w:tc>
        <w:tc>
          <w:tcPr>
            <w:tcW w:w="3400" w:type="dxa"/>
            <w:tcBorders>
              <w:tl2br w:val="nil"/>
              <w:tr2bl w:val="nil"/>
            </w:tcBorders>
            <w:noWrap w:val="0"/>
            <w:vAlign w:val="center"/>
          </w:tcPr>
          <w:p w14:paraId="64962C9D">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洒水降尘</w:t>
            </w:r>
            <w:r>
              <w:rPr>
                <w:rFonts w:hint="eastAsia" w:ascii="Times New Roman" w:hAnsi="Times New Roman" w:eastAsia="宋体"/>
                <w:b w:val="0"/>
                <w:bCs/>
                <w:color w:val="auto"/>
                <w:sz w:val="21"/>
                <w:szCs w:val="21"/>
                <w:highlight w:val="none"/>
              </w:rPr>
              <w:t>、设置</w:t>
            </w:r>
            <w:r>
              <w:rPr>
                <w:rFonts w:hint="eastAsia" w:ascii="Times New Roman" w:eastAsia="宋体"/>
                <w:b w:val="0"/>
                <w:bCs/>
                <w:color w:val="auto"/>
                <w:sz w:val="21"/>
                <w:szCs w:val="21"/>
                <w:highlight w:val="none"/>
                <w:lang w:val="zh-CN"/>
              </w:rPr>
              <w:t>隔声隔尘挡板</w:t>
            </w:r>
            <w:r>
              <w:rPr>
                <w:rFonts w:hint="eastAsia" w:ascii="Times New Roman" w:hAnsi="Times New Roman" w:eastAsia="宋体"/>
                <w:b w:val="0"/>
                <w:bCs/>
                <w:color w:val="auto"/>
                <w:sz w:val="21"/>
                <w:szCs w:val="21"/>
                <w:highlight w:val="none"/>
              </w:rPr>
              <w:t>、</w:t>
            </w:r>
            <w:r>
              <w:rPr>
                <w:rFonts w:hint="eastAsia" w:ascii="Times New Roman" w:hAnsi="Times New Roman" w:eastAsia="宋体" w:cs="Times New Roman"/>
                <w:b w:val="0"/>
                <w:bCs/>
                <w:color w:val="auto"/>
                <w:sz w:val="21"/>
                <w:szCs w:val="24"/>
                <w:highlight w:val="none"/>
                <w:lang w:val="en-US" w:eastAsia="zh-CN" w:bidi="ar"/>
              </w:rPr>
              <w:t>密目网或苫布覆盖。</w:t>
            </w:r>
          </w:p>
        </w:tc>
        <w:tc>
          <w:tcPr>
            <w:tcW w:w="1369" w:type="dxa"/>
            <w:tcBorders>
              <w:tl2br w:val="nil"/>
              <w:tr2bl w:val="nil"/>
            </w:tcBorders>
            <w:noWrap w:val="0"/>
            <w:vAlign w:val="center"/>
          </w:tcPr>
          <w:p w14:paraId="655CCFCE">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无组织排放</w:t>
            </w:r>
          </w:p>
        </w:tc>
        <w:tc>
          <w:tcPr>
            <w:tcW w:w="3380" w:type="dxa"/>
            <w:tcBorders>
              <w:tl2br w:val="nil"/>
              <w:tr2bl w:val="nil"/>
            </w:tcBorders>
            <w:noWrap w:val="0"/>
            <w:vAlign w:val="center"/>
          </w:tcPr>
          <w:p w14:paraId="4D930FFD">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《大气污染物综合排放标准》</w:t>
            </w:r>
          </w:p>
          <w:p w14:paraId="72C9963B">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(GB16297-1996)表2中无组织排放标准限值</w:t>
            </w:r>
          </w:p>
        </w:tc>
      </w:tr>
      <w:tr w14:paraId="35B1FE7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78A31DFE">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restart"/>
            <w:tcBorders>
              <w:tl2br w:val="nil"/>
              <w:tr2bl w:val="nil"/>
            </w:tcBorders>
            <w:noWrap w:val="0"/>
            <w:vAlign w:val="center"/>
          </w:tcPr>
          <w:p w14:paraId="39F1E8B1">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废水</w:t>
            </w:r>
          </w:p>
        </w:tc>
        <w:tc>
          <w:tcPr>
            <w:tcW w:w="1473" w:type="dxa"/>
            <w:gridSpan w:val="2"/>
            <w:vMerge w:val="restart"/>
            <w:tcBorders>
              <w:tl2br w:val="nil"/>
              <w:tr2bl w:val="nil"/>
            </w:tcBorders>
            <w:noWrap w:val="0"/>
            <w:vAlign w:val="center"/>
          </w:tcPr>
          <w:p w14:paraId="056017FE">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hint="eastAsia" w:ascii="Times New Roman" w:hAnsi="Times New Roman" w:eastAsia="宋体"/>
                <w:b w:val="0"/>
                <w:bCs/>
                <w:color w:val="auto"/>
                <w:sz w:val="21"/>
                <w:szCs w:val="21"/>
                <w:highlight w:val="none"/>
              </w:rPr>
              <w:t>淋滤水</w:t>
            </w:r>
          </w:p>
        </w:tc>
        <w:tc>
          <w:tcPr>
            <w:tcW w:w="1785" w:type="dxa"/>
            <w:tcBorders>
              <w:tl2br w:val="nil"/>
              <w:tr2bl w:val="nil"/>
            </w:tcBorders>
            <w:shd w:val="clear" w:color="auto" w:fill="auto"/>
            <w:noWrap w:val="0"/>
            <w:vAlign w:val="center"/>
          </w:tcPr>
          <w:p w14:paraId="7038AC9A">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cs="Times New Roman"/>
                <w:snapToGrid w:val="0"/>
                <w:color w:val="auto"/>
                <w:kern w:val="0"/>
                <w:sz w:val="21"/>
                <w:szCs w:val="21"/>
                <w:highlight w:val="none"/>
                <w:lang w:val="en-US" w:eastAsia="zh-CN" w:bidi="ar-SA"/>
              </w:rPr>
            </w:pPr>
            <w:r>
              <w:rPr>
                <w:rFonts w:hint="eastAsia" w:ascii="宋体" w:hAnsi="宋体" w:eastAsia="宋体" w:cs="宋体"/>
                <w:i w:val="0"/>
                <w:iCs w:val="0"/>
                <w:color w:val="auto"/>
                <w:kern w:val="0"/>
                <w:sz w:val="21"/>
                <w:szCs w:val="21"/>
                <w:highlight w:val="none"/>
                <w:u w:val="none"/>
                <w:lang w:val="en-US" w:eastAsia="zh-CN" w:bidi="ar"/>
              </w:rPr>
              <w:t>六价铬</w:t>
            </w:r>
          </w:p>
        </w:tc>
        <w:tc>
          <w:tcPr>
            <w:tcW w:w="3400" w:type="dxa"/>
            <w:vMerge w:val="restart"/>
            <w:tcBorders>
              <w:tl2br w:val="nil"/>
              <w:tr2bl w:val="nil"/>
            </w:tcBorders>
            <w:noWrap w:val="0"/>
            <w:vAlign w:val="center"/>
          </w:tcPr>
          <w:p w14:paraId="6504FBDB">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hint="eastAsia" w:ascii="Times New Roman" w:hAnsi="Times New Roman" w:eastAsia="宋体"/>
                <w:b w:val="0"/>
                <w:bCs/>
                <w:color w:val="auto"/>
                <w:sz w:val="21"/>
                <w:szCs w:val="21"/>
                <w:highlight w:val="none"/>
              </w:rPr>
              <w:t>一座</w:t>
            </w:r>
            <w:r>
              <w:rPr>
                <w:rFonts w:hint="eastAsia" w:ascii="Times New Roman" w:hAnsi="Times New Roman" w:eastAsia="宋体"/>
                <w:b w:val="0"/>
                <w:bCs/>
                <w:color w:val="auto"/>
                <w:sz w:val="21"/>
                <w:szCs w:val="21"/>
                <w:highlight w:val="none"/>
                <w:lang w:val="en-US" w:eastAsia="zh-CN"/>
              </w:rPr>
              <w:t>120</w:t>
            </w:r>
            <w:r>
              <w:rPr>
                <w:rFonts w:hint="eastAsia" w:ascii="Times New Roman" w:hAnsi="Times New Roman" w:eastAsia="宋体"/>
                <w:b w:val="0"/>
                <w:bCs/>
                <w:color w:val="auto"/>
                <w:sz w:val="21"/>
                <w:szCs w:val="21"/>
                <w:highlight w:val="none"/>
              </w:rPr>
              <w:t>m</w:t>
            </w:r>
            <w:r>
              <w:rPr>
                <w:rFonts w:hint="eastAsia" w:ascii="Times New Roman" w:hAnsi="Times New Roman" w:eastAsia="宋体"/>
                <w:b w:val="0"/>
                <w:bCs/>
                <w:color w:val="auto"/>
                <w:sz w:val="21"/>
                <w:szCs w:val="21"/>
                <w:highlight w:val="none"/>
                <w:vertAlign w:val="superscript"/>
              </w:rPr>
              <w:t>3</w:t>
            </w:r>
            <w:r>
              <w:rPr>
                <w:rFonts w:hint="eastAsia" w:ascii="Times New Roman" w:hAnsi="Times New Roman" w:eastAsia="宋体"/>
                <w:b w:val="0"/>
                <w:bCs/>
                <w:color w:val="auto"/>
                <w:sz w:val="21"/>
                <w:szCs w:val="21"/>
                <w:highlight w:val="none"/>
              </w:rPr>
              <w:t>沉淀池，</w:t>
            </w:r>
            <w:r>
              <w:rPr>
                <w:rFonts w:hint="eastAsia"/>
                <w:color w:val="auto"/>
                <w:sz w:val="21"/>
                <w:szCs w:val="21"/>
                <w:highlight w:val="none"/>
                <w:lang w:val="en-US" w:eastAsia="zh-CN"/>
              </w:rPr>
              <w:t>淋滤水经沉淀池沉淀处理后用于回填区洒水降尘，不外排</w:t>
            </w:r>
            <w:r>
              <w:rPr>
                <w:rFonts w:hint="default"/>
                <w:color w:val="auto"/>
                <w:sz w:val="21"/>
                <w:szCs w:val="21"/>
                <w:highlight w:val="none"/>
                <w:lang w:val="en-US" w:eastAsia="zh-CN"/>
              </w:rPr>
              <w:t>。</w:t>
            </w:r>
          </w:p>
        </w:tc>
        <w:tc>
          <w:tcPr>
            <w:tcW w:w="1369" w:type="dxa"/>
            <w:vMerge w:val="restart"/>
            <w:tcBorders>
              <w:tl2br w:val="nil"/>
              <w:tr2bl w:val="nil"/>
            </w:tcBorders>
            <w:noWrap w:val="0"/>
            <w:vAlign w:val="center"/>
          </w:tcPr>
          <w:p w14:paraId="12B1F27E">
            <w:pPr>
              <w:pStyle w:val="1362"/>
              <w:keepNext w:val="0"/>
              <w:keepLines w:val="0"/>
              <w:suppressLineNumbers w:val="0"/>
              <w:snapToGrid w:val="0"/>
              <w:spacing w:before="0" w:beforeAutospacing="0" w:after="0" w:afterAutospacing="0"/>
              <w:ind w:left="0" w:leftChars="0" w:right="0" w:rightChars="0" w:firstLine="0" w:firstLineChars="0"/>
              <w:rPr>
                <w:rFonts w:hint="eastAsia" w:ascii="Times New Roman" w:hAnsi="Times New Roman" w:eastAsia="宋体"/>
                <w:b w:val="0"/>
                <w:bCs/>
                <w:color w:val="auto"/>
                <w:sz w:val="21"/>
                <w:szCs w:val="21"/>
                <w:highlight w:val="none"/>
                <w:lang w:val="en-US" w:eastAsia="zh-CN"/>
              </w:rPr>
            </w:pPr>
            <w:r>
              <w:rPr>
                <w:rFonts w:hint="eastAsia" w:ascii="Times New Roman" w:hAnsi="Times New Roman" w:eastAsia="宋体"/>
                <w:b w:val="0"/>
                <w:bCs/>
                <w:color w:val="auto"/>
                <w:sz w:val="21"/>
                <w:szCs w:val="21"/>
                <w:highlight w:val="none"/>
                <w:lang w:val="en-US" w:eastAsia="zh-CN"/>
              </w:rPr>
              <w:t>/</w:t>
            </w:r>
          </w:p>
        </w:tc>
        <w:tc>
          <w:tcPr>
            <w:tcW w:w="3380" w:type="dxa"/>
            <w:vMerge w:val="restart"/>
            <w:tcBorders>
              <w:tl2br w:val="nil"/>
              <w:tr2bl w:val="nil"/>
            </w:tcBorders>
            <w:noWrap w:val="0"/>
            <w:vAlign w:val="center"/>
          </w:tcPr>
          <w:p w14:paraId="3A8E523D">
            <w:pPr>
              <w:pStyle w:val="1362"/>
              <w:keepNext w:val="0"/>
              <w:keepLines w:val="0"/>
              <w:suppressLineNumbers w:val="0"/>
              <w:snapToGrid w:val="0"/>
              <w:spacing w:before="0" w:beforeAutospacing="0" w:after="0" w:afterAutospacing="0"/>
              <w:ind w:left="0" w:leftChars="0" w:right="0" w:rightChars="0" w:firstLine="0" w:firstLineChars="0"/>
              <w:rPr>
                <w:rFonts w:hint="eastAsia" w:ascii="Times New Roman" w:hAnsi="Times New Roman" w:eastAsia="宋体"/>
                <w:b w:val="0"/>
                <w:bCs/>
                <w:color w:val="auto"/>
                <w:sz w:val="21"/>
                <w:szCs w:val="21"/>
                <w:highlight w:val="none"/>
                <w:lang w:val="en-US" w:eastAsia="zh-CN"/>
              </w:rPr>
            </w:pPr>
            <w:r>
              <w:rPr>
                <w:rFonts w:hint="eastAsia" w:ascii="Times New Roman" w:hAnsi="Times New Roman" w:eastAsia="宋体"/>
                <w:b w:val="0"/>
                <w:bCs/>
                <w:color w:val="auto"/>
                <w:sz w:val="21"/>
                <w:szCs w:val="21"/>
                <w:highlight w:val="none"/>
                <w:lang w:val="en-US" w:eastAsia="zh-CN"/>
              </w:rPr>
              <w:t>/</w:t>
            </w:r>
          </w:p>
        </w:tc>
      </w:tr>
      <w:tr w14:paraId="6BDEC2FF">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01610362">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23938CF4">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58DBD550">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shd w:val="clear" w:color="auto" w:fill="auto"/>
            <w:noWrap w:val="0"/>
            <w:vAlign w:val="center"/>
          </w:tcPr>
          <w:p w14:paraId="763938F0">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i w:val="0"/>
                <w:iCs w:val="0"/>
                <w:snapToGrid w:val="0"/>
                <w:color w:val="auto"/>
                <w:kern w:val="0"/>
                <w:sz w:val="20"/>
                <w:szCs w:val="20"/>
                <w:highlight w:val="none"/>
                <w:u w:val="none"/>
                <w:lang w:val="en-US" w:eastAsia="zh-CN" w:bidi="ar"/>
              </w:rPr>
            </w:pPr>
            <w:r>
              <w:rPr>
                <w:rFonts w:hint="eastAsia" w:ascii="宋体" w:hAnsi="宋体" w:eastAsia="宋体" w:cs="宋体"/>
                <w:i w:val="0"/>
                <w:iCs w:val="0"/>
                <w:snapToGrid w:val="0"/>
                <w:color w:val="auto"/>
                <w:kern w:val="0"/>
                <w:sz w:val="20"/>
                <w:szCs w:val="20"/>
                <w:highlight w:val="none"/>
                <w:u w:val="none"/>
                <w:lang w:val="en-US" w:eastAsia="zh-CN" w:bidi="ar"/>
              </w:rPr>
              <w:t>总砷</w:t>
            </w:r>
          </w:p>
        </w:tc>
        <w:tc>
          <w:tcPr>
            <w:tcW w:w="3400" w:type="dxa"/>
            <w:vMerge w:val="continue"/>
            <w:tcBorders>
              <w:tl2br w:val="nil"/>
              <w:tr2bl w:val="nil"/>
            </w:tcBorders>
            <w:noWrap w:val="0"/>
            <w:vAlign w:val="center"/>
          </w:tcPr>
          <w:p w14:paraId="27F7B3FF">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0DA92D90">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389CB9F8">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4EC46F2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4A550D4F">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23881E11">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75461852">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shd w:val="clear" w:color="auto" w:fill="auto"/>
            <w:noWrap w:val="0"/>
            <w:vAlign w:val="center"/>
          </w:tcPr>
          <w:p w14:paraId="57A1583B">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i w:val="0"/>
                <w:iCs w:val="0"/>
                <w:snapToGrid w:val="0"/>
                <w:color w:val="auto"/>
                <w:kern w:val="0"/>
                <w:sz w:val="20"/>
                <w:szCs w:val="20"/>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总铍</w:t>
            </w:r>
          </w:p>
        </w:tc>
        <w:tc>
          <w:tcPr>
            <w:tcW w:w="3400" w:type="dxa"/>
            <w:vMerge w:val="continue"/>
            <w:tcBorders>
              <w:tl2br w:val="nil"/>
              <w:tr2bl w:val="nil"/>
            </w:tcBorders>
            <w:noWrap w:val="0"/>
            <w:vAlign w:val="center"/>
          </w:tcPr>
          <w:p w14:paraId="3F878B15">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579F20C6">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40833A99">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6A26B5D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54AC7B1A">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74DA2B9E">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5271949A">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shd w:val="clear" w:color="auto" w:fill="auto"/>
            <w:noWrap w:val="0"/>
            <w:vAlign w:val="center"/>
          </w:tcPr>
          <w:p w14:paraId="787D4C9D">
            <w:pPr>
              <w:keepNext w:val="0"/>
              <w:keepLines w:val="0"/>
              <w:widowControl/>
              <w:suppressLineNumbers w:val="0"/>
              <w:adjustRightInd w:val="0"/>
              <w:snapToGrid w:val="0"/>
              <w:spacing w:before="0" w:beforeAutospacing="0" w:after="0" w:afterAutospacing="0"/>
              <w:ind w:left="0" w:leftChars="0" w:right="0" w:rightChars="0"/>
              <w:jc w:val="center"/>
              <w:textAlignment w:val="center"/>
              <w:rPr>
                <w:rFonts w:hint="eastAsia" w:ascii="宋体" w:hAnsi="宋体" w:eastAsia="宋体" w:cs="宋体"/>
                <w:i w:val="0"/>
                <w:iCs w:val="0"/>
                <w:snapToGrid w:val="0"/>
                <w:color w:val="auto"/>
                <w:kern w:val="2"/>
                <w:sz w:val="20"/>
                <w:szCs w:val="20"/>
                <w:highlight w:val="none"/>
                <w:u w:val="none"/>
                <w:lang w:val="en-US"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五日生化需氧量</w:t>
            </w:r>
          </w:p>
        </w:tc>
        <w:tc>
          <w:tcPr>
            <w:tcW w:w="3400" w:type="dxa"/>
            <w:vMerge w:val="continue"/>
            <w:tcBorders>
              <w:tl2br w:val="nil"/>
              <w:tr2bl w:val="nil"/>
            </w:tcBorders>
            <w:noWrap w:val="0"/>
            <w:vAlign w:val="center"/>
          </w:tcPr>
          <w:p w14:paraId="19DE3E6E">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24A489A6">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4C3B7428">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3E44B7FF">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28EEC3B3">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0E199E57">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465E5F05">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shd w:val="clear" w:color="auto" w:fill="auto"/>
            <w:noWrap w:val="0"/>
            <w:vAlign w:val="center"/>
          </w:tcPr>
          <w:p w14:paraId="0242A283">
            <w:pPr>
              <w:keepNext w:val="0"/>
              <w:keepLines w:val="0"/>
              <w:widowControl/>
              <w:suppressLineNumbers w:val="0"/>
              <w:adjustRightInd w:val="0"/>
              <w:snapToGrid w:val="0"/>
              <w:spacing w:before="0" w:beforeAutospacing="0" w:after="0" w:afterAutospacing="0"/>
              <w:ind w:left="0" w:leftChars="0" w:right="0" w:rightChars="0"/>
              <w:jc w:val="center"/>
              <w:textAlignment w:val="center"/>
              <w:rPr>
                <w:rFonts w:hint="eastAsia" w:ascii="宋体" w:hAnsi="宋体" w:eastAsia="宋体" w:cs="宋体"/>
                <w:i w:val="0"/>
                <w:iCs w:val="0"/>
                <w:snapToGrid w:val="0"/>
                <w:color w:val="auto"/>
                <w:kern w:val="2"/>
                <w:sz w:val="20"/>
                <w:szCs w:val="20"/>
                <w:highlight w:val="none"/>
                <w:u w:val="none"/>
                <w:lang w:val="en-US"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化学需氧量</w:t>
            </w:r>
          </w:p>
        </w:tc>
        <w:tc>
          <w:tcPr>
            <w:tcW w:w="3400" w:type="dxa"/>
            <w:vMerge w:val="continue"/>
            <w:tcBorders>
              <w:tl2br w:val="nil"/>
              <w:tr2bl w:val="nil"/>
            </w:tcBorders>
            <w:noWrap w:val="0"/>
            <w:vAlign w:val="center"/>
          </w:tcPr>
          <w:p w14:paraId="0088FD19">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0F7351F8">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1C8E3F61">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4365876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495127EA">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1DA1903D">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66EF5709">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shd w:val="clear" w:color="auto" w:fill="auto"/>
            <w:noWrap w:val="0"/>
            <w:vAlign w:val="center"/>
          </w:tcPr>
          <w:p w14:paraId="2BC5C7DF">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cs="Times New Roman"/>
                <w:snapToGrid w:val="0"/>
                <w:color w:val="auto"/>
                <w:kern w:val="0"/>
                <w:sz w:val="21"/>
                <w:szCs w:val="21"/>
                <w:highlight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石油类</w:t>
            </w:r>
          </w:p>
        </w:tc>
        <w:tc>
          <w:tcPr>
            <w:tcW w:w="3400" w:type="dxa"/>
            <w:vMerge w:val="continue"/>
            <w:tcBorders>
              <w:tl2br w:val="nil"/>
              <w:tr2bl w:val="nil"/>
            </w:tcBorders>
            <w:noWrap w:val="0"/>
            <w:vAlign w:val="center"/>
          </w:tcPr>
          <w:p w14:paraId="70B5B656">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57790F56">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449347FD">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04B86E86">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5E13D9AD">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0829FB6B">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48827D61">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shd w:val="clear" w:color="auto" w:fill="auto"/>
            <w:noWrap w:val="0"/>
            <w:vAlign w:val="center"/>
          </w:tcPr>
          <w:p w14:paraId="15AAA505">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cs="Times New Roman"/>
                <w:snapToGrid w:val="0"/>
                <w:color w:val="auto"/>
                <w:kern w:val="0"/>
                <w:sz w:val="21"/>
                <w:szCs w:val="21"/>
                <w:highlight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氟化物</w:t>
            </w:r>
          </w:p>
        </w:tc>
        <w:tc>
          <w:tcPr>
            <w:tcW w:w="3400" w:type="dxa"/>
            <w:vMerge w:val="continue"/>
            <w:tcBorders>
              <w:tl2br w:val="nil"/>
              <w:tr2bl w:val="nil"/>
            </w:tcBorders>
            <w:noWrap w:val="0"/>
            <w:vAlign w:val="center"/>
          </w:tcPr>
          <w:p w14:paraId="30D1914C">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08401167">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1D203D8F">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477AFAE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4D92A48F">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50473595">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7FFD4E6E">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shd w:val="clear" w:color="auto" w:fill="auto"/>
            <w:noWrap w:val="0"/>
            <w:vAlign w:val="center"/>
          </w:tcPr>
          <w:p w14:paraId="52B506FC">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cs="Times New Roman"/>
                <w:snapToGrid w:val="0"/>
                <w:color w:val="auto"/>
                <w:kern w:val="0"/>
                <w:sz w:val="21"/>
                <w:szCs w:val="21"/>
                <w:highlight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磷酸盐</w:t>
            </w:r>
          </w:p>
        </w:tc>
        <w:tc>
          <w:tcPr>
            <w:tcW w:w="3400" w:type="dxa"/>
            <w:vMerge w:val="continue"/>
            <w:tcBorders>
              <w:tl2br w:val="nil"/>
              <w:tr2bl w:val="nil"/>
            </w:tcBorders>
            <w:noWrap w:val="0"/>
            <w:vAlign w:val="center"/>
          </w:tcPr>
          <w:p w14:paraId="1C745E68">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053F9F38">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1DA0C231">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2402C357">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666AFD18">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1F72D7D9">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0823D7B0">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shd w:val="clear" w:color="auto" w:fill="auto"/>
            <w:noWrap w:val="0"/>
            <w:vAlign w:val="center"/>
          </w:tcPr>
          <w:p w14:paraId="3D08A5F4">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cs="Times New Roman"/>
                <w:snapToGrid w:val="0"/>
                <w:color w:val="auto"/>
                <w:kern w:val="0"/>
                <w:sz w:val="21"/>
                <w:szCs w:val="21"/>
                <w:highlight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阴离子表面活性剂</w:t>
            </w:r>
          </w:p>
        </w:tc>
        <w:tc>
          <w:tcPr>
            <w:tcW w:w="3400" w:type="dxa"/>
            <w:vMerge w:val="continue"/>
            <w:tcBorders>
              <w:tl2br w:val="nil"/>
              <w:tr2bl w:val="nil"/>
            </w:tcBorders>
            <w:noWrap w:val="0"/>
            <w:vAlign w:val="center"/>
          </w:tcPr>
          <w:p w14:paraId="6101FC56">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096893D6">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32E36E2F">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7978537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1F7EEA78">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2D8BDD67">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7FB471F3">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shd w:val="clear" w:color="auto" w:fill="auto"/>
            <w:noWrap w:val="0"/>
            <w:vAlign w:val="center"/>
          </w:tcPr>
          <w:p w14:paraId="6E0E52CE">
            <w:pPr>
              <w:keepNext w:val="0"/>
              <w:keepLines w:val="0"/>
              <w:widowControl/>
              <w:suppressLineNumbers w:val="0"/>
              <w:adjustRightInd w:val="0"/>
              <w:snapToGrid w:val="0"/>
              <w:spacing w:before="0" w:beforeAutospacing="0" w:after="0" w:afterAutospacing="0"/>
              <w:ind w:left="0" w:leftChars="0" w:right="0" w:rightChars="0"/>
              <w:jc w:val="center"/>
              <w:textAlignment w:val="center"/>
              <w:rPr>
                <w:rFonts w:hint="eastAsia" w:ascii="宋体" w:hAnsi="宋体" w:eastAsia="宋体" w:cs="宋体"/>
                <w:i w:val="0"/>
                <w:iCs w:val="0"/>
                <w:snapToGrid w:val="0"/>
                <w:color w:val="auto"/>
                <w:kern w:val="2"/>
                <w:sz w:val="20"/>
                <w:szCs w:val="20"/>
                <w:highlight w:val="none"/>
                <w:u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总锌</w:t>
            </w:r>
          </w:p>
        </w:tc>
        <w:tc>
          <w:tcPr>
            <w:tcW w:w="3400" w:type="dxa"/>
            <w:vMerge w:val="continue"/>
            <w:tcBorders>
              <w:tl2br w:val="nil"/>
              <w:tr2bl w:val="nil"/>
            </w:tcBorders>
            <w:noWrap w:val="0"/>
            <w:vAlign w:val="center"/>
          </w:tcPr>
          <w:p w14:paraId="187AC71B">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17E1206B">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522B6917">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245BD953">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314AD03A">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417F3892">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709453AD">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shd w:val="clear" w:color="auto" w:fill="auto"/>
            <w:noWrap w:val="0"/>
            <w:vAlign w:val="center"/>
          </w:tcPr>
          <w:p w14:paraId="65E0941A">
            <w:pPr>
              <w:keepNext w:val="0"/>
              <w:keepLines w:val="0"/>
              <w:widowControl/>
              <w:suppressLineNumbers w:val="0"/>
              <w:adjustRightInd w:val="0"/>
              <w:snapToGrid w:val="0"/>
              <w:spacing w:before="0" w:beforeAutospacing="0" w:after="0" w:afterAutospacing="0"/>
              <w:ind w:left="0" w:leftChars="0" w:right="0" w:rightChars="0"/>
              <w:jc w:val="center"/>
              <w:textAlignment w:val="center"/>
              <w:rPr>
                <w:rFonts w:hint="eastAsia" w:ascii="宋体" w:hAnsi="宋体" w:eastAsia="宋体" w:cs="宋体"/>
                <w:i w:val="0"/>
                <w:iCs w:val="0"/>
                <w:snapToGrid w:val="0"/>
                <w:color w:val="auto"/>
                <w:kern w:val="2"/>
                <w:sz w:val="20"/>
                <w:szCs w:val="20"/>
                <w:highlight w:val="none"/>
                <w:u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总锰</w:t>
            </w:r>
          </w:p>
        </w:tc>
        <w:tc>
          <w:tcPr>
            <w:tcW w:w="3400" w:type="dxa"/>
            <w:vMerge w:val="continue"/>
            <w:tcBorders>
              <w:tl2br w:val="nil"/>
              <w:tr2bl w:val="nil"/>
            </w:tcBorders>
            <w:noWrap w:val="0"/>
            <w:vAlign w:val="center"/>
          </w:tcPr>
          <w:p w14:paraId="74EF4121">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1CCA036F">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4F64D30D">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333863B9">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5B5B4415">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41AC2FF5">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1B954A3A">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shd w:val="clear" w:color="auto" w:fill="auto"/>
            <w:noWrap w:val="0"/>
            <w:vAlign w:val="center"/>
          </w:tcPr>
          <w:p w14:paraId="72E09478">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cs="Times New Roman"/>
                <w:snapToGrid w:val="0"/>
                <w:color w:val="auto"/>
                <w:kern w:val="0"/>
                <w:sz w:val="21"/>
                <w:szCs w:val="21"/>
                <w:highlight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可吸附有机卤化物（AOX）（以Cl计）</w:t>
            </w:r>
          </w:p>
        </w:tc>
        <w:tc>
          <w:tcPr>
            <w:tcW w:w="3400" w:type="dxa"/>
            <w:vMerge w:val="continue"/>
            <w:tcBorders>
              <w:tl2br w:val="nil"/>
              <w:tr2bl w:val="nil"/>
            </w:tcBorders>
            <w:noWrap w:val="0"/>
            <w:vAlign w:val="center"/>
          </w:tcPr>
          <w:p w14:paraId="51C469B9">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6F3CB6E0">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2048A3FA">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32B667FE">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0DEA648E">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151D5D66">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0D408988">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shd w:val="clear" w:color="auto" w:fill="auto"/>
            <w:noWrap w:val="0"/>
            <w:vAlign w:val="center"/>
          </w:tcPr>
          <w:p w14:paraId="60E01EC1">
            <w:pPr>
              <w:pStyle w:val="1080"/>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cs="Times New Roman"/>
                <w:snapToGrid w:val="0"/>
                <w:color w:val="auto"/>
                <w:kern w:val="0"/>
                <w:sz w:val="21"/>
                <w:szCs w:val="21"/>
                <w:highlight w:val="none"/>
                <w:lang w:val="zh-CN" w:eastAsia="zh-CN" w:bidi="ar-SA"/>
              </w:rPr>
            </w:pPr>
            <w:r>
              <w:rPr>
                <w:rFonts w:hint="eastAsia" w:ascii="宋体" w:hAnsi="宋体" w:eastAsia="宋体" w:cs="宋体"/>
                <w:i w:val="0"/>
                <w:iCs w:val="0"/>
                <w:snapToGrid w:val="0"/>
                <w:color w:val="auto"/>
                <w:kern w:val="0"/>
                <w:sz w:val="20"/>
                <w:szCs w:val="20"/>
                <w:highlight w:val="none"/>
                <w:u w:val="none"/>
                <w:lang w:val="en-US" w:eastAsia="zh-CN" w:bidi="ar"/>
              </w:rPr>
              <w:t>总有机碳</w:t>
            </w:r>
          </w:p>
        </w:tc>
        <w:tc>
          <w:tcPr>
            <w:tcW w:w="3400" w:type="dxa"/>
            <w:vMerge w:val="continue"/>
            <w:tcBorders>
              <w:tl2br w:val="nil"/>
              <w:tr2bl w:val="nil"/>
            </w:tcBorders>
            <w:noWrap w:val="0"/>
            <w:vAlign w:val="center"/>
          </w:tcPr>
          <w:p w14:paraId="39ED4A10">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090BEE09">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3060F38F">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2EEBB27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246756ED">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4EEB57AA">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restart"/>
            <w:tcBorders>
              <w:tl2br w:val="nil"/>
              <w:tr2bl w:val="nil"/>
            </w:tcBorders>
            <w:noWrap w:val="0"/>
            <w:vAlign w:val="center"/>
          </w:tcPr>
          <w:p w14:paraId="4413A4EE">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生活污水</w:t>
            </w:r>
          </w:p>
        </w:tc>
        <w:tc>
          <w:tcPr>
            <w:tcW w:w="1785" w:type="dxa"/>
            <w:tcBorders>
              <w:tl2br w:val="nil"/>
              <w:tr2bl w:val="nil"/>
            </w:tcBorders>
            <w:noWrap w:val="0"/>
            <w:vAlign w:val="center"/>
          </w:tcPr>
          <w:p w14:paraId="64161AC8">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COD</w:t>
            </w:r>
          </w:p>
        </w:tc>
        <w:tc>
          <w:tcPr>
            <w:tcW w:w="3400" w:type="dxa"/>
            <w:vMerge w:val="restart"/>
            <w:tcBorders>
              <w:tl2br w:val="nil"/>
              <w:tr2bl w:val="nil"/>
            </w:tcBorders>
            <w:noWrap w:val="0"/>
            <w:vAlign w:val="center"/>
          </w:tcPr>
          <w:p w14:paraId="4DEE7581">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hint="eastAsia" w:ascii="Times New Roman" w:hAnsi="Times New Roman" w:eastAsia="宋体"/>
                <w:b w:val="0"/>
                <w:bCs/>
                <w:color w:val="auto"/>
                <w:sz w:val="21"/>
                <w:szCs w:val="21"/>
                <w:highlight w:val="none"/>
              </w:rPr>
              <w:t>民房防渗旱厕，定期外运堆肥</w:t>
            </w:r>
          </w:p>
        </w:tc>
        <w:tc>
          <w:tcPr>
            <w:tcW w:w="1369" w:type="dxa"/>
            <w:vMerge w:val="restart"/>
            <w:tcBorders>
              <w:tl2br w:val="nil"/>
              <w:tr2bl w:val="nil"/>
            </w:tcBorders>
            <w:noWrap w:val="0"/>
            <w:vAlign w:val="center"/>
          </w:tcPr>
          <w:p w14:paraId="091A5488">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w:t>
            </w:r>
          </w:p>
        </w:tc>
        <w:tc>
          <w:tcPr>
            <w:tcW w:w="3380" w:type="dxa"/>
            <w:vMerge w:val="restart"/>
            <w:tcBorders>
              <w:tl2br w:val="nil"/>
              <w:tr2bl w:val="nil"/>
            </w:tcBorders>
            <w:noWrap w:val="0"/>
            <w:vAlign w:val="center"/>
          </w:tcPr>
          <w:p w14:paraId="5CACE0A0">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w:t>
            </w:r>
          </w:p>
        </w:tc>
      </w:tr>
      <w:tr w14:paraId="0B40CF11">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7A050CB0">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vMerge w:val="continue"/>
            <w:tcBorders>
              <w:tl2br w:val="nil"/>
              <w:tr2bl w:val="nil"/>
            </w:tcBorders>
            <w:noWrap w:val="0"/>
            <w:vAlign w:val="center"/>
          </w:tcPr>
          <w:p w14:paraId="57360771">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473" w:type="dxa"/>
            <w:gridSpan w:val="2"/>
            <w:vMerge w:val="continue"/>
            <w:tcBorders>
              <w:tl2br w:val="nil"/>
              <w:tr2bl w:val="nil"/>
            </w:tcBorders>
            <w:noWrap w:val="0"/>
            <w:vAlign w:val="center"/>
          </w:tcPr>
          <w:p w14:paraId="2C53CCC0">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noWrap w:val="0"/>
            <w:vAlign w:val="center"/>
          </w:tcPr>
          <w:p w14:paraId="23E3758F">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NH</w:t>
            </w:r>
            <w:r>
              <w:rPr>
                <w:rFonts w:ascii="Times New Roman" w:hAnsi="Times New Roman" w:eastAsia="宋体"/>
                <w:b w:val="0"/>
                <w:bCs/>
                <w:color w:val="auto"/>
                <w:sz w:val="21"/>
                <w:szCs w:val="21"/>
                <w:highlight w:val="none"/>
                <w:vertAlign w:val="subscript"/>
              </w:rPr>
              <w:t>3</w:t>
            </w:r>
            <w:r>
              <w:rPr>
                <w:rFonts w:ascii="Times New Roman" w:hAnsi="Times New Roman" w:eastAsia="宋体"/>
                <w:b w:val="0"/>
                <w:bCs/>
                <w:color w:val="auto"/>
                <w:sz w:val="21"/>
                <w:szCs w:val="21"/>
                <w:highlight w:val="none"/>
              </w:rPr>
              <w:t>-N</w:t>
            </w:r>
          </w:p>
        </w:tc>
        <w:tc>
          <w:tcPr>
            <w:tcW w:w="3400" w:type="dxa"/>
            <w:vMerge w:val="continue"/>
            <w:tcBorders>
              <w:tl2br w:val="nil"/>
              <w:tr2bl w:val="nil"/>
            </w:tcBorders>
            <w:noWrap w:val="0"/>
            <w:vAlign w:val="center"/>
          </w:tcPr>
          <w:p w14:paraId="2BF5947C">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p>
        </w:tc>
        <w:tc>
          <w:tcPr>
            <w:tcW w:w="1369" w:type="dxa"/>
            <w:vMerge w:val="continue"/>
            <w:tcBorders>
              <w:tl2br w:val="nil"/>
              <w:tr2bl w:val="nil"/>
            </w:tcBorders>
            <w:noWrap w:val="0"/>
            <w:vAlign w:val="center"/>
          </w:tcPr>
          <w:p w14:paraId="34A7C44B">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3380" w:type="dxa"/>
            <w:vMerge w:val="continue"/>
            <w:tcBorders>
              <w:tl2br w:val="nil"/>
              <w:tr2bl w:val="nil"/>
            </w:tcBorders>
            <w:noWrap w:val="0"/>
            <w:vAlign w:val="center"/>
          </w:tcPr>
          <w:p w14:paraId="70B65A92">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1FFA74A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7E319299">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tcBorders>
              <w:tl2br w:val="nil"/>
              <w:tr2bl w:val="nil"/>
            </w:tcBorders>
            <w:noWrap w:val="0"/>
            <w:vAlign w:val="center"/>
          </w:tcPr>
          <w:p w14:paraId="7A2AD842">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噪声</w:t>
            </w:r>
          </w:p>
        </w:tc>
        <w:tc>
          <w:tcPr>
            <w:tcW w:w="1473" w:type="dxa"/>
            <w:gridSpan w:val="2"/>
            <w:tcBorders>
              <w:tl2br w:val="nil"/>
              <w:tr2bl w:val="nil"/>
            </w:tcBorders>
            <w:noWrap w:val="0"/>
            <w:vAlign w:val="center"/>
          </w:tcPr>
          <w:p w14:paraId="14F6CDB2">
            <w:pPr>
              <w:pStyle w:val="1362"/>
              <w:keepNext w:val="0"/>
              <w:keepLines w:val="0"/>
              <w:suppressLineNumbers w:val="0"/>
              <w:snapToGrid w:val="0"/>
              <w:spacing w:before="0" w:beforeAutospacing="0" w:after="0" w:afterAutospacing="0"/>
              <w:ind w:left="0" w:leftChars="0" w:right="0" w:rightChars="0" w:firstLine="0" w:firstLineChars="0"/>
              <w:rPr>
                <w:rFonts w:hint="eastAsia" w:ascii="Times New Roman" w:hAnsi="Times New Roman" w:eastAsia="宋体"/>
                <w:b w:val="0"/>
                <w:bCs/>
                <w:color w:val="auto"/>
                <w:sz w:val="21"/>
                <w:szCs w:val="21"/>
                <w:highlight w:val="none"/>
                <w:lang w:eastAsia="zh-CN"/>
              </w:rPr>
            </w:pPr>
            <w:r>
              <w:rPr>
                <w:rFonts w:hint="eastAsia" w:ascii="Times New Roman" w:hAnsi="Times New Roman"/>
                <w:b w:val="0"/>
                <w:bCs/>
                <w:color w:val="auto"/>
                <w:sz w:val="21"/>
                <w:szCs w:val="21"/>
                <w:highlight w:val="none"/>
                <w:lang w:val="en-US" w:eastAsia="zh-CN"/>
              </w:rPr>
              <w:t>回填</w:t>
            </w:r>
            <w:r>
              <w:rPr>
                <w:rFonts w:hint="eastAsia" w:ascii="Times New Roman" w:hAnsi="Times New Roman" w:eastAsia="宋体"/>
                <w:b w:val="0"/>
                <w:bCs/>
                <w:color w:val="auto"/>
                <w:sz w:val="21"/>
                <w:szCs w:val="21"/>
                <w:highlight w:val="none"/>
                <w:lang w:val="en-US" w:eastAsia="zh-CN"/>
              </w:rPr>
              <w:t>区</w:t>
            </w:r>
            <w:r>
              <w:rPr>
                <w:rFonts w:hint="eastAsia" w:ascii="Times New Roman" w:hAnsi="Times New Roman" w:eastAsia="宋体"/>
                <w:b w:val="0"/>
                <w:bCs/>
                <w:color w:val="auto"/>
                <w:sz w:val="21"/>
                <w:szCs w:val="21"/>
                <w:highlight w:val="none"/>
              </w:rPr>
              <w:t>作业</w:t>
            </w:r>
            <w:r>
              <w:rPr>
                <w:rFonts w:hint="eastAsia" w:ascii="Times New Roman" w:hAnsi="Times New Roman" w:eastAsia="宋体"/>
                <w:b w:val="0"/>
                <w:bCs/>
                <w:color w:val="auto"/>
                <w:sz w:val="21"/>
                <w:szCs w:val="21"/>
                <w:highlight w:val="none"/>
                <w:lang w:val="en-US" w:eastAsia="zh-CN"/>
              </w:rPr>
              <w:t>机械</w:t>
            </w:r>
          </w:p>
        </w:tc>
        <w:tc>
          <w:tcPr>
            <w:tcW w:w="1785" w:type="dxa"/>
            <w:tcBorders>
              <w:tl2br w:val="nil"/>
              <w:tr2bl w:val="nil"/>
            </w:tcBorders>
            <w:noWrap w:val="0"/>
            <w:vAlign w:val="center"/>
          </w:tcPr>
          <w:p w14:paraId="5B8E6B48">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噪声</w:t>
            </w:r>
          </w:p>
        </w:tc>
        <w:tc>
          <w:tcPr>
            <w:tcW w:w="3400" w:type="dxa"/>
            <w:tcBorders>
              <w:tl2br w:val="nil"/>
              <w:tr2bl w:val="nil"/>
            </w:tcBorders>
            <w:noWrap w:val="0"/>
            <w:vAlign w:val="center"/>
          </w:tcPr>
          <w:p w14:paraId="298C198A">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hint="eastAsia" w:ascii="Times New Roman" w:hAnsi="Times New Roman" w:eastAsia="宋体"/>
                <w:b w:val="0"/>
                <w:bCs/>
                <w:color w:val="auto"/>
                <w:sz w:val="21"/>
                <w:szCs w:val="21"/>
                <w:highlight w:val="none"/>
              </w:rPr>
              <w:t>回填期</w:t>
            </w:r>
            <w:r>
              <w:rPr>
                <w:rFonts w:ascii="Times New Roman" w:hAnsi="Times New Roman" w:eastAsia="宋体"/>
                <w:b w:val="0"/>
                <w:bCs/>
                <w:color w:val="auto"/>
                <w:sz w:val="21"/>
                <w:szCs w:val="21"/>
                <w:highlight w:val="none"/>
              </w:rPr>
              <w:t>合理安排作业时间，</w:t>
            </w:r>
            <w:r>
              <w:rPr>
                <w:rFonts w:hint="eastAsia" w:ascii="Times New Roman" w:hAnsi="Times New Roman" w:eastAsia="宋体"/>
                <w:b w:val="0"/>
                <w:bCs/>
                <w:color w:val="auto"/>
                <w:sz w:val="21"/>
                <w:szCs w:val="21"/>
                <w:highlight w:val="none"/>
              </w:rPr>
              <w:t>夜间禁止施工，</w:t>
            </w:r>
            <w:r>
              <w:rPr>
                <w:rFonts w:ascii="Times New Roman" w:hAnsi="Times New Roman" w:eastAsia="宋体"/>
                <w:b w:val="0"/>
                <w:bCs/>
                <w:color w:val="auto"/>
                <w:sz w:val="21"/>
                <w:szCs w:val="21"/>
                <w:highlight w:val="none"/>
              </w:rPr>
              <w:t>选用低噪声设备，</w:t>
            </w:r>
            <w:r>
              <w:rPr>
                <w:rFonts w:hint="eastAsia" w:ascii="Times New Roman" w:hAnsi="Times New Roman" w:eastAsia="宋体"/>
                <w:b w:val="0"/>
                <w:bCs/>
                <w:color w:val="auto"/>
                <w:sz w:val="21"/>
                <w:szCs w:val="21"/>
                <w:highlight w:val="none"/>
                <w:lang w:val="zh-CN"/>
              </w:rPr>
              <w:t>隔声隔尘挡板，</w:t>
            </w:r>
            <w:r>
              <w:rPr>
                <w:rFonts w:ascii="Times New Roman" w:hAnsi="Times New Roman" w:eastAsia="宋体"/>
                <w:b w:val="0"/>
                <w:bCs/>
                <w:color w:val="auto"/>
                <w:sz w:val="21"/>
                <w:szCs w:val="21"/>
                <w:highlight w:val="none"/>
              </w:rPr>
              <w:t>合理布局施工现场</w:t>
            </w:r>
          </w:p>
        </w:tc>
        <w:tc>
          <w:tcPr>
            <w:tcW w:w="1369" w:type="dxa"/>
            <w:tcBorders>
              <w:tl2br w:val="nil"/>
              <w:tr2bl w:val="nil"/>
            </w:tcBorders>
            <w:noWrap w:val="0"/>
            <w:vAlign w:val="center"/>
          </w:tcPr>
          <w:p w14:paraId="6580F3E9">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外环境</w:t>
            </w:r>
          </w:p>
        </w:tc>
        <w:tc>
          <w:tcPr>
            <w:tcW w:w="3380" w:type="dxa"/>
            <w:tcBorders>
              <w:tl2br w:val="nil"/>
              <w:tr2bl w:val="nil"/>
            </w:tcBorders>
            <w:noWrap w:val="0"/>
            <w:vAlign w:val="center"/>
          </w:tcPr>
          <w:p w14:paraId="55402F9E">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《工业企业厂界环境噪声排放标准》（GB12348-2008）中的</w:t>
            </w:r>
            <w:r>
              <w:rPr>
                <w:rFonts w:hint="eastAsia" w:ascii="Times New Roman" w:hAnsi="Times New Roman" w:eastAsia="宋体"/>
                <w:b w:val="0"/>
                <w:bCs/>
                <w:color w:val="auto"/>
                <w:sz w:val="21"/>
                <w:szCs w:val="21"/>
                <w:highlight w:val="none"/>
              </w:rPr>
              <w:t>1</w:t>
            </w:r>
            <w:r>
              <w:rPr>
                <w:rFonts w:ascii="Times New Roman" w:hAnsi="Times New Roman" w:eastAsia="宋体"/>
                <w:b w:val="0"/>
                <w:bCs/>
                <w:color w:val="auto"/>
                <w:sz w:val="21"/>
                <w:szCs w:val="21"/>
                <w:highlight w:val="none"/>
              </w:rPr>
              <w:t>类标准</w:t>
            </w:r>
          </w:p>
        </w:tc>
      </w:tr>
      <w:tr w14:paraId="4106331A">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5CDE80AD">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2673" w:type="dxa"/>
            <w:gridSpan w:val="3"/>
            <w:vMerge w:val="restart"/>
            <w:tcBorders>
              <w:tl2br w:val="nil"/>
              <w:tr2bl w:val="nil"/>
            </w:tcBorders>
            <w:noWrap w:val="0"/>
            <w:vAlign w:val="center"/>
          </w:tcPr>
          <w:p w14:paraId="069B2A9F">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固体废物</w:t>
            </w:r>
          </w:p>
        </w:tc>
        <w:tc>
          <w:tcPr>
            <w:tcW w:w="1785" w:type="dxa"/>
            <w:tcBorders>
              <w:tl2br w:val="nil"/>
              <w:tr2bl w:val="nil"/>
            </w:tcBorders>
            <w:noWrap w:val="0"/>
            <w:vAlign w:val="center"/>
          </w:tcPr>
          <w:p w14:paraId="6BCCEB3C">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生活垃圾</w:t>
            </w:r>
          </w:p>
        </w:tc>
        <w:tc>
          <w:tcPr>
            <w:tcW w:w="3400" w:type="dxa"/>
            <w:tcBorders>
              <w:tl2br w:val="nil"/>
              <w:tr2bl w:val="nil"/>
            </w:tcBorders>
            <w:noWrap w:val="0"/>
            <w:vAlign w:val="center"/>
          </w:tcPr>
          <w:p w14:paraId="5C891223">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由环卫部门清运处理</w:t>
            </w:r>
          </w:p>
        </w:tc>
        <w:tc>
          <w:tcPr>
            <w:tcW w:w="4749" w:type="dxa"/>
            <w:gridSpan w:val="2"/>
            <w:vMerge w:val="restart"/>
            <w:tcBorders>
              <w:tl2br w:val="nil"/>
              <w:tr2bl w:val="nil"/>
            </w:tcBorders>
            <w:noWrap w:val="0"/>
            <w:vAlign w:val="center"/>
          </w:tcPr>
          <w:p w14:paraId="643C1A67">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hint="eastAsia" w:ascii="Times New Roman" w:hAnsi="Times New Roman" w:eastAsia="宋体"/>
                <w:b w:val="0"/>
                <w:bCs/>
                <w:color w:val="auto"/>
                <w:sz w:val="21"/>
                <w:szCs w:val="21"/>
                <w:highlight w:val="none"/>
                <w:lang w:val="en-US" w:eastAsia="zh-CN"/>
              </w:rPr>
              <w:t>100%</w:t>
            </w:r>
            <w:r>
              <w:rPr>
                <w:rFonts w:ascii="Times New Roman" w:hAnsi="Times New Roman" w:eastAsia="宋体"/>
                <w:b w:val="0"/>
                <w:bCs/>
                <w:color w:val="auto"/>
                <w:sz w:val="21"/>
                <w:szCs w:val="21"/>
                <w:highlight w:val="none"/>
              </w:rPr>
              <w:t>处置</w:t>
            </w:r>
          </w:p>
        </w:tc>
      </w:tr>
      <w:tr w14:paraId="049FAECB">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64621600">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2673" w:type="dxa"/>
            <w:gridSpan w:val="3"/>
            <w:vMerge w:val="continue"/>
            <w:tcBorders>
              <w:tl2br w:val="nil"/>
              <w:tr2bl w:val="nil"/>
            </w:tcBorders>
            <w:noWrap w:val="0"/>
            <w:vAlign w:val="center"/>
          </w:tcPr>
          <w:p w14:paraId="6149103D">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785" w:type="dxa"/>
            <w:tcBorders>
              <w:tl2br w:val="nil"/>
              <w:tr2bl w:val="nil"/>
            </w:tcBorders>
            <w:noWrap w:val="0"/>
            <w:vAlign w:val="center"/>
          </w:tcPr>
          <w:p w14:paraId="03D09992">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hint="eastAsia" w:ascii="Times New Roman" w:hAnsi="Times New Roman" w:eastAsia="宋体" w:cs="Times New Roman"/>
                <w:b w:val="0"/>
                <w:bCs/>
                <w:color w:val="auto"/>
                <w:sz w:val="21"/>
                <w:szCs w:val="21"/>
                <w:highlight w:val="none"/>
                <w:lang w:val="en-US" w:eastAsia="zh-CN"/>
              </w:rPr>
              <w:t>沉渣</w:t>
            </w:r>
          </w:p>
        </w:tc>
        <w:tc>
          <w:tcPr>
            <w:tcW w:w="3400" w:type="dxa"/>
            <w:tcBorders>
              <w:tl2br w:val="nil"/>
              <w:tr2bl w:val="nil"/>
            </w:tcBorders>
            <w:noWrap w:val="0"/>
            <w:vAlign w:val="center"/>
          </w:tcPr>
          <w:p w14:paraId="79172282">
            <w:pPr>
              <w:pStyle w:val="22"/>
              <w:keepNext w:val="0"/>
              <w:keepLines w:val="0"/>
              <w:pageBreakBefore w:val="0"/>
              <w:widowControl w:val="0"/>
              <w:suppressLineNumbers w:val="0"/>
              <w:kinsoku/>
              <w:wordWrap/>
              <w:overflowPunct/>
              <w:topLinePunct w:val="0"/>
              <w:autoSpaceDE/>
              <w:autoSpaceDN/>
              <w:bidi w:val="0"/>
              <w:snapToGrid w:val="0"/>
              <w:spacing w:before="0" w:beforeAutospacing="0" w:after="0" w:afterAutospacing="0" w:line="240" w:lineRule="auto"/>
              <w:ind w:left="0" w:leftChars="0" w:right="0" w:rightChars="0" w:firstLine="0" w:firstLineChars="0"/>
              <w:jc w:val="center"/>
              <w:textAlignment w:val="auto"/>
              <w:rPr>
                <w:rFonts w:ascii="Times New Roman" w:hAnsi="Times New Roman" w:eastAsia="宋体"/>
                <w:b w:val="0"/>
                <w:bCs/>
                <w:color w:val="auto"/>
                <w:sz w:val="21"/>
                <w:szCs w:val="21"/>
                <w:highlight w:val="none"/>
              </w:rPr>
            </w:pPr>
            <w:r>
              <w:rPr>
                <w:rFonts w:hint="eastAsia" w:ascii="Times New Roman" w:hAnsi="Times New Roman" w:eastAsia="宋体" w:cs="Times New Roman"/>
                <w:b w:val="0"/>
                <w:bCs/>
                <w:color w:val="auto"/>
                <w:sz w:val="21"/>
                <w:szCs w:val="21"/>
                <w:highlight w:val="none"/>
                <w:lang w:val="en-US" w:eastAsia="zh-CN"/>
              </w:rPr>
              <w:t>沉淀池内经自然沉淀后，集中收集综合利用</w:t>
            </w:r>
            <w:r>
              <w:rPr>
                <w:rFonts w:hint="eastAsia" w:hAnsi="Times New Roman" w:cs="Times New Roman"/>
                <w:b w:val="0"/>
                <w:bCs/>
                <w:color w:val="auto"/>
                <w:sz w:val="21"/>
                <w:szCs w:val="21"/>
                <w:highlight w:val="none"/>
                <w:lang w:val="en-US" w:eastAsia="zh-CN"/>
              </w:rPr>
              <w:t>厂区</w:t>
            </w:r>
            <w:r>
              <w:rPr>
                <w:rFonts w:hint="eastAsia" w:ascii="Times New Roman" w:hAnsi="Times New Roman" w:eastAsia="宋体" w:cs="Times New Roman"/>
                <w:b w:val="0"/>
                <w:bCs/>
                <w:color w:val="auto"/>
                <w:sz w:val="21"/>
                <w:szCs w:val="21"/>
                <w:highlight w:val="none"/>
                <w:lang w:val="en-US" w:eastAsia="zh-CN"/>
              </w:rPr>
              <w:t>修路</w:t>
            </w:r>
          </w:p>
        </w:tc>
        <w:tc>
          <w:tcPr>
            <w:tcW w:w="4749" w:type="dxa"/>
            <w:gridSpan w:val="2"/>
            <w:vMerge w:val="continue"/>
            <w:tcBorders>
              <w:tl2br w:val="nil"/>
              <w:tr2bl w:val="nil"/>
            </w:tcBorders>
            <w:noWrap w:val="0"/>
            <w:vAlign w:val="center"/>
          </w:tcPr>
          <w:p w14:paraId="7BE110E0">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r>
      <w:tr w14:paraId="41959D9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612" w:type="dxa"/>
            <w:vMerge w:val="continue"/>
            <w:tcBorders>
              <w:tl2br w:val="nil"/>
              <w:tr2bl w:val="nil"/>
            </w:tcBorders>
            <w:noWrap w:val="0"/>
            <w:vAlign w:val="center"/>
          </w:tcPr>
          <w:p w14:paraId="44543231">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2673" w:type="dxa"/>
            <w:gridSpan w:val="3"/>
            <w:tcBorders>
              <w:tl2br w:val="nil"/>
              <w:tr2bl w:val="nil"/>
            </w:tcBorders>
            <w:noWrap w:val="0"/>
            <w:vAlign w:val="center"/>
          </w:tcPr>
          <w:p w14:paraId="1D3572E6">
            <w:pPr>
              <w:keepNext w:val="0"/>
              <w:keepLines w:val="0"/>
              <w:suppressLineNumbers w:val="0"/>
              <w:snapToGrid w:val="0"/>
              <w:spacing w:before="0" w:beforeAutospacing="0" w:after="0" w:afterAutospacing="0" w:line="240" w:lineRule="auto"/>
              <w:ind w:left="0" w:leftChars="0" w:right="0" w:rightChars="0" w:firstLine="0" w:firstLineChars="0"/>
              <w:jc w:val="center"/>
              <w:rPr>
                <w:rFonts w:ascii="Times New Roman" w:hAnsi="Times New Roman" w:eastAsia="宋体" w:cs="Times New Roman"/>
                <w:b w:val="0"/>
                <w:bCs/>
                <w:color w:val="auto"/>
                <w:kern w:val="2"/>
                <w:sz w:val="21"/>
                <w:szCs w:val="21"/>
                <w:highlight w:val="none"/>
                <w:lang w:val="en-US" w:eastAsia="zh-CN" w:bidi="ar-SA"/>
              </w:rPr>
            </w:pPr>
            <w:r>
              <w:rPr>
                <w:rFonts w:ascii="Times New Roman" w:eastAsia="宋体"/>
                <w:b w:val="0"/>
                <w:bCs/>
                <w:color w:val="auto"/>
                <w:sz w:val="21"/>
                <w:szCs w:val="21"/>
                <w:highlight w:val="none"/>
              </w:rPr>
              <w:t>地下水</w:t>
            </w:r>
          </w:p>
        </w:tc>
        <w:tc>
          <w:tcPr>
            <w:tcW w:w="1785" w:type="dxa"/>
            <w:tcBorders>
              <w:tl2br w:val="nil"/>
              <w:tr2bl w:val="nil"/>
            </w:tcBorders>
            <w:noWrap w:val="0"/>
            <w:vAlign w:val="center"/>
          </w:tcPr>
          <w:p w14:paraId="24FABF93">
            <w:pPr>
              <w:pStyle w:val="1362"/>
              <w:keepNext w:val="0"/>
              <w:keepLines w:val="0"/>
              <w:suppressLineNumbers w:val="0"/>
              <w:snapToGrid w:val="0"/>
              <w:spacing w:before="0" w:beforeAutospacing="0" w:after="0" w:afterAutospacing="0"/>
              <w:ind w:left="0" w:leftChars="0" w:right="0" w:rightChars="0" w:firstLine="0" w:firstLineChars="0"/>
              <w:rPr>
                <w:rFonts w:hint="eastAsia" w:ascii="Times New Roman" w:hAnsi="Times New Roman" w:eastAsia="宋体"/>
                <w:b w:val="0"/>
                <w:bCs/>
                <w:color w:val="auto"/>
                <w:sz w:val="21"/>
                <w:szCs w:val="21"/>
                <w:highlight w:val="none"/>
                <w:lang w:val="en-US" w:eastAsia="zh-CN"/>
              </w:rPr>
            </w:pPr>
            <w:r>
              <w:rPr>
                <w:rFonts w:ascii="Times New Roman" w:eastAsia="宋体"/>
                <w:b w:val="0"/>
                <w:bCs/>
                <w:color w:val="auto"/>
                <w:spacing w:val="7"/>
                <w:sz w:val="21"/>
                <w:szCs w:val="21"/>
                <w:highlight w:val="none"/>
              </w:rPr>
              <w:t>氟</w:t>
            </w:r>
            <w:r>
              <w:rPr>
                <w:rFonts w:ascii="Times New Roman" w:eastAsia="宋体"/>
                <w:b w:val="0"/>
                <w:bCs/>
                <w:color w:val="auto"/>
                <w:spacing w:val="6"/>
                <w:sz w:val="21"/>
                <w:szCs w:val="21"/>
                <w:highlight w:val="none"/>
              </w:rPr>
              <w:t>化物</w:t>
            </w:r>
            <w:r>
              <w:rPr>
                <w:rFonts w:hint="eastAsia" w:ascii="Times New Roman" w:eastAsia="宋体"/>
                <w:b w:val="0"/>
                <w:bCs/>
                <w:color w:val="auto"/>
                <w:spacing w:val="6"/>
                <w:sz w:val="21"/>
                <w:szCs w:val="21"/>
                <w:highlight w:val="none"/>
                <w:lang w:eastAsia="zh-CN"/>
              </w:rPr>
              <w:t>、</w:t>
            </w:r>
            <w:r>
              <w:rPr>
                <w:rFonts w:hint="eastAsia" w:ascii="Times New Roman" w:hAnsi="Times New Roman" w:eastAsia="宋体"/>
                <w:b w:val="0"/>
                <w:bCs/>
                <w:color w:val="auto"/>
                <w:sz w:val="21"/>
                <w:szCs w:val="21"/>
                <w:highlight w:val="none"/>
                <w:lang w:val="en-US" w:eastAsia="zh-CN"/>
              </w:rPr>
              <w:t>汞</w:t>
            </w:r>
          </w:p>
        </w:tc>
        <w:tc>
          <w:tcPr>
            <w:tcW w:w="3400" w:type="dxa"/>
            <w:tcBorders>
              <w:tl2br w:val="nil"/>
              <w:tr2bl w:val="nil"/>
            </w:tcBorders>
            <w:noWrap w:val="0"/>
            <w:vAlign w:val="center"/>
          </w:tcPr>
          <w:p w14:paraId="62BC229E">
            <w:pPr>
              <w:pStyle w:val="1362"/>
              <w:keepNext w:val="0"/>
              <w:keepLines w:val="0"/>
              <w:suppressLineNumbers w:val="0"/>
              <w:snapToGrid w:val="0"/>
              <w:spacing w:before="0" w:beforeAutospacing="0" w:after="0" w:afterAutospacing="0"/>
              <w:ind w:left="0" w:leftChars="0" w:right="0" w:rightChars="0" w:firstLine="0" w:firstLineChars="0"/>
              <w:rPr>
                <w:rFonts w:hint="eastAsia" w:ascii="Times New Roman" w:hAnsi="Times New Roman" w:eastAsia="宋体"/>
                <w:b w:val="0"/>
                <w:bCs/>
                <w:color w:val="auto"/>
                <w:sz w:val="21"/>
                <w:szCs w:val="21"/>
                <w:highlight w:val="none"/>
                <w:lang w:val="en-US" w:eastAsia="zh-CN"/>
              </w:rPr>
            </w:pPr>
            <w:r>
              <w:rPr>
                <w:rFonts w:hint="eastAsia" w:ascii="Times New Roman" w:hAnsi="Times New Roman" w:eastAsia="宋体"/>
                <w:b w:val="0"/>
                <w:bCs/>
                <w:color w:val="auto"/>
                <w:sz w:val="21"/>
                <w:szCs w:val="21"/>
                <w:highlight w:val="none"/>
                <w:lang w:val="en-US" w:eastAsia="zh-CN"/>
              </w:rPr>
              <w:t>回填区外围设置</w:t>
            </w:r>
            <w:r>
              <w:rPr>
                <w:rFonts w:hint="eastAsia" w:ascii="Times New Roman" w:hAnsi="Times New Roman"/>
                <w:b w:val="0"/>
                <w:bCs/>
                <w:color w:val="auto"/>
                <w:sz w:val="21"/>
                <w:szCs w:val="21"/>
                <w:highlight w:val="none"/>
                <w:lang w:val="en-US" w:eastAsia="zh-CN"/>
              </w:rPr>
              <w:t>拦挡埂</w:t>
            </w:r>
            <w:r>
              <w:rPr>
                <w:rFonts w:hint="eastAsia" w:ascii="Times New Roman" w:hAnsi="Times New Roman" w:eastAsia="宋体"/>
                <w:b w:val="0"/>
                <w:bCs/>
                <w:color w:val="auto"/>
                <w:sz w:val="21"/>
                <w:szCs w:val="21"/>
                <w:highlight w:val="none"/>
                <w:lang w:val="en-US" w:eastAsia="zh-CN"/>
              </w:rPr>
              <w:t>防止雨水汇入；地下水下游跟踪监测井3眼，监测地下水水质；</w:t>
            </w:r>
          </w:p>
        </w:tc>
        <w:tc>
          <w:tcPr>
            <w:tcW w:w="4749" w:type="dxa"/>
            <w:gridSpan w:val="2"/>
            <w:tcBorders>
              <w:tl2br w:val="nil"/>
              <w:tr2bl w:val="nil"/>
            </w:tcBorders>
            <w:noWrap w:val="0"/>
            <w:vAlign w:val="center"/>
          </w:tcPr>
          <w:p w14:paraId="4C9C39CF">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r>
              <w:rPr>
                <w:rFonts w:ascii="Times New Roman" w:eastAsia="宋体"/>
                <w:b w:val="0"/>
                <w:bCs/>
                <w:color w:val="auto"/>
                <w:sz w:val="21"/>
                <w:highlight w:val="none"/>
                <w:lang w:val="zh-CN"/>
              </w:rPr>
              <w:t>《地下水质量标准》（GB/T14848-2017）中</w:t>
            </w:r>
            <w:r>
              <w:rPr>
                <w:rFonts w:hint="default" w:ascii="Times New Roman" w:hAnsi="Times New Roman" w:eastAsia="宋体" w:cs="Times New Roman"/>
                <w:b w:val="0"/>
                <w:bCs/>
                <w:color w:val="auto"/>
                <w:sz w:val="21"/>
                <w:highlight w:val="none"/>
                <w:lang w:val="zh-CN"/>
              </w:rPr>
              <w:t>Ⅲ</w:t>
            </w:r>
            <w:r>
              <w:rPr>
                <w:rFonts w:hint="eastAsia" w:ascii="Times New Roman" w:eastAsia="宋体"/>
                <w:b w:val="0"/>
                <w:bCs/>
                <w:color w:val="auto"/>
                <w:sz w:val="21"/>
                <w:highlight w:val="none"/>
                <w:lang w:val="zh-CN"/>
              </w:rPr>
              <w:t>类</w:t>
            </w:r>
            <w:r>
              <w:rPr>
                <w:rFonts w:ascii="Times New Roman" w:eastAsia="宋体"/>
                <w:b w:val="0"/>
                <w:bCs/>
                <w:color w:val="auto"/>
                <w:sz w:val="21"/>
                <w:highlight w:val="none"/>
                <w:lang w:val="zh-CN"/>
              </w:rPr>
              <w:t>标准</w:t>
            </w:r>
          </w:p>
        </w:tc>
      </w:tr>
      <w:tr w14:paraId="66A33CA4">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612" w:type="dxa"/>
            <w:vMerge w:val="restart"/>
            <w:tcBorders>
              <w:tl2br w:val="nil"/>
              <w:tr2bl w:val="nil"/>
            </w:tcBorders>
            <w:noWrap w:val="0"/>
            <w:vAlign w:val="center"/>
          </w:tcPr>
          <w:p w14:paraId="2BD017FB">
            <w:pPr>
              <w:pStyle w:val="1362"/>
              <w:keepNext w:val="0"/>
              <w:keepLines w:val="0"/>
              <w:suppressLineNumbers w:val="0"/>
              <w:snapToGrid w:val="0"/>
              <w:spacing w:before="0" w:beforeAutospacing="0" w:after="0" w:afterAutospacing="0"/>
              <w:ind w:left="0" w:leftChars="0" w:right="0" w:rightChars="0" w:firstLine="0" w:firstLineChars="0"/>
              <w:rPr>
                <w:rFonts w:hint="default" w:ascii="Times New Roman" w:hAnsi="Times New Roman" w:eastAsia="宋体"/>
                <w:b w:val="0"/>
                <w:bCs/>
                <w:color w:val="auto"/>
                <w:sz w:val="21"/>
                <w:szCs w:val="21"/>
                <w:highlight w:val="none"/>
                <w:lang w:val="en-US" w:eastAsia="zh-CN"/>
              </w:rPr>
            </w:pPr>
            <w:r>
              <w:rPr>
                <w:rFonts w:hint="eastAsia" w:ascii="Times New Roman" w:hAnsi="Times New Roman" w:eastAsia="宋体"/>
                <w:b w:val="0"/>
                <w:bCs/>
                <w:color w:val="auto"/>
                <w:sz w:val="21"/>
                <w:szCs w:val="21"/>
                <w:highlight w:val="none"/>
                <w:lang w:val="en-US" w:eastAsia="zh-CN"/>
              </w:rPr>
              <w:t>覆土生态修复</w:t>
            </w:r>
          </w:p>
        </w:tc>
        <w:tc>
          <w:tcPr>
            <w:tcW w:w="1200" w:type="dxa"/>
            <w:vMerge w:val="restart"/>
            <w:tcBorders>
              <w:tl2br w:val="nil"/>
              <w:tr2bl w:val="nil"/>
            </w:tcBorders>
            <w:noWrap w:val="0"/>
            <w:vAlign w:val="center"/>
          </w:tcPr>
          <w:p w14:paraId="1674165A">
            <w:pPr>
              <w:pStyle w:val="1362"/>
              <w:keepNext w:val="0"/>
              <w:keepLines w:val="0"/>
              <w:suppressLineNumbers w:val="0"/>
              <w:snapToGrid w:val="0"/>
              <w:spacing w:before="0" w:beforeAutospacing="0" w:after="0" w:afterAutospacing="0"/>
              <w:ind w:left="0" w:leftChars="0" w:right="0" w:rightChars="0" w:firstLine="0" w:firstLineChars="0"/>
              <w:jc w:val="left"/>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废水</w:t>
            </w:r>
          </w:p>
        </w:tc>
        <w:tc>
          <w:tcPr>
            <w:tcW w:w="1473" w:type="dxa"/>
            <w:gridSpan w:val="2"/>
            <w:vMerge w:val="restart"/>
            <w:tcBorders>
              <w:tl2br w:val="nil"/>
              <w:tr2bl w:val="nil"/>
            </w:tcBorders>
            <w:noWrap w:val="0"/>
            <w:vAlign w:val="center"/>
          </w:tcPr>
          <w:p w14:paraId="5807FE67">
            <w:pPr>
              <w:pStyle w:val="1362"/>
              <w:keepNext w:val="0"/>
              <w:keepLines w:val="0"/>
              <w:suppressLineNumbers w:val="0"/>
              <w:snapToGrid w:val="0"/>
              <w:spacing w:before="0" w:beforeAutospacing="0" w:after="0" w:afterAutospacing="0"/>
              <w:ind w:left="0" w:leftChars="0" w:right="0" w:rightChars="0" w:firstLine="0" w:firstLineChars="0"/>
              <w:jc w:val="left"/>
              <w:rPr>
                <w:rFonts w:ascii="Times New Roman" w:hAnsi="Times New Roman" w:eastAsia="宋体"/>
                <w:b w:val="0"/>
                <w:bCs/>
                <w:color w:val="auto"/>
                <w:sz w:val="21"/>
                <w:szCs w:val="21"/>
                <w:highlight w:val="none"/>
              </w:rPr>
            </w:pPr>
            <w:r>
              <w:rPr>
                <w:rFonts w:hint="eastAsia" w:ascii="Times New Roman" w:hAnsi="Times New Roman" w:eastAsia="宋体"/>
                <w:b w:val="0"/>
                <w:bCs/>
                <w:color w:val="auto"/>
                <w:sz w:val="21"/>
                <w:szCs w:val="21"/>
                <w:highlight w:val="none"/>
              </w:rPr>
              <w:t>淋滤水</w:t>
            </w:r>
          </w:p>
        </w:tc>
        <w:tc>
          <w:tcPr>
            <w:tcW w:w="1785" w:type="dxa"/>
            <w:tcBorders>
              <w:tl2br w:val="nil"/>
              <w:tr2bl w:val="nil"/>
            </w:tcBorders>
            <w:noWrap w:val="0"/>
            <w:vAlign w:val="center"/>
          </w:tcPr>
          <w:p w14:paraId="04602279">
            <w:pPr>
              <w:pStyle w:val="1362"/>
              <w:keepNext w:val="0"/>
              <w:keepLines w:val="0"/>
              <w:suppressLineNumbers w:val="0"/>
              <w:snapToGrid w:val="0"/>
              <w:spacing w:before="0" w:beforeAutospacing="0" w:after="0" w:afterAutospacing="0"/>
              <w:ind w:left="0" w:leftChars="0" w:right="0" w:rightChars="0" w:firstLine="0" w:firstLineChars="0"/>
              <w:jc w:val="center"/>
              <w:rPr>
                <w:rFonts w:ascii="Times New Roman" w:hAnsi="Times New Roman" w:eastAsia="宋体"/>
                <w:b w:val="0"/>
                <w:bCs/>
                <w:color w:val="auto"/>
                <w:sz w:val="21"/>
                <w:szCs w:val="21"/>
                <w:highlight w:val="none"/>
              </w:rPr>
            </w:pPr>
            <w:r>
              <w:rPr>
                <w:rFonts w:ascii="Times New Roman" w:hAnsi="Times New Roman" w:eastAsia="宋体"/>
                <w:b w:val="0"/>
                <w:bCs/>
                <w:color w:val="auto"/>
                <w:sz w:val="21"/>
                <w:szCs w:val="21"/>
                <w:highlight w:val="none"/>
              </w:rPr>
              <w:t>水量</w:t>
            </w:r>
          </w:p>
        </w:tc>
        <w:tc>
          <w:tcPr>
            <w:tcW w:w="3400" w:type="dxa"/>
            <w:vMerge w:val="restart"/>
            <w:tcBorders>
              <w:tl2br w:val="nil"/>
              <w:tr2bl w:val="nil"/>
            </w:tcBorders>
            <w:noWrap w:val="0"/>
            <w:vAlign w:val="center"/>
          </w:tcPr>
          <w:p w14:paraId="4A724E67">
            <w:pPr>
              <w:pStyle w:val="1362"/>
              <w:keepNext w:val="0"/>
              <w:keepLines w:val="0"/>
              <w:suppressLineNumbers w:val="0"/>
              <w:snapToGrid w:val="0"/>
              <w:spacing w:before="0" w:beforeAutospacing="0" w:after="0" w:afterAutospacing="0"/>
              <w:ind w:left="0" w:leftChars="0" w:right="0" w:rightChars="0" w:firstLine="0" w:firstLineChars="0"/>
              <w:jc w:val="left"/>
              <w:rPr>
                <w:rFonts w:ascii="Times New Roman" w:hAnsi="Times New Roman" w:eastAsia="宋体"/>
                <w:b w:val="0"/>
                <w:bCs/>
                <w:color w:val="auto"/>
                <w:sz w:val="21"/>
                <w:szCs w:val="21"/>
                <w:highlight w:val="none"/>
              </w:rPr>
            </w:pPr>
            <w:r>
              <w:rPr>
                <w:rFonts w:hint="eastAsia" w:ascii="Times New Roman" w:hAnsi="Times New Roman" w:eastAsia="宋体"/>
                <w:b w:val="0"/>
                <w:bCs/>
                <w:color w:val="auto"/>
                <w:sz w:val="21"/>
                <w:szCs w:val="21"/>
                <w:highlight w:val="none"/>
              </w:rPr>
              <w:t>一座</w:t>
            </w:r>
            <w:r>
              <w:rPr>
                <w:rFonts w:hint="eastAsia" w:ascii="Times New Roman" w:hAnsi="Times New Roman" w:eastAsia="宋体"/>
                <w:b w:val="0"/>
                <w:bCs/>
                <w:color w:val="auto"/>
                <w:sz w:val="21"/>
                <w:szCs w:val="21"/>
                <w:highlight w:val="none"/>
                <w:lang w:val="en-US" w:eastAsia="zh-CN"/>
              </w:rPr>
              <w:t>120</w:t>
            </w:r>
            <w:r>
              <w:rPr>
                <w:rFonts w:hint="eastAsia" w:ascii="Times New Roman" w:hAnsi="Times New Roman" w:eastAsia="宋体"/>
                <w:b w:val="0"/>
                <w:bCs/>
                <w:color w:val="auto"/>
                <w:sz w:val="21"/>
                <w:szCs w:val="21"/>
                <w:highlight w:val="none"/>
              </w:rPr>
              <w:t>m</w:t>
            </w:r>
            <w:r>
              <w:rPr>
                <w:rFonts w:hint="eastAsia" w:ascii="Times New Roman" w:hAnsi="Times New Roman" w:eastAsia="宋体"/>
                <w:b w:val="0"/>
                <w:bCs/>
                <w:color w:val="auto"/>
                <w:sz w:val="21"/>
                <w:szCs w:val="21"/>
                <w:highlight w:val="none"/>
                <w:vertAlign w:val="superscript"/>
              </w:rPr>
              <w:t>3</w:t>
            </w:r>
            <w:r>
              <w:rPr>
                <w:rFonts w:hint="eastAsia" w:ascii="Times New Roman" w:hAnsi="Times New Roman" w:eastAsia="宋体"/>
                <w:b w:val="0"/>
                <w:bCs/>
                <w:color w:val="auto"/>
                <w:sz w:val="21"/>
                <w:szCs w:val="21"/>
                <w:highlight w:val="none"/>
              </w:rPr>
              <w:t>沉淀池，</w:t>
            </w:r>
            <w:r>
              <w:rPr>
                <w:rFonts w:hint="eastAsia"/>
                <w:color w:val="auto"/>
                <w:sz w:val="21"/>
                <w:szCs w:val="21"/>
                <w:highlight w:val="none"/>
                <w:lang w:val="en-US" w:eastAsia="zh-CN"/>
              </w:rPr>
              <w:t>淋滤水经沉淀池沉淀处理后用于回填区洒水降尘，不外排</w:t>
            </w:r>
            <w:r>
              <w:rPr>
                <w:rFonts w:hint="default"/>
                <w:color w:val="auto"/>
                <w:sz w:val="21"/>
                <w:szCs w:val="21"/>
                <w:highlight w:val="none"/>
                <w:lang w:val="en-US" w:eastAsia="zh-CN"/>
              </w:rPr>
              <w:t>。</w:t>
            </w:r>
          </w:p>
        </w:tc>
        <w:tc>
          <w:tcPr>
            <w:tcW w:w="1369" w:type="dxa"/>
            <w:vMerge w:val="restart"/>
            <w:tcBorders>
              <w:tl2br w:val="nil"/>
              <w:tr2bl w:val="nil"/>
            </w:tcBorders>
            <w:shd w:val="clear" w:color="auto" w:fill="auto"/>
            <w:noWrap w:val="0"/>
            <w:vAlign w:val="center"/>
          </w:tcPr>
          <w:p w14:paraId="31A8D894">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cs="Times New Roman"/>
                <w:b w:val="0"/>
                <w:bCs/>
                <w:color w:val="auto"/>
                <w:kern w:val="2"/>
                <w:sz w:val="21"/>
                <w:szCs w:val="21"/>
                <w:highlight w:val="none"/>
                <w:lang w:val="en-US" w:eastAsia="zh-CN" w:bidi="ar-SA"/>
              </w:rPr>
            </w:pPr>
            <w:r>
              <w:rPr>
                <w:rFonts w:ascii="Times New Roman" w:hAnsi="Times New Roman" w:eastAsia="宋体"/>
                <w:b w:val="0"/>
                <w:bCs/>
                <w:color w:val="auto"/>
                <w:sz w:val="21"/>
                <w:szCs w:val="21"/>
                <w:highlight w:val="none"/>
              </w:rPr>
              <w:t>/</w:t>
            </w:r>
          </w:p>
        </w:tc>
        <w:tc>
          <w:tcPr>
            <w:tcW w:w="3380" w:type="dxa"/>
            <w:vMerge w:val="restart"/>
            <w:tcBorders>
              <w:tl2br w:val="nil"/>
              <w:tr2bl w:val="nil"/>
            </w:tcBorders>
            <w:shd w:val="clear" w:color="auto" w:fill="auto"/>
            <w:noWrap w:val="0"/>
            <w:vAlign w:val="center"/>
          </w:tcPr>
          <w:p w14:paraId="1F0D77B5">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cs="Times New Roman"/>
                <w:b w:val="0"/>
                <w:bCs/>
                <w:color w:val="auto"/>
                <w:kern w:val="2"/>
                <w:sz w:val="21"/>
                <w:szCs w:val="21"/>
                <w:highlight w:val="none"/>
                <w:lang w:val="en-US" w:eastAsia="zh-CN" w:bidi="ar-SA"/>
              </w:rPr>
            </w:pPr>
            <w:r>
              <w:rPr>
                <w:rFonts w:ascii="Times New Roman" w:hAnsi="Times New Roman" w:eastAsia="宋体"/>
                <w:b w:val="0"/>
                <w:bCs/>
                <w:color w:val="auto"/>
                <w:sz w:val="21"/>
                <w:szCs w:val="21"/>
                <w:highlight w:val="none"/>
              </w:rPr>
              <w:t>/</w:t>
            </w:r>
          </w:p>
        </w:tc>
      </w:tr>
      <w:tr w14:paraId="0D48D0F5">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612" w:type="dxa"/>
            <w:vMerge w:val="continue"/>
            <w:tcBorders>
              <w:tl2br w:val="nil"/>
              <w:tr2bl w:val="nil"/>
            </w:tcBorders>
            <w:noWrap w:val="0"/>
            <w:vAlign w:val="center"/>
          </w:tcPr>
          <w:p w14:paraId="4B31D4DB">
            <w:pPr>
              <w:pStyle w:val="1362"/>
              <w:keepNext w:val="0"/>
              <w:keepLines w:val="0"/>
              <w:suppressLineNumbers w:val="0"/>
              <w:snapToGrid w:val="0"/>
              <w:spacing w:before="0" w:beforeAutospacing="0" w:after="0" w:afterAutospacing="0"/>
              <w:ind w:left="0" w:leftChars="0" w:right="0" w:rightChars="0" w:firstLine="0" w:firstLineChars="0"/>
              <w:rPr>
                <w:rFonts w:ascii="Times New Roman" w:hAnsi="Times New Roman" w:eastAsia="宋体"/>
                <w:b w:val="0"/>
                <w:bCs/>
                <w:color w:val="auto"/>
                <w:sz w:val="21"/>
                <w:szCs w:val="21"/>
                <w:highlight w:val="none"/>
              </w:rPr>
            </w:pPr>
          </w:p>
        </w:tc>
        <w:tc>
          <w:tcPr>
            <w:tcW w:w="1200" w:type="dxa"/>
            <w:tcBorders>
              <w:tl2br w:val="nil"/>
              <w:tr2bl w:val="nil"/>
            </w:tcBorders>
            <w:noWrap w:val="0"/>
            <w:vAlign w:val="center"/>
          </w:tcPr>
          <w:p w14:paraId="158DFFC7">
            <w:pPr>
              <w:pStyle w:val="1362"/>
              <w:keepNext w:val="0"/>
              <w:keepLines w:val="0"/>
              <w:suppressLineNumbers w:val="0"/>
              <w:snapToGrid w:val="0"/>
              <w:spacing w:before="0" w:beforeAutospacing="0" w:after="0" w:afterAutospacing="0"/>
              <w:ind w:left="0" w:leftChars="0" w:right="0" w:rightChars="0" w:firstLine="0" w:firstLineChars="0"/>
              <w:jc w:val="left"/>
              <w:rPr>
                <w:rFonts w:ascii="Times New Roman" w:hAnsi="Times New Roman" w:eastAsia="宋体"/>
                <w:b w:val="0"/>
                <w:bCs/>
                <w:color w:val="auto"/>
                <w:sz w:val="21"/>
                <w:szCs w:val="21"/>
                <w:highlight w:val="none"/>
              </w:rPr>
            </w:pPr>
            <w:r>
              <w:rPr>
                <w:rFonts w:ascii="Times New Roman" w:eastAsia="宋体"/>
                <w:b w:val="0"/>
                <w:bCs/>
                <w:color w:val="auto"/>
                <w:sz w:val="21"/>
                <w:szCs w:val="21"/>
                <w:highlight w:val="none"/>
              </w:rPr>
              <w:t>生态环境</w:t>
            </w:r>
          </w:p>
        </w:tc>
        <w:tc>
          <w:tcPr>
            <w:tcW w:w="11407" w:type="dxa"/>
            <w:gridSpan w:val="6"/>
            <w:tcBorders>
              <w:tl2br w:val="nil"/>
              <w:tr2bl w:val="nil"/>
            </w:tcBorders>
            <w:noWrap w:val="0"/>
            <w:vAlign w:val="center"/>
          </w:tcPr>
          <w:p w14:paraId="62AAE3E1">
            <w:pPr>
              <w:pStyle w:val="1362"/>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eastAsia="宋体"/>
                <w:b w:val="0"/>
                <w:bCs/>
                <w:color w:val="auto"/>
                <w:sz w:val="21"/>
                <w:szCs w:val="21"/>
                <w:highlight w:val="none"/>
              </w:rPr>
            </w:pPr>
            <w:r>
              <w:rPr>
                <w:rFonts w:hint="eastAsia" w:ascii="Times New Roman" w:eastAsia="宋体"/>
                <w:b w:val="0"/>
                <w:bCs/>
                <w:color w:val="auto"/>
                <w:sz w:val="21"/>
                <w:szCs w:val="21"/>
                <w:highlight w:val="none"/>
              </w:rPr>
              <w:t>在施工前，施工单位应详细编制施工组织计划并建立环境管理制度。</w:t>
            </w:r>
          </w:p>
          <w:p w14:paraId="390DE5B5">
            <w:pPr>
              <w:pStyle w:val="1362"/>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eastAsia="宋体"/>
                <w:b w:val="0"/>
                <w:bCs/>
                <w:color w:val="auto"/>
                <w:sz w:val="21"/>
                <w:szCs w:val="21"/>
                <w:highlight w:val="none"/>
                <w:lang w:eastAsia="zh-CN"/>
              </w:rPr>
            </w:pPr>
            <w:r>
              <w:rPr>
                <w:rFonts w:hint="eastAsia" w:ascii="Times New Roman" w:eastAsia="宋体"/>
                <w:b w:val="0"/>
                <w:bCs/>
                <w:color w:val="auto"/>
                <w:sz w:val="21"/>
                <w:szCs w:val="21"/>
                <w:highlight w:val="none"/>
              </w:rPr>
              <w:t>回填</w:t>
            </w:r>
            <w:r>
              <w:rPr>
                <w:rFonts w:ascii="Times New Roman" w:eastAsia="宋体"/>
                <w:b w:val="0"/>
                <w:bCs/>
                <w:color w:val="auto"/>
                <w:sz w:val="21"/>
                <w:szCs w:val="21"/>
                <w:highlight w:val="none"/>
              </w:rPr>
              <w:t>完成后</w:t>
            </w:r>
            <w:r>
              <w:rPr>
                <w:rFonts w:hint="eastAsia" w:ascii="Times New Roman" w:eastAsia="宋体"/>
                <w:b w:val="0"/>
                <w:bCs/>
                <w:color w:val="auto"/>
                <w:sz w:val="21"/>
                <w:szCs w:val="21"/>
                <w:highlight w:val="none"/>
              </w:rPr>
              <w:t>进行</w:t>
            </w:r>
            <w:r>
              <w:rPr>
                <w:rFonts w:hint="eastAsia" w:ascii="Times New Roman" w:eastAsia="宋体"/>
                <w:b w:val="0"/>
                <w:bCs/>
                <w:color w:val="auto"/>
                <w:sz w:val="21"/>
                <w:szCs w:val="21"/>
                <w:highlight w:val="none"/>
                <w:lang w:val="en-US" w:eastAsia="zh-CN"/>
              </w:rPr>
              <w:t>覆土</w:t>
            </w:r>
            <w:r>
              <w:rPr>
                <w:rFonts w:hint="eastAsia" w:ascii="Times New Roman" w:eastAsia="宋体"/>
                <w:b w:val="0"/>
                <w:bCs/>
                <w:color w:val="auto"/>
                <w:sz w:val="21"/>
                <w:szCs w:val="21"/>
                <w:highlight w:val="none"/>
              </w:rPr>
              <w:t>，恢复</w:t>
            </w:r>
            <w:r>
              <w:rPr>
                <w:rFonts w:hint="eastAsia" w:ascii="Times New Roman" w:eastAsia="宋体"/>
                <w:b w:val="0"/>
                <w:bCs/>
                <w:color w:val="auto"/>
                <w:sz w:val="21"/>
                <w:szCs w:val="21"/>
                <w:highlight w:val="none"/>
                <w:lang w:val="en-US" w:eastAsia="zh-CN"/>
              </w:rPr>
              <w:t>原有地貌</w:t>
            </w:r>
            <w:r>
              <w:rPr>
                <w:rFonts w:hint="eastAsia" w:ascii="Times New Roman" w:eastAsia="宋体"/>
                <w:b w:val="0"/>
                <w:bCs/>
                <w:color w:val="auto"/>
                <w:sz w:val="21"/>
                <w:szCs w:val="21"/>
                <w:highlight w:val="none"/>
              </w:rPr>
              <w:t>林地</w:t>
            </w:r>
            <w:r>
              <w:rPr>
                <w:rFonts w:hint="eastAsia" w:ascii="Times New Roman" w:eastAsia="宋体"/>
                <w:b w:val="0"/>
                <w:bCs/>
                <w:color w:val="auto"/>
                <w:sz w:val="21"/>
                <w:szCs w:val="21"/>
                <w:highlight w:val="none"/>
                <w:lang w:eastAsia="zh-CN"/>
              </w:rPr>
              <w:t>。</w:t>
            </w:r>
          </w:p>
        </w:tc>
      </w:tr>
    </w:tbl>
    <w:p w14:paraId="6FB41BDF">
      <w:pPr>
        <w:pStyle w:val="2"/>
        <w:rPr>
          <w:rFonts w:hint="eastAsia"/>
          <w:color w:val="auto"/>
          <w:highlight w:val="none"/>
        </w:rPr>
        <w:sectPr>
          <w:pgSz w:w="16838" w:h="11906" w:orient="landscape"/>
          <w:pgMar w:top="1701" w:right="1440" w:bottom="1440" w:left="1440" w:header="851" w:footer="992" w:gutter="0"/>
          <w:pgBorders>
            <w:top w:val="none" w:sz="0" w:space="0"/>
            <w:left w:val="none" w:sz="0" w:space="0"/>
            <w:bottom w:val="none" w:sz="0" w:space="0"/>
            <w:right w:val="none" w:sz="0" w:space="0"/>
          </w:pgBorders>
          <w:pgNumType w:fmt="numberInDash"/>
          <w:cols w:space="720" w:num="1"/>
          <w:docGrid w:linePitch="312" w:charSpace="0"/>
        </w:sectPr>
      </w:pPr>
    </w:p>
    <w:p w14:paraId="6D8F9511">
      <w:pPr>
        <w:pStyle w:val="5"/>
        <w:bidi w:val="0"/>
        <w:rPr>
          <w:rFonts w:hint="eastAsia" w:asciiTheme="minorEastAsia" w:hAnsiTheme="minorEastAsia" w:eastAsiaTheme="minorEastAsia" w:cstheme="minorEastAsia"/>
          <w:color w:val="auto"/>
          <w:highlight w:val="none"/>
        </w:rPr>
      </w:pPr>
      <w:bookmarkStart w:id="887" w:name="_Toc20736"/>
      <w:r>
        <w:rPr>
          <w:rFonts w:hint="eastAsia" w:asciiTheme="minorEastAsia" w:hAnsiTheme="minorEastAsia" w:eastAsiaTheme="minorEastAsia" w:cstheme="minorEastAsia"/>
          <w:color w:val="auto"/>
          <w:highlight w:val="none"/>
        </w:rPr>
        <w:t>9评价结论</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87"/>
    </w:p>
    <w:p w14:paraId="0DF336F2">
      <w:pPr>
        <w:pStyle w:val="7"/>
        <w:widowControl w:val="0"/>
        <w:numPr>
          <w:ilvl w:val="2"/>
          <w:numId w:val="0"/>
        </w:numPr>
        <w:snapToGrid w:val="0"/>
        <w:spacing w:before="0" w:after="0" w:line="360" w:lineRule="auto"/>
        <w:ind w:leftChars="0"/>
        <w:rPr>
          <w:rFonts w:hint="eastAsia" w:asciiTheme="minorEastAsia" w:hAnsiTheme="minorEastAsia" w:eastAsiaTheme="minorEastAsia" w:cstheme="minorEastAsia"/>
          <w:color w:val="auto"/>
          <w:sz w:val="30"/>
          <w:szCs w:val="30"/>
          <w:highlight w:val="none"/>
        </w:rPr>
      </w:pPr>
      <w:bookmarkStart w:id="888" w:name="_Toc17026"/>
      <w:bookmarkStart w:id="889" w:name="_Toc165287726"/>
      <w:bookmarkStart w:id="890" w:name="_Toc158874957"/>
      <w:bookmarkStart w:id="891" w:name="_Toc158876007"/>
      <w:bookmarkStart w:id="892" w:name="_Toc158876433"/>
      <w:r>
        <w:rPr>
          <w:rFonts w:hint="eastAsia" w:asciiTheme="minorEastAsia" w:hAnsiTheme="minorEastAsia" w:eastAsiaTheme="minorEastAsia" w:cstheme="minorEastAsia"/>
          <w:color w:val="auto"/>
          <w:sz w:val="30"/>
          <w:szCs w:val="30"/>
          <w:highlight w:val="none"/>
        </w:rPr>
        <w:t>9.1项目概况</w:t>
      </w:r>
      <w:bookmarkEnd w:id="888"/>
    </w:p>
    <w:p w14:paraId="2B845226">
      <w:pPr>
        <w:keepNext w:val="0"/>
        <w:keepLines w:val="0"/>
        <w:pageBreakBefore w:val="0"/>
        <w:widowControl/>
        <w:suppressLineNumbers w:val="0"/>
        <w:kinsoku/>
        <w:wordWrap/>
        <w:overflowPunct/>
        <w:topLinePunct w:val="0"/>
        <w:autoSpaceDE/>
        <w:autoSpaceDN/>
        <w:bidi w:val="0"/>
        <w:spacing w:line="360" w:lineRule="auto"/>
        <w:ind w:firstLine="480" w:firstLineChars="200"/>
        <w:jc w:val="left"/>
        <w:textAlignment w:val="auto"/>
        <w:rPr>
          <w:rFonts w:hint="eastAsia" w:asciiTheme="minorEastAsia" w:hAnsiTheme="minorEastAsia" w:eastAsiaTheme="minorEastAsia" w:cstheme="minorEastAsia"/>
          <w:color w:val="auto"/>
          <w:highlight w:val="none"/>
        </w:rPr>
      </w:pPr>
      <w:bookmarkStart w:id="893" w:name="_Toc30068"/>
      <w:r>
        <w:rPr>
          <w:rFonts w:hint="eastAsia" w:ascii="Times New Roman" w:hAnsi="宋体" w:eastAsia="宋体" w:cs="Times New Roman"/>
          <w:color w:val="auto"/>
          <w:kern w:val="0"/>
          <w:sz w:val="24"/>
          <w:szCs w:val="24"/>
          <w:highlight w:val="none"/>
          <w:lang w:val="en-US" w:eastAsia="zh-CN"/>
        </w:rPr>
        <w:t>黑龙江嘉龙环保科技有限公司</w:t>
      </w:r>
      <w:r>
        <w:rPr>
          <w:rFonts w:hint="eastAsia" w:asciiTheme="minorEastAsia" w:hAnsiTheme="minorEastAsia" w:eastAsiaTheme="minorEastAsia" w:cstheme="minorEastAsia"/>
          <w:color w:val="auto"/>
          <w:highlight w:val="none"/>
          <w:lang w:val="en-US" w:eastAsia="zh-CN"/>
        </w:rPr>
        <w:t>利用尚志周边企业燃生物质灰渣和燃煤炉渣作为回填材料，对废</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highlight w:val="none"/>
          <w:lang w:val="en-US" w:eastAsia="zh-CN"/>
        </w:rPr>
        <w:t>进行回填修复，修复面积</w:t>
      </w:r>
      <w:r>
        <w:rPr>
          <w:rFonts w:hint="eastAsia" w:ascii="Times New Roman" w:hAnsi="宋体" w:eastAsia="宋体" w:cs="Times New Roman"/>
          <w:color w:val="auto"/>
          <w:kern w:val="0"/>
          <w:sz w:val="24"/>
          <w:szCs w:val="24"/>
          <w:highlight w:val="none"/>
          <w:lang w:val="en-US" w:eastAsia="zh-CN"/>
        </w:rPr>
        <w:t>11296.10</w:t>
      </w:r>
      <w:r>
        <w:rPr>
          <w:rFonts w:hint="eastAsia" w:asciiTheme="minorEastAsia" w:hAnsiTheme="minorEastAsia" w:eastAsiaTheme="minorEastAsia" w:cstheme="minorEastAsia"/>
          <w:color w:val="auto"/>
          <w:sz w:val="24"/>
          <w:szCs w:val="24"/>
          <w:highlight w:val="none"/>
        </w:rPr>
        <w:t>m</w:t>
      </w:r>
      <w:r>
        <w:rPr>
          <w:rFonts w:hint="eastAsia" w:asciiTheme="minorEastAsia" w:hAnsiTheme="minorEastAsia" w:eastAsiaTheme="minorEastAsia" w:cstheme="minorEastAsia"/>
          <w:color w:val="auto"/>
          <w:sz w:val="24"/>
          <w:szCs w:val="24"/>
          <w:highlight w:val="none"/>
          <w:vertAlign w:val="superscript"/>
        </w:rPr>
        <w:t>2</w:t>
      </w:r>
      <w:r>
        <w:rPr>
          <w:rFonts w:hint="eastAsia" w:asciiTheme="minorEastAsia" w:hAnsiTheme="minorEastAsia" w:eastAsiaTheme="minorEastAsia" w:cstheme="minorEastAsia"/>
          <w:color w:val="auto"/>
          <w:sz w:val="24"/>
          <w:szCs w:val="24"/>
          <w:highlight w:val="none"/>
          <w:lang w:val="en-US" w:eastAsia="zh-CN"/>
        </w:rPr>
        <w:t>，采坑深约0.5-8.5m，日回填灰渣89.73m</w:t>
      </w:r>
      <w:r>
        <w:rPr>
          <w:rFonts w:hint="eastAsia" w:asciiTheme="minorEastAsia" w:hAnsiTheme="minorEastAsia" w:eastAsiaTheme="minorEastAsia" w:cstheme="minorEastAsia"/>
          <w:color w:val="auto"/>
          <w:sz w:val="24"/>
          <w:szCs w:val="24"/>
          <w:highlight w:val="none"/>
          <w:vertAlign w:val="superscript"/>
          <w:lang w:val="en-US" w:eastAsia="zh-CN"/>
        </w:rPr>
        <w:t>3</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Cs w:val="24"/>
          <w:highlight w:val="none"/>
        </w:rPr>
        <w:t>压实系数不小于</w:t>
      </w:r>
      <w:r>
        <w:rPr>
          <w:rFonts w:hint="eastAsia" w:asciiTheme="minorEastAsia" w:hAnsiTheme="minorEastAsia" w:eastAsiaTheme="minorEastAsia" w:cstheme="minorEastAsia"/>
          <w:color w:val="auto"/>
          <w:szCs w:val="24"/>
          <w:highlight w:val="none"/>
          <w:lang w:val="en-US" w:eastAsia="zh-CN"/>
        </w:rPr>
        <w:t>0.9</w:t>
      </w:r>
      <w:r>
        <w:rPr>
          <w:rFonts w:hint="eastAsia" w:asciiTheme="minorEastAsia" w:hAnsiTheme="minorEastAsia" w:eastAsiaTheme="minorEastAsia" w:cstheme="minorEastAsia"/>
          <w:color w:val="auto"/>
          <w:szCs w:val="24"/>
          <w:highlight w:val="none"/>
        </w:rPr>
        <w:t>，坡比约0.3%，</w:t>
      </w:r>
      <w:r>
        <w:rPr>
          <w:rFonts w:hint="eastAsia" w:asciiTheme="minorEastAsia" w:hAnsiTheme="minorEastAsia" w:eastAsiaTheme="minorEastAsia" w:cstheme="minorEastAsia"/>
          <w:color w:val="auto"/>
          <w:szCs w:val="24"/>
          <w:highlight w:val="none"/>
          <w:lang w:val="en-US" w:eastAsia="zh-CN"/>
        </w:rPr>
        <w:t>设计</w:t>
      </w:r>
      <w:r>
        <w:rPr>
          <w:rFonts w:hint="eastAsia" w:asciiTheme="minorEastAsia" w:hAnsiTheme="minorEastAsia" w:eastAsiaTheme="minorEastAsia" w:cstheme="minorEastAsia"/>
          <w:color w:val="auto"/>
          <w:sz w:val="24"/>
          <w:szCs w:val="24"/>
          <w:highlight w:val="none"/>
          <w:lang w:val="en-US" w:eastAsia="zh-CN"/>
        </w:rPr>
        <w:t>回填量</w:t>
      </w:r>
      <w:r>
        <w:rPr>
          <w:rFonts w:hint="eastAsia" w:ascii="Times New Roman" w:hAnsi="Times New Roman" w:eastAsia="宋体" w:cs="Times New Roman"/>
          <w:color w:val="auto"/>
          <w:sz w:val="24"/>
          <w:szCs w:val="24"/>
          <w:highlight w:val="none"/>
        </w:rPr>
        <w:t>80760.03</w:t>
      </w:r>
      <w:r>
        <w:rPr>
          <w:rFonts w:hint="eastAsia" w:asciiTheme="minorEastAsia" w:hAnsiTheme="minorEastAsia" w:eastAsiaTheme="minorEastAsia" w:cstheme="minorEastAsia"/>
          <w:color w:val="auto"/>
          <w:sz w:val="24"/>
          <w:szCs w:val="24"/>
          <w:highlight w:val="none"/>
          <w:lang w:val="en-US" w:eastAsia="zh-CN"/>
        </w:rPr>
        <w:t>m</w:t>
      </w:r>
      <w:r>
        <w:rPr>
          <w:rFonts w:hint="eastAsia" w:asciiTheme="minorEastAsia" w:hAnsiTheme="minorEastAsia" w:eastAsiaTheme="minorEastAsia" w:cstheme="minorEastAsia"/>
          <w:color w:val="auto"/>
          <w:sz w:val="24"/>
          <w:szCs w:val="24"/>
          <w:highlight w:val="none"/>
          <w:vertAlign w:val="superscript"/>
          <w:lang w:val="en-US" w:eastAsia="zh-CN"/>
        </w:rPr>
        <w:t>3</w:t>
      </w:r>
      <w:r>
        <w:rPr>
          <w:rFonts w:hint="eastAsia" w:asciiTheme="minorEastAsia" w:hAnsiTheme="minorEastAsia" w:eastAsiaTheme="minorEastAsia" w:cstheme="minorEastAsia"/>
          <w:color w:val="auto"/>
          <w:sz w:val="24"/>
          <w:szCs w:val="24"/>
          <w:highlight w:val="none"/>
          <w:vertAlign w:val="baseline"/>
          <w:lang w:val="en-US" w:eastAsia="zh-CN"/>
        </w:rPr>
        <w:t>（压实方）</w:t>
      </w:r>
      <w:r>
        <w:rPr>
          <w:rFonts w:hint="eastAsia" w:asciiTheme="minorEastAsia" w:hAnsiTheme="minorEastAsia" w:eastAsiaTheme="minorEastAsia" w:cstheme="minorEastAsia"/>
          <w:color w:val="auto"/>
          <w:sz w:val="24"/>
          <w:szCs w:val="24"/>
          <w:highlight w:val="none"/>
          <w:lang w:val="en-US" w:eastAsia="zh-CN"/>
        </w:rPr>
        <w:t>，回填期900天，回填完成后覆土80cm恢复为林地</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kern w:val="0"/>
          <w:sz w:val="24"/>
          <w:szCs w:val="24"/>
          <w:highlight w:val="none"/>
          <w:lang w:val="en-US" w:eastAsia="zh-CN" w:bidi="ar"/>
        </w:rPr>
        <w:t>土地复垦实施过程按《土地复垦质量控制标准》（TD/T1036-2013）规定的相关土地复垦质量控制要求进行，</w:t>
      </w:r>
      <w:r>
        <w:rPr>
          <w:rFonts w:hint="default" w:ascii="Times New Roman" w:hAnsi="Times New Roman" w:eastAsia="宋体"/>
          <w:color w:val="auto"/>
          <w:sz w:val="24"/>
          <w:szCs w:val="24"/>
          <w:highlight w:val="none"/>
          <w:lang w:val="en-US" w:eastAsia="zh-CN"/>
        </w:rPr>
        <w:t>覆土所需土壤来源于</w:t>
      </w:r>
      <w:r>
        <w:rPr>
          <w:rFonts w:hint="eastAsia" w:ascii="Times New Roman" w:hAnsi="Times New Roman" w:eastAsia="宋体" w:cs="Times New Roman"/>
          <w:color w:val="auto"/>
          <w:sz w:val="24"/>
          <w:szCs w:val="24"/>
          <w:highlight w:val="none"/>
          <w:lang w:val="en-US" w:eastAsia="zh-CN"/>
        </w:rPr>
        <w:t>当地高标准农田建设</w:t>
      </w:r>
      <w:r>
        <w:rPr>
          <w:rFonts w:ascii="Times New Roman" w:hAnsi="Times New Roman" w:eastAsia="宋体" w:cs="Times New Roman"/>
          <w:color w:val="auto"/>
          <w:sz w:val="24"/>
          <w:szCs w:val="24"/>
          <w:highlight w:val="none"/>
        </w:rPr>
        <w:t>剥离的</w:t>
      </w:r>
      <w:r>
        <w:rPr>
          <w:rFonts w:hint="eastAsia" w:ascii="Times New Roman" w:hAnsi="Times New Roman" w:eastAsia="宋体" w:cs="Times New Roman"/>
          <w:color w:val="auto"/>
          <w:sz w:val="24"/>
          <w:szCs w:val="24"/>
          <w:highlight w:val="none"/>
          <w:lang w:val="en-US" w:eastAsia="zh-CN"/>
        </w:rPr>
        <w:t>种植</w:t>
      </w:r>
      <w:r>
        <w:rPr>
          <w:rFonts w:ascii="Times New Roman" w:hAnsi="Times New Roman" w:eastAsia="宋体" w:cs="Times New Roman"/>
          <w:color w:val="auto"/>
          <w:sz w:val="24"/>
          <w:szCs w:val="24"/>
          <w:highlight w:val="none"/>
        </w:rPr>
        <w:t>表土</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kern w:val="0"/>
          <w:sz w:val="24"/>
          <w:szCs w:val="24"/>
          <w:highlight w:val="none"/>
          <w:lang w:val="en-US" w:eastAsia="zh-CN" w:bidi="ar"/>
        </w:rPr>
        <w:t>土壤质量满足《土壤环境质量 农用地土壤污染风险管控标准（试行）》（GB15618-2018）要求。</w:t>
      </w:r>
    </w:p>
    <w:p w14:paraId="2BD7B7AB">
      <w:pPr>
        <w:widowControl w:val="0"/>
        <w:snapToGrid w:val="0"/>
        <w:spacing w:line="360" w:lineRule="auto"/>
        <w:ind w:firstLine="480" w:firstLineChars="200"/>
        <w:jc w:val="both"/>
        <w:rPr>
          <w:rFonts w:hint="eastAsia" w:asciiTheme="minorEastAsia" w:hAnsiTheme="minorEastAsia" w:eastAsiaTheme="minorEastAsia" w:cstheme="minorEastAsia"/>
          <w:color w:val="auto"/>
          <w:kern w:val="2"/>
          <w:szCs w:val="22"/>
          <w:highlight w:val="none"/>
          <w:lang w:bidi="ar"/>
        </w:rPr>
      </w:pPr>
      <w:r>
        <w:rPr>
          <w:rFonts w:hint="eastAsia" w:asciiTheme="minorEastAsia" w:hAnsiTheme="minorEastAsia" w:eastAsiaTheme="minorEastAsia" w:cstheme="minorEastAsia"/>
          <w:color w:val="auto"/>
          <w:szCs w:val="24"/>
          <w:highlight w:val="none"/>
        </w:rPr>
        <w:t>根据</w:t>
      </w:r>
      <w:r>
        <w:rPr>
          <w:rFonts w:hint="eastAsia" w:asciiTheme="minorEastAsia" w:hAnsiTheme="minorEastAsia" w:eastAsiaTheme="minorEastAsia" w:cstheme="minorEastAsia"/>
          <w:color w:val="auto"/>
          <w:spacing w:val="2"/>
          <w:szCs w:val="24"/>
          <w:highlight w:val="none"/>
        </w:rPr>
        <w:t>《</w:t>
      </w:r>
      <w:r>
        <w:rPr>
          <w:rFonts w:hint="default" w:ascii="Times New Roman" w:hAnsi="宋体" w:eastAsia="宋体" w:cs="Times New Roman"/>
          <w:color w:val="auto"/>
          <w:kern w:val="0"/>
          <w:sz w:val="24"/>
          <w:szCs w:val="24"/>
          <w:highlight w:val="none"/>
          <w:lang w:val="en-US" w:eastAsia="zh-CN"/>
        </w:rPr>
        <w:t>黑龙江嘉龙环保科技有限公司</w:t>
      </w:r>
      <w:r>
        <w:rPr>
          <w:rFonts w:hint="eastAsia" w:ascii="Times New Roman" w:hAnsi="宋体" w:eastAsia="宋体" w:cs="Times New Roman"/>
          <w:color w:val="auto"/>
          <w:kern w:val="0"/>
          <w:sz w:val="24"/>
          <w:szCs w:val="24"/>
          <w:highlight w:val="none"/>
          <w:lang w:val="en-US" w:eastAsia="zh-CN"/>
        </w:rPr>
        <w:t>灰渣回填复垦利用项目</w:t>
      </w:r>
      <w:r>
        <w:rPr>
          <w:rFonts w:hint="eastAsia" w:asciiTheme="minorEastAsia" w:hAnsiTheme="minorEastAsia" w:eastAsiaTheme="minorEastAsia" w:cstheme="minorEastAsia"/>
          <w:color w:val="auto"/>
          <w:spacing w:val="-3"/>
          <w:szCs w:val="24"/>
          <w:highlight w:val="none"/>
        </w:rPr>
        <w:t>风险评估报告》中针对</w:t>
      </w:r>
      <w:r>
        <w:rPr>
          <w:rFonts w:hint="eastAsia" w:asciiTheme="minorEastAsia" w:hAnsiTheme="minorEastAsia" w:eastAsiaTheme="minorEastAsia" w:cstheme="minorEastAsia"/>
          <w:color w:val="auto"/>
          <w:szCs w:val="24"/>
          <w:highlight w:val="none"/>
        </w:rPr>
        <w:t>灰渣</w:t>
      </w:r>
      <w:r>
        <w:rPr>
          <w:rFonts w:hint="eastAsia" w:asciiTheme="minorEastAsia" w:hAnsiTheme="minorEastAsia" w:eastAsiaTheme="minorEastAsia" w:cstheme="minorEastAsia"/>
          <w:color w:val="auto"/>
          <w:highlight w:val="none"/>
          <w:shd w:val="clear" w:color="auto" w:fill="FFFFFF"/>
        </w:rPr>
        <w:t>浸出液成分检测的检测结果可知，</w:t>
      </w:r>
      <w:r>
        <w:rPr>
          <w:rFonts w:hint="eastAsia" w:asciiTheme="minorEastAsia" w:hAnsiTheme="minorEastAsia" w:eastAsiaTheme="minorEastAsia" w:cstheme="minorEastAsia"/>
          <w:color w:val="auto"/>
          <w:sz w:val="24"/>
          <w:szCs w:val="24"/>
          <w:highlight w:val="none"/>
          <w:lang w:val="en-US" w:eastAsia="zh-CN"/>
        </w:rPr>
        <w:t>本项目使用的</w:t>
      </w:r>
      <w:r>
        <w:rPr>
          <w:rFonts w:hint="eastAsia" w:asciiTheme="minorEastAsia" w:hAnsiTheme="minorEastAsia" w:eastAsiaTheme="minorEastAsia" w:cstheme="minorEastAsia"/>
          <w:color w:val="auto"/>
          <w:szCs w:val="24"/>
          <w:highlight w:val="none"/>
        </w:rPr>
        <w:t>灰渣</w:t>
      </w:r>
      <w:r>
        <w:rPr>
          <w:rFonts w:hint="eastAsia" w:asciiTheme="minorEastAsia" w:hAnsiTheme="minorEastAsia" w:eastAsiaTheme="minorEastAsia" w:cstheme="minorEastAsia"/>
          <w:color w:val="auto"/>
          <w:highlight w:val="none"/>
          <w:shd w:val="clear" w:color="auto" w:fill="FFFFFF"/>
        </w:rPr>
        <w:t>属于“</w:t>
      </w:r>
      <w:r>
        <w:rPr>
          <w:rFonts w:hint="eastAsia" w:asciiTheme="minorEastAsia" w:hAnsiTheme="minorEastAsia" w:eastAsiaTheme="minorEastAsia" w:cstheme="minorEastAsia"/>
          <w:color w:val="auto"/>
          <w:kern w:val="2"/>
          <w:szCs w:val="22"/>
          <w:highlight w:val="none"/>
          <w:lang w:bidi="ar"/>
        </w:rPr>
        <w:t>第I类一般工业固体废物</w:t>
      </w:r>
      <w:r>
        <w:rPr>
          <w:rFonts w:hint="eastAsia" w:asciiTheme="minorEastAsia" w:hAnsiTheme="minorEastAsia" w:eastAsiaTheme="minorEastAsia" w:cstheme="minorEastAsia"/>
          <w:color w:val="auto"/>
          <w:highlight w:val="none"/>
          <w:shd w:val="clear" w:color="auto" w:fill="FFFFFF"/>
        </w:rPr>
        <w:t>”</w:t>
      </w:r>
      <w:r>
        <w:rPr>
          <w:rFonts w:hint="eastAsia" w:asciiTheme="minorEastAsia" w:hAnsiTheme="minorEastAsia" w:eastAsiaTheme="minorEastAsia" w:cstheme="minorEastAsia"/>
          <w:color w:val="auto"/>
          <w:kern w:val="2"/>
          <w:szCs w:val="22"/>
          <w:highlight w:val="none"/>
          <w:lang w:bidi="ar"/>
        </w:rPr>
        <w:t>，且有机质含量小于2%；水溶性盐总量小于2%</w:t>
      </w:r>
      <w:r>
        <w:rPr>
          <w:rFonts w:hint="eastAsia" w:asciiTheme="minorEastAsia" w:hAnsiTheme="minorEastAsia" w:eastAsiaTheme="minorEastAsia" w:cstheme="minorEastAsia"/>
          <w:color w:val="auto"/>
          <w:kern w:val="2"/>
          <w:szCs w:val="22"/>
          <w:highlight w:val="none"/>
          <w:lang w:eastAsia="zh-CN" w:bidi="ar"/>
        </w:rPr>
        <w:t>，</w:t>
      </w:r>
      <w:r>
        <w:rPr>
          <w:rFonts w:hint="eastAsia" w:asciiTheme="minorEastAsia" w:hAnsiTheme="minorEastAsia" w:eastAsiaTheme="minorEastAsia" w:cstheme="minorEastAsia"/>
          <w:color w:val="auto"/>
          <w:kern w:val="2"/>
          <w:szCs w:val="22"/>
          <w:highlight w:val="none"/>
          <w:lang w:bidi="ar"/>
        </w:rPr>
        <w:t>满足回填作业物料的要求。</w:t>
      </w:r>
    </w:p>
    <w:p w14:paraId="22377A99">
      <w:pPr>
        <w:pStyle w:val="1233"/>
        <w:ind w:firstLine="480"/>
        <w:rPr>
          <w:rFonts w:hint="eastAsia"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szCs w:val="24"/>
          <w:highlight w:val="none"/>
        </w:rPr>
        <w:t>在完成一般工业固体废物回填后，按标准要求进行封场覆盖并绿化，此方法不仅可以使地区一般工业固体废物得到规范处置，而且实现废弃资源综合利用，同时通过对采坑合理地进行复垦，对恢复生态、保护环境具有重要意义。</w:t>
      </w:r>
    </w:p>
    <w:bookmarkEnd w:id="893"/>
    <w:p w14:paraId="4B418981">
      <w:pPr>
        <w:pStyle w:val="7"/>
        <w:widowControl w:val="0"/>
        <w:numPr>
          <w:ilvl w:val="2"/>
          <w:numId w:val="0"/>
        </w:numPr>
        <w:snapToGrid w:val="0"/>
        <w:spacing w:before="0" w:after="0" w:line="360" w:lineRule="auto"/>
        <w:ind w:leftChars="0"/>
        <w:jc w:val="both"/>
        <w:rPr>
          <w:rFonts w:hint="eastAsia" w:asciiTheme="minorEastAsia" w:hAnsiTheme="minorEastAsia" w:eastAsiaTheme="minorEastAsia" w:cstheme="minorEastAsia"/>
          <w:color w:val="auto"/>
          <w:sz w:val="30"/>
          <w:szCs w:val="30"/>
          <w:highlight w:val="none"/>
        </w:rPr>
      </w:pPr>
      <w:bookmarkStart w:id="894" w:name="_Toc6313"/>
      <w:r>
        <w:rPr>
          <w:rFonts w:hint="eastAsia" w:asciiTheme="minorEastAsia" w:hAnsiTheme="minorEastAsia" w:eastAsiaTheme="minorEastAsia" w:cstheme="minorEastAsia"/>
          <w:color w:val="auto"/>
          <w:sz w:val="30"/>
          <w:szCs w:val="30"/>
          <w:highlight w:val="none"/>
        </w:rPr>
        <w:t>9.2环境质量现状</w:t>
      </w:r>
      <w:bookmarkEnd w:id="894"/>
    </w:p>
    <w:p w14:paraId="637D4F69">
      <w:pPr>
        <w:widowControl w:val="0"/>
        <w:snapToGrid w:val="0"/>
        <w:spacing w:line="360" w:lineRule="auto"/>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（1）大气环境质量现状</w:t>
      </w:r>
    </w:p>
    <w:p w14:paraId="62FC1319">
      <w:pPr>
        <w:pStyle w:val="1342"/>
        <w:widowControl w:val="0"/>
        <w:snapToGrid w:val="0"/>
        <w:ind w:firstLine="480"/>
        <w:jc w:val="both"/>
        <w:rPr>
          <w:rFonts w:hint="eastAsia" w:asciiTheme="minorEastAsia" w:hAnsiTheme="minorEastAsia" w:eastAsiaTheme="minorEastAsia" w:cstheme="minorEastAsia"/>
          <w:color w:val="auto"/>
          <w:kern w:val="2"/>
          <w:szCs w:val="24"/>
          <w:highlight w:val="none"/>
        </w:rPr>
      </w:pPr>
      <w:bookmarkStart w:id="895" w:name="_Hlk40356030"/>
      <w:r>
        <w:rPr>
          <w:rFonts w:hint="eastAsia" w:asciiTheme="minorEastAsia" w:hAnsiTheme="minorEastAsia" w:eastAsiaTheme="minorEastAsia" w:cstheme="minorEastAsia"/>
          <w:color w:val="auto"/>
          <w:kern w:val="2"/>
          <w:szCs w:val="24"/>
          <w:highlight w:val="none"/>
        </w:rPr>
        <w:t>本项目所在区域为</w:t>
      </w:r>
      <w:r>
        <w:rPr>
          <w:rFonts w:hint="eastAsia" w:asciiTheme="minorEastAsia" w:hAnsiTheme="minorEastAsia" w:eastAsiaTheme="minorEastAsia" w:cstheme="minorEastAsia"/>
          <w:color w:val="auto"/>
          <w:highlight w:val="none"/>
        </w:rPr>
        <w:t>《环境空气质量标准》（GB3095-20</w:t>
      </w:r>
      <w:r>
        <w:rPr>
          <w:rFonts w:hint="eastAsia" w:asciiTheme="minorEastAsia" w:hAnsiTheme="minorEastAsia" w:eastAsiaTheme="minorEastAsia" w:cstheme="minorEastAsia"/>
          <w:color w:val="auto"/>
          <w:highlight w:val="none"/>
          <w:lang w:val="en-US" w:eastAsia="zh-CN"/>
        </w:rPr>
        <w:t>26</w:t>
      </w:r>
      <w:r>
        <w:rPr>
          <w:rFonts w:hint="eastAsia" w:asciiTheme="minorEastAsia" w:hAnsiTheme="minorEastAsia" w:eastAsiaTheme="minorEastAsia" w:cstheme="minorEastAsia"/>
          <w:color w:val="auto"/>
          <w:highlight w:val="none"/>
        </w:rPr>
        <w:t>）二类区，</w:t>
      </w:r>
      <w:r>
        <w:rPr>
          <w:rFonts w:hint="default" w:ascii="Times New Roman" w:hAnsi="Times New Roman" w:eastAsia="宋体" w:cs="Times New Roman"/>
          <w:color w:val="auto"/>
          <w:kern w:val="2"/>
          <w:sz w:val="24"/>
          <w:highlight w:val="none"/>
          <w:lang w:val="en-US" w:eastAsia="zh-CN" w:bidi="ar-SA"/>
        </w:rPr>
        <w:t>根据</w:t>
      </w:r>
      <w:r>
        <w:rPr>
          <w:rFonts w:hint="eastAsia" w:eastAsia="宋体" w:cs="Times New Roman"/>
          <w:color w:val="auto"/>
          <w:kern w:val="2"/>
          <w:sz w:val="24"/>
          <w:highlight w:val="none"/>
          <w:lang w:val="en-US" w:eastAsia="zh-CN" w:bidi="ar-SA"/>
        </w:rPr>
        <w:t>《2024年哈尔滨生态环境质量状况年报》</w:t>
      </w:r>
      <w:r>
        <w:rPr>
          <w:rFonts w:hint="eastAsia" w:asciiTheme="minorEastAsia" w:hAnsiTheme="minorEastAsia" w:eastAsiaTheme="minorEastAsia" w:cstheme="minorEastAsia"/>
          <w:color w:val="auto"/>
          <w:kern w:val="2"/>
          <w:szCs w:val="24"/>
          <w:highlight w:val="none"/>
        </w:rPr>
        <w:t>，</w:t>
      </w:r>
      <w:r>
        <w:rPr>
          <w:rFonts w:hint="eastAsia" w:asciiTheme="minorEastAsia" w:hAnsiTheme="minorEastAsia" w:eastAsiaTheme="minorEastAsia" w:cstheme="minorEastAsia"/>
          <w:color w:val="auto"/>
          <w:highlight w:val="none"/>
        </w:rPr>
        <w:t>本项目所在区域环境空气质量为</w:t>
      </w:r>
      <w:r>
        <w:rPr>
          <w:rFonts w:hint="eastAsia" w:asciiTheme="minorEastAsia" w:hAnsiTheme="minorEastAsia" w:eastAsiaTheme="minorEastAsia" w:cstheme="minorEastAsia"/>
          <w:color w:val="auto"/>
          <w:highlight w:val="none"/>
          <w:lang w:val="en-US" w:eastAsia="zh-CN"/>
        </w:rPr>
        <w:t>不</w:t>
      </w:r>
      <w:r>
        <w:rPr>
          <w:rFonts w:hint="eastAsia" w:asciiTheme="minorEastAsia" w:hAnsiTheme="minorEastAsia" w:eastAsiaTheme="minorEastAsia" w:cstheme="minorEastAsia"/>
          <w:color w:val="auto"/>
          <w:highlight w:val="none"/>
        </w:rPr>
        <w:t>达标区。</w:t>
      </w:r>
    </w:p>
    <w:p w14:paraId="3BB9CF7F">
      <w:pPr>
        <w:pStyle w:val="1342"/>
        <w:widowControl w:val="0"/>
        <w:snapToGrid w:val="0"/>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本项目各监测点TSP满足《环境空气质量标准》（GB3095-20</w:t>
      </w:r>
      <w:r>
        <w:rPr>
          <w:rFonts w:hint="eastAsia" w:asciiTheme="minorEastAsia" w:hAnsiTheme="minorEastAsia" w:eastAsiaTheme="minorEastAsia" w:cstheme="minorEastAsia"/>
          <w:color w:val="auto"/>
          <w:highlight w:val="none"/>
          <w:lang w:val="en-US" w:eastAsia="zh-CN"/>
        </w:rPr>
        <w:t>26</w:t>
      </w:r>
      <w:r>
        <w:rPr>
          <w:rFonts w:hint="eastAsia" w:asciiTheme="minorEastAsia" w:hAnsiTheme="minorEastAsia" w:eastAsiaTheme="minorEastAsia" w:cstheme="minorEastAsia"/>
          <w:color w:val="auto"/>
          <w:highlight w:val="none"/>
        </w:rPr>
        <w:t>）中二级标准。</w:t>
      </w:r>
    </w:p>
    <w:bookmarkEnd w:id="895"/>
    <w:p w14:paraId="271BAE52">
      <w:pPr>
        <w:pStyle w:val="319"/>
        <w:widowControl w:val="0"/>
        <w:snapToGrid w:val="0"/>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Cs w:val="24"/>
          <w:highlight w:val="none"/>
        </w:rPr>
        <w:t>（2）</w:t>
      </w:r>
      <w:r>
        <w:rPr>
          <w:rFonts w:hint="eastAsia" w:asciiTheme="minorEastAsia" w:hAnsiTheme="minorEastAsia" w:eastAsiaTheme="minorEastAsia" w:cstheme="minorEastAsia"/>
          <w:color w:val="auto"/>
          <w:highlight w:val="none"/>
        </w:rPr>
        <w:t>地表</w:t>
      </w:r>
      <w:r>
        <w:rPr>
          <w:rFonts w:hint="eastAsia" w:asciiTheme="minorEastAsia" w:hAnsiTheme="minorEastAsia" w:eastAsiaTheme="minorEastAsia" w:cstheme="minorEastAsia"/>
          <w:color w:val="auto"/>
          <w:szCs w:val="24"/>
          <w:highlight w:val="none"/>
        </w:rPr>
        <w:t>水环境质量现状</w:t>
      </w:r>
    </w:p>
    <w:p w14:paraId="3C89DF1F">
      <w:pPr>
        <w:pStyle w:val="319"/>
        <w:widowControl w:val="0"/>
        <w:snapToGrid w:val="0"/>
        <w:ind w:firstLine="480"/>
        <w:jc w:val="both"/>
        <w:rPr>
          <w:rFonts w:hint="eastAsia" w:asciiTheme="minorEastAsia" w:hAnsiTheme="minorEastAsia" w:eastAsiaTheme="minorEastAsia" w:cstheme="minorEastAsia"/>
          <w:color w:val="auto"/>
          <w:highlight w:val="none"/>
          <w:lang w:eastAsia="zh-CN"/>
        </w:rPr>
      </w:pPr>
      <w:r>
        <w:rPr>
          <w:rFonts w:hint="eastAsia" w:ascii="Times New Roman" w:hAnsi="Times New Roman" w:eastAsia="宋体" w:cs="Times New Roman"/>
          <w:color w:val="auto"/>
          <w:kern w:val="2"/>
          <w:sz w:val="24"/>
          <w:highlight w:val="none"/>
          <w:lang w:val="en-US" w:eastAsia="zh-CN" w:bidi="ar-SA"/>
        </w:rPr>
        <w:t>本项目地表水体为黄泥河，为蚂蚁河一级支流。根据《2024年哈尔滨生态环境质量状况年报》，2024年蚂蚁河总体水质为优。监测的8个断面中，Ⅱ类断面1个，占12.5%</w:t>
      </w:r>
      <w:r>
        <w:rPr>
          <w:rFonts w:hint="eastAsia" w:eastAsia="宋体" w:cs="Times New Roman"/>
          <w:color w:val="auto"/>
          <w:kern w:val="2"/>
          <w:sz w:val="24"/>
          <w:highlight w:val="none"/>
          <w:lang w:val="en-US" w:eastAsia="zh-CN" w:bidi="ar-SA"/>
        </w:rPr>
        <w:t>；</w:t>
      </w:r>
      <w:r>
        <w:rPr>
          <w:rFonts w:hint="eastAsia" w:ascii="Times New Roman" w:hAnsi="Times New Roman" w:eastAsia="宋体" w:cs="Times New Roman"/>
          <w:color w:val="auto"/>
          <w:kern w:val="2"/>
          <w:sz w:val="24"/>
          <w:highlight w:val="none"/>
          <w:lang w:val="en-US" w:eastAsia="zh-CN" w:bidi="ar-SA"/>
        </w:rPr>
        <w:t>Ⅲ类断面7个，占87.5%</w:t>
      </w:r>
      <w:r>
        <w:rPr>
          <w:rFonts w:hint="eastAsia" w:eastAsia="宋体" w:cs="Times New Roman"/>
          <w:color w:val="auto"/>
          <w:kern w:val="2"/>
          <w:sz w:val="24"/>
          <w:highlight w:val="none"/>
          <w:lang w:val="en-US" w:eastAsia="zh-CN" w:bidi="ar-SA"/>
        </w:rPr>
        <w:t>；</w:t>
      </w:r>
      <w:r>
        <w:rPr>
          <w:rFonts w:hint="eastAsia" w:ascii="Times New Roman" w:hAnsi="Times New Roman" w:eastAsia="宋体" w:cs="Times New Roman"/>
          <w:color w:val="auto"/>
          <w:kern w:val="2"/>
          <w:sz w:val="24"/>
          <w:highlight w:val="none"/>
          <w:lang w:val="en-US" w:eastAsia="zh-CN" w:bidi="ar-SA"/>
        </w:rPr>
        <w:t>无I类、IV类V类、劣V类断面</w:t>
      </w:r>
      <w:r>
        <w:rPr>
          <w:rFonts w:hint="eastAsia" w:asciiTheme="minorEastAsia" w:hAnsiTheme="minorEastAsia" w:eastAsiaTheme="minorEastAsia" w:cstheme="minorEastAsia"/>
          <w:color w:val="auto"/>
          <w:highlight w:val="none"/>
          <w:lang w:eastAsia="zh-CN"/>
        </w:rPr>
        <w:t>。</w:t>
      </w:r>
    </w:p>
    <w:p w14:paraId="5280BEDC">
      <w:pPr>
        <w:pStyle w:val="319"/>
        <w:widowControl w:val="0"/>
        <w:snapToGrid w:val="0"/>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Cs w:val="24"/>
          <w:highlight w:val="none"/>
        </w:rPr>
        <w:t>（3）</w:t>
      </w:r>
      <w:r>
        <w:rPr>
          <w:rFonts w:hint="eastAsia" w:asciiTheme="minorEastAsia" w:hAnsiTheme="minorEastAsia" w:eastAsiaTheme="minorEastAsia" w:cstheme="minorEastAsia"/>
          <w:color w:val="auto"/>
          <w:highlight w:val="none"/>
        </w:rPr>
        <w:t>地下</w:t>
      </w:r>
      <w:r>
        <w:rPr>
          <w:rFonts w:hint="eastAsia" w:asciiTheme="minorEastAsia" w:hAnsiTheme="minorEastAsia" w:eastAsiaTheme="minorEastAsia" w:cstheme="minorEastAsia"/>
          <w:color w:val="auto"/>
          <w:szCs w:val="24"/>
          <w:highlight w:val="none"/>
        </w:rPr>
        <w:t>水环境质量现状</w:t>
      </w:r>
    </w:p>
    <w:p w14:paraId="11BCB610">
      <w:pPr>
        <w:pStyle w:val="319"/>
        <w:widowControl w:val="0"/>
        <w:snapToGrid w:val="0"/>
        <w:ind w:firstLine="475"/>
        <w:jc w:val="both"/>
        <w:rPr>
          <w:rFonts w:hint="eastAsia" w:asciiTheme="minorEastAsia" w:hAnsiTheme="minorEastAsia" w:eastAsiaTheme="minorEastAsia" w:cstheme="minorEastAsia"/>
          <w:color w:val="auto"/>
          <w:highlight w:val="none"/>
        </w:rPr>
      </w:pPr>
      <w:bookmarkStart w:id="896" w:name="_Hlk40356064"/>
      <w:r>
        <w:rPr>
          <w:rFonts w:hint="eastAsia" w:asciiTheme="minorEastAsia" w:hAnsiTheme="minorEastAsia" w:eastAsiaTheme="minorEastAsia" w:cstheme="minorEastAsia"/>
          <w:color w:val="auto"/>
          <w:highlight w:val="none"/>
        </w:rPr>
        <w:t>本项目所在区域地下水监测因子均满足《地下水质量标准》（GB/T14848-2017）III类水质要求。</w:t>
      </w:r>
    </w:p>
    <w:bookmarkEnd w:id="896"/>
    <w:p w14:paraId="49200D5B">
      <w:pPr>
        <w:widowControl w:val="0"/>
        <w:snapToGrid w:val="0"/>
        <w:spacing w:line="360" w:lineRule="auto"/>
        <w:ind w:firstLine="480"/>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（4）声环境质量现状</w:t>
      </w:r>
    </w:p>
    <w:p w14:paraId="3FCEA023">
      <w:pPr>
        <w:pStyle w:val="319"/>
        <w:widowControl w:val="0"/>
        <w:snapToGrid w:val="0"/>
        <w:ind w:firstLine="475"/>
        <w:jc w:val="both"/>
        <w:rPr>
          <w:rFonts w:hint="eastAsia" w:asciiTheme="minorEastAsia" w:hAnsiTheme="minorEastAsia" w:eastAsiaTheme="minorEastAsia" w:cstheme="minorEastAsia"/>
          <w:color w:val="auto"/>
          <w:highlight w:val="none"/>
        </w:rPr>
      </w:pPr>
      <w:bookmarkStart w:id="897" w:name="_Hlk40356125"/>
      <w:r>
        <w:rPr>
          <w:rFonts w:hint="eastAsia" w:asciiTheme="minorEastAsia" w:hAnsiTheme="minorEastAsia" w:eastAsiaTheme="minorEastAsia" w:cstheme="minorEastAsia"/>
          <w:color w:val="auto"/>
          <w:highlight w:val="none"/>
        </w:rPr>
        <w:t>从噪声现状监测结果来看，</w:t>
      </w:r>
      <w:r>
        <w:rPr>
          <w:rFonts w:hint="eastAsia" w:asciiTheme="minorEastAsia" w:hAnsiTheme="minorEastAsia" w:eastAsiaTheme="minorEastAsia" w:cstheme="minorEastAsia"/>
          <w:color w:val="auto"/>
          <w:highlight w:val="none"/>
          <w:lang w:val="en-US" w:eastAsia="zh-CN"/>
        </w:rPr>
        <w:t>回填复垦区</w:t>
      </w:r>
      <w:r>
        <w:rPr>
          <w:rFonts w:hint="eastAsia" w:asciiTheme="minorEastAsia" w:hAnsiTheme="minorEastAsia" w:eastAsiaTheme="minorEastAsia" w:cstheme="minorEastAsia"/>
          <w:color w:val="auto"/>
          <w:highlight w:val="none"/>
        </w:rPr>
        <w:t>声环境现状质量满足《声环境质量标准》（GB3096-2008）中</w:t>
      </w:r>
      <w:r>
        <w:rPr>
          <w:rFonts w:hint="eastAsia" w:asciiTheme="minorEastAsia" w:hAnsiTheme="minorEastAsia" w:eastAsiaTheme="minorEastAsia" w:cstheme="minorEastAsia"/>
          <w:color w:val="auto"/>
          <w:highlight w:val="none"/>
          <w:lang w:val="en-US" w:eastAsia="zh-CN"/>
        </w:rPr>
        <w:t>1</w:t>
      </w:r>
      <w:r>
        <w:rPr>
          <w:rFonts w:hint="eastAsia" w:asciiTheme="minorEastAsia" w:hAnsiTheme="minorEastAsia" w:eastAsiaTheme="minorEastAsia" w:cstheme="minorEastAsia"/>
          <w:color w:val="auto"/>
          <w:highlight w:val="none"/>
        </w:rPr>
        <w:t>类标准，声环境质量较好</w:t>
      </w:r>
      <w:bookmarkEnd w:id="897"/>
      <w:r>
        <w:rPr>
          <w:rFonts w:hint="eastAsia" w:asciiTheme="minorEastAsia" w:hAnsiTheme="minorEastAsia" w:eastAsiaTheme="minorEastAsia" w:cstheme="minorEastAsia"/>
          <w:color w:val="auto"/>
          <w:highlight w:val="none"/>
        </w:rPr>
        <w:t>。</w:t>
      </w:r>
    </w:p>
    <w:p w14:paraId="6ACCD958">
      <w:pPr>
        <w:pStyle w:val="319"/>
        <w:widowControl w:val="0"/>
        <w:snapToGrid w:val="0"/>
        <w:ind w:firstLine="475"/>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（5）土壤环境质量现状</w:t>
      </w:r>
    </w:p>
    <w:p w14:paraId="5A8B9A6E">
      <w:pPr>
        <w:pStyle w:val="319"/>
        <w:widowControl w:val="0"/>
        <w:snapToGrid w:val="0"/>
        <w:ind w:firstLine="475"/>
        <w:jc w:val="both"/>
        <w:rPr>
          <w:rFonts w:hint="eastAsia" w:asciiTheme="minorEastAsia" w:hAnsiTheme="minorEastAsia" w:eastAsiaTheme="minorEastAsia" w:cstheme="minorEastAsia"/>
          <w:color w:val="auto"/>
          <w:highlight w:val="none"/>
        </w:rPr>
      </w:pPr>
      <w:r>
        <w:rPr>
          <w:rFonts w:hint="eastAsia" w:ascii="宋体" w:hAnsi="宋体" w:eastAsia="宋体" w:cs="宋体"/>
          <w:color w:val="auto"/>
          <w:kern w:val="0"/>
          <w:sz w:val="24"/>
          <w:highlight w:val="none"/>
          <w:lang w:val="en-US" w:eastAsia="zh-CN" w:bidi="ar"/>
        </w:rPr>
        <w:t>占地范围内各监测点位各监测因子监测结果均未超过《建设用地土壤污染风险管控标准（试行）》（GB36600-2018）中第二类用地筛选值标准限值</w:t>
      </w:r>
      <w:r>
        <w:rPr>
          <w:rFonts w:hint="eastAsia" w:ascii="宋体" w:hAnsi="宋体" w:eastAsia="宋体" w:cs="宋体"/>
          <w:color w:val="auto"/>
          <w:kern w:val="0"/>
          <w:sz w:val="24"/>
          <w:highlight w:val="none"/>
          <w:lang w:bidi="ar"/>
        </w:rPr>
        <w:t>，</w:t>
      </w:r>
      <w:r>
        <w:rPr>
          <w:rFonts w:hint="eastAsia" w:ascii="宋体" w:hAnsi="宋体" w:eastAsia="宋体" w:cs="宋体"/>
          <w:color w:val="auto"/>
          <w:kern w:val="0"/>
          <w:sz w:val="24"/>
          <w:highlight w:val="none"/>
          <w:lang w:val="en-US" w:eastAsia="zh-CN" w:bidi="ar"/>
        </w:rPr>
        <w:t>占地范围外各监测点位各监测因子监测结果均未超过</w:t>
      </w:r>
      <w:r>
        <w:rPr>
          <w:rFonts w:hint="eastAsia" w:ascii="宋体" w:hAnsi="宋体" w:eastAsia="宋体" w:cs="宋体"/>
          <w:color w:val="auto"/>
          <w:kern w:val="0"/>
          <w:sz w:val="24"/>
          <w:highlight w:val="none"/>
          <w:lang w:bidi="ar"/>
        </w:rPr>
        <w:t>《土壤环境质量 农用地土壤污染风险管控标准（试行）》（GB15618-2018）表1 农用地土壤污染风险筛选值，</w:t>
      </w:r>
      <w:r>
        <w:rPr>
          <w:rFonts w:hint="eastAsia" w:ascii="宋体" w:hAnsi="宋体" w:eastAsia="宋体" w:cs="宋体"/>
          <w:color w:val="auto"/>
          <w:kern w:val="0"/>
          <w:sz w:val="24"/>
          <w:highlight w:val="none"/>
          <w:lang w:val="en-US" w:eastAsia="zh-CN" w:bidi="ar"/>
        </w:rPr>
        <w:t>因此，</w:t>
      </w:r>
      <w:r>
        <w:rPr>
          <w:rFonts w:hint="eastAsia" w:ascii="宋体" w:hAnsi="宋体" w:eastAsia="宋体" w:cs="宋体"/>
          <w:color w:val="auto"/>
          <w:kern w:val="0"/>
          <w:sz w:val="24"/>
          <w:highlight w:val="none"/>
          <w:lang w:bidi="ar"/>
        </w:rPr>
        <w:t>评价区整体及各样点土壤中各监测因子含量基本</w:t>
      </w:r>
      <w:r>
        <w:rPr>
          <w:rFonts w:hint="eastAsia" w:ascii="宋体" w:hAnsi="宋体" w:eastAsia="宋体" w:cs="宋体"/>
          <w:color w:val="auto"/>
          <w:kern w:val="0"/>
          <w:sz w:val="24"/>
          <w:highlight w:val="none"/>
          <w:lang w:eastAsia="zh-CN" w:bidi="ar"/>
        </w:rPr>
        <w:t>属于</w:t>
      </w:r>
      <w:r>
        <w:rPr>
          <w:rFonts w:hint="eastAsia" w:ascii="宋体" w:hAnsi="宋体" w:eastAsia="宋体" w:cs="宋体"/>
          <w:color w:val="auto"/>
          <w:kern w:val="0"/>
          <w:sz w:val="24"/>
          <w:highlight w:val="none"/>
          <w:lang w:bidi="ar"/>
        </w:rPr>
        <w:t>自然本底状态，没有受到人为活动污染</w:t>
      </w:r>
      <w:r>
        <w:rPr>
          <w:rFonts w:hint="eastAsia" w:asciiTheme="minorEastAsia" w:hAnsiTheme="minorEastAsia" w:eastAsiaTheme="minorEastAsia" w:cstheme="minorEastAsia"/>
          <w:color w:val="auto"/>
          <w:highlight w:val="none"/>
        </w:rPr>
        <w:t>。</w:t>
      </w:r>
    </w:p>
    <w:p w14:paraId="691E89EF">
      <w:pPr>
        <w:pStyle w:val="319"/>
        <w:widowControl w:val="0"/>
        <w:snapToGrid w:val="0"/>
        <w:ind w:firstLine="475"/>
        <w:jc w:val="both"/>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（6）生态环境现状</w:t>
      </w:r>
    </w:p>
    <w:p w14:paraId="5EB032D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szCs w:val="24"/>
          <w:highlight w:val="none"/>
        </w:rPr>
      </w:pPr>
      <w:bookmarkStart w:id="898" w:name="_Hlk40356161"/>
      <w:r>
        <w:rPr>
          <w:rFonts w:hint="eastAsia" w:asciiTheme="minorEastAsia" w:hAnsiTheme="minorEastAsia" w:eastAsiaTheme="minorEastAsia" w:cstheme="minorEastAsia"/>
          <w:color w:val="auto"/>
          <w:sz w:val="24"/>
          <w:szCs w:val="24"/>
          <w:highlight w:val="none"/>
        </w:rPr>
        <w:t>根据现场踏勘及查阅资料，项目场地未发现有国家和地方重点保护的植物种类和珍稀物种，无国家公园、自然保护区、自然公园等自然保护地、世界自然遗产、生态保护红线等区域，无重要物种的天然集中分布区、栖息地，迁徙鸟类的重要繁殖地、停歇地、 越冬地以及野生动物迁徙通道等，未发现受影响的重要物种、生态敏感区以及其他需要保护的物种、种群、生物群落及生态空间等生态保护目标。</w:t>
      </w:r>
    </w:p>
    <w:p w14:paraId="3821D3C4">
      <w:pPr>
        <w:pStyle w:val="319"/>
        <w:widowControl w:val="0"/>
        <w:snapToGrid w:val="0"/>
        <w:ind w:firstLine="475"/>
        <w:jc w:val="both"/>
        <w:rPr>
          <w:rFonts w:hint="eastAsia" w:asciiTheme="minorEastAsia" w:hAnsiTheme="minorEastAsia" w:eastAsiaTheme="minorEastAsia" w:cstheme="minorEastAsia"/>
          <w:color w:val="auto"/>
          <w:szCs w:val="24"/>
          <w:highlight w:val="none"/>
          <w:lang w:eastAsia="zh-CN"/>
        </w:rPr>
      </w:pPr>
      <w:r>
        <w:rPr>
          <w:rFonts w:hint="eastAsia" w:asciiTheme="minorEastAsia" w:hAnsiTheme="minorEastAsia" w:eastAsiaTheme="minorEastAsia" w:cstheme="minorEastAsia"/>
          <w:color w:val="auto"/>
          <w:szCs w:val="24"/>
          <w:highlight w:val="none"/>
          <w:lang w:val="en-US" w:eastAsia="zh-CN"/>
        </w:rPr>
        <w:t>土地利用现状：</w:t>
      </w:r>
      <w:r>
        <w:rPr>
          <w:rFonts w:hint="eastAsia" w:asciiTheme="minorEastAsia" w:hAnsiTheme="minorEastAsia" w:eastAsiaTheme="minorEastAsia" w:cstheme="minorEastAsia"/>
          <w:color w:val="auto"/>
          <w:szCs w:val="24"/>
          <w:highlight w:val="none"/>
        </w:rPr>
        <w:t>坑东侧</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南侧、西侧和北侧均</w:t>
      </w:r>
      <w:r>
        <w:rPr>
          <w:rFonts w:hint="eastAsia" w:asciiTheme="minorEastAsia" w:hAnsiTheme="minorEastAsia" w:eastAsiaTheme="minorEastAsia" w:cstheme="minorEastAsia"/>
          <w:color w:val="auto"/>
          <w:szCs w:val="24"/>
          <w:highlight w:val="none"/>
        </w:rPr>
        <w:t>为树林，</w:t>
      </w:r>
      <w:r>
        <w:rPr>
          <w:rFonts w:hint="eastAsia" w:asciiTheme="minorEastAsia" w:hAnsiTheme="minorEastAsia" w:eastAsiaTheme="minorEastAsia" w:cstheme="minorEastAsia"/>
          <w:color w:val="auto"/>
          <w:szCs w:val="24"/>
          <w:highlight w:val="none"/>
          <w:lang w:val="en-US" w:eastAsia="zh-CN"/>
        </w:rPr>
        <w:t>耕地位于</w:t>
      </w:r>
      <w:r>
        <w:rPr>
          <w:rFonts w:hint="eastAsia" w:asciiTheme="minorEastAsia" w:hAnsiTheme="minorEastAsia" w:eastAsiaTheme="minorEastAsia" w:cstheme="minorEastAsia"/>
          <w:color w:val="auto"/>
          <w:szCs w:val="24"/>
          <w:highlight w:val="none"/>
        </w:rPr>
        <w:t>坑</w:t>
      </w:r>
      <w:r>
        <w:rPr>
          <w:rFonts w:hint="eastAsia" w:asciiTheme="minorEastAsia" w:hAnsiTheme="minorEastAsia" w:eastAsiaTheme="minorEastAsia" w:cstheme="minorEastAsia"/>
          <w:color w:val="auto"/>
          <w:szCs w:val="24"/>
          <w:highlight w:val="none"/>
          <w:lang w:val="en-US" w:eastAsia="zh-CN"/>
        </w:rPr>
        <w:t>东侧，距离约为50m，</w:t>
      </w:r>
      <w:r>
        <w:rPr>
          <w:rFonts w:hint="eastAsia" w:asciiTheme="minorEastAsia" w:hAnsiTheme="minorEastAsia" w:eastAsiaTheme="minorEastAsia" w:cstheme="minorEastAsia"/>
          <w:color w:val="auto"/>
          <w:szCs w:val="24"/>
          <w:highlight w:val="none"/>
        </w:rPr>
        <w:t>生态评价范围内主要用地现状为乔木林地</w:t>
      </w:r>
      <w:r>
        <w:rPr>
          <w:rFonts w:hint="eastAsia" w:asciiTheme="minorEastAsia" w:hAnsiTheme="minorEastAsia" w:eastAsiaTheme="minorEastAsia" w:cstheme="minorEastAsia"/>
          <w:color w:val="auto"/>
          <w:szCs w:val="24"/>
          <w:highlight w:val="none"/>
          <w:lang w:val="en-US" w:eastAsia="zh-CN"/>
        </w:rPr>
        <w:t>，其次为</w:t>
      </w:r>
      <w:r>
        <w:rPr>
          <w:rFonts w:hint="eastAsia" w:asciiTheme="minorEastAsia" w:hAnsiTheme="minorEastAsia" w:eastAsiaTheme="minorEastAsia" w:cstheme="minorEastAsia"/>
          <w:color w:val="auto"/>
          <w:szCs w:val="24"/>
          <w:highlight w:val="none"/>
        </w:rPr>
        <w:t>耕地</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rPr>
        <w:t>植被：</w:t>
      </w:r>
      <w:r>
        <w:rPr>
          <w:rFonts w:hint="eastAsia" w:asciiTheme="minorEastAsia" w:hAnsiTheme="minorEastAsia" w:eastAsiaTheme="minorEastAsia" w:cstheme="minorEastAsia"/>
          <w:color w:val="auto"/>
          <w:szCs w:val="24"/>
          <w:highlight w:val="none"/>
        </w:rPr>
        <w:t>回填复垦区内植被主要为草地：狗尾巴草、猪尾巴草、星星草等杂草。回填复垦区外植被：</w:t>
      </w:r>
      <w:r>
        <w:rPr>
          <w:rFonts w:hint="eastAsia" w:asciiTheme="minorEastAsia" w:hAnsiTheme="minorEastAsia" w:eastAsiaTheme="minorEastAsia" w:cstheme="minorEastAsia"/>
          <w:color w:val="auto"/>
          <w:sz w:val="24"/>
          <w:szCs w:val="24"/>
          <w:highlight w:val="none"/>
        </w:rPr>
        <w:t>主要为</w:t>
      </w:r>
      <w:r>
        <w:rPr>
          <w:rFonts w:hint="eastAsia" w:asciiTheme="minorEastAsia" w:hAnsiTheme="minorEastAsia" w:eastAsiaTheme="minorEastAsia" w:cstheme="minorEastAsia"/>
          <w:color w:val="auto"/>
          <w:sz w:val="24"/>
          <w:szCs w:val="24"/>
          <w:highlight w:val="none"/>
          <w:lang w:val="en-US" w:eastAsia="zh-CN"/>
        </w:rPr>
        <w:t>栽培植被（</w:t>
      </w:r>
      <w:r>
        <w:rPr>
          <w:rFonts w:hint="eastAsia" w:asciiTheme="minorEastAsia" w:hAnsiTheme="minorEastAsia" w:eastAsiaTheme="minorEastAsia" w:cstheme="minorEastAsia"/>
          <w:color w:val="auto"/>
          <w:sz w:val="24"/>
          <w:szCs w:val="24"/>
          <w:highlight w:val="none"/>
        </w:rPr>
        <w:t>玉米、大豆）和</w:t>
      </w:r>
      <w:r>
        <w:rPr>
          <w:rFonts w:hint="eastAsia" w:asciiTheme="minorEastAsia" w:hAnsiTheme="minorEastAsia" w:eastAsiaTheme="minorEastAsia" w:cstheme="minorEastAsia"/>
          <w:color w:val="auto"/>
          <w:sz w:val="24"/>
          <w:szCs w:val="24"/>
          <w:highlight w:val="none"/>
          <w:lang w:val="en-US" w:eastAsia="zh-CN"/>
        </w:rPr>
        <w:t>针叶林、阔叶林（</w:t>
      </w:r>
      <w:r>
        <w:rPr>
          <w:rFonts w:hint="eastAsia" w:asciiTheme="minorEastAsia" w:hAnsiTheme="minorEastAsia" w:eastAsiaTheme="minorEastAsia" w:cstheme="minorEastAsia"/>
          <w:color w:val="auto"/>
          <w:sz w:val="24"/>
          <w:szCs w:val="24"/>
          <w:highlight w:val="none"/>
        </w:rPr>
        <w:t>人工种植的杨树、榆树</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樟子松</w:t>
      </w:r>
      <w:r>
        <w:rPr>
          <w:rFonts w:hint="eastAsia" w:asciiTheme="minorEastAsia" w:hAnsiTheme="minorEastAsia" w:eastAsiaTheme="minorEastAsia" w:cstheme="minorEastAsia"/>
          <w:color w:val="auto"/>
          <w:sz w:val="24"/>
          <w:szCs w:val="24"/>
          <w:highlight w:val="none"/>
        </w:rPr>
        <w:t>等植被</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Cs w:val="24"/>
          <w:highlight w:val="none"/>
        </w:rPr>
        <w:t>，自然植被较少，植物种类较为单一</w:t>
      </w:r>
      <w:r>
        <w:rPr>
          <w:rFonts w:hint="eastAsia" w:asciiTheme="minorEastAsia" w:hAnsiTheme="minorEastAsia" w:eastAsiaTheme="minorEastAsia" w:cstheme="minorEastAsia"/>
          <w:color w:val="auto"/>
          <w:szCs w:val="24"/>
          <w:highlight w:val="none"/>
          <w:lang w:eastAsia="zh-CN"/>
        </w:rPr>
        <w:t>。</w:t>
      </w:r>
      <w:r>
        <w:rPr>
          <w:rFonts w:hint="eastAsia" w:asciiTheme="minorEastAsia" w:hAnsiTheme="minorEastAsia" w:eastAsiaTheme="minorEastAsia" w:cstheme="minorEastAsia"/>
          <w:color w:val="auto"/>
          <w:szCs w:val="24"/>
          <w:highlight w:val="none"/>
          <w:lang w:val="en-US" w:eastAsia="zh-CN" w:bidi="ar"/>
        </w:rPr>
        <w:t>尚志市侵蚀类型属于水力侵蚀，</w:t>
      </w:r>
      <w:r>
        <w:rPr>
          <w:color w:val="auto"/>
          <w:highlight w:val="none"/>
        </w:rPr>
        <w:t>自然因素仍是导致水土流失发生发展的基础和先决条件，项目区降雨量80%集中在6～8月是引起该区产生水力侵蚀的主要原因。而人为因素则对水土流失起着推动和加速作用。</w:t>
      </w:r>
      <w:r>
        <w:rPr>
          <w:rFonts w:hint="eastAsia" w:asciiTheme="minorEastAsia" w:hAnsiTheme="minorEastAsia" w:eastAsiaTheme="minorEastAsia" w:cstheme="minorEastAsia"/>
          <w:color w:val="auto"/>
          <w:sz w:val="24"/>
          <w:szCs w:val="24"/>
          <w:highlight w:val="none"/>
        </w:rPr>
        <w:t>目前</w:t>
      </w:r>
      <w:r>
        <w:rPr>
          <w:rFonts w:hint="eastAsia" w:asciiTheme="minorEastAsia" w:hAnsiTheme="minorEastAsia" w:eastAsiaTheme="minorEastAsia" w:cstheme="minorEastAsia"/>
          <w:color w:val="auto"/>
          <w:szCs w:val="24"/>
          <w:highlight w:val="none"/>
        </w:rPr>
        <w:t>采砂坑</w:t>
      </w:r>
      <w:r>
        <w:rPr>
          <w:rFonts w:hint="eastAsia" w:asciiTheme="minorEastAsia" w:hAnsiTheme="minorEastAsia" w:eastAsiaTheme="minorEastAsia" w:cstheme="minorEastAsia"/>
          <w:color w:val="auto"/>
          <w:sz w:val="24"/>
          <w:szCs w:val="24"/>
          <w:highlight w:val="none"/>
        </w:rPr>
        <w:t>主要为杂草，</w:t>
      </w:r>
      <w:r>
        <w:rPr>
          <w:rFonts w:hint="eastAsia" w:asciiTheme="minorEastAsia" w:hAnsiTheme="minorEastAsia" w:eastAsiaTheme="minorEastAsia" w:cstheme="minorEastAsia"/>
          <w:color w:val="auto"/>
          <w:sz w:val="24"/>
          <w:szCs w:val="24"/>
          <w:highlight w:val="none"/>
          <w:lang w:val="en-US" w:eastAsia="zh-CN"/>
        </w:rPr>
        <w:t>周边为森林系统和农田系统，水力侵蚀强度为轻度。</w:t>
      </w:r>
    </w:p>
    <w:bookmarkEnd w:id="898"/>
    <w:p w14:paraId="202C6DA2">
      <w:pPr>
        <w:pStyle w:val="7"/>
        <w:widowControl w:val="0"/>
        <w:numPr>
          <w:ilvl w:val="2"/>
          <w:numId w:val="0"/>
        </w:numPr>
        <w:snapToGrid w:val="0"/>
        <w:spacing w:before="0" w:after="0" w:line="360" w:lineRule="auto"/>
        <w:ind w:leftChars="0"/>
        <w:jc w:val="both"/>
        <w:rPr>
          <w:rFonts w:hint="eastAsia" w:asciiTheme="minorEastAsia" w:hAnsiTheme="minorEastAsia" w:eastAsiaTheme="minorEastAsia" w:cstheme="minorEastAsia"/>
          <w:color w:val="auto"/>
          <w:highlight w:val="none"/>
        </w:rPr>
      </w:pPr>
      <w:bookmarkStart w:id="899" w:name="_Toc12558"/>
      <w:r>
        <w:rPr>
          <w:rFonts w:hint="eastAsia" w:asciiTheme="minorEastAsia" w:hAnsiTheme="minorEastAsia" w:eastAsiaTheme="minorEastAsia" w:cstheme="minorEastAsia"/>
          <w:color w:val="auto"/>
          <w:sz w:val="30"/>
          <w:szCs w:val="30"/>
          <w:highlight w:val="none"/>
        </w:rPr>
        <w:t>9.3污染物排放</w:t>
      </w:r>
      <w:bookmarkEnd w:id="899"/>
    </w:p>
    <w:p w14:paraId="770565E9">
      <w:pPr>
        <w:pStyle w:val="7"/>
        <w:pageBreakBefore w:val="0"/>
        <w:widowControl w:val="0"/>
        <w:numPr>
          <w:ilvl w:val="2"/>
          <w:numId w:val="0"/>
        </w:numPr>
        <w:kinsoku/>
        <w:wordWrap/>
        <w:overflowPunct/>
        <w:topLinePunct w:val="0"/>
        <w:autoSpaceDE/>
        <w:autoSpaceDN/>
        <w:bidi w:val="0"/>
        <w:adjustRightInd/>
        <w:snapToGrid/>
        <w:textAlignment w:val="auto"/>
        <w:rPr>
          <w:rFonts w:hint="eastAsia" w:ascii="Times New Roman" w:eastAsia="宋体"/>
          <w:color w:val="auto"/>
          <w:highlight w:val="none"/>
          <w:lang w:val="en-US" w:eastAsia="zh-CN"/>
        </w:rPr>
      </w:pPr>
      <w:r>
        <w:rPr>
          <w:rFonts w:hint="eastAsia" w:asciiTheme="minorEastAsia" w:hAnsiTheme="minorEastAsia" w:eastAsiaTheme="minorEastAsia" w:cstheme="minorEastAsia"/>
          <w:color w:val="auto"/>
          <w:sz w:val="30"/>
          <w:szCs w:val="30"/>
          <w:highlight w:val="none"/>
        </w:rPr>
        <w:t>9</w:t>
      </w:r>
      <w:bookmarkStart w:id="900" w:name="_Toc9573"/>
      <w:bookmarkStart w:id="901" w:name="_Toc9684"/>
      <w:bookmarkStart w:id="902" w:name="_Toc21183"/>
      <w:bookmarkStart w:id="903" w:name="_Toc16122"/>
      <w:bookmarkStart w:id="904" w:name="_Toc24311"/>
      <w:bookmarkStart w:id="905" w:name="_Toc649"/>
      <w:bookmarkStart w:id="906" w:name="_Toc49175098"/>
      <w:bookmarkStart w:id="907" w:name="_Toc49174923"/>
      <w:bookmarkStart w:id="908" w:name="_Toc16763"/>
      <w:r>
        <w:rPr>
          <w:color w:val="auto"/>
          <w:highlight w:val="none"/>
        </w:rPr>
        <w:t>9.</w:t>
      </w:r>
      <w:r>
        <w:rPr>
          <w:rFonts w:hint="eastAsia"/>
          <w:color w:val="auto"/>
          <w:highlight w:val="none"/>
          <w:lang w:val="en-US" w:eastAsia="zh-CN"/>
        </w:rPr>
        <w:t>5</w:t>
      </w:r>
      <w:r>
        <w:rPr>
          <w:color w:val="auto"/>
          <w:highlight w:val="none"/>
        </w:rPr>
        <w:t>.1</w:t>
      </w:r>
      <w:bookmarkEnd w:id="900"/>
      <w:bookmarkEnd w:id="901"/>
      <w:bookmarkEnd w:id="902"/>
      <w:bookmarkEnd w:id="903"/>
      <w:bookmarkEnd w:id="904"/>
      <w:bookmarkEnd w:id="905"/>
      <w:bookmarkEnd w:id="906"/>
      <w:bookmarkEnd w:id="907"/>
      <w:bookmarkEnd w:id="908"/>
      <w:bookmarkStart w:id="909" w:name="_Toc7450"/>
      <w:bookmarkStart w:id="910" w:name="_Toc4289"/>
      <w:bookmarkStart w:id="911" w:name="_Toc2487"/>
      <w:r>
        <w:rPr>
          <w:rFonts w:hint="eastAsia"/>
          <w:color w:val="auto"/>
          <w:highlight w:val="none"/>
          <w:lang w:val="en-US" w:eastAsia="zh-CN"/>
        </w:rPr>
        <w:t>施工期</w:t>
      </w:r>
    </w:p>
    <w:p w14:paraId="1B41079C">
      <w:pPr>
        <w:pStyle w:val="217"/>
        <w:pageBreakBefore w:val="0"/>
        <w:widowControl w:val="0"/>
        <w:kinsoku/>
        <w:wordWrap/>
        <w:overflowPunct/>
        <w:topLinePunct w:val="0"/>
        <w:autoSpaceDE/>
        <w:autoSpaceDN/>
        <w:bidi w:val="0"/>
        <w:adjustRightInd/>
        <w:snapToGrid/>
        <w:ind w:firstLine="480"/>
        <w:textAlignment w:val="auto"/>
        <w:rPr>
          <w:rFonts w:cs="Times New Roman"/>
          <w:color w:val="auto"/>
          <w:highlight w:val="none"/>
        </w:rPr>
      </w:pPr>
      <w:r>
        <w:rPr>
          <w:rFonts w:hint="eastAsia" w:cs="Times New Roman"/>
          <w:color w:val="auto"/>
          <w:highlight w:val="none"/>
          <w:lang w:eastAsia="zh-CN"/>
        </w:rPr>
        <w:t>（</w:t>
      </w:r>
      <w:r>
        <w:rPr>
          <w:rFonts w:hint="eastAsia" w:cs="Times New Roman"/>
          <w:color w:val="auto"/>
          <w:highlight w:val="none"/>
          <w:lang w:val="en-US" w:eastAsia="zh-CN"/>
        </w:rPr>
        <w:t>1</w:t>
      </w:r>
      <w:r>
        <w:rPr>
          <w:rFonts w:hint="eastAsia" w:cs="Times New Roman"/>
          <w:color w:val="auto"/>
          <w:highlight w:val="none"/>
          <w:lang w:eastAsia="zh-CN"/>
        </w:rPr>
        <w:t>）</w:t>
      </w:r>
      <w:r>
        <w:rPr>
          <w:rFonts w:cs="Times New Roman"/>
          <w:color w:val="auto"/>
          <w:highlight w:val="none"/>
        </w:rPr>
        <w:t>大气</w:t>
      </w:r>
    </w:p>
    <w:p w14:paraId="1D72CFD3">
      <w:pPr>
        <w:pStyle w:val="217"/>
        <w:pageBreakBefore w:val="0"/>
        <w:widowControl w:val="0"/>
        <w:kinsoku/>
        <w:wordWrap/>
        <w:overflowPunct/>
        <w:topLinePunct w:val="0"/>
        <w:autoSpaceDE/>
        <w:autoSpaceDN/>
        <w:bidi w:val="0"/>
        <w:adjustRightInd/>
        <w:snapToGrid/>
        <w:ind w:firstLine="480"/>
        <w:textAlignment w:val="auto"/>
        <w:rPr>
          <w:rFonts w:cs="Times New Roman"/>
          <w:color w:val="auto"/>
          <w:highlight w:val="none"/>
        </w:rPr>
      </w:pPr>
      <w:bookmarkStart w:id="912" w:name="_Toc49175099"/>
      <w:bookmarkStart w:id="913" w:name="_Toc49174924"/>
      <w:bookmarkStart w:id="914" w:name="_Toc13208"/>
      <w:bookmarkStart w:id="915" w:name="_Toc7243"/>
      <w:bookmarkStart w:id="916" w:name="_Toc11661"/>
      <w:bookmarkStart w:id="917" w:name="_Toc10730"/>
      <w:r>
        <w:rPr>
          <w:rFonts w:cs="Times New Roman"/>
          <w:color w:val="auto"/>
          <w:highlight w:val="none"/>
        </w:rPr>
        <w:t>本项目施工期产生废气为施工扬尘、燃油废气。施工场地、道路采取洒水措施抑尘，运输车</w:t>
      </w:r>
      <w:r>
        <w:rPr>
          <w:rFonts w:hint="eastAsia" w:cs="Times New Roman"/>
          <w:color w:val="auto"/>
          <w:highlight w:val="none"/>
          <w:lang w:val="en-US" w:eastAsia="zh-CN"/>
        </w:rPr>
        <w:t>辆</w:t>
      </w:r>
      <w:r>
        <w:rPr>
          <w:rFonts w:cs="Times New Roman"/>
          <w:color w:val="auto"/>
          <w:highlight w:val="none"/>
        </w:rPr>
        <w:t>加盖篷布；定期对车辆设备进行维护保养，禁止以柴油为燃料的施工机械超负荷工作，减小燃油废气影响。</w:t>
      </w:r>
    </w:p>
    <w:bookmarkEnd w:id="909"/>
    <w:bookmarkEnd w:id="910"/>
    <w:bookmarkEnd w:id="911"/>
    <w:bookmarkEnd w:id="912"/>
    <w:bookmarkEnd w:id="913"/>
    <w:bookmarkEnd w:id="914"/>
    <w:bookmarkEnd w:id="915"/>
    <w:bookmarkEnd w:id="916"/>
    <w:bookmarkEnd w:id="917"/>
    <w:p w14:paraId="5429A2A8">
      <w:pPr>
        <w:bidi w:val="0"/>
        <w:rPr>
          <w:color w:val="auto"/>
          <w:highlight w:val="none"/>
        </w:rPr>
      </w:pPr>
      <w:bookmarkStart w:id="918" w:name="_Toc49175100"/>
      <w:bookmarkStart w:id="919" w:name="_Toc16873"/>
      <w:bookmarkStart w:id="920" w:name="_Toc49174925"/>
      <w:bookmarkStart w:id="921" w:name="_Toc19307"/>
      <w:bookmarkStart w:id="922" w:name="_Toc9928"/>
      <w:r>
        <w:rPr>
          <w:rFonts w:hint="eastAsia"/>
          <w:color w:val="auto"/>
          <w:highlight w:val="none"/>
          <w:lang w:val="en-US" w:eastAsia="zh-CN"/>
        </w:rPr>
        <w:t>（2）废水</w:t>
      </w:r>
    </w:p>
    <w:p w14:paraId="5BB543CD">
      <w:pPr>
        <w:pStyle w:val="217"/>
        <w:ind w:firstLine="480"/>
        <w:rPr>
          <w:rFonts w:cs="Times New Roman"/>
          <w:color w:val="auto"/>
          <w:highlight w:val="none"/>
        </w:rPr>
      </w:pPr>
      <w:r>
        <w:rPr>
          <w:rFonts w:cs="Times New Roman"/>
          <w:color w:val="auto"/>
          <w:highlight w:val="none"/>
        </w:rPr>
        <w:t>本项目施工期废水</w:t>
      </w:r>
      <w:r>
        <w:rPr>
          <w:rFonts w:hint="eastAsia" w:cs="Times New Roman"/>
          <w:color w:val="auto"/>
          <w:highlight w:val="none"/>
          <w:lang w:val="en-US" w:eastAsia="zh-CN"/>
        </w:rPr>
        <w:t>主要</w:t>
      </w:r>
      <w:r>
        <w:rPr>
          <w:rFonts w:cs="Times New Roman"/>
          <w:color w:val="auto"/>
          <w:highlight w:val="none"/>
        </w:rPr>
        <w:t>为生活污水。</w:t>
      </w:r>
      <w:r>
        <w:rPr>
          <w:rFonts w:hint="eastAsia" w:cs="Times New Roman"/>
          <w:color w:val="auto"/>
          <w:highlight w:val="none"/>
        </w:rPr>
        <w:t>生活污水</w:t>
      </w:r>
      <w:r>
        <w:rPr>
          <w:rFonts w:hint="eastAsia" w:ascii="Times New Roman" w:hAnsi="Times New Roman" w:eastAsia="宋体" w:cs="Times New Roman"/>
          <w:snapToGrid/>
          <w:color w:val="auto"/>
          <w:kern w:val="2"/>
          <w:sz w:val="24"/>
          <w:szCs w:val="22"/>
          <w:highlight w:val="none"/>
          <w:lang w:val="en-US" w:eastAsia="zh-CN" w:bidi="ar-SA"/>
        </w:rPr>
        <w:t>民房防渗旱厕，定期外运堆肥</w:t>
      </w:r>
      <w:r>
        <w:rPr>
          <w:rFonts w:hint="eastAsia" w:cs="Times New Roman"/>
          <w:color w:val="auto"/>
          <w:highlight w:val="none"/>
        </w:rPr>
        <w:t>。</w:t>
      </w:r>
    </w:p>
    <w:p w14:paraId="4307DDD9">
      <w:pPr>
        <w:pStyle w:val="217"/>
        <w:ind w:firstLine="480"/>
        <w:rPr>
          <w:rFonts w:cs="Times New Roman"/>
          <w:color w:val="auto"/>
          <w:highlight w:val="none"/>
        </w:rPr>
      </w:pPr>
      <w:r>
        <w:rPr>
          <w:rFonts w:hint="eastAsia" w:cs="Times New Roman"/>
          <w:color w:val="auto"/>
          <w:highlight w:val="none"/>
          <w:lang w:eastAsia="zh-CN"/>
        </w:rPr>
        <w:t>（</w:t>
      </w:r>
      <w:r>
        <w:rPr>
          <w:rFonts w:hint="eastAsia" w:cs="Times New Roman"/>
          <w:color w:val="auto"/>
          <w:highlight w:val="none"/>
          <w:lang w:val="en-US" w:eastAsia="zh-CN"/>
        </w:rPr>
        <w:t>3</w:t>
      </w:r>
      <w:r>
        <w:rPr>
          <w:rFonts w:hint="eastAsia" w:cs="Times New Roman"/>
          <w:color w:val="auto"/>
          <w:highlight w:val="none"/>
          <w:lang w:eastAsia="zh-CN"/>
        </w:rPr>
        <w:t>）</w:t>
      </w:r>
      <w:r>
        <w:rPr>
          <w:rFonts w:cs="Times New Roman"/>
          <w:color w:val="auto"/>
          <w:highlight w:val="none"/>
        </w:rPr>
        <w:t>噪声</w:t>
      </w:r>
    </w:p>
    <w:p w14:paraId="1FCE5910">
      <w:pPr>
        <w:pStyle w:val="217"/>
        <w:ind w:firstLine="480"/>
        <w:rPr>
          <w:rFonts w:cs="Times New Roman"/>
          <w:color w:val="auto"/>
          <w:highlight w:val="none"/>
        </w:rPr>
      </w:pPr>
      <w:r>
        <w:rPr>
          <w:rFonts w:cs="Times New Roman"/>
          <w:color w:val="auto"/>
          <w:highlight w:val="none"/>
        </w:rPr>
        <w:t>本项目施工期产生施工机械噪声、运输噪声。合理安排施工时间</w:t>
      </w:r>
      <w:r>
        <w:rPr>
          <w:rFonts w:hint="eastAsia" w:cs="Times New Roman"/>
          <w:color w:val="auto"/>
          <w:highlight w:val="none"/>
          <w:lang w:eastAsia="zh-CN"/>
        </w:rPr>
        <w:t>，</w:t>
      </w:r>
      <w:r>
        <w:rPr>
          <w:rFonts w:cs="Times New Roman"/>
          <w:color w:val="auto"/>
          <w:highlight w:val="none"/>
        </w:rPr>
        <w:t>严禁高噪声设备施工，尽量避免高噪声设备同时运行。优先选用低噪声设备，减小施工机械噪声影响。加强运输车辆管理，严禁超速超载，减小运输噪声影响。</w:t>
      </w:r>
    </w:p>
    <w:p w14:paraId="4600EAD1">
      <w:pPr>
        <w:pStyle w:val="217"/>
        <w:ind w:firstLine="480"/>
        <w:rPr>
          <w:rFonts w:cs="Times New Roman"/>
          <w:color w:val="auto"/>
          <w:highlight w:val="none"/>
        </w:rPr>
      </w:pPr>
      <w:r>
        <w:rPr>
          <w:rFonts w:hint="eastAsia" w:cs="Times New Roman"/>
          <w:color w:val="auto"/>
          <w:highlight w:val="none"/>
          <w:lang w:eastAsia="zh-CN"/>
        </w:rPr>
        <w:t>（</w:t>
      </w:r>
      <w:r>
        <w:rPr>
          <w:rFonts w:hint="eastAsia" w:cs="Times New Roman"/>
          <w:color w:val="auto"/>
          <w:highlight w:val="none"/>
          <w:lang w:val="en-US" w:eastAsia="zh-CN"/>
        </w:rPr>
        <w:t>4</w:t>
      </w:r>
      <w:r>
        <w:rPr>
          <w:rFonts w:hint="eastAsia" w:cs="Times New Roman"/>
          <w:color w:val="auto"/>
          <w:highlight w:val="none"/>
          <w:lang w:eastAsia="zh-CN"/>
        </w:rPr>
        <w:t>）</w:t>
      </w:r>
      <w:r>
        <w:rPr>
          <w:rFonts w:cs="Times New Roman"/>
          <w:color w:val="auto"/>
          <w:highlight w:val="none"/>
        </w:rPr>
        <w:t>固废</w:t>
      </w:r>
    </w:p>
    <w:p w14:paraId="6A391E3C">
      <w:pPr>
        <w:pStyle w:val="217"/>
        <w:ind w:firstLine="480"/>
        <w:rPr>
          <w:rFonts w:cs="Times New Roman"/>
          <w:color w:val="auto"/>
          <w:highlight w:val="none"/>
        </w:rPr>
      </w:pPr>
      <w:r>
        <w:rPr>
          <w:rFonts w:cs="Times New Roman"/>
          <w:color w:val="auto"/>
          <w:highlight w:val="none"/>
        </w:rPr>
        <w:t>本项目施工期产生固废为生活垃圾</w:t>
      </w:r>
      <w:r>
        <w:rPr>
          <w:rFonts w:hint="eastAsia" w:cs="Times New Roman"/>
          <w:color w:val="auto"/>
          <w:highlight w:val="none"/>
          <w:lang w:eastAsia="zh-CN"/>
        </w:rPr>
        <w:t>。</w:t>
      </w:r>
      <w:r>
        <w:rPr>
          <w:rFonts w:hint="eastAsia" w:cs="Times New Roman"/>
          <w:color w:val="auto"/>
          <w:highlight w:val="none"/>
        </w:rPr>
        <w:t>生活垃圾集中收集后，定期由市政环卫部门处理</w:t>
      </w:r>
      <w:r>
        <w:rPr>
          <w:rFonts w:cs="Times New Roman"/>
          <w:color w:val="auto"/>
          <w:highlight w:val="none"/>
        </w:rPr>
        <w:t>。</w:t>
      </w:r>
    </w:p>
    <w:p w14:paraId="50538E87">
      <w:pPr>
        <w:pStyle w:val="217"/>
        <w:ind w:firstLine="480"/>
        <w:rPr>
          <w:rFonts w:cs="Times New Roman"/>
          <w:color w:val="auto"/>
          <w:highlight w:val="none"/>
        </w:rPr>
      </w:pPr>
      <w:r>
        <w:rPr>
          <w:rFonts w:hint="eastAsia" w:cs="Times New Roman"/>
          <w:color w:val="auto"/>
          <w:highlight w:val="none"/>
          <w:lang w:eastAsia="zh-CN"/>
        </w:rPr>
        <w:t>（</w:t>
      </w:r>
      <w:r>
        <w:rPr>
          <w:rFonts w:hint="eastAsia" w:cs="Times New Roman"/>
          <w:color w:val="auto"/>
          <w:highlight w:val="none"/>
          <w:lang w:val="en-US" w:eastAsia="zh-CN"/>
        </w:rPr>
        <w:t>5</w:t>
      </w:r>
      <w:r>
        <w:rPr>
          <w:rFonts w:hint="eastAsia" w:cs="Times New Roman"/>
          <w:color w:val="auto"/>
          <w:highlight w:val="none"/>
          <w:lang w:eastAsia="zh-CN"/>
        </w:rPr>
        <w:t>）</w:t>
      </w:r>
      <w:r>
        <w:rPr>
          <w:rFonts w:cs="Times New Roman"/>
          <w:color w:val="auto"/>
          <w:highlight w:val="none"/>
        </w:rPr>
        <w:t>生态</w:t>
      </w:r>
    </w:p>
    <w:p w14:paraId="4A4DFFBF">
      <w:pPr>
        <w:pStyle w:val="217"/>
        <w:ind w:firstLine="480"/>
        <w:rPr>
          <w:rFonts w:cs="Times New Roman"/>
          <w:color w:val="auto"/>
          <w:highlight w:val="none"/>
        </w:rPr>
      </w:pPr>
      <w:r>
        <w:rPr>
          <w:rFonts w:cs="Times New Roman"/>
          <w:color w:val="auto"/>
          <w:highlight w:val="none"/>
        </w:rPr>
        <w:t>本项目施工期会对自然景观、水土流失、土地利用功能等产生影响。严格控制施工</w:t>
      </w:r>
      <w:r>
        <w:rPr>
          <w:rFonts w:hint="eastAsia" w:cs="Times New Roman"/>
          <w:color w:val="auto"/>
          <w:highlight w:val="none"/>
          <w:lang w:val="en-US" w:eastAsia="zh-CN"/>
        </w:rPr>
        <w:t>作业</w:t>
      </w:r>
      <w:r>
        <w:rPr>
          <w:rFonts w:cs="Times New Roman"/>
          <w:color w:val="auto"/>
          <w:highlight w:val="none"/>
        </w:rPr>
        <w:t>范围，</w:t>
      </w:r>
      <w:r>
        <w:rPr>
          <w:rFonts w:hint="default" w:ascii="Times New Roman" w:hAnsi="Times New Roman" w:eastAsia="宋体" w:cs="Times New Roman"/>
          <w:color w:val="auto"/>
          <w:szCs w:val="24"/>
          <w:highlight w:val="none"/>
        </w:rPr>
        <w:t>划定回填作业区、</w:t>
      </w:r>
      <w:r>
        <w:rPr>
          <w:rFonts w:hint="eastAsia" w:ascii="Times New Roman" w:hAnsi="Times New Roman" w:eastAsia="宋体" w:cs="Times New Roman"/>
          <w:color w:val="auto"/>
          <w:szCs w:val="24"/>
          <w:highlight w:val="none"/>
          <w:lang w:eastAsia="zh-CN"/>
        </w:rPr>
        <w:t>拦挡埂</w:t>
      </w:r>
      <w:r>
        <w:rPr>
          <w:rFonts w:hint="default" w:ascii="Times New Roman" w:hAnsi="Times New Roman" w:eastAsia="宋体" w:cs="Times New Roman"/>
          <w:color w:val="auto"/>
          <w:szCs w:val="24"/>
          <w:highlight w:val="none"/>
        </w:rPr>
        <w:t>等</w:t>
      </w:r>
      <w:r>
        <w:rPr>
          <w:rFonts w:hint="eastAsia" w:ascii="Times New Roman" w:hAnsi="Times New Roman" w:eastAsia="宋体" w:cs="Times New Roman"/>
          <w:color w:val="auto"/>
          <w:szCs w:val="24"/>
          <w:highlight w:val="none"/>
          <w:lang w:eastAsia="zh-CN"/>
        </w:rPr>
        <w:t>。</w:t>
      </w:r>
      <w:r>
        <w:rPr>
          <w:rFonts w:cs="Times New Roman"/>
          <w:color w:val="auto"/>
          <w:highlight w:val="none"/>
        </w:rPr>
        <w:t>加强对施工人员的教育</w:t>
      </w:r>
      <w:r>
        <w:rPr>
          <w:rFonts w:hint="eastAsia" w:cs="Times New Roman"/>
          <w:color w:val="auto"/>
          <w:highlight w:val="none"/>
          <w:lang w:eastAsia="zh-CN"/>
        </w:rPr>
        <w:t>，</w:t>
      </w:r>
      <w:r>
        <w:rPr>
          <w:rFonts w:cs="Times New Roman"/>
          <w:color w:val="auto"/>
          <w:highlight w:val="none"/>
        </w:rPr>
        <w:t>严禁捕杀野生动物</w:t>
      </w:r>
      <w:r>
        <w:rPr>
          <w:rFonts w:hint="eastAsia" w:cs="Times New Roman"/>
          <w:color w:val="auto"/>
          <w:highlight w:val="none"/>
          <w:lang w:eastAsia="zh-CN"/>
        </w:rPr>
        <w:t>。</w:t>
      </w:r>
      <w:r>
        <w:rPr>
          <w:rFonts w:cs="Times New Roman"/>
          <w:color w:val="auto"/>
          <w:highlight w:val="none"/>
        </w:rPr>
        <w:t>土方开挖后及时回填，减少水土流失</w:t>
      </w:r>
      <w:r>
        <w:rPr>
          <w:rFonts w:hint="eastAsia" w:cs="Times New Roman"/>
          <w:color w:val="auto"/>
          <w:highlight w:val="none"/>
          <w:lang w:eastAsia="zh-CN"/>
        </w:rPr>
        <w:t>，</w:t>
      </w:r>
      <w:r>
        <w:rPr>
          <w:rFonts w:hint="default" w:ascii="Times New Roman" w:hAnsi="Times New Roman" w:eastAsia="宋体" w:cs="Times New Roman"/>
          <w:color w:val="auto"/>
          <w:szCs w:val="24"/>
          <w:highlight w:val="none"/>
        </w:rPr>
        <w:t>减</w:t>
      </w:r>
      <w:r>
        <w:rPr>
          <w:rFonts w:hint="eastAsia" w:ascii="Times New Roman" w:hAnsi="Times New Roman" w:eastAsia="宋体" w:cs="Times New Roman"/>
          <w:color w:val="auto"/>
          <w:szCs w:val="24"/>
          <w:highlight w:val="none"/>
          <w:lang w:val="en-US" w:eastAsia="zh-CN"/>
        </w:rPr>
        <w:t>少</w:t>
      </w:r>
      <w:r>
        <w:rPr>
          <w:rFonts w:hint="default" w:ascii="Times New Roman" w:hAnsi="Times New Roman" w:eastAsia="宋体" w:cs="Times New Roman"/>
          <w:color w:val="auto"/>
          <w:szCs w:val="24"/>
          <w:highlight w:val="none"/>
        </w:rPr>
        <w:t>对地表的破坏</w:t>
      </w:r>
      <w:r>
        <w:rPr>
          <w:rFonts w:cs="Times New Roman"/>
          <w:color w:val="auto"/>
          <w:highlight w:val="none"/>
        </w:rPr>
        <w:t>。</w:t>
      </w:r>
    </w:p>
    <w:p w14:paraId="376332E5">
      <w:pPr>
        <w:pStyle w:val="7"/>
        <w:keepNext w:val="0"/>
        <w:numPr>
          <w:ilvl w:val="2"/>
          <w:numId w:val="0"/>
        </w:numPr>
        <w:rPr>
          <w:rFonts w:hint="default" w:eastAsia="宋体"/>
          <w:color w:val="auto"/>
          <w:highlight w:val="none"/>
          <w:lang w:val="en-US" w:eastAsia="zh-CN"/>
        </w:rPr>
      </w:pPr>
      <w:r>
        <w:rPr>
          <w:rFonts w:hint="eastAsia"/>
          <w:color w:val="auto"/>
          <w:highlight w:val="none"/>
          <w:lang w:val="en-US" w:eastAsia="zh-CN"/>
        </w:rPr>
        <w:t>9.5.2回填期</w:t>
      </w:r>
    </w:p>
    <w:p w14:paraId="7DEE7ACA">
      <w:pPr>
        <w:bidi w:val="0"/>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color w:val="auto"/>
          <w:highlight w:val="none"/>
        </w:rPr>
        <w:t>废气</w:t>
      </w:r>
    </w:p>
    <w:p w14:paraId="0CE45726">
      <w:pPr>
        <w:pStyle w:val="217"/>
        <w:ind w:firstLine="480"/>
        <w:rPr>
          <w:color w:val="auto"/>
          <w:highlight w:val="none"/>
        </w:rPr>
      </w:pPr>
      <w:r>
        <w:rPr>
          <w:color w:val="auto"/>
          <w:highlight w:val="none"/>
        </w:rPr>
        <w:t>运输车辆采取加盖篷布、密封仓等措施，运输道路及时洒水降尘，</w:t>
      </w:r>
      <w:r>
        <w:rPr>
          <w:rFonts w:hint="eastAsia"/>
          <w:color w:val="auto"/>
          <w:highlight w:val="none"/>
          <w:lang w:val="en-US" w:eastAsia="zh-CN"/>
        </w:rPr>
        <w:t>灰渣</w:t>
      </w:r>
      <w:r>
        <w:rPr>
          <w:color w:val="auto"/>
          <w:highlight w:val="none"/>
        </w:rPr>
        <w:t>到场后按照指定点卸车，且做到随卸随填，控制自卸汽车卸料高度；根据项目地区实际天气情况制定合理的洒水制度，并严格执行；</w:t>
      </w:r>
      <w:r>
        <w:rPr>
          <w:rFonts w:hint="eastAsia"/>
          <w:color w:val="auto"/>
          <w:highlight w:val="none"/>
        </w:rPr>
        <w:t>项目区外围建设</w:t>
      </w:r>
      <w:r>
        <w:rPr>
          <w:rFonts w:hint="eastAsia"/>
          <w:color w:val="auto"/>
          <w:highlight w:val="none"/>
          <w:lang w:eastAsia="zh-CN"/>
        </w:rPr>
        <w:t>隔声隔尘挡板，</w:t>
      </w:r>
      <w:r>
        <w:rPr>
          <w:color w:val="auto"/>
          <w:highlight w:val="none"/>
        </w:rPr>
        <w:t>分区分单元作业，每日作业后对表面及时采用</w:t>
      </w:r>
      <w:r>
        <w:rPr>
          <w:rFonts w:hint="eastAsia"/>
          <w:color w:val="auto"/>
          <w:highlight w:val="none"/>
        </w:rPr>
        <w:t>密目网或苫布覆盖</w:t>
      </w:r>
      <w:r>
        <w:rPr>
          <w:color w:val="auto"/>
          <w:highlight w:val="none"/>
        </w:rPr>
        <w:t>，</w:t>
      </w:r>
      <w:r>
        <w:rPr>
          <w:rFonts w:hint="eastAsia"/>
          <w:color w:val="auto"/>
          <w:highlight w:val="none"/>
        </w:rPr>
        <w:t>非作业面以及已碾实的灰渣表面采用密目网或苫布覆盖。当达到设计标高或者很长时间暴露不用，为进一步降低扬尘的产生，应及时洒水降尘，达到</w:t>
      </w:r>
      <w:r>
        <w:rPr>
          <w:rFonts w:hint="eastAsia"/>
          <w:color w:val="auto"/>
          <w:highlight w:val="none"/>
          <w:lang w:val="en-US" w:eastAsia="zh-CN"/>
        </w:rPr>
        <w:t>设计标高</w:t>
      </w:r>
      <w:r>
        <w:rPr>
          <w:rFonts w:hint="eastAsia"/>
          <w:color w:val="auto"/>
          <w:highlight w:val="none"/>
        </w:rPr>
        <w:t>时应及时覆表土</w:t>
      </w:r>
      <w:r>
        <w:rPr>
          <w:rFonts w:hint="eastAsia"/>
          <w:color w:val="auto"/>
          <w:highlight w:val="none"/>
          <w:lang w:val="en-US" w:eastAsia="zh-CN"/>
        </w:rPr>
        <w:t>复垦</w:t>
      </w:r>
      <w:r>
        <w:rPr>
          <w:rFonts w:hint="eastAsia"/>
          <w:color w:val="auto"/>
          <w:highlight w:val="none"/>
          <w:lang w:eastAsia="zh-CN"/>
        </w:rPr>
        <w:t>、</w:t>
      </w:r>
      <w:r>
        <w:rPr>
          <w:rFonts w:hint="eastAsia"/>
          <w:color w:val="auto"/>
          <w:highlight w:val="none"/>
        </w:rPr>
        <w:t>恢复地表植被</w:t>
      </w:r>
      <w:r>
        <w:rPr>
          <w:rFonts w:hint="eastAsia"/>
          <w:color w:val="auto"/>
          <w:highlight w:val="none"/>
          <w:lang w:eastAsia="zh-CN"/>
        </w:rPr>
        <w:t>。</w:t>
      </w:r>
      <w:r>
        <w:rPr>
          <w:rFonts w:hint="eastAsia"/>
          <w:color w:val="auto"/>
          <w:highlight w:val="none"/>
        </w:rPr>
        <w:t>未达到条件时应密目网或苫布覆盖</w:t>
      </w:r>
      <w:r>
        <w:rPr>
          <w:color w:val="auto"/>
          <w:highlight w:val="none"/>
        </w:rPr>
        <w:t>；对大风等特殊气象条件，停止作业，并加大洒水强度。在采取上述措施后，</w:t>
      </w:r>
      <w:r>
        <w:rPr>
          <w:rFonts w:hint="eastAsia"/>
          <w:color w:val="auto"/>
          <w:highlight w:val="none"/>
          <w:lang w:eastAsia="zh-CN"/>
        </w:rPr>
        <w:t>厂界</w:t>
      </w:r>
      <w:r>
        <w:rPr>
          <w:color w:val="auto"/>
          <w:highlight w:val="none"/>
        </w:rPr>
        <w:t>颗粒物浓度可达到《大气污染物综合排放标准》（GB16297-1996）中的表2无组织排放监控浓度限值。</w:t>
      </w:r>
    </w:p>
    <w:p w14:paraId="0B499739">
      <w:pPr>
        <w:pStyle w:val="217"/>
        <w:ind w:firstLine="480"/>
        <w:rPr>
          <w:rFonts w:cs="Times New Roman"/>
          <w:color w:val="auto"/>
          <w:highlight w:val="none"/>
        </w:rPr>
      </w:pPr>
      <w:r>
        <w:rPr>
          <w:rFonts w:hint="eastAsia" w:cs="Times New Roman"/>
          <w:color w:val="auto"/>
          <w:highlight w:val="none"/>
          <w:lang w:eastAsia="zh-CN"/>
        </w:rPr>
        <w:t>（</w:t>
      </w:r>
      <w:r>
        <w:rPr>
          <w:rFonts w:hint="eastAsia" w:cs="Times New Roman"/>
          <w:color w:val="auto"/>
          <w:highlight w:val="none"/>
          <w:lang w:val="en-US" w:eastAsia="zh-CN"/>
        </w:rPr>
        <w:t>2</w:t>
      </w:r>
      <w:r>
        <w:rPr>
          <w:rFonts w:hint="eastAsia" w:cs="Times New Roman"/>
          <w:color w:val="auto"/>
          <w:highlight w:val="none"/>
          <w:lang w:eastAsia="zh-CN"/>
        </w:rPr>
        <w:t>）</w:t>
      </w:r>
      <w:r>
        <w:rPr>
          <w:rFonts w:cs="Times New Roman"/>
          <w:color w:val="auto"/>
          <w:highlight w:val="none"/>
        </w:rPr>
        <w:t>废水</w:t>
      </w:r>
    </w:p>
    <w:p w14:paraId="1EB09396">
      <w:pPr>
        <w:pStyle w:val="217"/>
        <w:ind w:firstLine="480"/>
        <w:rPr>
          <w:rFonts w:cs="Times New Roman"/>
          <w:color w:val="auto"/>
          <w:highlight w:val="none"/>
        </w:rPr>
      </w:pPr>
      <w:r>
        <w:rPr>
          <w:rFonts w:hint="eastAsia" w:cs="Times New Roman"/>
          <w:color w:val="auto"/>
          <w:highlight w:val="none"/>
          <w:lang w:val="en-US" w:eastAsia="zh-CN"/>
        </w:rPr>
        <w:t>回填期间</w:t>
      </w:r>
      <w:r>
        <w:rPr>
          <w:rFonts w:cs="Times New Roman"/>
          <w:color w:val="auto"/>
          <w:highlight w:val="none"/>
        </w:rPr>
        <w:t>废水</w:t>
      </w:r>
      <w:r>
        <w:rPr>
          <w:rFonts w:hint="eastAsia" w:cs="Times New Roman"/>
          <w:color w:val="auto"/>
          <w:highlight w:val="none"/>
          <w:lang w:val="en-US" w:eastAsia="zh-CN"/>
        </w:rPr>
        <w:t>主要</w:t>
      </w:r>
      <w:r>
        <w:rPr>
          <w:rFonts w:cs="Times New Roman"/>
          <w:color w:val="auto"/>
          <w:highlight w:val="none"/>
        </w:rPr>
        <w:t>为生活污水</w:t>
      </w:r>
      <w:r>
        <w:rPr>
          <w:rFonts w:hint="eastAsia" w:cs="Times New Roman"/>
          <w:color w:val="auto"/>
          <w:highlight w:val="none"/>
          <w:lang w:val="en-US" w:eastAsia="zh-CN"/>
        </w:rPr>
        <w:t>和</w:t>
      </w:r>
      <w:r>
        <w:rPr>
          <w:rFonts w:hint="eastAsia" w:ascii="Times New Roman" w:hAnsi="Times New Roman" w:eastAsia="宋体"/>
          <w:b w:val="0"/>
          <w:bCs w:val="0"/>
          <w:color w:val="auto"/>
          <w:sz w:val="24"/>
          <w:szCs w:val="24"/>
          <w:highlight w:val="none"/>
        </w:rPr>
        <w:t>淋滤水</w:t>
      </w:r>
      <w:r>
        <w:rPr>
          <w:rFonts w:cs="Times New Roman"/>
          <w:color w:val="auto"/>
          <w:highlight w:val="none"/>
        </w:rPr>
        <w:t>。</w:t>
      </w:r>
    </w:p>
    <w:p w14:paraId="49D5A63D">
      <w:pPr>
        <w:pStyle w:val="217"/>
        <w:numPr>
          <w:ilvl w:val="0"/>
          <w:numId w:val="0"/>
        </w:numPr>
        <w:ind w:firstLine="480" w:firstLineChars="200"/>
        <w:rPr>
          <w:rFonts w:hint="eastAsia" w:cs="Times New Roman"/>
          <w:color w:val="auto"/>
          <w:highlight w:val="none"/>
        </w:rPr>
      </w:pPr>
      <w:r>
        <w:rPr>
          <w:rFonts w:hint="eastAsia" w:cs="Times New Roman"/>
          <w:color w:val="auto"/>
          <w:highlight w:val="none"/>
          <w:lang w:eastAsia="zh-CN"/>
        </w:rPr>
        <w:t>①</w:t>
      </w:r>
      <w:r>
        <w:rPr>
          <w:rFonts w:hint="eastAsia" w:cs="Times New Roman"/>
          <w:color w:val="auto"/>
          <w:highlight w:val="none"/>
        </w:rPr>
        <w:t>生活污水</w:t>
      </w:r>
      <w:r>
        <w:rPr>
          <w:rFonts w:hint="eastAsia"/>
          <w:color w:val="auto"/>
          <w:highlight w:val="none"/>
          <w:lang w:val="en-US" w:eastAsia="zh-CN"/>
        </w:rPr>
        <w:t>依托</w:t>
      </w:r>
      <w:r>
        <w:rPr>
          <w:rFonts w:hint="eastAsia" w:ascii="Times New Roman" w:hAnsi="Times New Roman" w:eastAsia="宋体" w:cs="Times New Roman"/>
          <w:snapToGrid/>
          <w:color w:val="auto"/>
          <w:kern w:val="2"/>
          <w:sz w:val="24"/>
          <w:szCs w:val="22"/>
          <w:highlight w:val="none"/>
          <w:lang w:val="en-US" w:eastAsia="zh-CN" w:bidi="ar-SA"/>
        </w:rPr>
        <w:t>民房防渗旱厕，定期外运堆肥。</w:t>
      </w:r>
    </w:p>
    <w:p w14:paraId="0F37D1D3">
      <w:pPr>
        <w:pStyle w:val="217"/>
        <w:numPr>
          <w:ilvl w:val="0"/>
          <w:numId w:val="0"/>
        </w:numPr>
        <w:ind w:firstLine="480" w:firstLineChars="200"/>
        <w:rPr>
          <w:rFonts w:cs="Times New Roman"/>
          <w:color w:val="auto"/>
          <w:highlight w:val="none"/>
        </w:rPr>
      </w:pPr>
      <w:r>
        <w:rPr>
          <w:rFonts w:hint="eastAsia" w:cs="Times New Roman"/>
          <w:color w:val="auto"/>
          <w:highlight w:val="none"/>
          <w:lang w:eastAsia="zh-CN"/>
        </w:rPr>
        <w:t>②</w:t>
      </w:r>
      <w:r>
        <w:rPr>
          <w:rFonts w:hint="default"/>
          <w:color w:val="auto"/>
          <w:highlight w:val="none"/>
          <w:lang w:val="en-US" w:eastAsia="zh-CN"/>
        </w:rPr>
        <w:t>在回填区</w:t>
      </w:r>
      <w:r>
        <w:rPr>
          <w:rFonts w:hint="eastAsia"/>
          <w:color w:val="auto"/>
          <w:highlight w:val="none"/>
          <w:lang w:val="en-US" w:eastAsia="zh-CN"/>
        </w:rPr>
        <w:t>西北</w:t>
      </w:r>
      <w:r>
        <w:rPr>
          <w:rFonts w:hint="default"/>
          <w:color w:val="auto"/>
          <w:highlight w:val="none"/>
          <w:lang w:val="en-US" w:eastAsia="zh-CN"/>
        </w:rPr>
        <w:t>侧设置1座沉淀池，</w:t>
      </w:r>
      <w:r>
        <w:rPr>
          <w:rFonts w:hint="eastAsia"/>
          <w:color w:val="auto"/>
          <w:sz w:val="24"/>
          <w:szCs w:val="24"/>
          <w:highlight w:val="none"/>
          <w:lang w:val="en-US" w:eastAsia="zh-CN"/>
        </w:rPr>
        <w:t>淋滤水经沉淀池沉淀处理后用于回填区洒水降尘，不外排</w:t>
      </w:r>
      <w:r>
        <w:rPr>
          <w:rFonts w:hint="default"/>
          <w:color w:val="auto"/>
          <w:sz w:val="24"/>
          <w:szCs w:val="24"/>
          <w:highlight w:val="none"/>
          <w:lang w:val="en-US" w:eastAsia="zh-CN"/>
        </w:rPr>
        <w:t>。</w:t>
      </w:r>
      <w:r>
        <w:rPr>
          <w:rFonts w:hint="eastAsia"/>
          <w:color w:val="auto"/>
          <w:highlight w:val="none"/>
          <w:lang w:val="en-US" w:eastAsia="zh-CN"/>
        </w:rPr>
        <w:t>拦挡埂</w:t>
      </w:r>
      <w:r>
        <w:rPr>
          <w:rFonts w:hint="default"/>
          <w:color w:val="auto"/>
          <w:highlight w:val="none"/>
          <w:lang w:val="en-US" w:eastAsia="zh-CN"/>
        </w:rPr>
        <w:t>位于</w:t>
      </w:r>
      <w:r>
        <w:rPr>
          <w:rFonts w:hint="eastAsia"/>
          <w:color w:val="auto"/>
          <w:highlight w:val="none"/>
          <w:lang w:val="en-US" w:eastAsia="zh-CN"/>
        </w:rPr>
        <w:t>回填区</w:t>
      </w:r>
      <w:r>
        <w:rPr>
          <w:rFonts w:hint="default"/>
          <w:color w:val="auto"/>
          <w:highlight w:val="none"/>
          <w:lang w:val="en-US" w:eastAsia="zh-CN"/>
        </w:rPr>
        <w:t>上游（</w:t>
      </w:r>
      <w:r>
        <w:rPr>
          <w:rFonts w:hint="eastAsia"/>
          <w:color w:val="auto"/>
          <w:sz w:val="21"/>
          <w:szCs w:val="21"/>
          <w:highlight w:val="none"/>
          <w:lang w:val="en-US" w:eastAsia="zh-CN"/>
        </w:rPr>
        <w:t>西</w:t>
      </w:r>
      <w:r>
        <w:rPr>
          <w:rFonts w:hint="default"/>
          <w:color w:val="auto"/>
          <w:sz w:val="21"/>
          <w:szCs w:val="21"/>
          <w:highlight w:val="none"/>
          <w:lang w:val="en-US" w:eastAsia="zh-CN"/>
        </w:rPr>
        <w:t>侧及</w:t>
      </w:r>
      <w:r>
        <w:rPr>
          <w:rFonts w:hint="eastAsia"/>
          <w:color w:val="auto"/>
          <w:sz w:val="21"/>
          <w:szCs w:val="21"/>
          <w:highlight w:val="none"/>
          <w:lang w:val="en-US" w:eastAsia="zh-CN"/>
        </w:rPr>
        <w:t>北</w:t>
      </w:r>
      <w:r>
        <w:rPr>
          <w:rFonts w:hint="default"/>
          <w:color w:val="auto"/>
          <w:sz w:val="21"/>
          <w:szCs w:val="21"/>
          <w:highlight w:val="none"/>
          <w:lang w:val="en-US" w:eastAsia="zh-CN"/>
        </w:rPr>
        <w:t>侧</w:t>
      </w:r>
      <w:r>
        <w:rPr>
          <w:rFonts w:hint="default"/>
          <w:color w:val="auto"/>
          <w:highlight w:val="none"/>
          <w:lang w:val="en-US" w:eastAsia="zh-CN"/>
        </w:rPr>
        <w:t>），</w:t>
      </w:r>
      <w:r>
        <w:rPr>
          <w:rFonts w:hint="eastAsia"/>
          <w:color w:val="auto"/>
          <w:highlight w:val="none"/>
          <w:lang w:val="en-US" w:eastAsia="zh-CN"/>
        </w:rPr>
        <w:t>有效防止</w:t>
      </w:r>
      <w:r>
        <w:rPr>
          <w:rFonts w:hint="default"/>
          <w:color w:val="auto"/>
          <w:highlight w:val="none"/>
          <w:lang w:val="en-US" w:eastAsia="zh-CN"/>
        </w:rPr>
        <w:t>雨水进入</w:t>
      </w:r>
      <w:r>
        <w:rPr>
          <w:rFonts w:hint="eastAsia" w:ascii="Times New Roman"/>
          <w:color w:val="auto"/>
          <w:highlight w:val="none"/>
          <w:lang w:val="en-US" w:eastAsia="zh-CN"/>
        </w:rPr>
        <w:t>采砂坑</w:t>
      </w:r>
      <w:r>
        <w:rPr>
          <w:rFonts w:hint="default"/>
          <w:color w:val="auto"/>
          <w:highlight w:val="none"/>
          <w:lang w:val="en-US" w:eastAsia="zh-CN"/>
        </w:rPr>
        <w:t>内</w:t>
      </w:r>
      <w:r>
        <w:rPr>
          <w:rFonts w:cs="Times New Roman"/>
          <w:color w:val="auto"/>
          <w:highlight w:val="none"/>
        </w:rPr>
        <w:t>。</w:t>
      </w:r>
      <w:r>
        <w:rPr>
          <w:color w:val="auto"/>
          <w:highlight w:val="none"/>
        </w:rPr>
        <w:t>回填区库底西北至东南方向设置1条</w:t>
      </w:r>
      <w:r>
        <w:rPr>
          <w:rFonts w:hint="eastAsia" w:ascii="宋体" w:hAnsi="宋体" w:eastAsia="宋体" w:cs="宋体"/>
          <w:bCs/>
          <w:color w:val="auto"/>
          <w:kern w:val="0"/>
          <w:sz w:val="24"/>
          <w:szCs w:val="22"/>
          <w:highlight w:val="none"/>
          <w:lang w:val="en-US" w:eastAsia="zh-CN"/>
        </w:rPr>
        <w:t>淋滤水</w:t>
      </w:r>
      <w:r>
        <w:rPr>
          <w:color w:val="auto"/>
          <w:highlight w:val="none"/>
        </w:rPr>
        <w:t>导排沟，位于回填区底部，断面采用梯形断面，在沿主导排沟纵线上，依照场地</w:t>
      </w:r>
      <w:r>
        <w:rPr>
          <w:rFonts w:hint="eastAsia"/>
          <w:color w:val="auto"/>
          <w:highlight w:val="none"/>
          <w:lang w:eastAsia="zh-CN"/>
        </w:rPr>
        <w:t>平整</w:t>
      </w:r>
      <w:r>
        <w:rPr>
          <w:color w:val="auto"/>
          <w:highlight w:val="none"/>
        </w:rPr>
        <w:t>实际地形情况，敷设淋</w:t>
      </w:r>
      <w:r>
        <w:rPr>
          <w:rFonts w:hint="eastAsia"/>
          <w:color w:val="auto"/>
          <w:highlight w:val="none"/>
          <w:lang w:val="en-US" w:eastAsia="zh-CN"/>
        </w:rPr>
        <w:t>滤</w:t>
      </w:r>
      <w:r>
        <w:rPr>
          <w:color w:val="auto"/>
          <w:highlight w:val="none"/>
        </w:rPr>
        <w:t>水导排支沟，支沟以45度斜角插入导排主沟，将极端天气强降雨时期产生的淋</w:t>
      </w:r>
      <w:r>
        <w:rPr>
          <w:rFonts w:hint="eastAsia"/>
          <w:color w:val="auto"/>
          <w:highlight w:val="none"/>
          <w:lang w:val="en-US" w:eastAsia="zh-CN"/>
        </w:rPr>
        <w:t>滤</w:t>
      </w:r>
      <w:r>
        <w:rPr>
          <w:color w:val="auto"/>
          <w:highlight w:val="none"/>
        </w:rPr>
        <w:t>水经导排系统收集后排入</w:t>
      </w:r>
      <w:r>
        <w:rPr>
          <w:rFonts w:hint="eastAsia"/>
          <w:color w:val="auto"/>
          <w:highlight w:val="none"/>
          <w:lang w:val="en-US" w:eastAsia="zh-CN"/>
        </w:rPr>
        <w:t>120</w:t>
      </w:r>
      <w:r>
        <w:rPr>
          <w:color w:val="auto"/>
          <w:highlight w:val="none"/>
        </w:rPr>
        <w:t>m</w:t>
      </w:r>
      <w:r>
        <w:rPr>
          <w:color w:val="auto"/>
          <w:highlight w:val="none"/>
          <w:vertAlign w:val="superscript"/>
        </w:rPr>
        <w:t>3</w:t>
      </w:r>
      <w:r>
        <w:rPr>
          <w:rFonts w:hint="eastAsia"/>
          <w:color w:val="auto"/>
          <w:highlight w:val="none"/>
          <w:lang w:val="en-US" w:eastAsia="zh-CN"/>
        </w:rPr>
        <w:t>沉淀</w:t>
      </w:r>
      <w:r>
        <w:rPr>
          <w:color w:val="auto"/>
          <w:highlight w:val="none"/>
        </w:rPr>
        <w:t>池，</w:t>
      </w:r>
      <w:r>
        <w:rPr>
          <w:rFonts w:hint="eastAsia"/>
          <w:color w:val="auto"/>
          <w:highlight w:val="none"/>
        </w:rPr>
        <w:t>定期</w:t>
      </w:r>
      <w:r>
        <w:rPr>
          <w:rFonts w:hint="eastAsia"/>
          <w:color w:val="auto"/>
          <w:highlight w:val="none"/>
          <w:lang w:val="en-US" w:eastAsia="zh-CN"/>
        </w:rPr>
        <w:t>处理</w:t>
      </w:r>
      <w:r>
        <w:rPr>
          <w:rFonts w:hint="eastAsia"/>
          <w:color w:val="auto"/>
          <w:highlight w:val="none"/>
        </w:rPr>
        <w:t>。</w:t>
      </w:r>
    </w:p>
    <w:p w14:paraId="2FDD63A4">
      <w:pPr>
        <w:pStyle w:val="217"/>
        <w:ind w:firstLine="480"/>
        <w:rPr>
          <w:rFonts w:cs="Times New Roman"/>
          <w:color w:val="auto"/>
          <w:highlight w:val="none"/>
        </w:rPr>
      </w:pPr>
      <w:r>
        <w:rPr>
          <w:rFonts w:hint="eastAsia" w:cs="Times New Roman"/>
          <w:color w:val="auto"/>
          <w:highlight w:val="none"/>
          <w:lang w:eastAsia="zh-CN"/>
        </w:rPr>
        <w:t>（</w:t>
      </w:r>
      <w:r>
        <w:rPr>
          <w:rFonts w:hint="eastAsia" w:cs="Times New Roman"/>
          <w:color w:val="auto"/>
          <w:highlight w:val="none"/>
          <w:lang w:val="en-US" w:eastAsia="zh-CN"/>
        </w:rPr>
        <w:t>3</w:t>
      </w:r>
      <w:r>
        <w:rPr>
          <w:rFonts w:hint="eastAsia" w:cs="Times New Roman"/>
          <w:color w:val="auto"/>
          <w:highlight w:val="none"/>
          <w:lang w:eastAsia="zh-CN"/>
        </w:rPr>
        <w:t>）</w:t>
      </w:r>
      <w:r>
        <w:rPr>
          <w:rFonts w:cs="Times New Roman"/>
          <w:color w:val="auto"/>
          <w:highlight w:val="none"/>
        </w:rPr>
        <w:t>噪声</w:t>
      </w:r>
    </w:p>
    <w:p w14:paraId="19D257A7">
      <w:pPr>
        <w:pStyle w:val="217"/>
        <w:ind w:firstLine="480"/>
        <w:rPr>
          <w:rFonts w:cs="Times New Roman"/>
          <w:color w:val="auto"/>
          <w:highlight w:val="none"/>
        </w:rPr>
      </w:pPr>
      <w:r>
        <w:rPr>
          <w:rFonts w:cs="Times New Roman"/>
          <w:color w:val="auto"/>
          <w:highlight w:val="none"/>
        </w:rPr>
        <w:t>本项目噪声源主要为机械设备、运输车辆。选用低噪声的运输车辆、作业设备，将噪声设备</w:t>
      </w:r>
      <w:r>
        <w:rPr>
          <w:rFonts w:hint="eastAsia" w:cs="Times New Roman"/>
          <w:color w:val="auto"/>
          <w:highlight w:val="none"/>
          <w:lang w:val="en-US" w:eastAsia="zh-CN"/>
        </w:rPr>
        <w:t>合理布局</w:t>
      </w:r>
      <w:r>
        <w:rPr>
          <w:rFonts w:cs="Times New Roman"/>
          <w:color w:val="auto"/>
          <w:highlight w:val="none"/>
        </w:rPr>
        <w:t>，加强生产管理，在严格履行上述措施后，本项目厂界噪声能够满足《工业企业厂界环境噪声排放标准》（GB12348-2008）中表1的1类标准。机动车辆加强维修和保养，保持技术性能良好，运输车辆经过沿线村庄时</w:t>
      </w:r>
      <w:r>
        <w:rPr>
          <w:rFonts w:hint="eastAsia" w:cs="Times New Roman"/>
          <w:color w:val="auto"/>
          <w:highlight w:val="none"/>
          <w:lang w:val="en-US" w:eastAsia="zh-CN"/>
        </w:rPr>
        <w:t>减速慢行</w:t>
      </w:r>
      <w:r>
        <w:rPr>
          <w:rFonts w:cs="Times New Roman"/>
          <w:color w:val="auto"/>
          <w:highlight w:val="none"/>
        </w:rPr>
        <w:t>、禁止鸣笛，减少交通噪声影响。</w:t>
      </w:r>
    </w:p>
    <w:p w14:paraId="65D91179">
      <w:pPr>
        <w:pStyle w:val="217"/>
        <w:ind w:firstLine="480"/>
        <w:rPr>
          <w:rFonts w:cs="Times New Roman"/>
          <w:color w:val="auto"/>
          <w:highlight w:val="none"/>
        </w:rPr>
      </w:pPr>
      <w:r>
        <w:rPr>
          <w:rFonts w:hint="eastAsia" w:cs="Times New Roman"/>
          <w:color w:val="auto"/>
          <w:highlight w:val="none"/>
          <w:lang w:eastAsia="zh-CN"/>
        </w:rPr>
        <w:t>（</w:t>
      </w:r>
      <w:r>
        <w:rPr>
          <w:rFonts w:hint="eastAsia" w:cs="Times New Roman"/>
          <w:color w:val="auto"/>
          <w:highlight w:val="none"/>
          <w:lang w:val="en-US" w:eastAsia="zh-CN"/>
        </w:rPr>
        <w:t>4</w:t>
      </w:r>
      <w:r>
        <w:rPr>
          <w:rFonts w:hint="eastAsia" w:cs="Times New Roman"/>
          <w:color w:val="auto"/>
          <w:highlight w:val="none"/>
          <w:lang w:eastAsia="zh-CN"/>
        </w:rPr>
        <w:t>）</w:t>
      </w:r>
      <w:r>
        <w:rPr>
          <w:rFonts w:cs="Times New Roman"/>
          <w:color w:val="auto"/>
          <w:highlight w:val="none"/>
        </w:rPr>
        <w:t>固废</w:t>
      </w:r>
    </w:p>
    <w:p w14:paraId="3B374BE9">
      <w:pPr>
        <w:pStyle w:val="22"/>
        <w:rPr>
          <w:rFonts w:hint="eastAsia" w:cs="Times New Roman"/>
          <w:color w:val="auto"/>
          <w:sz w:val="24"/>
          <w:szCs w:val="24"/>
          <w:highlight w:val="none"/>
        </w:rPr>
      </w:pPr>
      <w:r>
        <w:rPr>
          <w:rFonts w:hint="eastAsia" w:cs="Times New Roman"/>
          <w:color w:val="auto"/>
          <w:sz w:val="24"/>
          <w:szCs w:val="24"/>
          <w:highlight w:val="none"/>
        </w:rPr>
        <w:t>生活垃圾集中收集后，定期由市政环卫部门处理。</w:t>
      </w:r>
    </w:p>
    <w:p w14:paraId="215CD8FA">
      <w:pPr>
        <w:pStyle w:val="22"/>
        <w:rPr>
          <w:rFonts w:hint="eastAsia" w:cs="Times New Roman"/>
          <w:color w:val="auto"/>
          <w:sz w:val="24"/>
          <w:szCs w:val="24"/>
          <w:highlight w:val="none"/>
        </w:rPr>
      </w:pPr>
      <w:r>
        <w:rPr>
          <w:rFonts w:hint="eastAsia" w:cs="Times New Roman"/>
          <w:color w:val="auto"/>
          <w:sz w:val="24"/>
          <w:szCs w:val="24"/>
          <w:highlight w:val="none"/>
        </w:rPr>
        <w:t>沉淀池产生的沉渣在沉淀池内经自然沉淀后，集中收集综合利用</w:t>
      </w:r>
      <w:r>
        <w:rPr>
          <w:rFonts w:hint="eastAsia" w:cs="Times New Roman"/>
          <w:color w:val="auto"/>
          <w:sz w:val="24"/>
          <w:szCs w:val="24"/>
          <w:highlight w:val="none"/>
          <w:lang w:val="en-US" w:eastAsia="zh-CN"/>
        </w:rPr>
        <w:t>厂区</w:t>
      </w:r>
      <w:r>
        <w:rPr>
          <w:rFonts w:hint="eastAsia" w:cs="Times New Roman"/>
          <w:color w:val="auto"/>
          <w:sz w:val="24"/>
          <w:szCs w:val="24"/>
          <w:highlight w:val="none"/>
        </w:rPr>
        <w:t>修路。</w:t>
      </w:r>
    </w:p>
    <w:p w14:paraId="566132C9">
      <w:pPr>
        <w:pStyle w:val="217"/>
        <w:ind w:firstLine="480"/>
        <w:rPr>
          <w:rFonts w:cs="Times New Roman"/>
          <w:color w:val="auto"/>
          <w:highlight w:val="none"/>
        </w:rPr>
      </w:pPr>
      <w:r>
        <w:rPr>
          <w:rFonts w:hint="eastAsia" w:cs="Times New Roman"/>
          <w:color w:val="auto"/>
          <w:highlight w:val="none"/>
          <w:lang w:eastAsia="zh-CN"/>
        </w:rPr>
        <w:t>（</w:t>
      </w:r>
      <w:r>
        <w:rPr>
          <w:rFonts w:hint="eastAsia" w:cs="Times New Roman"/>
          <w:color w:val="auto"/>
          <w:highlight w:val="none"/>
          <w:lang w:val="en-US" w:eastAsia="zh-CN"/>
        </w:rPr>
        <w:t>5</w:t>
      </w:r>
      <w:r>
        <w:rPr>
          <w:rFonts w:hint="eastAsia" w:cs="Times New Roman"/>
          <w:color w:val="auto"/>
          <w:highlight w:val="none"/>
          <w:lang w:eastAsia="zh-CN"/>
        </w:rPr>
        <w:t>）</w:t>
      </w:r>
      <w:r>
        <w:rPr>
          <w:rFonts w:cs="Times New Roman"/>
          <w:color w:val="auto"/>
          <w:highlight w:val="none"/>
        </w:rPr>
        <w:t>生态</w:t>
      </w:r>
    </w:p>
    <w:p w14:paraId="697ABC2F">
      <w:pPr>
        <w:pStyle w:val="217"/>
        <w:ind w:firstLine="480"/>
        <w:rPr>
          <w:rFonts w:hint="eastAsia" w:cs="Times New Roman"/>
          <w:color w:val="auto"/>
          <w:highlight w:val="none"/>
        </w:rPr>
      </w:pPr>
      <w:r>
        <w:rPr>
          <w:rFonts w:hint="eastAsia" w:cs="Times New Roman"/>
          <w:color w:val="auto"/>
          <w:highlight w:val="none"/>
        </w:rPr>
        <w:t>在回填区</w:t>
      </w:r>
      <w:r>
        <w:rPr>
          <w:rFonts w:hint="eastAsia"/>
          <w:color w:val="auto"/>
          <w:sz w:val="24"/>
          <w:szCs w:val="24"/>
          <w:highlight w:val="none"/>
          <w:lang w:val="en-US" w:eastAsia="zh-CN"/>
        </w:rPr>
        <w:t>西</w:t>
      </w:r>
      <w:r>
        <w:rPr>
          <w:rFonts w:hint="default"/>
          <w:color w:val="auto"/>
          <w:sz w:val="24"/>
          <w:szCs w:val="24"/>
          <w:highlight w:val="none"/>
          <w:lang w:val="en-US" w:eastAsia="zh-CN"/>
        </w:rPr>
        <w:t>侧及</w:t>
      </w:r>
      <w:r>
        <w:rPr>
          <w:rFonts w:hint="eastAsia"/>
          <w:color w:val="auto"/>
          <w:sz w:val="24"/>
          <w:szCs w:val="24"/>
          <w:highlight w:val="none"/>
          <w:lang w:val="en-US" w:eastAsia="zh-CN"/>
        </w:rPr>
        <w:t>北</w:t>
      </w:r>
      <w:r>
        <w:rPr>
          <w:rFonts w:hint="default"/>
          <w:color w:val="auto"/>
          <w:sz w:val="24"/>
          <w:szCs w:val="24"/>
          <w:highlight w:val="none"/>
          <w:lang w:val="en-US" w:eastAsia="zh-CN"/>
        </w:rPr>
        <w:t>侧</w:t>
      </w:r>
      <w:r>
        <w:rPr>
          <w:rFonts w:hint="eastAsia" w:cs="Times New Roman"/>
          <w:color w:val="auto"/>
          <w:sz w:val="24"/>
          <w:szCs w:val="24"/>
          <w:highlight w:val="none"/>
        </w:rPr>
        <w:t>修</w:t>
      </w:r>
      <w:r>
        <w:rPr>
          <w:rFonts w:hint="eastAsia" w:cs="Times New Roman"/>
          <w:color w:val="auto"/>
          <w:highlight w:val="none"/>
        </w:rPr>
        <w:t>建</w:t>
      </w:r>
      <w:r>
        <w:rPr>
          <w:rFonts w:hint="eastAsia" w:cs="Times New Roman"/>
          <w:color w:val="auto"/>
          <w:highlight w:val="none"/>
          <w:lang w:eastAsia="zh-CN"/>
        </w:rPr>
        <w:t>拦挡埂</w:t>
      </w:r>
      <w:r>
        <w:rPr>
          <w:rFonts w:cs="Times New Roman"/>
          <w:color w:val="auto"/>
          <w:highlight w:val="none"/>
        </w:rPr>
        <w:t>，减少水土流失；分区回填，分区覆盖，采取阶段性生态恢复措施；严格控制回填范围，避免对用地周围的植被产生破坏。</w:t>
      </w:r>
      <w:r>
        <w:rPr>
          <w:rFonts w:hint="eastAsia" w:cs="Times New Roman"/>
          <w:color w:val="auto"/>
          <w:highlight w:val="none"/>
        </w:rPr>
        <w:t>项目</w:t>
      </w:r>
      <w:r>
        <w:rPr>
          <w:rFonts w:hint="eastAsia" w:cs="Times New Roman"/>
          <w:color w:val="auto"/>
          <w:highlight w:val="none"/>
          <w:lang w:val="en-US" w:eastAsia="zh-CN"/>
        </w:rPr>
        <w:t>回填</w:t>
      </w:r>
      <w:r>
        <w:rPr>
          <w:rFonts w:hint="eastAsia" w:cs="Times New Roman"/>
          <w:color w:val="auto"/>
          <w:highlight w:val="none"/>
        </w:rPr>
        <w:t>过程中要进行生态监测，在项目区位置开展野生动物监测，重点关注评价区野生动物分布及栖息状况，调查监测项目为种类、数量、分布、生态习性及所在生境状况等。</w:t>
      </w:r>
    </w:p>
    <w:p w14:paraId="11F75ADE">
      <w:pPr>
        <w:pStyle w:val="217"/>
        <w:ind w:firstLine="480"/>
        <w:rPr>
          <w:rFonts w:hint="eastAsia" w:cs="Times New Roman"/>
          <w:color w:val="auto"/>
          <w:highlight w:val="none"/>
        </w:rPr>
      </w:pPr>
      <w:r>
        <w:rPr>
          <w:rFonts w:hint="default" w:ascii="Times New Roman" w:hAnsi="Times New Roman" w:eastAsia="宋体" w:cs="Times New Roman"/>
          <w:color w:val="auto"/>
          <w:szCs w:val="24"/>
          <w:highlight w:val="none"/>
        </w:rPr>
        <w:t>运送物料车辆要设定固定行车路线，防止随意毁坏地表植被，车辆防止扬尘、降噪措施，减缓运输车辆对沿途居民生活环境影响。</w:t>
      </w:r>
    </w:p>
    <w:p w14:paraId="12534C22">
      <w:pPr>
        <w:pStyle w:val="217"/>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textAlignment w:val="auto"/>
        <w:rPr>
          <w:rFonts w:hint="default" w:eastAsia="宋体" w:cs="Times New Roman"/>
          <w:color w:val="auto"/>
          <w:highlight w:val="none"/>
          <w:lang w:val="en-US" w:eastAsia="zh-CN"/>
        </w:rPr>
      </w:pPr>
      <w:r>
        <w:rPr>
          <w:rFonts w:hint="eastAsia" w:cs="Times New Roman"/>
          <w:color w:val="auto"/>
          <w:highlight w:val="none"/>
          <w:lang w:eastAsia="zh-CN"/>
        </w:rPr>
        <w:t>（</w:t>
      </w:r>
      <w:r>
        <w:rPr>
          <w:rFonts w:hint="eastAsia" w:cs="Times New Roman"/>
          <w:color w:val="auto"/>
          <w:highlight w:val="none"/>
          <w:lang w:val="en-US" w:eastAsia="zh-CN"/>
        </w:rPr>
        <w:t>6</w:t>
      </w:r>
      <w:r>
        <w:rPr>
          <w:rFonts w:hint="eastAsia" w:cs="Times New Roman"/>
          <w:color w:val="auto"/>
          <w:highlight w:val="none"/>
          <w:lang w:eastAsia="zh-CN"/>
        </w:rPr>
        <w:t>）</w:t>
      </w:r>
      <w:r>
        <w:rPr>
          <w:rFonts w:hint="eastAsia" w:cs="Times New Roman"/>
          <w:color w:val="auto"/>
          <w:highlight w:val="none"/>
          <w:lang w:val="en-US" w:eastAsia="zh-CN"/>
        </w:rPr>
        <w:t>覆土绿化</w:t>
      </w:r>
    </w:p>
    <w:p w14:paraId="142FB260">
      <w:pPr>
        <w:pStyle w:val="217"/>
        <w:spacing w:line="360" w:lineRule="auto"/>
        <w:ind w:firstLine="480"/>
        <w:rPr>
          <w:rFonts w:hint="eastAsia" w:eastAsia="宋体" w:cs="Times New Roman"/>
          <w:color w:val="auto"/>
          <w:highlight w:val="none"/>
          <w:lang w:eastAsia="zh-CN"/>
        </w:rPr>
      </w:pPr>
      <w:r>
        <w:rPr>
          <w:rFonts w:cs="Times New Roman"/>
          <w:color w:val="auto"/>
          <w:highlight w:val="none"/>
        </w:rPr>
        <w:t>在回填至设计标高后进行覆土，有效土层厚度不低于80cm，土壤质量应</w:t>
      </w:r>
      <w:r>
        <w:rPr>
          <w:rFonts w:hint="eastAsia" w:cs="Times New Roman"/>
          <w:color w:val="auto"/>
          <w:highlight w:val="none"/>
          <w:lang w:val="en-US" w:eastAsia="zh-CN"/>
        </w:rPr>
        <w:t>参照</w:t>
      </w:r>
      <w:r>
        <w:rPr>
          <w:rFonts w:cs="Times New Roman"/>
          <w:color w:val="auto"/>
          <w:highlight w:val="none"/>
        </w:rPr>
        <w:t>《土壤环境质量农用地土壤污染风险管控标准（试行）》（GB15618-2018）要求。</w:t>
      </w:r>
      <w:r>
        <w:rPr>
          <w:rFonts w:hint="eastAsia" w:cs="Times New Roman"/>
          <w:color w:val="auto"/>
          <w:highlight w:val="none"/>
        </w:rPr>
        <w:t>土地复垦实施过程应满足《土地复垦质量控制标准》（TD/T1036-2013）规定的相关土地复垦质量控制要求</w:t>
      </w:r>
      <w:r>
        <w:rPr>
          <w:rFonts w:hint="eastAsia" w:cs="Times New Roman"/>
          <w:color w:val="auto"/>
          <w:highlight w:val="none"/>
          <w:lang w:eastAsia="zh-CN"/>
        </w:rPr>
        <w:t>。</w:t>
      </w:r>
    </w:p>
    <w:p w14:paraId="5C2C4459">
      <w:pPr>
        <w:bidi w:val="0"/>
        <w:spacing w:line="360" w:lineRule="auto"/>
        <w:ind w:firstLine="480" w:firstLineChars="200"/>
        <w:rPr>
          <w:rFonts w:hint="eastAsia"/>
          <w:color w:val="auto"/>
          <w:highlight w:val="none"/>
          <w:lang w:val="en-US" w:eastAsia="zh-CN"/>
        </w:rPr>
      </w:pPr>
      <w:r>
        <w:rPr>
          <w:rFonts w:hint="eastAsia"/>
          <w:color w:val="auto"/>
          <w:highlight w:val="none"/>
          <w:lang w:val="en-US" w:eastAsia="zh-CN"/>
        </w:rPr>
        <w:t>恢复林</w:t>
      </w:r>
      <w:r>
        <w:rPr>
          <w:rFonts w:hint="default"/>
          <w:color w:val="auto"/>
          <w:highlight w:val="none"/>
          <w:lang w:val="en-US" w:eastAsia="zh-CN"/>
        </w:rPr>
        <w:t>地</w:t>
      </w:r>
      <w:r>
        <w:rPr>
          <w:rFonts w:hint="eastAsia"/>
          <w:color w:val="auto"/>
          <w:highlight w:val="none"/>
          <w:lang w:val="en-US" w:eastAsia="zh-CN"/>
        </w:rPr>
        <w:t>区域采用树穴换土的方式栽植耐旱性较好的樟子松及针叶林。复绿后的生态修复区将与当地自然景观相协调，其植被覆盖率达到100%。</w:t>
      </w:r>
    </w:p>
    <w:p w14:paraId="0127F4D5">
      <w:pPr>
        <w:pStyle w:val="6"/>
        <w:bidi w:val="0"/>
        <w:spacing w:line="360" w:lineRule="auto"/>
        <w:rPr>
          <w:color w:val="auto"/>
          <w:highlight w:val="none"/>
        </w:rPr>
      </w:pPr>
      <w:bookmarkStart w:id="923" w:name="_Toc9873"/>
      <w:bookmarkStart w:id="924" w:name="_Toc20232"/>
      <w:bookmarkStart w:id="925" w:name="_Toc18714"/>
      <w:bookmarkStart w:id="926" w:name="_Toc3166"/>
      <w:r>
        <w:rPr>
          <w:color w:val="auto"/>
          <w:highlight w:val="none"/>
        </w:rPr>
        <w:t>9.</w:t>
      </w:r>
      <w:r>
        <w:rPr>
          <w:rFonts w:hint="eastAsia"/>
          <w:color w:val="auto"/>
          <w:highlight w:val="none"/>
          <w:lang w:val="en-US" w:eastAsia="zh-CN"/>
        </w:rPr>
        <w:t>6</w:t>
      </w:r>
      <w:r>
        <w:rPr>
          <w:color w:val="auto"/>
          <w:highlight w:val="none"/>
        </w:rPr>
        <w:t>经济损益分析结论</w:t>
      </w:r>
      <w:bookmarkEnd w:id="923"/>
      <w:bookmarkEnd w:id="924"/>
      <w:bookmarkEnd w:id="925"/>
      <w:bookmarkEnd w:id="926"/>
    </w:p>
    <w:p w14:paraId="6A8D5493">
      <w:pPr>
        <w:pStyle w:val="217"/>
        <w:adjustRightInd/>
        <w:snapToGrid/>
        <w:spacing w:line="360" w:lineRule="auto"/>
        <w:ind w:firstLine="480"/>
        <w:rPr>
          <w:rFonts w:cs="Times New Roman"/>
          <w:color w:val="auto"/>
          <w:highlight w:val="none"/>
        </w:rPr>
      </w:pPr>
      <w:r>
        <w:rPr>
          <w:rFonts w:cs="Times New Roman"/>
          <w:color w:val="auto"/>
          <w:highlight w:val="none"/>
        </w:rPr>
        <w:t>本项目的建设具有良好的社会效益和经济效益，不会对当地环境产生明显不利影响，因此该项目的实施做到了社会效益、经济效益和环境效益的同步发展。</w:t>
      </w:r>
    </w:p>
    <w:p w14:paraId="62ECBD8E">
      <w:pPr>
        <w:pStyle w:val="6"/>
        <w:bidi w:val="0"/>
        <w:spacing w:line="360" w:lineRule="auto"/>
        <w:rPr>
          <w:color w:val="auto"/>
          <w:highlight w:val="none"/>
        </w:rPr>
      </w:pPr>
      <w:bookmarkStart w:id="927" w:name="_Toc9808"/>
      <w:bookmarkStart w:id="928" w:name="_Toc8235"/>
      <w:bookmarkStart w:id="929" w:name="_Toc17470"/>
      <w:bookmarkStart w:id="930" w:name="_Toc3918"/>
      <w:bookmarkStart w:id="931" w:name="_Toc18019"/>
      <w:bookmarkStart w:id="932" w:name="_Toc486255152"/>
      <w:bookmarkStart w:id="933" w:name="_Toc15991740"/>
      <w:r>
        <w:rPr>
          <w:color w:val="auto"/>
          <w:highlight w:val="none"/>
        </w:rPr>
        <w:t>9.</w:t>
      </w:r>
      <w:r>
        <w:rPr>
          <w:rFonts w:hint="eastAsia"/>
          <w:color w:val="auto"/>
          <w:highlight w:val="none"/>
          <w:lang w:val="en-US" w:eastAsia="zh-CN"/>
        </w:rPr>
        <w:t>7</w:t>
      </w:r>
      <w:r>
        <w:rPr>
          <w:color w:val="auto"/>
          <w:highlight w:val="none"/>
        </w:rPr>
        <w:t>环境管理与监测结论</w:t>
      </w:r>
      <w:bookmarkEnd w:id="927"/>
      <w:bookmarkEnd w:id="928"/>
      <w:bookmarkEnd w:id="929"/>
      <w:bookmarkEnd w:id="930"/>
      <w:bookmarkEnd w:id="931"/>
      <w:bookmarkEnd w:id="932"/>
      <w:bookmarkEnd w:id="933"/>
    </w:p>
    <w:p w14:paraId="6A47EFF9">
      <w:pPr>
        <w:pStyle w:val="217"/>
        <w:spacing w:line="360" w:lineRule="auto"/>
        <w:ind w:firstLine="480"/>
        <w:rPr>
          <w:rFonts w:cs="Times New Roman"/>
          <w:snapToGrid w:val="0"/>
          <w:color w:val="auto"/>
          <w:highlight w:val="none"/>
        </w:rPr>
      </w:pPr>
      <w:r>
        <w:rPr>
          <w:rFonts w:cs="Times New Roman"/>
          <w:snapToGrid w:val="0"/>
          <w:color w:val="auto"/>
          <w:highlight w:val="none"/>
        </w:rPr>
        <w:t>项目回填期通过加强建设和运行的环境管理与监控，建立健全安全生产管理制度，制订科学严谨的操作规程，通过职工操作技能培训，提高危险</w:t>
      </w:r>
      <w:r>
        <w:rPr>
          <w:rFonts w:hint="eastAsia" w:cs="Times New Roman"/>
          <w:snapToGrid w:val="0"/>
          <w:color w:val="auto"/>
          <w:highlight w:val="none"/>
          <w:lang w:eastAsia="zh-CN"/>
        </w:rPr>
        <w:t>辨识</w:t>
      </w:r>
      <w:r>
        <w:rPr>
          <w:rFonts w:cs="Times New Roman"/>
          <w:snapToGrid w:val="0"/>
          <w:color w:val="auto"/>
          <w:highlight w:val="none"/>
        </w:rPr>
        <w:t>、防护和保护能力，落实责任到人。同时加强</w:t>
      </w:r>
      <w:r>
        <w:rPr>
          <w:rFonts w:hint="eastAsia" w:cs="Times New Roman"/>
          <w:snapToGrid w:val="0"/>
          <w:color w:val="auto"/>
          <w:highlight w:val="none"/>
          <w:lang w:val="en-US" w:eastAsia="zh-CN"/>
        </w:rPr>
        <w:t>回填区</w:t>
      </w:r>
      <w:r>
        <w:rPr>
          <w:rFonts w:cs="Times New Roman"/>
          <w:snapToGrid w:val="0"/>
          <w:color w:val="auto"/>
          <w:highlight w:val="none"/>
        </w:rPr>
        <w:t>内各类设备包括污染治理设施的日常运行管理和维护，对</w:t>
      </w:r>
      <w:r>
        <w:rPr>
          <w:rFonts w:hint="eastAsia" w:cs="Times New Roman"/>
          <w:snapToGrid w:val="0"/>
          <w:color w:val="auto"/>
          <w:highlight w:val="none"/>
          <w:lang w:val="en-US" w:eastAsia="zh-CN"/>
        </w:rPr>
        <w:t>施工</w:t>
      </w:r>
      <w:r>
        <w:rPr>
          <w:rFonts w:cs="Times New Roman"/>
          <w:snapToGrid w:val="0"/>
          <w:color w:val="auto"/>
          <w:highlight w:val="none"/>
        </w:rPr>
        <w:t>设备进行定期检测。增强岗位职责和环保、安全意识，保证生产设施和环</w:t>
      </w:r>
      <w:r>
        <w:rPr>
          <w:rFonts w:hint="eastAsia" w:cs="Times New Roman"/>
          <w:snapToGrid w:val="0"/>
          <w:color w:val="auto"/>
          <w:highlight w:val="none"/>
          <w:lang w:val="en-US" w:eastAsia="zh-CN"/>
        </w:rPr>
        <w:t>境</w:t>
      </w:r>
      <w:r>
        <w:rPr>
          <w:rFonts w:cs="Times New Roman"/>
          <w:snapToGrid w:val="0"/>
          <w:color w:val="auto"/>
          <w:highlight w:val="none"/>
        </w:rPr>
        <w:t>治理设施运行的可靠性、稳定性。</w:t>
      </w:r>
    </w:p>
    <w:p w14:paraId="7924777B">
      <w:pPr>
        <w:pStyle w:val="6"/>
        <w:spacing w:line="360" w:lineRule="auto"/>
        <w:rPr>
          <w:color w:val="auto"/>
          <w:highlight w:val="none"/>
        </w:rPr>
      </w:pPr>
      <w:bookmarkStart w:id="934" w:name="_Toc32653"/>
      <w:bookmarkStart w:id="935" w:name="_Toc5473"/>
      <w:bookmarkStart w:id="936" w:name="_Toc32049"/>
      <w:bookmarkStart w:id="937" w:name="_Toc18421"/>
      <w:bookmarkStart w:id="938" w:name="_Toc16896"/>
      <w:bookmarkStart w:id="939" w:name="_Toc14465"/>
      <w:bookmarkStart w:id="940" w:name="_Toc3824"/>
      <w:r>
        <w:rPr>
          <w:color w:val="auto"/>
          <w:highlight w:val="none"/>
        </w:rPr>
        <w:t>9.</w:t>
      </w:r>
      <w:r>
        <w:rPr>
          <w:rFonts w:hint="eastAsia"/>
          <w:color w:val="auto"/>
          <w:highlight w:val="none"/>
          <w:lang w:val="en-US" w:eastAsia="zh-CN"/>
        </w:rPr>
        <w:t>8</w:t>
      </w:r>
      <w:r>
        <w:rPr>
          <w:color w:val="auto"/>
          <w:highlight w:val="none"/>
        </w:rPr>
        <w:t>总量控制</w:t>
      </w:r>
      <w:bookmarkEnd w:id="934"/>
      <w:bookmarkEnd w:id="935"/>
      <w:bookmarkEnd w:id="936"/>
      <w:bookmarkEnd w:id="937"/>
      <w:bookmarkEnd w:id="938"/>
      <w:bookmarkEnd w:id="939"/>
      <w:bookmarkEnd w:id="940"/>
    </w:p>
    <w:p w14:paraId="1D45FA01">
      <w:pPr>
        <w:spacing w:line="360" w:lineRule="auto"/>
        <w:ind w:firstLine="480"/>
        <w:rPr>
          <w:rFonts w:hint="eastAsia"/>
          <w:color w:val="auto"/>
          <w:kern w:val="0"/>
          <w:sz w:val="24"/>
          <w:szCs w:val="24"/>
          <w:highlight w:val="none"/>
        </w:rPr>
      </w:pPr>
      <w:r>
        <w:rPr>
          <w:color w:val="auto"/>
          <w:kern w:val="0"/>
          <w:highlight w:val="none"/>
        </w:rPr>
        <w:t>根据关于印发《建设项目主要污染物排放总量指标审核及管理暂行办法》的通知（环发</w:t>
      </w:r>
      <w:r>
        <w:rPr>
          <w:rFonts w:hint="eastAsia"/>
          <w:color w:val="auto"/>
          <w:kern w:val="0"/>
          <w:highlight w:val="none"/>
          <w:lang w:val="en-US" w:eastAsia="zh-CN"/>
        </w:rPr>
        <w:t>[</w:t>
      </w:r>
      <w:r>
        <w:rPr>
          <w:color w:val="auto"/>
          <w:highlight w:val="none"/>
        </w:rPr>
        <w:t>2014</w:t>
      </w:r>
      <w:r>
        <w:rPr>
          <w:rFonts w:hint="eastAsia"/>
          <w:color w:val="auto"/>
          <w:highlight w:val="none"/>
          <w:lang w:val="en-US" w:eastAsia="zh-CN"/>
        </w:rPr>
        <w:t>]</w:t>
      </w:r>
      <w:r>
        <w:rPr>
          <w:color w:val="auto"/>
          <w:highlight w:val="none"/>
        </w:rPr>
        <w:t>197号）</w:t>
      </w:r>
      <w:r>
        <w:rPr>
          <w:color w:val="auto"/>
          <w:kern w:val="0"/>
          <w:highlight w:val="none"/>
        </w:rPr>
        <w:t>相关要求，</w:t>
      </w:r>
      <w:r>
        <w:rPr>
          <w:rFonts w:hint="eastAsia"/>
          <w:color w:val="auto"/>
          <w:kern w:val="0"/>
          <w:highlight w:val="none"/>
        </w:rPr>
        <w:t>本项目申请总量</w:t>
      </w:r>
      <w:r>
        <w:rPr>
          <w:rFonts w:hint="eastAsia"/>
          <w:color w:val="auto"/>
          <w:kern w:val="0"/>
          <w:highlight w:val="none"/>
          <w:lang w:val="en-US" w:eastAsia="zh-CN"/>
        </w:rPr>
        <w:t>颗</w:t>
      </w:r>
      <w:r>
        <w:rPr>
          <w:rFonts w:hint="eastAsia"/>
          <w:color w:val="auto"/>
          <w:kern w:val="0"/>
          <w:sz w:val="24"/>
          <w:szCs w:val="24"/>
          <w:highlight w:val="none"/>
          <w:lang w:val="en-US" w:eastAsia="zh-CN"/>
        </w:rPr>
        <w:t>粒物</w:t>
      </w:r>
      <w:r>
        <w:rPr>
          <w:rFonts w:hint="eastAsia" w:ascii="Times New Roman" w:hAnsi="Times New Roman" w:eastAsia="宋体" w:cs="Times New Roman"/>
          <w:color w:val="auto"/>
          <w:kern w:val="2"/>
          <w:sz w:val="24"/>
          <w:szCs w:val="24"/>
          <w:highlight w:val="none"/>
          <w:lang w:val="en-US" w:eastAsia="zh-CN" w:bidi="ar-SA"/>
        </w:rPr>
        <w:t>0.5873</w:t>
      </w:r>
      <w:r>
        <w:rPr>
          <w:rFonts w:hint="eastAsia"/>
          <w:color w:val="auto"/>
          <w:kern w:val="0"/>
          <w:sz w:val="24"/>
          <w:szCs w:val="24"/>
          <w:highlight w:val="none"/>
          <w:lang w:val="en-US" w:eastAsia="zh-CN"/>
        </w:rPr>
        <w:t>t/a</w:t>
      </w:r>
      <w:r>
        <w:rPr>
          <w:rFonts w:hint="eastAsia"/>
          <w:color w:val="auto"/>
          <w:kern w:val="0"/>
          <w:sz w:val="24"/>
          <w:szCs w:val="24"/>
          <w:highlight w:val="none"/>
        </w:rPr>
        <w:t>。</w:t>
      </w:r>
    </w:p>
    <w:p w14:paraId="5D98B5DD">
      <w:pPr>
        <w:pStyle w:val="6"/>
        <w:spacing w:line="360" w:lineRule="auto"/>
        <w:rPr>
          <w:rFonts w:cs="Times New Roman"/>
          <w:color w:val="auto"/>
          <w:highlight w:val="none"/>
        </w:rPr>
      </w:pPr>
      <w:bookmarkStart w:id="941" w:name="_Toc10521"/>
      <w:bookmarkStart w:id="942" w:name="_Toc22541"/>
      <w:bookmarkStart w:id="943" w:name="_Toc13916"/>
      <w:bookmarkStart w:id="944" w:name="_Toc25569"/>
      <w:bookmarkStart w:id="945" w:name="_Toc170198994"/>
      <w:bookmarkStart w:id="946" w:name="_Toc12145"/>
      <w:r>
        <w:rPr>
          <w:rFonts w:cs="Times New Roman"/>
          <w:color w:val="auto"/>
          <w:highlight w:val="none"/>
        </w:rPr>
        <w:t>9.</w:t>
      </w:r>
      <w:r>
        <w:rPr>
          <w:rFonts w:hint="eastAsia" w:cs="Times New Roman"/>
          <w:color w:val="auto"/>
          <w:highlight w:val="none"/>
          <w:lang w:val="en-US" w:eastAsia="zh-CN"/>
        </w:rPr>
        <w:t>9</w:t>
      </w:r>
      <w:r>
        <w:rPr>
          <w:rFonts w:cs="Times New Roman"/>
          <w:color w:val="auto"/>
          <w:highlight w:val="none"/>
        </w:rPr>
        <w:t>公众参与调查分析结论</w:t>
      </w:r>
      <w:bookmarkEnd w:id="941"/>
      <w:bookmarkEnd w:id="942"/>
      <w:bookmarkEnd w:id="943"/>
      <w:bookmarkEnd w:id="944"/>
      <w:bookmarkEnd w:id="945"/>
      <w:bookmarkEnd w:id="946"/>
    </w:p>
    <w:p w14:paraId="2C79119F">
      <w:pPr>
        <w:spacing w:line="360" w:lineRule="auto"/>
        <w:ind w:firstLine="480"/>
        <w:rPr>
          <w:color w:val="auto"/>
          <w:highlight w:val="none"/>
        </w:rPr>
      </w:pPr>
      <w:r>
        <w:rPr>
          <w:rFonts w:cs="Times New Roman"/>
          <w:color w:val="auto"/>
          <w:highlight w:val="none"/>
        </w:rPr>
        <w:t>本项目进行了网络公示、报纸公示和基层组织公告、公众参与调查问卷。公示期间，本项目没有收到公众的意见和建议。</w:t>
      </w:r>
    </w:p>
    <w:bookmarkEnd w:id="918"/>
    <w:bookmarkEnd w:id="919"/>
    <w:bookmarkEnd w:id="920"/>
    <w:bookmarkEnd w:id="921"/>
    <w:bookmarkEnd w:id="922"/>
    <w:p w14:paraId="1A592252">
      <w:pPr>
        <w:pStyle w:val="6"/>
        <w:numPr>
          <w:ilvl w:val="1"/>
          <w:numId w:val="0"/>
        </w:numPr>
        <w:spacing w:line="360" w:lineRule="auto"/>
        <w:rPr>
          <w:color w:val="auto"/>
          <w:highlight w:val="none"/>
        </w:rPr>
      </w:pPr>
      <w:bookmarkStart w:id="947" w:name="_Toc21755"/>
      <w:bookmarkStart w:id="948" w:name="_Toc49174934"/>
      <w:bookmarkStart w:id="949" w:name="_Toc50307245"/>
      <w:bookmarkStart w:id="950" w:name="_Toc61943998"/>
      <w:bookmarkStart w:id="951" w:name="_Toc13037"/>
      <w:bookmarkStart w:id="952" w:name="_Toc49174441"/>
      <w:bookmarkStart w:id="953" w:name="_Toc61943873"/>
      <w:bookmarkStart w:id="954" w:name="_Toc49174759"/>
      <w:bookmarkStart w:id="955" w:name="_Toc49175109"/>
      <w:bookmarkStart w:id="956" w:name="_Toc78441906"/>
      <w:bookmarkStart w:id="957" w:name="_Toc67629594"/>
      <w:bookmarkStart w:id="958" w:name="_Toc49175166"/>
      <w:bookmarkStart w:id="959" w:name="_Toc49174650"/>
      <w:bookmarkStart w:id="960" w:name="_Toc75357837"/>
      <w:bookmarkStart w:id="961" w:name="_Toc8500"/>
      <w:bookmarkStart w:id="962" w:name="_Toc13237"/>
      <w:bookmarkStart w:id="963" w:name="_Toc19998"/>
      <w:bookmarkStart w:id="964" w:name="_Toc8504"/>
      <w:bookmarkStart w:id="965" w:name="_Toc25805"/>
      <w:r>
        <w:rPr>
          <w:color w:val="auto"/>
          <w:highlight w:val="none"/>
        </w:rPr>
        <w:t>9.</w:t>
      </w:r>
      <w:r>
        <w:rPr>
          <w:rFonts w:hint="eastAsia"/>
          <w:color w:val="auto"/>
          <w:highlight w:val="none"/>
          <w:lang w:val="en-US" w:eastAsia="zh-CN"/>
        </w:rPr>
        <w:t>10</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r>
        <w:rPr>
          <w:rFonts w:cs="Times New Roman"/>
          <w:color w:val="auto"/>
          <w:highlight w:val="none"/>
        </w:rPr>
        <w:t>综合评价结论</w:t>
      </w:r>
      <w:bookmarkEnd w:id="961"/>
      <w:bookmarkEnd w:id="962"/>
      <w:bookmarkEnd w:id="963"/>
      <w:bookmarkEnd w:id="964"/>
      <w:bookmarkEnd w:id="965"/>
    </w:p>
    <w:p w14:paraId="56D86D37">
      <w:pPr>
        <w:spacing w:line="360" w:lineRule="auto"/>
        <w:ind w:firstLine="480"/>
        <w:rPr>
          <w:rFonts w:ascii="Times New Roman"/>
          <w:color w:val="auto"/>
          <w:highlight w:val="none"/>
        </w:rPr>
      </w:pPr>
      <w:r>
        <w:rPr>
          <w:rFonts w:ascii="Times New Roman"/>
          <w:color w:val="auto"/>
          <w:highlight w:val="none"/>
        </w:rPr>
        <w:t>综上所述，</w:t>
      </w:r>
      <w:r>
        <w:rPr>
          <w:rFonts w:hint="default" w:ascii="Times New Roman" w:hAnsi="宋体" w:eastAsia="宋体" w:cs="Times New Roman"/>
          <w:color w:val="auto"/>
          <w:kern w:val="0"/>
          <w:sz w:val="24"/>
          <w:szCs w:val="24"/>
          <w:highlight w:val="none"/>
          <w:lang w:val="en-US" w:eastAsia="zh-CN"/>
        </w:rPr>
        <w:t>黑龙江嘉龙环保科技有限公司</w:t>
      </w:r>
      <w:r>
        <w:rPr>
          <w:rFonts w:hint="eastAsia" w:ascii="Times New Roman" w:hAnsi="宋体" w:eastAsia="宋体" w:cs="Times New Roman"/>
          <w:color w:val="auto"/>
          <w:kern w:val="0"/>
          <w:sz w:val="24"/>
          <w:szCs w:val="24"/>
          <w:highlight w:val="none"/>
          <w:lang w:val="en-US" w:eastAsia="zh-CN"/>
        </w:rPr>
        <w:t>灰渣回填复垦利用项目</w:t>
      </w:r>
      <w:r>
        <w:rPr>
          <w:rFonts w:ascii="Times New Roman"/>
          <w:color w:val="auto"/>
          <w:highlight w:val="none"/>
        </w:rPr>
        <w:t>符合《产业结构调整指导目录（20</w:t>
      </w:r>
      <w:r>
        <w:rPr>
          <w:rFonts w:hint="eastAsia"/>
          <w:color w:val="auto"/>
          <w:highlight w:val="none"/>
          <w:lang w:val="en-US" w:eastAsia="zh-CN"/>
        </w:rPr>
        <w:t>24</w:t>
      </w:r>
      <w:r>
        <w:rPr>
          <w:rFonts w:ascii="Times New Roman"/>
          <w:color w:val="auto"/>
          <w:highlight w:val="none"/>
        </w:rPr>
        <w:t>年本）</w:t>
      </w:r>
      <w:r>
        <w:rPr>
          <w:rFonts w:hint="eastAsia"/>
          <w:color w:val="auto"/>
          <w:highlight w:val="none"/>
          <w:lang w:eastAsia="zh-CN"/>
        </w:rPr>
        <w:t>》</w:t>
      </w:r>
      <w:r>
        <w:rPr>
          <w:rFonts w:ascii="Times New Roman"/>
          <w:color w:val="auto"/>
          <w:highlight w:val="none"/>
        </w:rPr>
        <w:t>要求。</w:t>
      </w:r>
    </w:p>
    <w:p w14:paraId="2F19F8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pPr>
      <w:r>
        <w:rPr>
          <w:rFonts w:hint="eastAsia" w:ascii="Times New Roman"/>
          <w:color w:val="auto"/>
          <w:highlight w:val="none"/>
        </w:rPr>
        <w:t>本项目通过综合环境空气影响评价、声环境影响评价、地表水</w:t>
      </w:r>
      <w:r>
        <w:rPr>
          <w:rFonts w:hint="eastAsia"/>
          <w:color w:val="auto"/>
          <w:highlight w:val="none"/>
          <w:lang w:eastAsia="zh-CN"/>
        </w:rPr>
        <w:t>、</w:t>
      </w:r>
      <w:r>
        <w:rPr>
          <w:rFonts w:hint="eastAsia"/>
          <w:color w:val="auto"/>
          <w:highlight w:val="none"/>
          <w:lang w:val="en-US" w:eastAsia="zh-CN"/>
        </w:rPr>
        <w:t>地下水、土壤</w:t>
      </w:r>
      <w:r>
        <w:rPr>
          <w:rFonts w:hint="eastAsia"/>
          <w:color w:val="auto"/>
          <w:highlight w:val="none"/>
          <w:lang w:eastAsia="zh-CN"/>
        </w:rPr>
        <w:t>、</w:t>
      </w:r>
      <w:r>
        <w:rPr>
          <w:rFonts w:hint="eastAsia" w:ascii="Times New Roman"/>
          <w:color w:val="auto"/>
          <w:highlight w:val="none"/>
        </w:rPr>
        <w:t>固体废物</w:t>
      </w:r>
      <w:r>
        <w:rPr>
          <w:rFonts w:hint="eastAsia"/>
          <w:color w:val="auto"/>
          <w:highlight w:val="none"/>
          <w:lang w:val="en-US" w:eastAsia="zh-CN"/>
        </w:rPr>
        <w:t>和生态环境</w:t>
      </w:r>
      <w:r>
        <w:rPr>
          <w:rFonts w:hint="eastAsia" w:ascii="Times New Roman"/>
          <w:color w:val="auto"/>
          <w:highlight w:val="none"/>
        </w:rPr>
        <w:t>影响分析</w:t>
      </w:r>
      <w:r>
        <w:rPr>
          <w:rFonts w:hint="eastAsia"/>
          <w:color w:val="auto"/>
          <w:highlight w:val="none"/>
          <w:lang w:val="en-US" w:eastAsia="zh-CN"/>
        </w:rPr>
        <w:t>等</w:t>
      </w:r>
      <w:r>
        <w:rPr>
          <w:rFonts w:hint="eastAsia" w:ascii="Times New Roman"/>
          <w:color w:val="auto"/>
          <w:highlight w:val="none"/>
        </w:rPr>
        <w:t>，结合环境经济损益分析结论，在确保报告书提出的污染防治措施全面实施并正常运行的前提下，通过加强环境管理及环境监测，杜绝事故排放，</w:t>
      </w:r>
      <w:r>
        <w:rPr>
          <w:rFonts w:hint="eastAsia"/>
          <w:color w:val="auto"/>
          <w:highlight w:val="none"/>
          <w:lang w:eastAsia="zh-CN"/>
        </w:rPr>
        <w:t>本项目</w:t>
      </w:r>
      <w:r>
        <w:rPr>
          <w:rFonts w:hint="eastAsia" w:ascii="Times New Roman"/>
          <w:color w:val="auto"/>
          <w:highlight w:val="none"/>
        </w:rPr>
        <w:t>的建设可被周围环境所接受。因此，该项目的建设从环境保护的角度分析是可行的。</w:t>
      </w:r>
    </w:p>
    <w:p w14:paraId="32225B5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highlight w:val="none"/>
        </w:rPr>
        <w:sectPr>
          <w:pgSz w:w="11906" w:h="16838"/>
          <w:pgMar w:top="1440" w:right="1440" w:bottom="1440" w:left="1701" w:header="851" w:footer="992" w:gutter="0"/>
          <w:pgBorders>
            <w:top w:val="none" w:sz="0" w:space="0"/>
            <w:left w:val="none" w:sz="0" w:space="0"/>
            <w:bottom w:val="none" w:sz="0" w:space="0"/>
            <w:right w:val="none" w:sz="0" w:space="0"/>
          </w:pgBorders>
          <w:pgNumType w:fmt="numberInDash"/>
          <w:cols w:space="720" w:num="1"/>
          <w:docGrid w:linePitch="312" w:charSpace="0"/>
        </w:sectPr>
      </w:pPr>
    </w:p>
    <w:bookmarkEnd w:id="889"/>
    <w:bookmarkEnd w:id="890"/>
    <w:bookmarkEnd w:id="891"/>
    <w:bookmarkEnd w:id="892"/>
    <w:p w14:paraId="3FB33925">
      <w:pPr>
        <w:rPr>
          <w:rFonts w:hint="eastAsia" w:asciiTheme="minorEastAsia" w:hAnsiTheme="minorEastAsia" w:eastAsiaTheme="minorEastAsia" w:cstheme="minorEastAsia"/>
          <w:color w:val="auto"/>
          <w:highlight w:val="none"/>
          <w:lang w:val="en-US" w:eastAsia="zh-CN"/>
        </w:rPr>
      </w:pPr>
    </w:p>
    <w:p w14:paraId="146345C1">
      <w:pPr>
        <w:rPr>
          <w:rFonts w:hint="eastAsia" w:asciiTheme="minorEastAsia" w:hAnsiTheme="minorEastAsia" w:eastAsiaTheme="minorEastAsia" w:cstheme="minorEastAsia"/>
          <w:color w:val="auto"/>
          <w:highlight w:val="none"/>
          <w:lang w:val="en-US" w:eastAsia="zh-CN"/>
        </w:rPr>
      </w:pPr>
    </w:p>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1"/>
    <w:family w:val="swiss"/>
    <w:pitch w:val="default"/>
    <w:sig w:usb0="E0002EFF" w:usb1="C000785B" w:usb2="00000009" w:usb3="00000000" w:csb0="400001FF" w:csb1="FFFF0000"/>
  </w:font>
  <w:font w:name="宋体">
    <w:panose1 w:val="02010600030101010101"/>
    <w:charset w:val="4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E830EC44-C838-438B-BB8B-3D6D1588360A}"/>
  </w:font>
  <w:font w:name="黑体">
    <w:panose1 w:val="02010609060101010101"/>
    <w:charset w:val="86"/>
    <w:family w:val="auto"/>
    <w:pitch w:val="default"/>
    <w:sig w:usb0="800002BF" w:usb1="38CF7CFA" w:usb2="00000016" w:usb3="00000000" w:csb0="00040001" w:csb1="00000000"/>
    <w:embedRegular r:id="rId2" w:fontKey="{0550B687-D760-4478-8455-77BC2BA07380}"/>
  </w:font>
  <w:font w:name="Courier New">
    <w:panose1 w:val="02070309020205020404"/>
    <w:charset w:val="01"/>
    <w:family w:val="modern"/>
    <w:pitch w:val="default"/>
    <w:sig w:usb0="E0002EFF" w:usb1="C0007843" w:usb2="00000009" w:usb3="00000000" w:csb0="400001FF" w:csb1="FFFF0000"/>
    <w:embedRegular r:id="rId3" w:fontKey="{6237BEA7-076C-4D34-AEAB-AEB09C23E32C}"/>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A17BFC00-B6B8-4013-A165-F80324FD02C2}"/>
  </w:font>
  <w:font w:name="仿宋_GB2312">
    <w:panose1 w:val="02010609030101010101"/>
    <w:charset w:val="86"/>
    <w:family w:val="modern"/>
    <w:pitch w:val="default"/>
    <w:sig w:usb0="00000001" w:usb1="080E0000" w:usb2="00000000" w:usb3="00000000" w:csb0="00040000" w:csb1="00000000"/>
    <w:embedRegular r:id="rId5" w:fontKey="{58BBEA1F-4A17-42FA-9B92-8913235FABC0}"/>
  </w:font>
  <w:font w:name="Arial Black">
    <w:panose1 w:val="020B0A04020102020204"/>
    <w:charset w:val="00"/>
    <w:family w:val="swiss"/>
    <w:pitch w:val="default"/>
    <w:sig w:usb0="A00002AF" w:usb1="400078FB" w:usb2="00000000" w:usb3="00000000" w:csb0="6000009F" w:csb1="DFD70000"/>
  </w:font>
  <w:font w:name="Garamond">
    <w:panose1 w:val="02020404030301010803"/>
    <w:charset w:val="00"/>
    <w:family w:val="roman"/>
    <w:pitch w:val="default"/>
    <w:sig w:usb0="00000287" w:usb1="00000000" w:usb2="00000000" w:usb3="00000000" w:csb0="0000009F" w:csb1="DFD70000"/>
  </w:font>
  <w:font w:name="Arial Unicode MS">
    <w:altName w:val="Arial"/>
    <w:panose1 w:val="020B0604020202020204"/>
    <w:charset w:val="00"/>
    <w:family w:val="roman"/>
    <w:pitch w:val="default"/>
    <w:sig w:usb0="00000000" w:usb1="00000000" w:usb2="00000000" w:usb3="00000000" w:csb0="00000001" w:csb1="00000000"/>
  </w:font>
  <w:font w:name="楷体_GB2312">
    <w:panose1 w:val="02010609030101010101"/>
    <w:charset w:val="86"/>
    <w:family w:val="modern"/>
    <w:pitch w:val="default"/>
    <w:sig w:usb0="00000001" w:usb1="080E0000" w:usb2="00000000" w:usb3="00000000" w:csb0="00040000" w:csb1="00000000"/>
  </w:font>
  <w:font w:name="方正粗圆简体">
    <w:altName w:val="宋体"/>
    <w:panose1 w:val="02010601030101010101"/>
    <w:charset w:val="86"/>
    <w:family w:val="auto"/>
    <w:pitch w:val="default"/>
    <w:sig w:usb0="00000000" w:usb1="00000000" w:usb2="00000010" w:usb3="00000000" w:csb0="00040000" w:csb1="00000000"/>
  </w:font>
  <w:font w:name="CG Times (W1)">
    <w:altName w:val="Segoe Print"/>
    <w:panose1 w:val="00000000000000000000"/>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Cambria">
    <w:panose1 w:val="02040503050406030204"/>
    <w:charset w:val="00"/>
    <w:family w:val="roman"/>
    <w:pitch w:val="default"/>
    <w:sig w:usb0="E00006FF" w:usb1="420024FF" w:usb2="02000000" w:usb3="00000000" w:csb0="2000019F" w:csb1="00000000"/>
  </w:font>
  <w:font w:name="宋体_GB2312">
    <w:altName w:val="宋体"/>
    <w:panose1 w:val="00000000000000000000"/>
    <w:charset w:val="86"/>
    <w:family w:val="roman"/>
    <w:pitch w:val="default"/>
    <w:sig w:usb0="00000000" w:usb1="00000000" w:usb2="00000010" w:usb3="00000000" w:csb0="00040000" w:csb1="00000000"/>
  </w:font>
  <w:font w:name="Times">
    <w:altName w:val="Times New Roman"/>
    <w:panose1 w:val="02020603050405020304"/>
    <w:charset w:val="00"/>
    <w:family w:val="roman"/>
    <w:pitch w:val="default"/>
    <w:sig w:usb0="00000000" w:usb1="00000000" w:usb2="00000009" w:usb3="00000000" w:csb0="000001FF" w:csb1="00000000"/>
  </w:font>
  <w:font w:name="新宋体">
    <w:panose1 w:val="02010609030101010101"/>
    <w:charset w:val="86"/>
    <w:family w:val="modern"/>
    <w:pitch w:val="default"/>
    <w:sig w:usb0="00000203" w:usb1="288F0000" w:usb2="00000006" w:usb3="00000000" w:csb0="00040001" w:csb1="00000000"/>
  </w:font>
  <w:font w:name="华文仿宋">
    <w:panose1 w:val="02010600040101010101"/>
    <w:charset w:val="86"/>
    <w:family w:val="auto"/>
    <w:pitch w:val="default"/>
    <w:sig w:usb0="00000287" w:usb1="080F0000" w:usb2="00000000" w:usb3="00000000" w:csb0="0004009F" w:csb1="DFD70000"/>
  </w:font>
  <w:font w:name="Bodoni MT Condensed">
    <w:panose1 w:val="02070606080606020203"/>
    <w:charset w:val="00"/>
    <w:family w:val="roman"/>
    <w:pitch w:val="default"/>
    <w:sig w:usb0="00000003" w:usb1="00000000" w:usb2="00000000" w:usb3="00000000" w:csb0="20000001"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楷体">
    <w:panose1 w:val="02010609060101010101"/>
    <w:charset w:val="86"/>
    <w:family w:val="auto"/>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1" w:csb1="00000000"/>
  </w:font>
  <w:font w:name="华文细黑">
    <w:panose1 w:val="02010600040101010101"/>
    <w:charset w:val="86"/>
    <w:family w:val="auto"/>
    <w:pitch w:val="default"/>
    <w:sig w:usb0="00000287" w:usb1="080F0000" w:usb2="00000000" w:usb3="00000000" w:csb0="0004009F" w:csb1="DFD70000"/>
  </w:font>
  <w:font w:name="方正黑体简体">
    <w:altName w:val="微软雅黑"/>
    <w:panose1 w:val="02010601030101010101"/>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华文隶书">
    <w:panose1 w:val="02010800040101010101"/>
    <w:charset w:val="86"/>
    <w:family w:val="auto"/>
    <w:pitch w:val="default"/>
    <w:sig w:usb0="00000001" w:usb1="080F0000" w:usb2="00000000" w:usb3="00000000" w:csb0="00040000" w:csb1="00000000"/>
  </w:font>
  <w:font w:name="MS Mincho">
    <w:altName w:val="Yu Gothic UI"/>
    <w:panose1 w:val="02020609040205080304"/>
    <w:charset w:val="80"/>
    <w:family w:val="modern"/>
    <w:pitch w:val="default"/>
    <w:sig w:usb0="00000000" w:usb1="00000000" w:usb2="00000012" w:usb3="00000000" w:csb0="4002009F" w:csb1="DFD70000"/>
  </w:font>
  <w:font w:name="Yu Gothic UI">
    <w:panose1 w:val="020B0500000000000000"/>
    <w:charset w:val="80"/>
    <w:family w:val="auto"/>
    <w:pitch w:val="default"/>
    <w:sig w:usb0="E00002FF" w:usb1="2AC7FDFF" w:usb2="00000016" w:usb3="00000000" w:csb0="2002009F" w:csb1="00000000"/>
  </w:font>
  <w:font w:name="昆仑细圆">
    <w:altName w:val="宋体"/>
    <w:panose1 w:val="00000000000000000000"/>
    <w:charset w:val="86"/>
    <w:family w:val="swiss"/>
    <w:pitch w:val="default"/>
    <w:sig w:usb0="00000000" w:usb1="00000000" w:usb2="00000010" w:usb3="00000000" w:csb0="00040000" w:csb1="00000000"/>
  </w:font>
  <w:font w:name="3">
    <w:altName w:val="Segoe Print"/>
    <w:panose1 w:val="00000000000000000000"/>
    <w:charset w:val="00"/>
    <w:family w:val="roman"/>
    <w:pitch w:val="default"/>
    <w:sig w:usb0="00000000" w:usb1="00000000" w:usb2="00000000" w:usb3="00000000" w:csb0="00000001" w:csb1="00000000"/>
  </w:font>
  <w:font w:name="Sim Sun">
    <w:altName w:val="宋体"/>
    <w:panose1 w:val="00000000000000000000"/>
    <w:charset w:val="86"/>
    <w:family w:val="swiss"/>
    <w:pitch w:val="default"/>
    <w:sig w:usb0="00000000" w:usb1="00000000" w:usb2="00000010" w:usb3="00000000" w:csb0="00040000" w:csb1="00000000"/>
  </w:font>
  <w:font w:name="仿宋体">
    <w:altName w:val="微软雅黑"/>
    <w:panose1 w:val="00000000000000000000"/>
    <w:charset w:val="86"/>
    <w:family w:val="roman"/>
    <w:pitch w:val="default"/>
    <w:sig w:usb0="00000000" w:usb1="00000000" w:usb2="00000010" w:usb3="00000000" w:csb0="00040000" w:csb1="00000000"/>
  </w:font>
  <w:font w:name="????">
    <w:altName w:val="Malgun Gothic"/>
    <w:panose1 w:val="00000000000000000000"/>
    <w:charset w:val="81"/>
    <w:family w:val="auto"/>
    <w:pitch w:val="default"/>
    <w:sig w:usb0="00000000" w:usb1="00000000" w:usb2="00000010" w:usb3="00000000" w:csb0="00080000" w:csb1="00000000"/>
  </w:font>
  <w:font w:name="Malgun Gothic">
    <w:panose1 w:val="020B0503020000020004"/>
    <w:charset w:val="81"/>
    <w:family w:val="auto"/>
    <w:pitch w:val="default"/>
    <w:sig w:usb0="9000002F" w:usb1="29D77CFB" w:usb2="00000012" w:usb3="00000000" w:csb0="00080001" w:csb1="00000000"/>
  </w:font>
  <w:font w:name="华文中宋">
    <w:panose1 w:val="02010600040101010101"/>
    <w:charset w:val="86"/>
    <w:family w:val="auto"/>
    <w:pitch w:val="default"/>
    <w:sig w:usb0="00000287" w:usb1="080F0000" w:usb2="00000000" w:usb3="00000000" w:csb0="0004009F" w:csb1="DFD70000"/>
  </w:font>
  <w:font w:name="Tms Rmn">
    <w:altName w:val="Segoe Print"/>
    <w:panose1 w:val="02020603040505020304"/>
    <w:charset w:val="00"/>
    <w:family w:val="roman"/>
    <w:pitch w:val="default"/>
    <w:sig w:usb0="00000000" w:usb1="00000000" w:usb2="00000000" w:usb3="00000000" w:csb0="00000001" w:csb1="00000000"/>
  </w:font>
  <w:font w:name="五">
    <w:altName w:val="宋体"/>
    <w:panose1 w:val="00000000000000000000"/>
    <w:charset w:val="86"/>
    <w:family w:val="auto"/>
    <w:pitch w:val="default"/>
    <w:sig w:usb0="00000000" w:usb1="00000000" w:usb2="00000010" w:usb3="00000000" w:csb0="00040000" w:csb1="00000000"/>
  </w:font>
  <w:font w:name="方正隶变简体">
    <w:altName w:val="宋体"/>
    <w:panose1 w:val="02010601030101010101"/>
    <w:charset w:val="86"/>
    <w:family w:val="auto"/>
    <w:pitch w:val="default"/>
    <w:sig w:usb0="00000000" w:usb1="00000000" w:usb2="00000010" w:usb3="00000000" w:csb0="00040000" w:csb1="00000000"/>
  </w:font>
  <w:font w:name="长城黑体">
    <w:altName w:val="宋体"/>
    <w:panose1 w:val="02010609000101010101"/>
    <w:charset w:val="86"/>
    <w:family w:val="modern"/>
    <w:pitch w:val="default"/>
    <w:sig w:usb0="00000000" w:usb1="00000000" w:usb2="00000010" w:usb3="00000000" w:csb0="00040000" w:csb1="00000000"/>
  </w:font>
  <w:font w:name="Trebuchet MS">
    <w:panose1 w:val="020B0603020202020204"/>
    <w:charset w:val="00"/>
    <w:family w:val="swiss"/>
    <w:pitch w:val="default"/>
    <w:sig w:usb0="00000687" w:usb1="00000000" w:usb2="00000000" w:usb3="00000000" w:csb0="2000009F" w:csb1="00000000"/>
  </w:font>
  <w:font w:name="隶书">
    <w:panose1 w:val="0201050906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embedRegular r:id="rId6" w:fontKey="{D64EEC61-6F8C-485C-8FFA-057313E3B447}"/>
  </w:font>
  <w:font w:name="Segoe UI Symbol">
    <w:panose1 w:val="020B0502040204020203"/>
    <w:charset w:val="00"/>
    <w:family w:val="swiss"/>
    <w:pitch w:val="default"/>
    <w:sig w:usb0="800001E3" w:usb1="1200FFEF" w:usb2="00040000" w:usb3="04000000" w:csb0="00000001" w:csb1="40000000"/>
    <w:embedRegular r:id="rId7" w:fontKey="{28B4D678-174B-401A-BC41-22148B3414B8}"/>
  </w:font>
  <w:font w:name="KSOF6398537F">
    <w:panose1 w:val="020B0604020202020204"/>
    <w:charset w:val="86"/>
    <w:family w:val="auto"/>
    <w:pitch w:val="default"/>
    <w:sig w:usb0="00000001" w:usb1="00000000" w:usb2="00000000" w:usb3="00000000" w:csb0="003E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3FAA7">
    <w:pPr>
      <w:pStyle w:val="53"/>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169AEA">
    <w:pPr>
      <w:pStyle w:val="53"/>
      <w:framePr w:wrap="around" w:vAnchor="text" w:hAnchor="margin" w:xAlign="center" w:y="1"/>
      <w:rPr>
        <w:rStyle w:val="131"/>
      </w:rPr>
    </w:pPr>
    <w:r>
      <w:fldChar w:fldCharType="begin"/>
    </w:r>
    <w:r>
      <w:rPr>
        <w:rStyle w:val="131"/>
      </w:rPr>
      <w:instrText xml:space="preserve">PAGE  </w:instrText>
    </w:r>
    <w:r>
      <w:fldChar w:fldCharType="end"/>
    </w:r>
  </w:p>
  <w:p w14:paraId="3FA69EB6">
    <w:pPr>
      <w:pStyle w:val="53"/>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3F4CEE">
    <w:pPr>
      <w:pStyle w:val="53"/>
      <w:jc w:val="right"/>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D75E8F">
                          <w:pPr>
                            <w:pStyle w:val="5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1AD75E8F">
                    <w:pPr>
                      <w:pStyle w:val="5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12139E">
    <w:pPr>
      <w:pStyle w:val="53"/>
      <w:jc w:val="right"/>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97" name="文本框 9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851FCAB">
                          <w:pPr>
                            <w:pStyle w:val="5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WEWwzAgAAYwQAAA4AAABkcnMvZTJvRG9jLnhtbK1UzY7TMBC+I/EO&#10;lu80aRFL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37ymxDCNip++fzv9&#10;+HX6+ZXgDAI1LswQt3GIjO1b26JthvOAw8S7rbxOXzAi8EPe40Ve0UbC06XpZDrN4eLwDRvgZw/X&#10;nQ/xnbCaJKOgHvXrZGWH2xD70CEkZTN2LZXqaqgMaQp69fJV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JWEWwzAgAAYwQAAA4AAAAAAAAAAQAgAAAAHwEAAGRycy9lMm9Eb2MueG1sUEsF&#10;BgAAAAAGAAYAWQEAAMQFAAAAAA==&#10;">
              <v:fill on="f" focussize="0,0"/>
              <v:stroke on="f" weight="0.5pt"/>
              <v:imagedata o:title=""/>
              <o:lock v:ext="edit" aspectratio="f"/>
              <v:textbox inset="0mm,0mm,0mm,0mm" style="mso-fit-shape-to-text:t;">
                <w:txbxContent>
                  <w:p w14:paraId="7851FCAB">
                    <w:pPr>
                      <w:pStyle w:val="5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DBC756">
    <w:pPr>
      <w:pStyle w:val="5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57C1EFE">
                          <w:pPr>
                            <w:pStyle w:val="53"/>
                          </w:pPr>
                          <w:r>
                            <w:fldChar w:fldCharType="begin"/>
                          </w:r>
                          <w:r>
                            <w:instrText xml:space="preserve"> PAGE  \* MERGEFORMAT </w:instrText>
                          </w:r>
                          <w:r>
                            <w:fldChar w:fldCharType="separate"/>
                          </w:r>
                          <w:r>
                            <w:t>62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oMpEzAgAAYw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JoMpEzAgAAYwQAAA4AAAAAAAAAAQAgAAAAHwEAAGRycy9lMm9Eb2MueG1sUEsF&#10;BgAAAAAGAAYAWQEAAMQFAAAAAA==&#10;">
              <v:fill on="f" focussize="0,0"/>
              <v:stroke on="f" weight="0.5pt"/>
              <v:imagedata o:title=""/>
              <o:lock v:ext="edit" aspectratio="f"/>
              <v:textbox inset="0mm,0mm,0mm,0mm" style="mso-fit-shape-to-text:t;">
                <w:txbxContent>
                  <w:p w14:paraId="457C1EFE">
                    <w:pPr>
                      <w:pStyle w:val="53"/>
                    </w:pPr>
                    <w:r>
                      <w:fldChar w:fldCharType="begin"/>
                    </w:r>
                    <w:r>
                      <w:instrText xml:space="preserve"> PAGE  \* MERGEFORMAT </w:instrText>
                    </w:r>
                    <w:r>
                      <w:fldChar w:fldCharType="separate"/>
                    </w:r>
                    <w:r>
                      <w:t>62</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04B9A">
    <w:pPr>
      <w:pStyle w:val="53"/>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D213AA">
                          <w:pPr>
                            <w:pStyle w:val="53"/>
                          </w:pPr>
                          <w:r>
                            <w:fldChar w:fldCharType="begin"/>
                          </w:r>
                          <w:r>
                            <w:instrText xml:space="preserve"> PAGE  \* MERGEFORMAT </w:instrText>
                          </w:r>
                          <w:r>
                            <w:fldChar w:fldCharType="separate"/>
                          </w:r>
                          <w:r>
                            <w:t>92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14:paraId="7CD213AA">
                    <w:pPr>
                      <w:pStyle w:val="53"/>
                    </w:pPr>
                    <w:r>
                      <w:fldChar w:fldCharType="begin"/>
                    </w:r>
                    <w:r>
                      <w:instrText xml:space="preserve"> PAGE  \* MERGEFORMAT </w:instrText>
                    </w:r>
                    <w:r>
                      <w:fldChar w:fldCharType="separate"/>
                    </w:r>
                    <w:r>
                      <w:t>92</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7EAF3F">
    <w:pPr>
      <w:pStyle w:val="53"/>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268745">
                          <w:pPr>
                            <w:pStyle w:val="53"/>
                          </w:pPr>
                          <w:r>
                            <w:fldChar w:fldCharType="begin"/>
                          </w:r>
                          <w:r>
                            <w:instrText xml:space="preserve"> PAGE  \* MERGEFORMAT </w:instrText>
                          </w:r>
                          <w:r>
                            <w:fldChar w:fldCharType="separate"/>
                          </w:r>
                          <w:r>
                            <w:t>122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R3IzAgAAY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7R3IzAgAAYwQAAA4AAAAAAAAAAQAgAAAAHwEAAGRycy9lMm9Eb2MueG1sUEsF&#10;BgAAAAAGAAYAWQEAAMQFAAAAAA==&#10;">
              <v:fill on="f" focussize="0,0"/>
              <v:stroke on="f" weight="0.5pt"/>
              <v:imagedata o:title=""/>
              <o:lock v:ext="edit" aspectratio="f"/>
              <v:textbox inset="0mm,0mm,0mm,0mm" style="mso-fit-shape-to-text:t;">
                <w:txbxContent>
                  <w:p w14:paraId="18268745">
                    <w:pPr>
                      <w:pStyle w:val="53"/>
                    </w:pPr>
                    <w:r>
                      <w:fldChar w:fldCharType="begin"/>
                    </w:r>
                    <w:r>
                      <w:instrText xml:space="preserve"> PAGE  \* MERGEFORMAT </w:instrText>
                    </w:r>
                    <w:r>
                      <w:fldChar w:fldCharType="separate"/>
                    </w:r>
                    <w:r>
                      <w:t>122</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A85EB4">
    <w:pPr>
      <w:pStyle w:val="53"/>
      <w:ind w:right="36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8C81E7">
                          <w:pPr>
                            <w:pStyle w:val="53"/>
                          </w:pPr>
                          <w:r>
                            <w:fldChar w:fldCharType="begin"/>
                          </w:r>
                          <w:r>
                            <w:instrText xml:space="preserve"> PAGE  \* MERGEFORMAT </w:instrText>
                          </w:r>
                          <w:r>
                            <w:fldChar w:fldCharType="separate"/>
                          </w:r>
                          <w:r>
                            <w:t>157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338C81E7">
                    <w:pPr>
                      <w:pStyle w:val="53"/>
                    </w:pPr>
                    <w:r>
                      <w:fldChar w:fldCharType="begin"/>
                    </w:r>
                    <w:r>
                      <w:instrText xml:space="preserve"> PAGE  \* MERGEFORMAT </w:instrText>
                    </w:r>
                    <w:r>
                      <w:fldChar w:fldCharType="separate"/>
                    </w:r>
                    <w:r>
                      <w:t>157</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48CBB">
    <w:pPr>
      <w:pBdr>
        <w:bottom w:val="single" w:color="auto" w:sz="4" w:space="0"/>
      </w:pBdr>
      <w:jc w:val="center"/>
      <w:rPr>
        <w:rFonts w:hint="eastAsia"/>
      </w:rPr>
    </w:pPr>
    <w:r>
      <w:rPr>
        <w:rFonts w:hint="default" w:ascii="宋体" w:hAnsi="宋体" w:eastAsia="宋体" w:cs="Times New Roman"/>
        <w:sz w:val="21"/>
        <w:szCs w:val="21"/>
        <w:lang w:val="en-US" w:eastAsia="zh-CN"/>
      </w:rPr>
      <w:t>黑龙江嘉龙环保科技有限公司</w:t>
    </w:r>
    <w:r>
      <w:rPr>
        <w:rFonts w:hint="eastAsia" w:ascii="宋体" w:hAnsi="宋体" w:eastAsia="宋体" w:cs="Times New Roman"/>
        <w:sz w:val="21"/>
        <w:szCs w:val="21"/>
        <w:lang w:val="en-US" w:eastAsia="zh-CN"/>
      </w:rPr>
      <w:t>灰渣回填复垦利用项目</w:t>
    </w:r>
    <w:r>
      <w:rPr>
        <w:rFonts w:hint="eastAsia" w:ascii="宋体" w:hAnsi="宋体" w:eastAsia="宋体" w:cs="Times New Roman"/>
        <w:sz w:val="21"/>
        <w:szCs w:val="21"/>
      </w:rPr>
      <w:t>环境影</w:t>
    </w:r>
    <w:r>
      <w:rPr>
        <w:rFonts w:hint="eastAsia" w:hAnsi="宋体"/>
        <w:sz w:val="21"/>
        <w:szCs w:val="21"/>
      </w:rPr>
      <w:t>响报告书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6856F6">
    <w:pPr>
      <w:pStyle w:val="55"/>
      <w:jc w:val="right"/>
    </w:pPr>
    <w:r>
      <w:rPr>
        <w:rFonts w:hint="default" w:ascii="宋体" w:hAnsi="宋体" w:eastAsia="宋体" w:cs="Times New Roman"/>
        <w:sz w:val="21"/>
        <w:szCs w:val="21"/>
        <w:lang w:val="en-US" w:eastAsia="zh-CN"/>
      </w:rPr>
      <w:t>黑龙江嘉龙环保科技有限公司</w:t>
    </w:r>
    <w:r>
      <w:rPr>
        <w:rFonts w:hint="eastAsia" w:ascii="宋体" w:hAnsi="宋体" w:eastAsia="宋体" w:cs="Times New Roman"/>
        <w:sz w:val="21"/>
        <w:szCs w:val="21"/>
        <w:lang w:val="en-US" w:eastAsia="zh-CN"/>
      </w:rPr>
      <w:t>灰渣回填复垦利用项目</w:t>
    </w:r>
    <w:r>
      <w:rPr>
        <w:rFonts w:hint="eastAsia" w:ascii="宋体" w:hAnsi="宋体" w:eastAsia="宋体" w:cs="Times New Roman"/>
        <w:sz w:val="21"/>
        <w:szCs w:val="21"/>
      </w:rPr>
      <w:t>环境影</w:t>
    </w:r>
    <w:r>
      <w:rPr>
        <w:rFonts w:hint="eastAsia" w:hAnsi="宋体"/>
        <w:sz w:val="21"/>
        <w:szCs w:val="21"/>
      </w:rPr>
      <w:t>响报告书</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4FCCB2">
    <w:pPr>
      <w:pStyle w:val="55"/>
    </w:pPr>
    <w:r>
      <w:rPr>
        <w:rFonts w:hint="default" w:ascii="宋体" w:hAnsi="宋体" w:eastAsia="宋体" w:cs="Times New Roman"/>
        <w:sz w:val="21"/>
        <w:szCs w:val="21"/>
        <w:lang w:val="en-US" w:eastAsia="zh-CN"/>
      </w:rPr>
      <w:t>黑龙江嘉龙环保科技有限公司</w:t>
    </w:r>
    <w:r>
      <w:rPr>
        <w:rFonts w:hint="eastAsia" w:ascii="宋体" w:hAnsi="宋体" w:eastAsia="宋体" w:cs="Times New Roman"/>
        <w:sz w:val="21"/>
        <w:szCs w:val="21"/>
        <w:lang w:val="en-US" w:eastAsia="zh-CN"/>
      </w:rPr>
      <w:t>灰渣回填复垦利用项目</w:t>
    </w:r>
    <w:r>
      <w:rPr>
        <w:rFonts w:hint="eastAsia" w:ascii="宋体" w:hAnsi="宋体" w:eastAsia="宋体" w:cs="Times New Roman"/>
        <w:sz w:val="21"/>
        <w:szCs w:val="21"/>
      </w:rPr>
      <w:t>环境影</w:t>
    </w:r>
    <w:r>
      <w:rPr>
        <w:rFonts w:hint="eastAsia" w:hAnsi="宋体"/>
        <w:sz w:val="21"/>
        <w:szCs w:val="21"/>
      </w:rPr>
      <w:t>响报告书</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4FAC43">
    <w:pPr>
      <w:pStyle w:val="55"/>
      <w:pBdr>
        <w:bottom w:val="single" w:color="auto" w:sz="4" w:space="1"/>
      </w:pBdr>
      <w:rPr>
        <w:sz w:val="20"/>
        <w:u w:val="none"/>
      </w:rPr>
    </w:pPr>
    <w:r>
      <w:rPr>
        <w:rFonts w:hint="default" w:ascii="宋体" w:hAnsi="宋体" w:eastAsia="宋体" w:cs="Times New Roman"/>
        <w:sz w:val="21"/>
        <w:szCs w:val="21"/>
        <w:lang w:val="en-US" w:eastAsia="zh-CN"/>
      </w:rPr>
      <w:t>黑龙江嘉龙环保科技有限公司</w:t>
    </w:r>
    <w:r>
      <w:rPr>
        <w:rFonts w:hint="eastAsia" w:ascii="宋体" w:hAnsi="宋体" w:eastAsia="宋体" w:cs="Times New Roman"/>
        <w:sz w:val="21"/>
        <w:szCs w:val="21"/>
        <w:lang w:val="en-US" w:eastAsia="zh-CN"/>
      </w:rPr>
      <w:t>灰渣回填复垦利用项目</w:t>
    </w:r>
    <w:r>
      <w:rPr>
        <w:rFonts w:hint="eastAsia" w:ascii="宋体" w:hAnsi="宋体" w:eastAsia="宋体" w:cs="Times New Roman"/>
        <w:sz w:val="21"/>
        <w:szCs w:val="21"/>
      </w:rPr>
      <w:t>环境影</w:t>
    </w:r>
    <w:r>
      <w:rPr>
        <w:rFonts w:hint="eastAsia" w:hAnsi="宋体"/>
        <w:sz w:val="21"/>
        <w:szCs w:val="21"/>
      </w:rPr>
      <w:t>响报告书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2AEA1D"/>
    <w:multiLevelType w:val="singleLevel"/>
    <w:tmpl w:val="AF2AEA1D"/>
    <w:lvl w:ilvl="0" w:tentative="0">
      <w:start w:val="5"/>
      <w:numFmt w:val="decimal"/>
      <w:suff w:val="nothing"/>
      <w:lvlText w:val="%1、"/>
      <w:lvlJc w:val="left"/>
    </w:lvl>
  </w:abstractNum>
  <w:abstractNum w:abstractNumId="1">
    <w:nsid w:val="D886CC02"/>
    <w:multiLevelType w:val="singleLevel"/>
    <w:tmpl w:val="D886CC02"/>
    <w:lvl w:ilvl="0" w:tentative="0">
      <w:start w:val="1"/>
      <w:numFmt w:val="decimal"/>
      <w:suff w:val="nothing"/>
      <w:lvlText w:val="(%1)"/>
      <w:lvlJc w:val="left"/>
      <w:pPr>
        <w:tabs>
          <w:tab w:val="left" w:pos="0"/>
        </w:tabs>
        <w:ind w:left="0" w:firstLine="0"/>
      </w:pPr>
      <w:rPr>
        <w:rFonts w:hint="default"/>
      </w:rPr>
    </w:lvl>
  </w:abstractNum>
  <w:abstractNum w:abstractNumId="2">
    <w:nsid w:val="F498B5FF"/>
    <w:multiLevelType w:val="singleLevel"/>
    <w:tmpl w:val="F498B5FF"/>
    <w:lvl w:ilvl="0" w:tentative="0">
      <w:start w:val="1"/>
      <w:numFmt w:val="decimal"/>
      <w:suff w:val="nothing"/>
      <w:lvlText w:val="（%1）"/>
      <w:lvlJc w:val="left"/>
    </w:lvl>
  </w:abstractNum>
  <w:abstractNum w:abstractNumId="3">
    <w:nsid w:val="FFFFFF88"/>
    <w:multiLevelType w:val="singleLevel"/>
    <w:tmpl w:val="FFFFFF88"/>
    <w:lvl w:ilvl="0" w:tentative="0">
      <w:start w:val="1"/>
      <w:numFmt w:val="decimal"/>
      <w:pStyle w:val="21"/>
      <w:lvlText w:val="%1."/>
      <w:lvlJc w:val="left"/>
      <w:pPr>
        <w:tabs>
          <w:tab w:val="left" w:pos="288"/>
        </w:tabs>
        <w:ind w:left="288" w:hanging="360"/>
      </w:pPr>
    </w:lvl>
  </w:abstractNum>
  <w:abstractNum w:abstractNumId="4">
    <w:nsid w:val="07020732"/>
    <w:multiLevelType w:val="multilevel"/>
    <w:tmpl w:val="07020732"/>
    <w:lvl w:ilvl="0" w:tentative="0">
      <w:start w:val="1"/>
      <w:numFmt w:val="decimal"/>
      <w:pStyle w:val="859"/>
      <w:lvlText w:val="4.4.%1"/>
      <w:lvlJc w:val="left"/>
      <w:pPr>
        <w:tabs>
          <w:tab w:val="left" w:pos="1077"/>
        </w:tabs>
        <w:ind w:left="1077" w:hanging="1077"/>
      </w:pPr>
      <w:rPr>
        <w:rFonts w:hint="eastAsia"/>
      </w:rPr>
    </w:lvl>
    <w:lvl w:ilvl="1" w:tentative="0">
      <w:start w:val="1"/>
      <w:numFmt w:val="decimal"/>
      <w:pStyle w:val="1117"/>
      <w:lvlText w:val="4.4.4.%2"/>
      <w:lvlJc w:val="left"/>
      <w:pPr>
        <w:tabs>
          <w:tab w:val="left" w:pos="1077"/>
        </w:tabs>
        <w:ind w:left="1077" w:hanging="1077"/>
      </w:pPr>
      <w:rPr>
        <w:rFonts w:hint="default" w:ascii="Arial" w:hAnsi="Arial"/>
        <w:b/>
        <w:i w:val="0"/>
        <w:sz w:val="22"/>
      </w:rPr>
    </w:lvl>
    <w:lvl w:ilvl="2" w:tentative="0">
      <w:start w:val="1"/>
      <w:numFmt w:val="decimal"/>
      <w:pStyle w:val="1023"/>
      <w:lvlText w:val="%3)"/>
      <w:lvlJc w:val="left"/>
      <w:pPr>
        <w:tabs>
          <w:tab w:val="left" w:pos="1077"/>
        </w:tabs>
        <w:ind w:left="1077" w:hanging="1077"/>
      </w:pPr>
      <w:rPr>
        <w:rFonts w:hint="eastAsia"/>
        <w:b w:val="0"/>
      </w:rPr>
    </w:lvl>
    <w:lvl w:ilvl="3" w:tentative="0">
      <w:start w:val="1"/>
      <w:numFmt w:val="decimal"/>
      <w:pStyle w:val="1057"/>
      <w:lvlText w:val="%1.%2.%3.%4"/>
      <w:lvlJc w:val="left"/>
      <w:pPr>
        <w:tabs>
          <w:tab w:val="left" w:pos="1077"/>
        </w:tabs>
        <w:ind w:left="1077" w:hanging="1077"/>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5">
    <w:nsid w:val="084270C1"/>
    <w:multiLevelType w:val="singleLevel"/>
    <w:tmpl w:val="084270C1"/>
    <w:lvl w:ilvl="0" w:tentative="0">
      <w:start w:val="2"/>
      <w:numFmt w:val="decimal"/>
      <w:suff w:val="nothing"/>
      <w:lvlText w:val="%1、"/>
      <w:lvlJc w:val="left"/>
    </w:lvl>
  </w:abstractNum>
  <w:abstractNum w:abstractNumId="6">
    <w:nsid w:val="117D197D"/>
    <w:multiLevelType w:val="multilevel"/>
    <w:tmpl w:val="117D197D"/>
    <w:lvl w:ilvl="0" w:tentative="0">
      <w:start w:val="1"/>
      <w:numFmt w:val="decimal"/>
      <w:suff w:val="space"/>
      <w:lvlText w:val="%1、"/>
      <w:lvlJc w:val="left"/>
      <w:pPr>
        <w:ind w:left="-226" w:hanging="425"/>
      </w:pPr>
      <w:rPr>
        <w:rFonts w:hint="default" w:ascii="Times New Roman" w:hAnsi="Times New Roman" w:eastAsia="仿宋_GB2312"/>
        <w:b/>
        <w:i w:val="0"/>
        <w:sz w:val="28"/>
        <w:szCs w:val="28"/>
      </w:rPr>
    </w:lvl>
    <w:lvl w:ilvl="1" w:tentative="0">
      <w:start w:val="1"/>
      <w:numFmt w:val="decimal"/>
      <w:suff w:val="space"/>
      <w:lvlText w:val="%1.%2"/>
      <w:lvlJc w:val="left"/>
      <w:pPr>
        <w:ind w:left="567" w:hanging="567"/>
      </w:pPr>
      <w:rPr>
        <w:rFonts w:hint="default" w:ascii="Times New Roman" w:hAnsi="Times New Roman" w:eastAsia="仿宋_GB2312"/>
        <w:b/>
        <w:i w:val="0"/>
        <w:sz w:val="24"/>
        <w:szCs w:val="24"/>
      </w:rPr>
    </w:lvl>
    <w:lvl w:ilvl="2" w:tentative="0">
      <w:start w:val="1"/>
      <w:numFmt w:val="decimal"/>
      <w:pStyle w:val="1107"/>
      <w:suff w:val="space"/>
      <w:lvlText w:val="%1.%2.%3"/>
      <w:lvlJc w:val="left"/>
      <w:pPr>
        <w:ind w:left="-651" w:firstLine="851"/>
      </w:pPr>
      <w:rPr>
        <w:rFonts w:hint="default" w:ascii="Times New Roman" w:hAnsi="Times New Roman" w:eastAsia="仿宋_GB2312"/>
        <w:b/>
        <w:i w:val="0"/>
        <w:sz w:val="24"/>
        <w:szCs w:val="24"/>
      </w:rPr>
    </w:lvl>
    <w:lvl w:ilvl="3" w:tentative="0">
      <w:start w:val="1"/>
      <w:numFmt w:val="decimal"/>
      <w:pStyle w:val="983"/>
      <w:suff w:val="space"/>
      <w:lvlText w:val="%1.%2.%3.%4"/>
      <w:lvlJc w:val="left"/>
      <w:pPr>
        <w:ind w:left="1333" w:hanging="708"/>
      </w:pPr>
      <w:rPr>
        <w:rFonts w:hint="eastAsia" w:ascii="宋体" w:eastAsia="宋体"/>
        <w:sz w:val="24"/>
        <w:szCs w:val="24"/>
      </w:rPr>
    </w:lvl>
    <w:lvl w:ilvl="4" w:tentative="0">
      <w:start w:val="1"/>
      <w:numFmt w:val="decimal"/>
      <w:pStyle w:val="510"/>
      <w:suff w:val="space"/>
      <w:lvlText w:val="%1.%2.%3.%4.%5"/>
      <w:lvlJc w:val="left"/>
      <w:pPr>
        <w:ind w:left="1900" w:hanging="850"/>
      </w:pPr>
      <w:rPr>
        <w:rFonts w:hint="eastAsia"/>
      </w:rPr>
    </w:lvl>
    <w:lvl w:ilvl="5" w:tentative="0">
      <w:start w:val="1"/>
      <w:numFmt w:val="decimal"/>
      <w:lvlText w:val="%1.%2.%3.%4.%5.%6"/>
      <w:lvlJc w:val="left"/>
      <w:pPr>
        <w:tabs>
          <w:tab w:val="left" w:pos="3275"/>
        </w:tabs>
        <w:ind w:left="2609" w:hanging="1134"/>
      </w:pPr>
      <w:rPr>
        <w:rFonts w:hint="eastAsia"/>
      </w:rPr>
    </w:lvl>
    <w:lvl w:ilvl="6" w:tentative="0">
      <w:start w:val="1"/>
      <w:numFmt w:val="decimal"/>
      <w:lvlText w:val="%1.%2.%3.%4.%5.%6.%7"/>
      <w:lvlJc w:val="left"/>
      <w:pPr>
        <w:tabs>
          <w:tab w:val="left" w:pos="4060"/>
        </w:tabs>
        <w:ind w:left="3176" w:hanging="1276"/>
      </w:pPr>
      <w:rPr>
        <w:rFonts w:hint="eastAsia"/>
      </w:rPr>
    </w:lvl>
    <w:lvl w:ilvl="7" w:tentative="0">
      <w:start w:val="1"/>
      <w:numFmt w:val="decimal"/>
      <w:lvlText w:val="%1.%2.%3.%4.%5.%6.%7.%8"/>
      <w:lvlJc w:val="left"/>
      <w:pPr>
        <w:tabs>
          <w:tab w:val="left" w:pos="4485"/>
        </w:tabs>
        <w:ind w:left="3743" w:hanging="1418"/>
      </w:pPr>
      <w:rPr>
        <w:rFonts w:hint="eastAsia"/>
      </w:rPr>
    </w:lvl>
    <w:lvl w:ilvl="8" w:tentative="0">
      <w:start w:val="1"/>
      <w:numFmt w:val="decimal"/>
      <w:lvlText w:val="%1.%2.%3.%4.%5.%6.%7.%8.%9"/>
      <w:lvlJc w:val="left"/>
      <w:pPr>
        <w:tabs>
          <w:tab w:val="left" w:pos="5271"/>
        </w:tabs>
        <w:ind w:left="4451" w:hanging="1700"/>
      </w:pPr>
      <w:rPr>
        <w:rFonts w:hint="eastAsia"/>
      </w:rPr>
    </w:lvl>
  </w:abstractNum>
  <w:abstractNum w:abstractNumId="7">
    <w:nsid w:val="13C227EA"/>
    <w:multiLevelType w:val="singleLevel"/>
    <w:tmpl w:val="13C227EA"/>
    <w:lvl w:ilvl="0" w:tentative="0">
      <w:start w:val="2"/>
      <w:numFmt w:val="decimal"/>
      <w:pStyle w:val="1083"/>
      <w:lvlText w:val="%1."/>
      <w:lvlJc w:val="left"/>
      <w:pPr>
        <w:tabs>
          <w:tab w:val="left" w:pos="425"/>
        </w:tabs>
        <w:ind w:left="425" w:hanging="425"/>
      </w:pPr>
      <w:rPr>
        <w:rFonts w:hint="eastAsia" w:ascii="宋体" w:eastAsia="宋体"/>
        <w:sz w:val="28"/>
      </w:rPr>
    </w:lvl>
  </w:abstractNum>
  <w:abstractNum w:abstractNumId="8">
    <w:nsid w:val="1702E21D"/>
    <w:multiLevelType w:val="singleLevel"/>
    <w:tmpl w:val="1702E21D"/>
    <w:lvl w:ilvl="0" w:tentative="0">
      <w:start w:val="1"/>
      <w:numFmt w:val="decimal"/>
      <w:suff w:val="nothing"/>
      <w:lvlText w:val="(%1)"/>
      <w:lvlJc w:val="left"/>
      <w:pPr>
        <w:tabs>
          <w:tab w:val="left" w:pos="0"/>
        </w:tabs>
        <w:ind w:left="0" w:firstLine="0"/>
      </w:pPr>
      <w:rPr>
        <w:rFonts w:hint="default"/>
      </w:rPr>
    </w:lvl>
  </w:abstractNum>
  <w:abstractNum w:abstractNumId="9">
    <w:nsid w:val="1ED634A7"/>
    <w:multiLevelType w:val="multilevel"/>
    <w:tmpl w:val="1ED634A7"/>
    <w:lvl w:ilvl="0" w:tentative="0">
      <w:start w:val="1"/>
      <w:numFmt w:val="chineseCountingThousand"/>
      <w:pStyle w:val="856"/>
      <w:lvlText w:val="%1"/>
      <w:lvlJc w:val="left"/>
      <w:pPr>
        <w:tabs>
          <w:tab w:val="left" w:pos="360"/>
        </w:tabs>
        <w:ind w:left="0" w:firstLine="0"/>
      </w:pPr>
      <w:rPr>
        <w:rFonts w:hint="default" w:ascii="Times New Roman" w:hAnsi="Times New Roman" w:eastAsia="宋体"/>
        <w:b/>
        <w:i w:val="0"/>
        <w:color w:val="auto"/>
        <w:sz w:val="21"/>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
    <w:nsid w:val="35900E53"/>
    <w:multiLevelType w:val="multilevel"/>
    <w:tmpl w:val="35900E53"/>
    <w:lvl w:ilvl="0" w:tentative="0">
      <w:start w:val="1"/>
      <w:numFmt w:val="decimal"/>
      <w:pStyle w:val="1155"/>
      <w:lvlText w:val="%1"/>
      <w:lvlJc w:val="left"/>
      <w:pPr>
        <w:tabs>
          <w:tab w:val="left" w:pos="360"/>
        </w:tabs>
        <w:ind w:left="0" w:firstLine="0"/>
      </w:pPr>
      <w:rPr>
        <w:rFonts w:hint="default" w:ascii="Times New Roman" w:hAnsi="Times New Roman" w:eastAsia="宋体"/>
        <w:b/>
        <w:i w:val="0"/>
        <w:color w:val="auto"/>
        <w:sz w:val="21"/>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1">
    <w:nsid w:val="35C5BD3A"/>
    <w:multiLevelType w:val="singleLevel"/>
    <w:tmpl w:val="35C5BD3A"/>
    <w:lvl w:ilvl="0" w:tentative="0">
      <w:start w:val="5"/>
      <w:numFmt w:val="decimal"/>
      <w:suff w:val="nothing"/>
      <w:lvlText w:val="%1、"/>
      <w:lvlJc w:val="left"/>
    </w:lvl>
  </w:abstractNum>
  <w:abstractNum w:abstractNumId="12">
    <w:nsid w:val="463B1207"/>
    <w:multiLevelType w:val="multilevel"/>
    <w:tmpl w:val="463B1207"/>
    <w:lvl w:ilvl="0" w:tentative="0">
      <w:start w:val="1"/>
      <w:numFmt w:val="decimal"/>
      <w:isLgl/>
      <w:lvlText w:val="%1"/>
      <w:lvlJc w:val="left"/>
      <w:pPr>
        <w:tabs>
          <w:tab w:val="left" w:pos="425"/>
        </w:tabs>
        <w:ind w:left="680" w:hanging="680"/>
      </w:pPr>
      <w:rPr>
        <w:rFonts w:hint="eastAsia"/>
      </w:rPr>
    </w:lvl>
    <w:lvl w:ilvl="1" w:tentative="0">
      <w:start w:val="1"/>
      <w:numFmt w:val="decimal"/>
      <w:pStyle w:val="1323"/>
      <w:lvlText w:val="%1.%2"/>
      <w:lvlJc w:val="left"/>
      <w:pPr>
        <w:tabs>
          <w:tab w:val="left" w:pos="425"/>
        </w:tabs>
        <w:ind w:left="8283" w:hanging="1361"/>
      </w:pPr>
      <w:rPr>
        <w:rFonts w:hint="eastAsia"/>
      </w:rPr>
    </w:lvl>
    <w:lvl w:ilvl="2" w:tentative="0">
      <w:start w:val="1"/>
      <w:numFmt w:val="decimal"/>
      <w:lvlText w:val="%1.%2.%3"/>
      <w:lvlJc w:val="left"/>
      <w:pPr>
        <w:tabs>
          <w:tab w:val="left" w:pos="709"/>
        </w:tabs>
        <w:ind w:left="1985" w:hanging="1985"/>
      </w:pPr>
      <w:rPr>
        <w:rFonts w:hint="eastAsia"/>
      </w:rPr>
    </w:lvl>
    <w:lvl w:ilvl="3" w:tentative="0">
      <w:start w:val="1"/>
      <w:numFmt w:val="decimal"/>
      <w:lvlText w:val="%1.%2.%3.%4"/>
      <w:lvlJc w:val="left"/>
      <w:pPr>
        <w:tabs>
          <w:tab w:val="left" w:pos="851"/>
        </w:tabs>
        <w:ind w:left="2552" w:hanging="2552"/>
      </w:pPr>
      <w:rPr>
        <w:rFonts w:hint="eastAsia"/>
      </w:rPr>
    </w:lvl>
    <w:lvl w:ilvl="4" w:tentative="0">
      <w:start w:val="1"/>
      <w:numFmt w:val="decimal"/>
      <w:lvlRestart w:val="1"/>
      <w:lvlText w:val="表%1-%5"/>
      <w:lvlJc w:val="left"/>
      <w:pPr>
        <w:tabs>
          <w:tab w:val="left" w:pos="3437"/>
        </w:tabs>
        <w:ind w:left="3692" w:hanging="992"/>
      </w:pPr>
      <w:rPr>
        <w:rFonts w:hint="eastAsia"/>
      </w:rPr>
    </w:lvl>
    <w:lvl w:ilvl="5" w:tentative="0">
      <w:start w:val="1"/>
      <w:numFmt w:val="decimal"/>
      <w:lvlRestart w:val="1"/>
      <w:lvlText w:val="图%1-%6"/>
      <w:lvlJc w:val="left"/>
      <w:pPr>
        <w:tabs>
          <w:tab w:val="left" w:pos="737"/>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13">
    <w:nsid w:val="489C3C69"/>
    <w:multiLevelType w:val="multilevel"/>
    <w:tmpl w:val="489C3C69"/>
    <w:lvl w:ilvl="0" w:tentative="0">
      <w:start w:val="1"/>
      <w:numFmt w:val="lowerLetter"/>
      <w:lvlText w:val="%1."/>
      <w:lvlJc w:val="left"/>
      <w:pPr>
        <w:tabs>
          <w:tab w:val="left" w:pos="1040"/>
        </w:tabs>
        <w:ind w:left="1040" w:hanging="360"/>
      </w:pPr>
      <w:rPr>
        <w:rFonts w:hint="eastAsia"/>
      </w:rPr>
    </w:lvl>
    <w:lvl w:ilvl="1" w:tentative="0">
      <w:start w:val="1"/>
      <w:numFmt w:val="lowerLetter"/>
      <w:pStyle w:val="1045"/>
      <w:lvlText w:val="(%2)"/>
      <w:lvlJc w:val="left"/>
      <w:pPr>
        <w:tabs>
          <w:tab w:val="left" w:pos="1460"/>
        </w:tabs>
        <w:ind w:left="1460" w:hanging="360"/>
      </w:pPr>
      <w:rPr>
        <w:rFonts w:hint="eastAsia"/>
      </w:rPr>
    </w:lvl>
    <w:lvl w:ilvl="2" w:tentative="0">
      <w:start w:val="1"/>
      <w:numFmt w:val="lowerRoman"/>
      <w:lvlText w:val="%3."/>
      <w:lvlJc w:val="right"/>
      <w:pPr>
        <w:tabs>
          <w:tab w:val="left" w:pos="1940"/>
        </w:tabs>
        <w:ind w:left="1940" w:hanging="420"/>
      </w:pPr>
    </w:lvl>
    <w:lvl w:ilvl="3" w:tentative="0">
      <w:start w:val="1"/>
      <w:numFmt w:val="decimal"/>
      <w:lvlText w:val="%4."/>
      <w:lvlJc w:val="left"/>
      <w:pPr>
        <w:tabs>
          <w:tab w:val="left" w:pos="2360"/>
        </w:tabs>
        <w:ind w:left="2360" w:hanging="420"/>
      </w:pPr>
    </w:lvl>
    <w:lvl w:ilvl="4" w:tentative="0">
      <w:start w:val="1"/>
      <w:numFmt w:val="lowerLetter"/>
      <w:lvlText w:val="%5)"/>
      <w:lvlJc w:val="left"/>
      <w:pPr>
        <w:tabs>
          <w:tab w:val="left" w:pos="2780"/>
        </w:tabs>
        <w:ind w:left="2780" w:hanging="420"/>
      </w:pPr>
    </w:lvl>
    <w:lvl w:ilvl="5" w:tentative="0">
      <w:start w:val="1"/>
      <w:numFmt w:val="lowerRoman"/>
      <w:lvlText w:val="%6."/>
      <w:lvlJc w:val="right"/>
      <w:pPr>
        <w:tabs>
          <w:tab w:val="left" w:pos="3200"/>
        </w:tabs>
        <w:ind w:left="3200" w:hanging="420"/>
      </w:pPr>
    </w:lvl>
    <w:lvl w:ilvl="6" w:tentative="0">
      <w:start w:val="1"/>
      <w:numFmt w:val="decimal"/>
      <w:lvlText w:val="%7."/>
      <w:lvlJc w:val="left"/>
      <w:pPr>
        <w:tabs>
          <w:tab w:val="left" w:pos="3620"/>
        </w:tabs>
        <w:ind w:left="3620" w:hanging="420"/>
      </w:pPr>
    </w:lvl>
    <w:lvl w:ilvl="7" w:tentative="0">
      <w:start w:val="1"/>
      <w:numFmt w:val="lowerLetter"/>
      <w:lvlText w:val="%8)"/>
      <w:lvlJc w:val="left"/>
      <w:pPr>
        <w:tabs>
          <w:tab w:val="left" w:pos="4040"/>
        </w:tabs>
        <w:ind w:left="4040" w:hanging="420"/>
      </w:pPr>
    </w:lvl>
    <w:lvl w:ilvl="8" w:tentative="0">
      <w:start w:val="1"/>
      <w:numFmt w:val="lowerRoman"/>
      <w:lvlText w:val="%9."/>
      <w:lvlJc w:val="right"/>
      <w:pPr>
        <w:tabs>
          <w:tab w:val="left" w:pos="4460"/>
        </w:tabs>
        <w:ind w:left="4460" w:hanging="420"/>
      </w:pPr>
    </w:lvl>
  </w:abstractNum>
  <w:abstractNum w:abstractNumId="14">
    <w:nsid w:val="4BC058A3"/>
    <w:multiLevelType w:val="multilevel"/>
    <w:tmpl w:val="4BC058A3"/>
    <w:lvl w:ilvl="0" w:tentative="0">
      <w:start w:val="1"/>
      <w:numFmt w:val="none"/>
      <w:lvlText w:val="6"/>
      <w:lvlJc w:val="left"/>
      <w:pPr>
        <w:tabs>
          <w:tab w:val="left" w:pos="432"/>
        </w:tabs>
        <w:ind w:left="432" w:hanging="432"/>
      </w:pPr>
      <w:rPr>
        <w:rFonts w:hint="eastAsia"/>
      </w:rPr>
    </w:lvl>
    <w:lvl w:ilvl="1" w:tentative="0">
      <w:start w:val="1"/>
      <w:numFmt w:val="decimal"/>
      <w:lvlText w:val="%111.%2"/>
      <w:lvlJc w:val="left"/>
      <w:pPr>
        <w:tabs>
          <w:tab w:val="left" w:pos="1080"/>
        </w:tabs>
        <w:ind w:left="397" w:hanging="397"/>
      </w:pPr>
      <w:rPr>
        <w:rFonts w:hint="eastAsia"/>
      </w:rPr>
    </w:lvl>
    <w:lvl w:ilvl="2" w:tentative="0">
      <w:start w:val="1"/>
      <w:numFmt w:val="decimal"/>
      <w:pStyle w:val="7"/>
      <w:lvlText w:val="%111.%2.%3"/>
      <w:lvlJc w:val="left"/>
      <w:pPr>
        <w:tabs>
          <w:tab w:val="left" w:pos="2526"/>
        </w:tabs>
        <w:ind w:left="1806" w:hanging="720"/>
      </w:pPr>
      <w:rPr>
        <w:rFonts w:hint="eastAsia"/>
      </w:rPr>
    </w:lvl>
    <w:lvl w:ilvl="3" w:tentative="0">
      <w:start w:val="1"/>
      <w:numFmt w:val="decimal"/>
      <w:pStyle w:val="8"/>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5">
    <w:nsid w:val="6E1B4249"/>
    <w:multiLevelType w:val="multilevel"/>
    <w:tmpl w:val="6E1B4249"/>
    <w:lvl w:ilvl="0" w:tentative="0">
      <w:start w:val="1"/>
      <w:numFmt w:val="decimal"/>
      <w:pStyle w:val="912"/>
      <w:lvlText w:val="%1)"/>
      <w:lvlJc w:val="left"/>
      <w:pPr>
        <w:tabs>
          <w:tab w:val="left" w:pos="646"/>
        </w:tabs>
        <w:ind w:left="646" w:hanging="419"/>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6">
    <w:nsid w:val="717743FA"/>
    <w:multiLevelType w:val="multilevel"/>
    <w:tmpl w:val="717743FA"/>
    <w:lvl w:ilvl="0" w:tentative="0">
      <w:start w:val="1"/>
      <w:numFmt w:val="bullet"/>
      <w:lvlText w:val=""/>
      <w:lvlJc w:val="left"/>
      <w:pPr>
        <w:tabs>
          <w:tab w:val="left" w:pos="1480"/>
        </w:tabs>
        <w:ind w:left="1120" w:firstLine="0"/>
      </w:pPr>
      <w:rPr>
        <w:rFonts w:hint="default" w:ascii="Symbol" w:hAnsi="Symbol"/>
        <w:color w:val="auto"/>
        <w:sz w:val="21"/>
      </w:rPr>
    </w:lvl>
    <w:lvl w:ilvl="1" w:tentative="0">
      <w:start w:val="1"/>
      <w:numFmt w:val="bullet"/>
      <w:lvlText w:val=""/>
      <w:lvlJc w:val="left"/>
      <w:pPr>
        <w:tabs>
          <w:tab w:val="left" w:pos="1960"/>
        </w:tabs>
        <w:ind w:left="1960" w:hanging="420"/>
      </w:pPr>
      <w:rPr>
        <w:rFonts w:hint="default" w:ascii="Wingdings" w:hAnsi="Wingdings"/>
      </w:rPr>
    </w:lvl>
    <w:lvl w:ilvl="2" w:tentative="0">
      <w:start w:val="1"/>
      <w:numFmt w:val="bullet"/>
      <w:pStyle w:val="1079"/>
      <w:lvlText w:val=""/>
      <w:lvlJc w:val="left"/>
      <w:pPr>
        <w:tabs>
          <w:tab w:val="left" w:pos="2380"/>
        </w:tabs>
        <w:ind w:left="2380" w:hanging="420"/>
      </w:pPr>
      <w:rPr>
        <w:rFonts w:hint="default" w:ascii="Wingdings" w:hAnsi="Wingdings"/>
      </w:rPr>
    </w:lvl>
    <w:lvl w:ilvl="3" w:tentative="0">
      <w:start w:val="1"/>
      <w:numFmt w:val="bullet"/>
      <w:lvlText w:val=""/>
      <w:lvlJc w:val="left"/>
      <w:pPr>
        <w:tabs>
          <w:tab w:val="left" w:pos="2800"/>
        </w:tabs>
        <w:ind w:left="2800" w:hanging="420"/>
      </w:pPr>
      <w:rPr>
        <w:rFonts w:hint="default" w:ascii="Wingdings" w:hAnsi="Wingdings"/>
      </w:rPr>
    </w:lvl>
    <w:lvl w:ilvl="4" w:tentative="0">
      <w:start w:val="1"/>
      <w:numFmt w:val="bullet"/>
      <w:lvlText w:val=""/>
      <w:lvlJc w:val="left"/>
      <w:pPr>
        <w:tabs>
          <w:tab w:val="left" w:pos="3220"/>
        </w:tabs>
        <w:ind w:left="3220" w:hanging="420"/>
      </w:pPr>
      <w:rPr>
        <w:rFonts w:hint="default" w:ascii="Wingdings" w:hAnsi="Wingdings"/>
      </w:rPr>
    </w:lvl>
    <w:lvl w:ilvl="5" w:tentative="0">
      <w:start w:val="1"/>
      <w:numFmt w:val="bullet"/>
      <w:lvlText w:val=""/>
      <w:lvlJc w:val="left"/>
      <w:pPr>
        <w:tabs>
          <w:tab w:val="left" w:pos="3640"/>
        </w:tabs>
        <w:ind w:left="3640" w:hanging="420"/>
      </w:pPr>
      <w:rPr>
        <w:rFonts w:hint="default" w:ascii="Wingdings" w:hAnsi="Wingdings"/>
      </w:rPr>
    </w:lvl>
    <w:lvl w:ilvl="6" w:tentative="0">
      <w:start w:val="1"/>
      <w:numFmt w:val="bullet"/>
      <w:lvlText w:val=""/>
      <w:lvlJc w:val="left"/>
      <w:pPr>
        <w:tabs>
          <w:tab w:val="left" w:pos="4060"/>
        </w:tabs>
        <w:ind w:left="4060" w:hanging="420"/>
      </w:pPr>
      <w:rPr>
        <w:rFonts w:hint="default" w:ascii="Wingdings" w:hAnsi="Wingdings"/>
      </w:rPr>
    </w:lvl>
    <w:lvl w:ilvl="7" w:tentative="0">
      <w:start w:val="1"/>
      <w:numFmt w:val="bullet"/>
      <w:lvlText w:val=""/>
      <w:lvlJc w:val="left"/>
      <w:pPr>
        <w:tabs>
          <w:tab w:val="left" w:pos="4480"/>
        </w:tabs>
        <w:ind w:left="4480" w:hanging="420"/>
      </w:pPr>
      <w:rPr>
        <w:rFonts w:hint="default" w:ascii="Wingdings" w:hAnsi="Wingdings"/>
      </w:rPr>
    </w:lvl>
    <w:lvl w:ilvl="8" w:tentative="0">
      <w:start w:val="1"/>
      <w:numFmt w:val="bullet"/>
      <w:lvlText w:val=""/>
      <w:lvlJc w:val="left"/>
      <w:pPr>
        <w:tabs>
          <w:tab w:val="left" w:pos="4900"/>
        </w:tabs>
        <w:ind w:left="4900" w:hanging="420"/>
      </w:pPr>
      <w:rPr>
        <w:rFonts w:hint="default" w:ascii="Wingdings" w:hAnsi="Wingdings"/>
      </w:rPr>
    </w:lvl>
  </w:abstractNum>
  <w:abstractNum w:abstractNumId="17">
    <w:nsid w:val="73456D6C"/>
    <w:multiLevelType w:val="multilevel"/>
    <w:tmpl w:val="73456D6C"/>
    <w:lvl w:ilvl="0" w:tentative="0">
      <w:start w:val="1"/>
      <w:numFmt w:val="decimal"/>
      <w:lvlText w:val="%1"/>
      <w:lvlJc w:val="left"/>
      <w:pPr>
        <w:tabs>
          <w:tab w:val="left" w:pos="432"/>
        </w:tabs>
        <w:ind w:left="432" w:hanging="432"/>
      </w:pPr>
    </w:lvl>
    <w:lvl w:ilvl="1" w:tentative="0">
      <w:start w:val="1"/>
      <w:numFmt w:val="decimal"/>
      <w:lvlText w:val="%1.%2"/>
      <w:lvlJc w:val="left"/>
      <w:pPr>
        <w:tabs>
          <w:tab w:val="left" w:pos="576"/>
        </w:tabs>
        <w:ind w:left="576" w:hanging="576"/>
      </w:pPr>
    </w:lvl>
    <w:lvl w:ilvl="2" w:tentative="0">
      <w:start w:val="1"/>
      <w:numFmt w:val="decimal"/>
      <w:lvlText w:val="%1.%2.%3"/>
      <w:lvlJc w:val="left"/>
      <w:pPr>
        <w:tabs>
          <w:tab w:val="left" w:pos="720"/>
        </w:tabs>
        <w:ind w:left="720" w:hanging="720"/>
      </w:pPr>
    </w:lvl>
    <w:lvl w:ilvl="3" w:tentative="0">
      <w:start w:val="1"/>
      <w:numFmt w:val="decimal"/>
      <w:lvlText w:val="%1.%2.%3.%4"/>
      <w:lvlJc w:val="left"/>
      <w:pPr>
        <w:tabs>
          <w:tab w:val="left" w:pos="864"/>
        </w:tabs>
        <w:ind w:left="864" w:hanging="864"/>
      </w:pPr>
    </w:lvl>
    <w:lvl w:ilvl="4" w:tentative="0">
      <w:start w:val="1"/>
      <w:numFmt w:val="decimal"/>
      <w:pStyle w:val="9"/>
      <w:lvlText w:val="%1.%2.%3.%4.%5"/>
      <w:lvlJc w:val="left"/>
      <w:pPr>
        <w:tabs>
          <w:tab w:val="left" w:pos="1008"/>
        </w:tabs>
        <w:ind w:left="1008" w:hanging="1008"/>
      </w:pPr>
    </w:lvl>
    <w:lvl w:ilvl="5" w:tentative="0">
      <w:start w:val="1"/>
      <w:numFmt w:val="decimal"/>
      <w:pStyle w:val="10"/>
      <w:lvlText w:val="%1.%2.%3.%4.%5.%6"/>
      <w:lvlJc w:val="left"/>
      <w:pPr>
        <w:tabs>
          <w:tab w:val="left" w:pos="1152"/>
        </w:tabs>
        <w:ind w:left="1152" w:hanging="1152"/>
      </w:pPr>
    </w:lvl>
    <w:lvl w:ilvl="6" w:tentative="0">
      <w:start w:val="1"/>
      <w:numFmt w:val="decimal"/>
      <w:pStyle w:val="11"/>
      <w:lvlText w:val="%1.%2.%3.%4.%5.%6.%7"/>
      <w:lvlJc w:val="left"/>
      <w:pPr>
        <w:tabs>
          <w:tab w:val="left" w:pos="1296"/>
        </w:tabs>
        <w:ind w:left="1296" w:hanging="1296"/>
      </w:pPr>
    </w:lvl>
    <w:lvl w:ilvl="7" w:tentative="0">
      <w:start w:val="1"/>
      <w:numFmt w:val="decimal"/>
      <w:pStyle w:val="12"/>
      <w:lvlText w:val="%1.%2.%3.%4.%5.%6.%7.%8"/>
      <w:lvlJc w:val="left"/>
      <w:pPr>
        <w:tabs>
          <w:tab w:val="left" w:pos="1440"/>
        </w:tabs>
        <w:ind w:left="1440" w:hanging="1440"/>
      </w:pPr>
    </w:lvl>
    <w:lvl w:ilvl="8" w:tentative="0">
      <w:start w:val="1"/>
      <w:numFmt w:val="decimal"/>
      <w:pStyle w:val="13"/>
      <w:lvlText w:val="%1.%2.%3.%4.%5.%6.%7.%8.%9"/>
      <w:lvlJc w:val="left"/>
      <w:pPr>
        <w:tabs>
          <w:tab w:val="left" w:pos="1584"/>
        </w:tabs>
        <w:ind w:left="1584" w:hanging="1584"/>
      </w:pPr>
    </w:lvl>
  </w:abstractNum>
  <w:num w:numId="1">
    <w:abstractNumId w:val="14"/>
  </w:num>
  <w:num w:numId="2">
    <w:abstractNumId w:val="17"/>
  </w:num>
  <w:num w:numId="3">
    <w:abstractNumId w:val="3"/>
  </w:num>
  <w:num w:numId="4">
    <w:abstractNumId w:val="6"/>
  </w:num>
  <w:num w:numId="5">
    <w:abstractNumId w:val="9"/>
  </w:num>
  <w:num w:numId="6">
    <w:abstractNumId w:val="4"/>
  </w:num>
  <w:num w:numId="7">
    <w:abstractNumId w:val="15"/>
  </w:num>
  <w:num w:numId="8">
    <w:abstractNumId w:val="13"/>
  </w:num>
  <w:num w:numId="9">
    <w:abstractNumId w:val="16"/>
  </w:num>
  <w:num w:numId="10">
    <w:abstractNumId w:val="7"/>
  </w:num>
  <w:num w:numId="11">
    <w:abstractNumId w:val="10"/>
  </w:num>
  <w:num w:numId="12">
    <w:abstractNumId w:val="12"/>
  </w:num>
  <w:num w:numId="13">
    <w:abstractNumId w:val="5"/>
  </w:num>
  <w:num w:numId="14">
    <w:abstractNumId w:val="1"/>
  </w:num>
  <w:num w:numId="15">
    <w:abstractNumId w:val="8"/>
  </w:num>
  <w:num w:numId="16">
    <w:abstractNumId w:val="2"/>
  </w:num>
  <w:num w:numId="17">
    <w:abstractNumId w:val="0"/>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HorizontalSpacing w:val="105"/>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U5MTc4YTE4ZDQ1OGMwNDU0MTk0OGI4MTk0YjQ5YmIifQ=="/>
  </w:docVars>
  <w:rsids>
    <w:rsidRoot w:val="00172A27"/>
    <w:rsid w:val="000002E0"/>
    <w:rsid w:val="00000651"/>
    <w:rsid w:val="00000717"/>
    <w:rsid w:val="00000792"/>
    <w:rsid w:val="000008A4"/>
    <w:rsid w:val="00000C4F"/>
    <w:rsid w:val="00000F5C"/>
    <w:rsid w:val="00001140"/>
    <w:rsid w:val="000014B8"/>
    <w:rsid w:val="0000165D"/>
    <w:rsid w:val="000019BB"/>
    <w:rsid w:val="00001C53"/>
    <w:rsid w:val="00001CD1"/>
    <w:rsid w:val="00001E38"/>
    <w:rsid w:val="00001EFE"/>
    <w:rsid w:val="0000252D"/>
    <w:rsid w:val="000029A1"/>
    <w:rsid w:val="00002AA4"/>
    <w:rsid w:val="00002CBC"/>
    <w:rsid w:val="00002FD5"/>
    <w:rsid w:val="00003052"/>
    <w:rsid w:val="00003421"/>
    <w:rsid w:val="000034FC"/>
    <w:rsid w:val="00003713"/>
    <w:rsid w:val="00003B7C"/>
    <w:rsid w:val="00004007"/>
    <w:rsid w:val="00004031"/>
    <w:rsid w:val="0000425C"/>
    <w:rsid w:val="000044FD"/>
    <w:rsid w:val="00004771"/>
    <w:rsid w:val="00004877"/>
    <w:rsid w:val="00004964"/>
    <w:rsid w:val="00004A50"/>
    <w:rsid w:val="00004D24"/>
    <w:rsid w:val="00004E13"/>
    <w:rsid w:val="00004EA4"/>
    <w:rsid w:val="00005092"/>
    <w:rsid w:val="00005264"/>
    <w:rsid w:val="0000553C"/>
    <w:rsid w:val="00005702"/>
    <w:rsid w:val="00005D09"/>
    <w:rsid w:val="00006009"/>
    <w:rsid w:val="0000601A"/>
    <w:rsid w:val="00006211"/>
    <w:rsid w:val="000062D2"/>
    <w:rsid w:val="00006627"/>
    <w:rsid w:val="0000668A"/>
    <w:rsid w:val="00007149"/>
    <w:rsid w:val="00007169"/>
    <w:rsid w:val="0000743B"/>
    <w:rsid w:val="000075BA"/>
    <w:rsid w:val="00007797"/>
    <w:rsid w:val="00007D09"/>
    <w:rsid w:val="00007DA6"/>
    <w:rsid w:val="00010308"/>
    <w:rsid w:val="000103BF"/>
    <w:rsid w:val="0001073B"/>
    <w:rsid w:val="00010AE7"/>
    <w:rsid w:val="00010EA7"/>
    <w:rsid w:val="000110BB"/>
    <w:rsid w:val="00011197"/>
    <w:rsid w:val="00011396"/>
    <w:rsid w:val="0001151D"/>
    <w:rsid w:val="0001154B"/>
    <w:rsid w:val="0001196B"/>
    <w:rsid w:val="0001199B"/>
    <w:rsid w:val="000119AD"/>
    <w:rsid w:val="00011B64"/>
    <w:rsid w:val="00011C32"/>
    <w:rsid w:val="00011D3C"/>
    <w:rsid w:val="00011D4D"/>
    <w:rsid w:val="00012095"/>
    <w:rsid w:val="0001222D"/>
    <w:rsid w:val="0001264F"/>
    <w:rsid w:val="00012CA3"/>
    <w:rsid w:val="00012CC4"/>
    <w:rsid w:val="00012F46"/>
    <w:rsid w:val="0001301D"/>
    <w:rsid w:val="0001305C"/>
    <w:rsid w:val="00013112"/>
    <w:rsid w:val="0001317E"/>
    <w:rsid w:val="00013654"/>
    <w:rsid w:val="00013691"/>
    <w:rsid w:val="00013811"/>
    <w:rsid w:val="00013882"/>
    <w:rsid w:val="00013D64"/>
    <w:rsid w:val="00013E23"/>
    <w:rsid w:val="00013F84"/>
    <w:rsid w:val="00013FB6"/>
    <w:rsid w:val="0001420E"/>
    <w:rsid w:val="00014335"/>
    <w:rsid w:val="0001460C"/>
    <w:rsid w:val="000146A2"/>
    <w:rsid w:val="00014A5A"/>
    <w:rsid w:val="00014ACE"/>
    <w:rsid w:val="00014C01"/>
    <w:rsid w:val="00014CD9"/>
    <w:rsid w:val="00014EE9"/>
    <w:rsid w:val="0001521C"/>
    <w:rsid w:val="00015593"/>
    <w:rsid w:val="00015687"/>
    <w:rsid w:val="0001578B"/>
    <w:rsid w:val="000158B4"/>
    <w:rsid w:val="00015971"/>
    <w:rsid w:val="00015B2F"/>
    <w:rsid w:val="000161CC"/>
    <w:rsid w:val="000169AC"/>
    <w:rsid w:val="00016C40"/>
    <w:rsid w:val="00017026"/>
    <w:rsid w:val="000171BE"/>
    <w:rsid w:val="00017381"/>
    <w:rsid w:val="000173DD"/>
    <w:rsid w:val="000174FD"/>
    <w:rsid w:val="00017822"/>
    <w:rsid w:val="00017C46"/>
    <w:rsid w:val="00017D34"/>
    <w:rsid w:val="0002012D"/>
    <w:rsid w:val="0002092C"/>
    <w:rsid w:val="00020E73"/>
    <w:rsid w:val="00020F42"/>
    <w:rsid w:val="00020FB5"/>
    <w:rsid w:val="00021059"/>
    <w:rsid w:val="0002117C"/>
    <w:rsid w:val="00021514"/>
    <w:rsid w:val="000218AF"/>
    <w:rsid w:val="00021B43"/>
    <w:rsid w:val="00021C8D"/>
    <w:rsid w:val="00022663"/>
    <w:rsid w:val="00022EE0"/>
    <w:rsid w:val="00023058"/>
    <w:rsid w:val="000234E3"/>
    <w:rsid w:val="000236C6"/>
    <w:rsid w:val="000239D3"/>
    <w:rsid w:val="00024079"/>
    <w:rsid w:val="0002444E"/>
    <w:rsid w:val="00024587"/>
    <w:rsid w:val="0002495F"/>
    <w:rsid w:val="00024A42"/>
    <w:rsid w:val="00024B30"/>
    <w:rsid w:val="00024B5F"/>
    <w:rsid w:val="00024BAE"/>
    <w:rsid w:val="00025353"/>
    <w:rsid w:val="0002536D"/>
    <w:rsid w:val="00025A6C"/>
    <w:rsid w:val="00025C82"/>
    <w:rsid w:val="00025D80"/>
    <w:rsid w:val="00025D92"/>
    <w:rsid w:val="00025ECD"/>
    <w:rsid w:val="000262AE"/>
    <w:rsid w:val="000268B3"/>
    <w:rsid w:val="00026D8B"/>
    <w:rsid w:val="000270B3"/>
    <w:rsid w:val="000272BB"/>
    <w:rsid w:val="00027488"/>
    <w:rsid w:val="00027494"/>
    <w:rsid w:val="00027674"/>
    <w:rsid w:val="000276B5"/>
    <w:rsid w:val="0002788F"/>
    <w:rsid w:val="00027A03"/>
    <w:rsid w:val="00027B87"/>
    <w:rsid w:val="00027F53"/>
    <w:rsid w:val="00030182"/>
    <w:rsid w:val="00030250"/>
    <w:rsid w:val="000303EA"/>
    <w:rsid w:val="00030904"/>
    <w:rsid w:val="00030B41"/>
    <w:rsid w:val="00030C6B"/>
    <w:rsid w:val="00030E50"/>
    <w:rsid w:val="00030F88"/>
    <w:rsid w:val="00031164"/>
    <w:rsid w:val="00031585"/>
    <w:rsid w:val="00031587"/>
    <w:rsid w:val="000319C8"/>
    <w:rsid w:val="00031B27"/>
    <w:rsid w:val="00031D1D"/>
    <w:rsid w:val="000320C7"/>
    <w:rsid w:val="000327F6"/>
    <w:rsid w:val="0003292B"/>
    <w:rsid w:val="00032D37"/>
    <w:rsid w:val="0003316F"/>
    <w:rsid w:val="00033244"/>
    <w:rsid w:val="0003342A"/>
    <w:rsid w:val="0003376C"/>
    <w:rsid w:val="0003389B"/>
    <w:rsid w:val="00033A8C"/>
    <w:rsid w:val="00033B47"/>
    <w:rsid w:val="00033BB5"/>
    <w:rsid w:val="0003400D"/>
    <w:rsid w:val="000343DF"/>
    <w:rsid w:val="00034532"/>
    <w:rsid w:val="00034579"/>
    <w:rsid w:val="000347DB"/>
    <w:rsid w:val="00034870"/>
    <w:rsid w:val="000349E4"/>
    <w:rsid w:val="00034BE2"/>
    <w:rsid w:val="00034D82"/>
    <w:rsid w:val="00034FC8"/>
    <w:rsid w:val="0003522C"/>
    <w:rsid w:val="00035301"/>
    <w:rsid w:val="000353EE"/>
    <w:rsid w:val="00035516"/>
    <w:rsid w:val="0003560D"/>
    <w:rsid w:val="000359FA"/>
    <w:rsid w:val="00036361"/>
    <w:rsid w:val="00036681"/>
    <w:rsid w:val="000367AE"/>
    <w:rsid w:val="00036AAD"/>
    <w:rsid w:val="00036CA5"/>
    <w:rsid w:val="00036DF6"/>
    <w:rsid w:val="00037269"/>
    <w:rsid w:val="00037934"/>
    <w:rsid w:val="0003794A"/>
    <w:rsid w:val="00037B85"/>
    <w:rsid w:val="00037C4E"/>
    <w:rsid w:val="00040242"/>
    <w:rsid w:val="0004043C"/>
    <w:rsid w:val="0004090C"/>
    <w:rsid w:val="00040A41"/>
    <w:rsid w:val="00041113"/>
    <w:rsid w:val="0004131C"/>
    <w:rsid w:val="0004160F"/>
    <w:rsid w:val="00041901"/>
    <w:rsid w:val="00041A50"/>
    <w:rsid w:val="00041C0E"/>
    <w:rsid w:val="00041F99"/>
    <w:rsid w:val="00042008"/>
    <w:rsid w:val="0004205B"/>
    <w:rsid w:val="000426C7"/>
    <w:rsid w:val="00042747"/>
    <w:rsid w:val="00042A80"/>
    <w:rsid w:val="00042BB8"/>
    <w:rsid w:val="0004306C"/>
    <w:rsid w:val="0004318F"/>
    <w:rsid w:val="00043688"/>
    <w:rsid w:val="000438CE"/>
    <w:rsid w:val="00043C16"/>
    <w:rsid w:val="00043C38"/>
    <w:rsid w:val="00044119"/>
    <w:rsid w:val="000441DD"/>
    <w:rsid w:val="00044678"/>
    <w:rsid w:val="000447B6"/>
    <w:rsid w:val="0004481A"/>
    <w:rsid w:val="00044B2D"/>
    <w:rsid w:val="00044BFE"/>
    <w:rsid w:val="00045067"/>
    <w:rsid w:val="000454C7"/>
    <w:rsid w:val="00045665"/>
    <w:rsid w:val="00045CF6"/>
    <w:rsid w:val="00045FB3"/>
    <w:rsid w:val="00045FE9"/>
    <w:rsid w:val="00046194"/>
    <w:rsid w:val="0004681D"/>
    <w:rsid w:val="000468B8"/>
    <w:rsid w:val="00046A69"/>
    <w:rsid w:val="00046B9F"/>
    <w:rsid w:val="00046BE3"/>
    <w:rsid w:val="00046E52"/>
    <w:rsid w:val="00046F28"/>
    <w:rsid w:val="00046FB1"/>
    <w:rsid w:val="00047003"/>
    <w:rsid w:val="0004725B"/>
    <w:rsid w:val="0004732B"/>
    <w:rsid w:val="00047646"/>
    <w:rsid w:val="00047810"/>
    <w:rsid w:val="00047DE4"/>
    <w:rsid w:val="00047E5C"/>
    <w:rsid w:val="00047F5D"/>
    <w:rsid w:val="00050041"/>
    <w:rsid w:val="00050296"/>
    <w:rsid w:val="000504AC"/>
    <w:rsid w:val="000505C9"/>
    <w:rsid w:val="0005064B"/>
    <w:rsid w:val="000508A5"/>
    <w:rsid w:val="00050BC9"/>
    <w:rsid w:val="00050BE6"/>
    <w:rsid w:val="00050E57"/>
    <w:rsid w:val="00050E80"/>
    <w:rsid w:val="00051246"/>
    <w:rsid w:val="00051297"/>
    <w:rsid w:val="00051BF5"/>
    <w:rsid w:val="00051F2D"/>
    <w:rsid w:val="00051F81"/>
    <w:rsid w:val="00052144"/>
    <w:rsid w:val="00052259"/>
    <w:rsid w:val="000523DD"/>
    <w:rsid w:val="0005286A"/>
    <w:rsid w:val="00052C50"/>
    <w:rsid w:val="00052ECB"/>
    <w:rsid w:val="00052FC9"/>
    <w:rsid w:val="000531B1"/>
    <w:rsid w:val="00053467"/>
    <w:rsid w:val="00053493"/>
    <w:rsid w:val="0005375F"/>
    <w:rsid w:val="00053B36"/>
    <w:rsid w:val="00053CA8"/>
    <w:rsid w:val="00053CC8"/>
    <w:rsid w:val="00053EE9"/>
    <w:rsid w:val="00054586"/>
    <w:rsid w:val="0005474F"/>
    <w:rsid w:val="00054C46"/>
    <w:rsid w:val="00054C6B"/>
    <w:rsid w:val="00054D69"/>
    <w:rsid w:val="00054ED7"/>
    <w:rsid w:val="00054F70"/>
    <w:rsid w:val="00055067"/>
    <w:rsid w:val="0005508D"/>
    <w:rsid w:val="000550AC"/>
    <w:rsid w:val="000551F5"/>
    <w:rsid w:val="000552D3"/>
    <w:rsid w:val="000554C7"/>
    <w:rsid w:val="0005553B"/>
    <w:rsid w:val="000557E4"/>
    <w:rsid w:val="0005598C"/>
    <w:rsid w:val="00055AF1"/>
    <w:rsid w:val="00055C0F"/>
    <w:rsid w:val="00055D2C"/>
    <w:rsid w:val="00055DE8"/>
    <w:rsid w:val="00056386"/>
    <w:rsid w:val="00056403"/>
    <w:rsid w:val="000568AB"/>
    <w:rsid w:val="0005698E"/>
    <w:rsid w:val="00056CB2"/>
    <w:rsid w:val="00057088"/>
    <w:rsid w:val="000570B9"/>
    <w:rsid w:val="000573BB"/>
    <w:rsid w:val="000573D9"/>
    <w:rsid w:val="0005751A"/>
    <w:rsid w:val="000575CB"/>
    <w:rsid w:val="000579A7"/>
    <w:rsid w:val="00057C6A"/>
    <w:rsid w:val="00057EE8"/>
    <w:rsid w:val="00057FC0"/>
    <w:rsid w:val="00060221"/>
    <w:rsid w:val="00060571"/>
    <w:rsid w:val="000605E2"/>
    <w:rsid w:val="00060CC3"/>
    <w:rsid w:val="00060E0B"/>
    <w:rsid w:val="00060E24"/>
    <w:rsid w:val="00060FAC"/>
    <w:rsid w:val="00061149"/>
    <w:rsid w:val="000616DC"/>
    <w:rsid w:val="00061814"/>
    <w:rsid w:val="00061D39"/>
    <w:rsid w:val="00062289"/>
    <w:rsid w:val="000622E3"/>
    <w:rsid w:val="0006266A"/>
    <w:rsid w:val="000627C7"/>
    <w:rsid w:val="00063331"/>
    <w:rsid w:val="000633AD"/>
    <w:rsid w:val="000635B7"/>
    <w:rsid w:val="00063988"/>
    <w:rsid w:val="0006399E"/>
    <w:rsid w:val="00063F5F"/>
    <w:rsid w:val="00064182"/>
    <w:rsid w:val="000641B7"/>
    <w:rsid w:val="0006458E"/>
    <w:rsid w:val="00064C84"/>
    <w:rsid w:val="00064C92"/>
    <w:rsid w:val="00065171"/>
    <w:rsid w:val="00065179"/>
    <w:rsid w:val="000651C6"/>
    <w:rsid w:val="000652DF"/>
    <w:rsid w:val="000653D2"/>
    <w:rsid w:val="0006565A"/>
    <w:rsid w:val="00065921"/>
    <w:rsid w:val="00065A01"/>
    <w:rsid w:val="00065CA0"/>
    <w:rsid w:val="00065E7F"/>
    <w:rsid w:val="00065FDC"/>
    <w:rsid w:val="00066039"/>
    <w:rsid w:val="000665C0"/>
    <w:rsid w:val="00066BED"/>
    <w:rsid w:val="00066BFA"/>
    <w:rsid w:val="00066C3B"/>
    <w:rsid w:val="00066CBB"/>
    <w:rsid w:val="00066FE1"/>
    <w:rsid w:val="00067795"/>
    <w:rsid w:val="000678D7"/>
    <w:rsid w:val="00067DCC"/>
    <w:rsid w:val="0007011D"/>
    <w:rsid w:val="0007026E"/>
    <w:rsid w:val="000706AB"/>
    <w:rsid w:val="00070B25"/>
    <w:rsid w:val="0007120C"/>
    <w:rsid w:val="0007123D"/>
    <w:rsid w:val="00071560"/>
    <w:rsid w:val="000715A4"/>
    <w:rsid w:val="00071756"/>
    <w:rsid w:val="000717C0"/>
    <w:rsid w:val="00071CFE"/>
    <w:rsid w:val="00071E15"/>
    <w:rsid w:val="0007210E"/>
    <w:rsid w:val="00072316"/>
    <w:rsid w:val="000723E7"/>
    <w:rsid w:val="00072561"/>
    <w:rsid w:val="0007262D"/>
    <w:rsid w:val="000729B0"/>
    <w:rsid w:val="00072A42"/>
    <w:rsid w:val="00072F30"/>
    <w:rsid w:val="0007318A"/>
    <w:rsid w:val="00073363"/>
    <w:rsid w:val="000733AA"/>
    <w:rsid w:val="000734DF"/>
    <w:rsid w:val="000737CA"/>
    <w:rsid w:val="00073804"/>
    <w:rsid w:val="00073970"/>
    <w:rsid w:val="0007437F"/>
    <w:rsid w:val="00074754"/>
    <w:rsid w:val="00074840"/>
    <w:rsid w:val="00074885"/>
    <w:rsid w:val="00075110"/>
    <w:rsid w:val="00075258"/>
    <w:rsid w:val="00075276"/>
    <w:rsid w:val="00075482"/>
    <w:rsid w:val="00075969"/>
    <w:rsid w:val="00075B0F"/>
    <w:rsid w:val="00075C53"/>
    <w:rsid w:val="000760E5"/>
    <w:rsid w:val="00076201"/>
    <w:rsid w:val="00076804"/>
    <w:rsid w:val="000768AC"/>
    <w:rsid w:val="000775FD"/>
    <w:rsid w:val="00077A19"/>
    <w:rsid w:val="00080228"/>
    <w:rsid w:val="000802BA"/>
    <w:rsid w:val="00080368"/>
    <w:rsid w:val="00080471"/>
    <w:rsid w:val="000804B2"/>
    <w:rsid w:val="000806C0"/>
    <w:rsid w:val="00080725"/>
    <w:rsid w:val="00080771"/>
    <w:rsid w:val="00080870"/>
    <w:rsid w:val="0008088F"/>
    <w:rsid w:val="00080A0C"/>
    <w:rsid w:val="00081030"/>
    <w:rsid w:val="000812E4"/>
    <w:rsid w:val="00081486"/>
    <w:rsid w:val="00081A22"/>
    <w:rsid w:val="00081B2A"/>
    <w:rsid w:val="0008247F"/>
    <w:rsid w:val="00082613"/>
    <w:rsid w:val="0008294D"/>
    <w:rsid w:val="00082CC9"/>
    <w:rsid w:val="0008308E"/>
    <w:rsid w:val="0008336A"/>
    <w:rsid w:val="00083451"/>
    <w:rsid w:val="00083AFA"/>
    <w:rsid w:val="000845B0"/>
    <w:rsid w:val="00084672"/>
    <w:rsid w:val="00084852"/>
    <w:rsid w:val="00085515"/>
    <w:rsid w:val="00085725"/>
    <w:rsid w:val="00085902"/>
    <w:rsid w:val="00085D21"/>
    <w:rsid w:val="00085EEA"/>
    <w:rsid w:val="000860BC"/>
    <w:rsid w:val="0008613C"/>
    <w:rsid w:val="00086423"/>
    <w:rsid w:val="00086425"/>
    <w:rsid w:val="00086735"/>
    <w:rsid w:val="0008676B"/>
    <w:rsid w:val="00086AB7"/>
    <w:rsid w:val="00086BD8"/>
    <w:rsid w:val="00086C80"/>
    <w:rsid w:val="000870FA"/>
    <w:rsid w:val="000871B3"/>
    <w:rsid w:val="000875C5"/>
    <w:rsid w:val="0008771F"/>
    <w:rsid w:val="00087973"/>
    <w:rsid w:val="00087C60"/>
    <w:rsid w:val="00090298"/>
    <w:rsid w:val="000907F9"/>
    <w:rsid w:val="00090800"/>
    <w:rsid w:val="0009099D"/>
    <w:rsid w:val="00090A66"/>
    <w:rsid w:val="00090C59"/>
    <w:rsid w:val="00090C90"/>
    <w:rsid w:val="00090E46"/>
    <w:rsid w:val="00090FF1"/>
    <w:rsid w:val="000910E3"/>
    <w:rsid w:val="00091B0D"/>
    <w:rsid w:val="00091E1F"/>
    <w:rsid w:val="00091E27"/>
    <w:rsid w:val="00091E76"/>
    <w:rsid w:val="00091EEB"/>
    <w:rsid w:val="00092067"/>
    <w:rsid w:val="0009222D"/>
    <w:rsid w:val="00092463"/>
    <w:rsid w:val="00092634"/>
    <w:rsid w:val="0009294E"/>
    <w:rsid w:val="00092AE2"/>
    <w:rsid w:val="00093225"/>
    <w:rsid w:val="000932E8"/>
    <w:rsid w:val="000935B0"/>
    <w:rsid w:val="0009364B"/>
    <w:rsid w:val="00093B68"/>
    <w:rsid w:val="00093CB8"/>
    <w:rsid w:val="0009424C"/>
    <w:rsid w:val="000942D9"/>
    <w:rsid w:val="000942DA"/>
    <w:rsid w:val="000943A1"/>
    <w:rsid w:val="0009441D"/>
    <w:rsid w:val="000944AE"/>
    <w:rsid w:val="00094790"/>
    <w:rsid w:val="00094900"/>
    <w:rsid w:val="00094DAF"/>
    <w:rsid w:val="00094E5B"/>
    <w:rsid w:val="00094F83"/>
    <w:rsid w:val="000950D5"/>
    <w:rsid w:val="00095747"/>
    <w:rsid w:val="00095767"/>
    <w:rsid w:val="000958D1"/>
    <w:rsid w:val="000959F1"/>
    <w:rsid w:val="00095ABC"/>
    <w:rsid w:val="00095BF2"/>
    <w:rsid w:val="00095EF5"/>
    <w:rsid w:val="000962A3"/>
    <w:rsid w:val="00096453"/>
    <w:rsid w:val="00096730"/>
    <w:rsid w:val="00096A5A"/>
    <w:rsid w:val="00096EF9"/>
    <w:rsid w:val="00097CA6"/>
    <w:rsid w:val="00097D80"/>
    <w:rsid w:val="00097DA6"/>
    <w:rsid w:val="00097DCA"/>
    <w:rsid w:val="00097F03"/>
    <w:rsid w:val="00097F7A"/>
    <w:rsid w:val="000A005A"/>
    <w:rsid w:val="000A022C"/>
    <w:rsid w:val="000A068D"/>
    <w:rsid w:val="000A0690"/>
    <w:rsid w:val="000A07A0"/>
    <w:rsid w:val="000A0D3D"/>
    <w:rsid w:val="000A107F"/>
    <w:rsid w:val="000A1168"/>
    <w:rsid w:val="000A16A4"/>
    <w:rsid w:val="000A16C8"/>
    <w:rsid w:val="000A175D"/>
    <w:rsid w:val="000A18C1"/>
    <w:rsid w:val="000A1C55"/>
    <w:rsid w:val="000A1D89"/>
    <w:rsid w:val="000A1FB2"/>
    <w:rsid w:val="000A2A3B"/>
    <w:rsid w:val="000A2B5E"/>
    <w:rsid w:val="000A2BA8"/>
    <w:rsid w:val="000A2CDC"/>
    <w:rsid w:val="000A2F33"/>
    <w:rsid w:val="000A316B"/>
    <w:rsid w:val="000A317C"/>
    <w:rsid w:val="000A349E"/>
    <w:rsid w:val="000A35B0"/>
    <w:rsid w:val="000A3680"/>
    <w:rsid w:val="000A36D8"/>
    <w:rsid w:val="000A3EC9"/>
    <w:rsid w:val="000A437C"/>
    <w:rsid w:val="000A45E1"/>
    <w:rsid w:val="000A4651"/>
    <w:rsid w:val="000A4D2B"/>
    <w:rsid w:val="000A4EF1"/>
    <w:rsid w:val="000A4FB9"/>
    <w:rsid w:val="000A5483"/>
    <w:rsid w:val="000A57D1"/>
    <w:rsid w:val="000A5919"/>
    <w:rsid w:val="000A59DE"/>
    <w:rsid w:val="000A5CBD"/>
    <w:rsid w:val="000A6241"/>
    <w:rsid w:val="000A62E9"/>
    <w:rsid w:val="000A62FA"/>
    <w:rsid w:val="000A639D"/>
    <w:rsid w:val="000A640F"/>
    <w:rsid w:val="000A65E5"/>
    <w:rsid w:val="000A6629"/>
    <w:rsid w:val="000A668C"/>
    <w:rsid w:val="000A677A"/>
    <w:rsid w:val="000A6813"/>
    <w:rsid w:val="000A6977"/>
    <w:rsid w:val="000A6C4D"/>
    <w:rsid w:val="000A6FC5"/>
    <w:rsid w:val="000A73BD"/>
    <w:rsid w:val="000A7460"/>
    <w:rsid w:val="000A75F8"/>
    <w:rsid w:val="000A760A"/>
    <w:rsid w:val="000A7666"/>
    <w:rsid w:val="000A7D60"/>
    <w:rsid w:val="000A7E49"/>
    <w:rsid w:val="000B0660"/>
    <w:rsid w:val="000B077F"/>
    <w:rsid w:val="000B07D5"/>
    <w:rsid w:val="000B09E2"/>
    <w:rsid w:val="000B0B66"/>
    <w:rsid w:val="000B0D38"/>
    <w:rsid w:val="000B0D82"/>
    <w:rsid w:val="000B10FB"/>
    <w:rsid w:val="000B1280"/>
    <w:rsid w:val="000B17E5"/>
    <w:rsid w:val="000B1921"/>
    <w:rsid w:val="000B1AB2"/>
    <w:rsid w:val="000B1C60"/>
    <w:rsid w:val="000B1D5B"/>
    <w:rsid w:val="000B207B"/>
    <w:rsid w:val="000B2086"/>
    <w:rsid w:val="000B22BD"/>
    <w:rsid w:val="000B2445"/>
    <w:rsid w:val="000B244D"/>
    <w:rsid w:val="000B2451"/>
    <w:rsid w:val="000B26E6"/>
    <w:rsid w:val="000B2829"/>
    <w:rsid w:val="000B2840"/>
    <w:rsid w:val="000B2867"/>
    <w:rsid w:val="000B2E3B"/>
    <w:rsid w:val="000B30D2"/>
    <w:rsid w:val="000B30D7"/>
    <w:rsid w:val="000B33C8"/>
    <w:rsid w:val="000B3524"/>
    <w:rsid w:val="000B35B0"/>
    <w:rsid w:val="000B3600"/>
    <w:rsid w:val="000B3735"/>
    <w:rsid w:val="000B385F"/>
    <w:rsid w:val="000B3930"/>
    <w:rsid w:val="000B3BA9"/>
    <w:rsid w:val="000B49FE"/>
    <w:rsid w:val="000B4A3E"/>
    <w:rsid w:val="000B4ABC"/>
    <w:rsid w:val="000B4F8D"/>
    <w:rsid w:val="000B4F8E"/>
    <w:rsid w:val="000B522D"/>
    <w:rsid w:val="000B543B"/>
    <w:rsid w:val="000B5556"/>
    <w:rsid w:val="000B5749"/>
    <w:rsid w:val="000B584D"/>
    <w:rsid w:val="000B5B43"/>
    <w:rsid w:val="000B5B82"/>
    <w:rsid w:val="000B6324"/>
    <w:rsid w:val="000B6556"/>
    <w:rsid w:val="000B6611"/>
    <w:rsid w:val="000B671B"/>
    <w:rsid w:val="000B676C"/>
    <w:rsid w:val="000B6F8C"/>
    <w:rsid w:val="000B756E"/>
    <w:rsid w:val="000B7580"/>
    <w:rsid w:val="000B75DC"/>
    <w:rsid w:val="000B77AE"/>
    <w:rsid w:val="000B785A"/>
    <w:rsid w:val="000B7CE8"/>
    <w:rsid w:val="000B7DA8"/>
    <w:rsid w:val="000C013D"/>
    <w:rsid w:val="000C0165"/>
    <w:rsid w:val="000C05A0"/>
    <w:rsid w:val="000C0703"/>
    <w:rsid w:val="000C073E"/>
    <w:rsid w:val="000C0B4C"/>
    <w:rsid w:val="000C0BA2"/>
    <w:rsid w:val="000C0C8E"/>
    <w:rsid w:val="000C0D3F"/>
    <w:rsid w:val="000C0FBD"/>
    <w:rsid w:val="000C1B51"/>
    <w:rsid w:val="000C1CAD"/>
    <w:rsid w:val="000C1D16"/>
    <w:rsid w:val="000C1E8F"/>
    <w:rsid w:val="000C1EFF"/>
    <w:rsid w:val="000C2E85"/>
    <w:rsid w:val="000C305B"/>
    <w:rsid w:val="000C30F7"/>
    <w:rsid w:val="000C331C"/>
    <w:rsid w:val="000C348A"/>
    <w:rsid w:val="000C3660"/>
    <w:rsid w:val="000C36A1"/>
    <w:rsid w:val="000C376F"/>
    <w:rsid w:val="000C3B3F"/>
    <w:rsid w:val="000C3CBA"/>
    <w:rsid w:val="000C40BC"/>
    <w:rsid w:val="000C40FD"/>
    <w:rsid w:val="000C438B"/>
    <w:rsid w:val="000C4393"/>
    <w:rsid w:val="000C4954"/>
    <w:rsid w:val="000C4A9B"/>
    <w:rsid w:val="000C4AA0"/>
    <w:rsid w:val="000C4D43"/>
    <w:rsid w:val="000C5045"/>
    <w:rsid w:val="000C51B2"/>
    <w:rsid w:val="000C524C"/>
    <w:rsid w:val="000C5411"/>
    <w:rsid w:val="000C5618"/>
    <w:rsid w:val="000C56FC"/>
    <w:rsid w:val="000C5842"/>
    <w:rsid w:val="000C5BE7"/>
    <w:rsid w:val="000C5C27"/>
    <w:rsid w:val="000C62F0"/>
    <w:rsid w:val="000C6508"/>
    <w:rsid w:val="000C6614"/>
    <w:rsid w:val="000C6648"/>
    <w:rsid w:val="000C6B4E"/>
    <w:rsid w:val="000C74D2"/>
    <w:rsid w:val="000C753C"/>
    <w:rsid w:val="000C78FE"/>
    <w:rsid w:val="000C7985"/>
    <w:rsid w:val="000C7DF2"/>
    <w:rsid w:val="000D0597"/>
    <w:rsid w:val="000D060A"/>
    <w:rsid w:val="000D0713"/>
    <w:rsid w:val="000D0815"/>
    <w:rsid w:val="000D10B3"/>
    <w:rsid w:val="000D1CBA"/>
    <w:rsid w:val="000D27CD"/>
    <w:rsid w:val="000D2806"/>
    <w:rsid w:val="000D281B"/>
    <w:rsid w:val="000D2A0A"/>
    <w:rsid w:val="000D2EEC"/>
    <w:rsid w:val="000D31E2"/>
    <w:rsid w:val="000D3333"/>
    <w:rsid w:val="000D3455"/>
    <w:rsid w:val="000D37BD"/>
    <w:rsid w:val="000D37E2"/>
    <w:rsid w:val="000D3883"/>
    <w:rsid w:val="000D3889"/>
    <w:rsid w:val="000D38E8"/>
    <w:rsid w:val="000D3EC7"/>
    <w:rsid w:val="000D413C"/>
    <w:rsid w:val="000D4414"/>
    <w:rsid w:val="000D4705"/>
    <w:rsid w:val="000D4A56"/>
    <w:rsid w:val="000D4B17"/>
    <w:rsid w:val="000D502D"/>
    <w:rsid w:val="000D50EE"/>
    <w:rsid w:val="000D5301"/>
    <w:rsid w:val="000D56EC"/>
    <w:rsid w:val="000D5714"/>
    <w:rsid w:val="000D5E44"/>
    <w:rsid w:val="000D6010"/>
    <w:rsid w:val="000D62AF"/>
    <w:rsid w:val="000D638B"/>
    <w:rsid w:val="000D64A1"/>
    <w:rsid w:val="000D66E0"/>
    <w:rsid w:val="000D67C5"/>
    <w:rsid w:val="000D70AF"/>
    <w:rsid w:val="000D735C"/>
    <w:rsid w:val="000D78DB"/>
    <w:rsid w:val="000D7C51"/>
    <w:rsid w:val="000D7D38"/>
    <w:rsid w:val="000D7FA5"/>
    <w:rsid w:val="000E02B6"/>
    <w:rsid w:val="000E048B"/>
    <w:rsid w:val="000E04F6"/>
    <w:rsid w:val="000E056D"/>
    <w:rsid w:val="000E05DE"/>
    <w:rsid w:val="000E06D6"/>
    <w:rsid w:val="000E0AD3"/>
    <w:rsid w:val="000E0D54"/>
    <w:rsid w:val="000E1459"/>
    <w:rsid w:val="000E14F7"/>
    <w:rsid w:val="000E15C4"/>
    <w:rsid w:val="000E16AC"/>
    <w:rsid w:val="000E172F"/>
    <w:rsid w:val="000E1908"/>
    <w:rsid w:val="000E1944"/>
    <w:rsid w:val="000E1AED"/>
    <w:rsid w:val="000E1D08"/>
    <w:rsid w:val="000E1E5C"/>
    <w:rsid w:val="000E21C7"/>
    <w:rsid w:val="000E2793"/>
    <w:rsid w:val="000E27CF"/>
    <w:rsid w:val="000E283B"/>
    <w:rsid w:val="000E2C79"/>
    <w:rsid w:val="000E30B8"/>
    <w:rsid w:val="000E31AD"/>
    <w:rsid w:val="000E34E5"/>
    <w:rsid w:val="000E400F"/>
    <w:rsid w:val="000E4018"/>
    <w:rsid w:val="000E4118"/>
    <w:rsid w:val="000E422B"/>
    <w:rsid w:val="000E459E"/>
    <w:rsid w:val="000E48D0"/>
    <w:rsid w:val="000E4952"/>
    <w:rsid w:val="000E4FEB"/>
    <w:rsid w:val="000E55AB"/>
    <w:rsid w:val="000E58DA"/>
    <w:rsid w:val="000E5F67"/>
    <w:rsid w:val="000E6055"/>
    <w:rsid w:val="000E625A"/>
    <w:rsid w:val="000E62BC"/>
    <w:rsid w:val="000E6384"/>
    <w:rsid w:val="000E647E"/>
    <w:rsid w:val="000E68CB"/>
    <w:rsid w:val="000E68FA"/>
    <w:rsid w:val="000E6EE4"/>
    <w:rsid w:val="000E73B4"/>
    <w:rsid w:val="000E79BE"/>
    <w:rsid w:val="000E7EE9"/>
    <w:rsid w:val="000F0182"/>
    <w:rsid w:val="000F0488"/>
    <w:rsid w:val="000F08E9"/>
    <w:rsid w:val="000F0996"/>
    <w:rsid w:val="000F0A19"/>
    <w:rsid w:val="000F0E8C"/>
    <w:rsid w:val="000F1137"/>
    <w:rsid w:val="000F1633"/>
    <w:rsid w:val="000F1762"/>
    <w:rsid w:val="000F17C9"/>
    <w:rsid w:val="000F19BA"/>
    <w:rsid w:val="000F1D22"/>
    <w:rsid w:val="000F21C2"/>
    <w:rsid w:val="000F23AA"/>
    <w:rsid w:val="000F2446"/>
    <w:rsid w:val="000F28C9"/>
    <w:rsid w:val="000F295D"/>
    <w:rsid w:val="000F2D39"/>
    <w:rsid w:val="000F326A"/>
    <w:rsid w:val="000F3697"/>
    <w:rsid w:val="000F3DE7"/>
    <w:rsid w:val="000F3F00"/>
    <w:rsid w:val="000F451C"/>
    <w:rsid w:val="000F484B"/>
    <w:rsid w:val="000F49C5"/>
    <w:rsid w:val="000F4A50"/>
    <w:rsid w:val="000F4ACC"/>
    <w:rsid w:val="000F4CE0"/>
    <w:rsid w:val="000F4D7D"/>
    <w:rsid w:val="000F4DE3"/>
    <w:rsid w:val="000F5147"/>
    <w:rsid w:val="000F595C"/>
    <w:rsid w:val="000F6279"/>
    <w:rsid w:val="000F62B6"/>
    <w:rsid w:val="000F681E"/>
    <w:rsid w:val="000F6E1F"/>
    <w:rsid w:val="000F70B8"/>
    <w:rsid w:val="000F7336"/>
    <w:rsid w:val="001000F7"/>
    <w:rsid w:val="0010010F"/>
    <w:rsid w:val="001003BD"/>
    <w:rsid w:val="0010092B"/>
    <w:rsid w:val="00100B1E"/>
    <w:rsid w:val="00100DB7"/>
    <w:rsid w:val="00101073"/>
    <w:rsid w:val="001011B8"/>
    <w:rsid w:val="00101247"/>
    <w:rsid w:val="001013D6"/>
    <w:rsid w:val="001016B8"/>
    <w:rsid w:val="001018E7"/>
    <w:rsid w:val="001020B1"/>
    <w:rsid w:val="001021B8"/>
    <w:rsid w:val="00102208"/>
    <w:rsid w:val="00102465"/>
    <w:rsid w:val="001025E2"/>
    <w:rsid w:val="0010282B"/>
    <w:rsid w:val="00102A0F"/>
    <w:rsid w:val="00102A39"/>
    <w:rsid w:val="00102DB6"/>
    <w:rsid w:val="00102E42"/>
    <w:rsid w:val="001032B2"/>
    <w:rsid w:val="001032F5"/>
    <w:rsid w:val="0010332B"/>
    <w:rsid w:val="0010341A"/>
    <w:rsid w:val="00103897"/>
    <w:rsid w:val="001038AA"/>
    <w:rsid w:val="0010416F"/>
    <w:rsid w:val="0010424E"/>
    <w:rsid w:val="00104825"/>
    <w:rsid w:val="00104FC2"/>
    <w:rsid w:val="00105262"/>
    <w:rsid w:val="001054BE"/>
    <w:rsid w:val="0010572E"/>
    <w:rsid w:val="00105B27"/>
    <w:rsid w:val="00105C43"/>
    <w:rsid w:val="00105DA2"/>
    <w:rsid w:val="001060B7"/>
    <w:rsid w:val="001062AB"/>
    <w:rsid w:val="00106ADC"/>
    <w:rsid w:val="00106D04"/>
    <w:rsid w:val="00106F7C"/>
    <w:rsid w:val="0010706F"/>
    <w:rsid w:val="00107372"/>
    <w:rsid w:val="001073BA"/>
    <w:rsid w:val="0010789E"/>
    <w:rsid w:val="0010795F"/>
    <w:rsid w:val="00107DAA"/>
    <w:rsid w:val="00110001"/>
    <w:rsid w:val="0011027F"/>
    <w:rsid w:val="0011069E"/>
    <w:rsid w:val="001106E6"/>
    <w:rsid w:val="001108A5"/>
    <w:rsid w:val="00110905"/>
    <w:rsid w:val="00110AB5"/>
    <w:rsid w:val="00110B5C"/>
    <w:rsid w:val="00110FAD"/>
    <w:rsid w:val="0011117B"/>
    <w:rsid w:val="00111299"/>
    <w:rsid w:val="0011162F"/>
    <w:rsid w:val="00111EB0"/>
    <w:rsid w:val="00112162"/>
    <w:rsid w:val="001121CB"/>
    <w:rsid w:val="0011248A"/>
    <w:rsid w:val="001125BC"/>
    <w:rsid w:val="00112A32"/>
    <w:rsid w:val="00112D33"/>
    <w:rsid w:val="00112D66"/>
    <w:rsid w:val="00113199"/>
    <w:rsid w:val="00113307"/>
    <w:rsid w:val="00113492"/>
    <w:rsid w:val="001135D1"/>
    <w:rsid w:val="001136FF"/>
    <w:rsid w:val="00113A60"/>
    <w:rsid w:val="00113D97"/>
    <w:rsid w:val="00113E34"/>
    <w:rsid w:val="00113F65"/>
    <w:rsid w:val="00114744"/>
    <w:rsid w:val="0011476E"/>
    <w:rsid w:val="00114AA7"/>
    <w:rsid w:val="00114BB3"/>
    <w:rsid w:val="00114EB9"/>
    <w:rsid w:val="001155C3"/>
    <w:rsid w:val="001156E5"/>
    <w:rsid w:val="00115709"/>
    <w:rsid w:val="00115A70"/>
    <w:rsid w:val="00115F6D"/>
    <w:rsid w:val="00116387"/>
    <w:rsid w:val="0011673F"/>
    <w:rsid w:val="00116AB7"/>
    <w:rsid w:val="00116E8D"/>
    <w:rsid w:val="00116EBC"/>
    <w:rsid w:val="00116ECD"/>
    <w:rsid w:val="00117316"/>
    <w:rsid w:val="0011760C"/>
    <w:rsid w:val="001178B0"/>
    <w:rsid w:val="00117C1B"/>
    <w:rsid w:val="00120008"/>
    <w:rsid w:val="001201D7"/>
    <w:rsid w:val="00120377"/>
    <w:rsid w:val="0012078A"/>
    <w:rsid w:val="0012085A"/>
    <w:rsid w:val="0012090B"/>
    <w:rsid w:val="001209AC"/>
    <w:rsid w:val="00121229"/>
    <w:rsid w:val="00122096"/>
    <w:rsid w:val="0012278A"/>
    <w:rsid w:val="00122861"/>
    <w:rsid w:val="00122927"/>
    <w:rsid w:val="0012297B"/>
    <w:rsid w:val="001229F5"/>
    <w:rsid w:val="00122C46"/>
    <w:rsid w:val="00122C48"/>
    <w:rsid w:val="0012308A"/>
    <w:rsid w:val="00123105"/>
    <w:rsid w:val="001231CF"/>
    <w:rsid w:val="001233E0"/>
    <w:rsid w:val="001235B7"/>
    <w:rsid w:val="001236F5"/>
    <w:rsid w:val="00123BED"/>
    <w:rsid w:val="00123C13"/>
    <w:rsid w:val="001243D7"/>
    <w:rsid w:val="001243E7"/>
    <w:rsid w:val="001244A8"/>
    <w:rsid w:val="00124658"/>
    <w:rsid w:val="001246D1"/>
    <w:rsid w:val="001246DC"/>
    <w:rsid w:val="00124830"/>
    <w:rsid w:val="00124945"/>
    <w:rsid w:val="00124BA8"/>
    <w:rsid w:val="00124CDD"/>
    <w:rsid w:val="00124D60"/>
    <w:rsid w:val="00124E5E"/>
    <w:rsid w:val="00124F72"/>
    <w:rsid w:val="00125200"/>
    <w:rsid w:val="0012529A"/>
    <w:rsid w:val="00125330"/>
    <w:rsid w:val="00125337"/>
    <w:rsid w:val="00125583"/>
    <w:rsid w:val="001255CC"/>
    <w:rsid w:val="00125F48"/>
    <w:rsid w:val="00125F60"/>
    <w:rsid w:val="00126260"/>
    <w:rsid w:val="0012631A"/>
    <w:rsid w:val="00126469"/>
    <w:rsid w:val="00126520"/>
    <w:rsid w:val="0012667A"/>
    <w:rsid w:val="00126713"/>
    <w:rsid w:val="00126735"/>
    <w:rsid w:val="00126968"/>
    <w:rsid w:val="00126B1E"/>
    <w:rsid w:val="00126B9C"/>
    <w:rsid w:val="00126CCF"/>
    <w:rsid w:val="00126EBB"/>
    <w:rsid w:val="00126FC3"/>
    <w:rsid w:val="00126FE6"/>
    <w:rsid w:val="00127267"/>
    <w:rsid w:val="00127278"/>
    <w:rsid w:val="001275FF"/>
    <w:rsid w:val="001277DE"/>
    <w:rsid w:val="00127AF2"/>
    <w:rsid w:val="00127B99"/>
    <w:rsid w:val="00127D7C"/>
    <w:rsid w:val="00127E82"/>
    <w:rsid w:val="00130000"/>
    <w:rsid w:val="00130197"/>
    <w:rsid w:val="001306C9"/>
    <w:rsid w:val="0013081B"/>
    <w:rsid w:val="00130838"/>
    <w:rsid w:val="001309DD"/>
    <w:rsid w:val="00130A1D"/>
    <w:rsid w:val="00130A5C"/>
    <w:rsid w:val="00130C4F"/>
    <w:rsid w:val="00130EC1"/>
    <w:rsid w:val="00131341"/>
    <w:rsid w:val="001314C0"/>
    <w:rsid w:val="0013182C"/>
    <w:rsid w:val="001318BA"/>
    <w:rsid w:val="00131909"/>
    <w:rsid w:val="0013197E"/>
    <w:rsid w:val="00131B08"/>
    <w:rsid w:val="00131C60"/>
    <w:rsid w:val="00131C89"/>
    <w:rsid w:val="00131D12"/>
    <w:rsid w:val="00131E64"/>
    <w:rsid w:val="0013339B"/>
    <w:rsid w:val="00133556"/>
    <w:rsid w:val="00133605"/>
    <w:rsid w:val="001336B1"/>
    <w:rsid w:val="00133932"/>
    <w:rsid w:val="00133D17"/>
    <w:rsid w:val="00134182"/>
    <w:rsid w:val="0013434E"/>
    <w:rsid w:val="0013440C"/>
    <w:rsid w:val="001347AA"/>
    <w:rsid w:val="00134BFB"/>
    <w:rsid w:val="00134D53"/>
    <w:rsid w:val="001358FC"/>
    <w:rsid w:val="00135A26"/>
    <w:rsid w:val="00135AA4"/>
    <w:rsid w:val="00135C31"/>
    <w:rsid w:val="001360DB"/>
    <w:rsid w:val="00136386"/>
    <w:rsid w:val="001364D0"/>
    <w:rsid w:val="00136587"/>
    <w:rsid w:val="00136890"/>
    <w:rsid w:val="00136AD9"/>
    <w:rsid w:val="00136CE9"/>
    <w:rsid w:val="00136E5C"/>
    <w:rsid w:val="00136E5F"/>
    <w:rsid w:val="00136E77"/>
    <w:rsid w:val="00137058"/>
    <w:rsid w:val="0013772A"/>
    <w:rsid w:val="00137DFA"/>
    <w:rsid w:val="00137FD4"/>
    <w:rsid w:val="00140183"/>
    <w:rsid w:val="00140224"/>
    <w:rsid w:val="001402C0"/>
    <w:rsid w:val="0014061D"/>
    <w:rsid w:val="00140969"/>
    <w:rsid w:val="00140B5B"/>
    <w:rsid w:val="00140FDA"/>
    <w:rsid w:val="00141210"/>
    <w:rsid w:val="00141233"/>
    <w:rsid w:val="0014141E"/>
    <w:rsid w:val="00141482"/>
    <w:rsid w:val="001415A1"/>
    <w:rsid w:val="00141603"/>
    <w:rsid w:val="001417EC"/>
    <w:rsid w:val="00141982"/>
    <w:rsid w:val="00141991"/>
    <w:rsid w:val="00141CB3"/>
    <w:rsid w:val="00141E9C"/>
    <w:rsid w:val="00142316"/>
    <w:rsid w:val="00142510"/>
    <w:rsid w:val="001427F4"/>
    <w:rsid w:val="001428CB"/>
    <w:rsid w:val="00142C11"/>
    <w:rsid w:val="00142C87"/>
    <w:rsid w:val="00142CDC"/>
    <w:rsid w:val="00143362"/>
    <w:rsid w:val="0014338E"/>
    <w:rsid w:val="00143D33"/>
    <w:rsid w:val="00144125"/>
    <w:rsid w:val="00144862"/>
    <w:rsid w:val="00144879"/>
    <w:rsid w:val="00144B7F"/>
    <w:rsid w:val="00144E44"/>
    <w:rsid w:val="0014508B"/>
    <w:rsid w:val="001452D5"/>
    <w:rsid w:val="00145314"/>
    <w:rsid w:val="00145614"/>
    <w:rsid w:val="00145697"/>
    <w:rsid w:val="0014575C"/>
    <w:rsid w:val="00145847"/>
    <w:rsid w:val="001458FB"/>
    <w:rsid w:val="00145954"/>
    <w:rsid w:val="0014599B"/>
    <w:rsid w:val="00145C8A"/>
    <w:rsid w:val="00145D56"/>
    <w:rsid w:val="00145EBD"/>
    <w:rsid w:val="001466DE"/>
    <w:rsid w:val="001468F3"/>
    <w:rsid w:val="001469EF"/>
    <w:rsid w:val="00146C9A"/>
    <w:rsid w:val="00146D19"/>
    <w:rsid w:val="00147D66"/>
    <w:rsid w:val="001505C8"/>
    <w:rsid w:val="00150954"/>
    <w:rsid w:val="0015095D"/>
    <w:rsid w:val="00150990"/>
    <w:rsid w:val="001509B8"/>
    <w:rsid w:val="00150A31"/>
    <w:rsid w:val="00150CDC"/>
    <w:rsid w:val="00150F6F"/>
    <w:rsid w:val="001513C3"/>
    <w:rsid w:val="001514D9"/>
    <w:rsid w:val="0015162E"/>
    <w:rsid w:val="00151637"/>
    <w:rsid w:val="00151855"/>
    <w:rsid w:val="00151A4D"/>
    <w:rsid w:val="0015222D"/>
    <w:rsid w:val="001522DA"/>
    <w:rsid w:val="001522F2"/>
    <w:rsid w:val="00152669"/>
    <w:rsid w:val="00152777"/>
    <w:rsid w:val="001529DF"/>
    <w:rsid w:val="00152C4A"/>
    <w:rsid w:val="00152DDB"/>
    <w:rsid w:val="00153067"/>
    <w:rsid w:val="00153321"/>
    <w:rsid w:val="001536F9"/>
    <w:rsid w:val="00153738"/>
    <w:rsid w:val="00153C87"/>
    <w:rsid w:val="00153C9C"/>
    <w:rsid w:val="00153CC4"/>
    <w:rsid w:val="00153DB2"/>
    <w:rsid w:val="001543AA"/>
    <w:rsid w:val="00154400"/>
    <w:rsid w:val="00154759"/>
    <w:rsid w:val="00154990"/>
    <w:rsid w:val="00154B5A"/>
    <w:rsid w:val="00154E4B"/>
    <w:rsid w:val="00155A78"/>
    <w:rsid w:val="00156036"/>
    <w:rsid w:val="0015646E"/>
    <w:rsid w:val="00156801"/>
    <w:rsid w:val="00156910"/>
    <w:rsid w:val="0015697D"/>
    <w:rsid w:val="00156D76"/>
    <w:rsid w:val="00156E67"/>
    <w:rsid w:val="00157095"/>
    <w:rsid w:val="0015729E"/>
    <w:rsid w:val="00157359"/>
    <w:rsid w:val="00157A87"/>
    <w:rsid w:val="00157D98"/>
    <w:rsid w:val="001600C9"/>
    <w:rsid w:val="00160179"/>
    <w:rsid w:val="001603D7"/>
    <w:rsid w:val="00160616"/>
    <w:rsid w:val="001606C1"/>
    <w:rsid w:val="00160B1B"/>
    <w:rsid w:val="00160BDB"/>
    <w:rsid w:val="00160DA5"/>
    <w:rsid w:val="00160ECC"/>
    <w:rsid w:val="00161022"/>
    <w:rsid w:val="0016115C"/>
    <w:rsid w:val="001612A5"/>
    <w:rsid w:val="001618BB"/>
    <w:rsid w:val="0016198C"/>
    <w:rsid w:val="00161A2C"/>
    <w:rsid w:val="001620E3"/>
    <w:rsid w:val="001621D0"/>
    <w:rsid w:val="001621F4"/>
    <w:rsid w:val="00162351"/>
    <w:rsid w:val="00162905"/>
    <w:rsid w:val="001629C8"/>
    <w:rsid w:val="00162C47"/>
    <w:rsid w:val="0016319B"/>
    <w:rsid w:val="00163554"/>
    <w:rsid w:val="00163911"/>
    <w:rsid w:val="0016393D"/>
    <w:rsid w:val="00163A8E"/>
    <w:rsid w:val="00163CE3"/>
    <w:rsid w:val="001642E7"/>
    <w:rsid w:val="00164500"/>
    <w:rsid w:val="00164ACF"/>
    <w:rsid w:val="00164CA2"/>
    <w:rsid w:val="00164DFA"/>
    <w:rsid w:val="0016545F"/>
    <w:rsid w:val="00165978"/>
    <w:rsid w:val="001659F9"/>
    <w:rsid w:val="00165BC6"/>
    <w:rsid w:val="00165E9E"/>
    <w:rsid w:val="001660B0"/>
    <w:rsid w:val="00166332"/>
    <w:rsid w:val="00166610"/>
    <w:rsid w:val="00166A9B"/>
    <w:rsid w:val="00166B27"/>
    <w:rsid w:val="00166C25"/>
    <w:rsid w:val="00166C7C"/>
    <w:rsid w:val="00166C84"/>
    <w:rsid w:val="00166D48"/>
    <w:rsid w:val="00167286"/>
    <w:rsid w:val="001673BE"/>
    <w:rsid w:val="001673ED"/>
    <w:rsid w:val="0016742F"/>
    <w:rsid w:val="00167574"/>
    <w:rsid w:val="00167A04"/>
    <w:rsid w:val="00167B4E"/>
    <w:rsid w:val="0017009D"/>
    <w:rsid w:val="001700FC"/>
    <w:rsid w:val="00170745"/>
    <w:rsid w:val="0017079D"/>
    <w:rsid w:val="0017092F"/>
    <w:rsid w:val="00170A00"/>
    <w:rsid w:val="00170C2F"/>
    <w:rsid w:val="00170CD2"/>
    <w:rsid w:val="00170DF4"/>
    <w:rsid w:val="00170F4A"/>
    <w:rsid w:val="00171171"/>
    <w:rsid w:val="00171396"/>
    <w:rsid w:val="001716E4"/>
    <w:rsid w:val="00171919"/>
    <w:rsid w:val="00171A58"/>
    <w:rsid w:val="00171DE4"/>
    <w:rsid w:val="00171DE7"/>
    <w:rsid w:val="001720CD"/>
    <w:rsid w:val="00172106"/>
    <w:rsid w:val="0017274B"/>
    <w:rsid w:val="00172B2A"/>
    <w:rsid w:val="00172E04"/>
    <w:rsid w:val="00172FB6"/>
    <w:rsid w:val="001736A7"/>
    <w:rsid w:val="00173971"/>
    <w:rsid w:val="00173C97"/>
    <w:rsid w:val="00174309"/>
    <w:rsid w:val="001744FA"/>
    <w:rsid w:val="00174DCA"/>
    <w:rsid w:val="00174E61"/>
    <w:rsid w:val="00174EE0"/>
    <w:rsid w:val="0017574B"/>
    <w:rsid w:val="001759F6"/>
    <w:rsid w:val="00175B75"/>
    <w:rsid w:val="00176256"/>
    <w:rsid w:val="001764E7"/>
    <w:rsid w:val="00176967"/>
    <w:rsid w:val="0017697D"/>
    <w:rsid w:val="00176EF8"/>
    <w:rsid w:val="00177072"/>
    <w:rsid w:val="001770CD"/>
    <w:rsid w:val="0017720A"/>
    <w:rsid w:val="0017730B"/>
    <w:rsid w:val="0017746D"/>
    <w:rsid w:val="00177579"/>
    <w:rsid w:val="00177607"/>
    <w:rsid w:val="00177637"/>
    <w:rsid w:val="00177865"/>
    <w:rsid w:val="0017794F"/>
    <w:rsid w:val="00177969"/>
    <w:rsid w:val="00177A52"/>
    <w:rsid w:val="001801E4"/>
    <w:rsid w:val="001804E4"/>
    <w:rsid w:val="0018051E"/>
    <w:rsid w:val="001805B6"/>
    <w:rsid w:val="0018066E"/>
    <w:rsid w:val="001806DF"/>
    <w:rsid w:val="00180AE8"/>
    <w:rsid w:val="00180B09"/>
    <w:rsid w:val="00180B6A"/>
    <w:rsid w:val="00181089"/>
    <w:rsid w:val="00181293"/>
    <w:rsid w:val="00181369"/>
    <w:rsid w:val="00181B89"/>
    <w:rsid w:val="00181EE0"/>
    <w:rsid w:val="001820CB"/>
    <w:rsid w:val="0018263F"/>
    <w:rsid w:val="0018276B"/>
    <w:rsid w:val="00182AF6"/>
    <w:rsid w:val="00182E60"/>
    <w:rsid w:val="00183410"/>
    <w:rsid w:val="001836A7"/>
    <w:rsid w:val="001836EC"/>
    <w:rsid w:val="001837A5"/>
    <w:rsid w:val="00183C52"/>
    <w:rsid w:val="001840BC"/>
    <w:rsid w:val="00184A40"/>
    <w:rsid w:val="00184AF3"/>
    <w:rsid w:val="00184C27"/>
    <w:rsid w:val="00184C82"/>
    <w:rsid w:val="00184E37"/>
    <w:rsid w:val="00184E62"/>
    <w:rsid w:val="00184E68"/>
    <w:rsid w:val="00184ECE"/>
    <w:rsid w:val="00184F6C"/>
    <w:rsid w:val="00185017"/>
    <w:rsid w:val="00185313"/>
    <w:rsid w:val="00185809"/>
    <w:rsid w:val="00185A47"/>
    <w:rsid w:val="00185B84"/>
    <w:rsid w:val="0018641C"/>
    <w:rsid w:val="00186BE9"/>
    <w:rsid w:val="00187150"/>
    <w:rsid w:val="00187616"/>
    <w:rsid w:val="001877BC"/>
    <w:rsid w:val="001877D8"/>
    <w:rsid w:val="00187B0F"/>
    <w:rsid w:val="00187C4B"/>
    <w:rsid w:val="00187D77"/>
    <w:rsid w:val="00187E1C"/>
    <w:rsid w:val="001905A1"/>
    <w:rsid w:val="00190705"/>
    <w:rsid w:val="00190AAD"/>
    <w:rsid w:val="00190ECF"/>
    <w:rsid w:val="001912A3"/>
    <w:rsid w:val="00191385"/>
    <w:rsid w:val="001919C1"/>
    <w:rsid w:val="00191B4B"/>
    <w:rsid w:val="00191E7C"/>
    <w:rsid w:val="001920E8"/>
    <w:rsid w:val="00192488"/>
    <w:rsid w:val="001925DA"/>
    <w:rsid w:val="001926B2"/>
    <w:rsid w:val="001926BD"/>
    <w:rsid w:val="00192852"/>
    <w:rsid w:val="001928DF"/>
    <w:rsid w:val="0019294B"/>
    <w:rsid w:val="001929AB"/>
    <w:rsid w:val="001929D2"/>
    <w:rsid w:val="00192B20"/>
    <w:rsid w:val="00192DA2"/>
    <w:rsid w:val="00192EC3"/>
    <w:rsid w:val="00192F01"/>
    <w:rsid w:val="00192F55"/>
    <w:rsid w:val="00193037"/>
    <w:rsid w:val="001930DD"/>
    <w:rsid w:val="00193564"/>
    <w:rsid w:val="001935E6"/>
    <w:rsid w:val="00193606"/>
    <w:rsid w:val="00193845"/>
    <w:rsid w:val="001938D6"/>
    <w:rsid w:val="00193CDC"/>
    <w:rsid w:val="00193FE4"/>
    <w:rsid w:val="0019437A"/>
    <w:rsid w:val="00194547"/>
    <w:rsid w:val="0019459C"/>
    <w:rsid w:val="00194F67"/>
    <w:rsid w:val="001950A5"/>
    <w:rsid w:val="001951EC"/>
    <w:rsid w:val="001954CB"/>
    <w:rsid w:val="001955AB"/>
    <w:rsid w:val="001956BB"/>
    <w:rsid w:val="001958F1"/>
    <w:rsid w:val="00195A8B"/>
    <w:rsid w:val="001964C7"/>
    <w:rsid w:val="00196525"/>
    <w:rsid w:val="0019667C"/>
    <w:rsid w:val="00196F73"/>
    <w:rsid w:val="0019706C"/>
    <w:rsid w:val="001970BE"/>
    <w:rsid w:val="00197190"/>
    <w:rsid w:val="001975F1"/>
    <w:rsid w:val="001977A6"/>
    <w:rsid w:val="00197D6C"/>
    <w:rsid w:val="001A0350"/>
    <w:rsid w:val="001A1130"/>
    <w:rsid w:val="001A1775"/>
    <w:rsid w:val="001A1881"/>
    <w:rsid w:val="001A1A20"/>
    <w:rsid w:val="001A1A92"/>
    <w:rsid w:val="001A1BBE"/>
    <w:rsid w:val="001A1D42"/>
    <w:rsid w:val="001A1FF0"/>
    <w:rsid w:val="001A2533"/>
    <w:rsid w:val="001A2B77"/>
    <w:rsid w:val="001A2C4C"/>
    <w:rsid w:val="001A2D71"/>
    <w:rsid w:val="001A306D"/>
    <w:rsid w:val="001A31DB"/>
    <w:rsid w:val="001A370B"/>
    <w:rsid w:val="001A3A2B"/>
    <w:rsid w:val="001A3AD5"/>
    <w:rsid w:val="001A3B77"/>
    <w:rsid w:val="001A3F96"/>
    <w:rsid w:val="001A418B"/>
    <w:rsid w:val="001A43FE"/>
    <w:rsid w:val="001A4540"/>
    <w:rsid w:val="001A45DF"/>
    <w:rsid w:val="001A508E"/>
    <w:rsid w:val="001A51DE"/>
    <w:rsid w:val="001A53AF"/>
    <w:rsid w:val="001A5552"/>
    <w:rsid w:val="001A56FB"/>
    <w:rsid w:val="001A5748"/>
    <w:rsid w:val="001A5E86"/>
    <w:rsid w:val="001A5F98"/>
    <w:rsid w:val="001A6198"/>
    <w:rsid w:val="001A64E6"/>
    <w:rsid w:val="001A691D"/>
    <w:rsid w:val="001A699D"/>
    <w:rsid w:val="001A69A1"/>
    <w:rsid w:val="001A71C0"/>
    <w:rsid w:val="001A7337"/>
    <w:rsid w:val="001A7338"/>
    <w:rsid w:val="001A76C2"/>
    <w:rsid w:val="001A78C6"/>
    <w:rsid w:val="001A791E"/>
    <w:rsid w:val="001A79AA"/>
    <w:rsid w:val="001A7AE4"/>
    <w:rsid w:val="001A7B63"/>
    <w:rsid w:val="001A7C33"/>
    <w:rsid w:val="001B0427"/>
    <w:rsid w:val="001B0596"/>
    <w:rsid w:val="001B05F8"/>
    <w:rsid w:val="001B0AD9"/>
    <w:rsid w:val="001B0B3E"/>
    <w:rsid w:val="001B0E34"/>
    <w:rsid w:val="001B11E3"/>
    <w:rsid w:val="001B1432"/>
    <w:rsid w:val="001B1532"/>
    <w:rsid w:val="001B217D"/>
    <w:rsid w:val="001B27C5"/>
    <w:rsid w:val="001B2829"/>
    <w:rsid w:val="001B2D39"/>
    <w:rsid w:val="001B2E0D"/>
    <w:rsid w:val="001B2F8A"/>
    <w:rsid w:val="001B310F"/>
    <w:rsid w:val="001B3136"/>
    <w:rsid w:val="001B32BC"/>
    <w:rsid w:val="001B3419"/>
    <w:rsid w:val="001B34B3"/>
    <w:rsid w:val="001B368D"/>
    <w:rsid w:val="001B3918"/>
    <w:rsid w:val="001B3B48"/>
    <w:rsid w:val="001B40CB"/>
    <w:rsid w:val="001B43BA"/>
    <w:rsid w:val="001B4560"/>
    <w:rsid w:val="001B49ED"/>
    <w:rsid w:val="001B4C88"/>
    <w:rsid w:val="001B4CB3"/>
    <w:rsid w:val="001B55D1"/>
    <w:rsid w:val="001B576D"/>
    <w:rsid w:val="001B5857"/>
    <w:rsid w:val="001B59BB"/>
    <w:rsid w:val="001B5BF2"/>
    <w:rsid w:val="001B5E1E"/>
    <w:rsid w:val="001B635B"/>
    <w:rsid w:val="001B63CA"/>
    <w:rsid w:val="001B6EAF"/>
    <w:rsid w:val="001B6FA8"/>
    <w:rsid w:val="001B7160"/>
    <w:rsid w:val="001B7191"/>
    <w:rsid w:val="001B7359"/>
    <w:rsid w:val="001B77C4"/>
    <w:rsid w:val="001B7DCA"/>
    <w:rsid w:val="001C002B"/>
    <w:rsid w:val="001C0545"/>
    <w:rsid w:val="001C0810"/>
    <w:rsid w:val="001C08C7"/>
    <w:rsid w:val="001C09DA"/>
    <w:rsid w:val="001C0B00"/>
    <w:rsid w:val="001C0D7C"/>
    <w:rsid w:val="001C0DB8"/>
    <w:rsid w:val="001C0F11"/>
    <w:rsid w:val="001C127B"/>
    <w:rsid w:val="001C12EB"/>
    <w:rsid w:val="001C12F0"/>
    <w:rsid w:val="001C13E7"/>
    <w:rsid w:val="001C1580"/>
    <w:rsid w:val="001C1DF9"/>
    <w:rsid w:val="001C1F0F"/>
    <w:rsid w:val="001C1F1D"/>
    <w:rsid w:val="001C2290"/>
    <w:rsid w:val="001C22C2"/>
    <w:rsid w:val="001C2343"/>
    <w:rsid w:val="001C2387"/>
    <w:rsid w:val="001C2895"/>
    <w:rsid w:val="001C2CC5"/>
    <w:rsid w:val="001C2DA9"/>
    <w:rsid w:val="001C30E2"/>
    <w:rsid w:val="001C30EC"/>
    <w:rsid w:val="001C3154"/>
    <w:rsid w:val="001C3167"/>
    <w:rsid w:val="001C3C8E"/>
    <w:rsid w:val="001C3D12"/>
    <w:rsid w:val="001C3DBF"/>
    <w:rsid w:val="001C3F97"/>
    <w:rsid w:val="001C4361"/>
    <w:rsid w:val="001C445D"/>
    <w:rsid w:val="001C44FA"/>
    <w:rsid w:val="001C45D2"/>
    <w:rsid w:val="001C47EC"/>
    <w:rsid w:val="001C48EB"/>
    <w:rsid w:val="001C4AC2"/>
    <w:rsid w:val="001C4E0B"/>
    <w:rsid w:val="001C4FA2"/>
    <w:rsid w:val="001C51A9"/>
    <w:rsid w:val="001C555F"/>
    <w:rsid w:val="001C55E6"/>
    <w:rsid w:val="001C571A"/>
    <w:rsid w:val="001C5A3E"/>
    <w:rsid w:val="001C5ABA"/>
    <w:rsid w:val="001C5D27"/>
    <w:rsid w:val="001C602E"/>
    <w:rsid w:val="001C6A26"/>
    <w:rsid w:val="001C6CB3"/>
    <w:rsid w:val="001C6D12"/>
    <w:rsid w:val="001C729D"/>
    <w:rsid w:val="001C7320"/>
    <w:rsid w:val="001C73B9"/>
    <w:rsid w:val="001C73E6"/>
    <w:rsid w:val="001C753C"/>
    <w:rsid w:val="001C7838"/>
    <w:rsid w:val="001C793C"/>
    <w:rsid w:val="001C79E9"/>
    <w:rsid w:val="001C7D5F"/>
    <w:rsid w:val="001C7E2B"/>
    <w:rsid w:val="001C7F96"/>
    <w:rsid w:val="001C7FE9"/>
    <w:rsid w:val="001D00CF"/>
    <w:rsid w:val="001D00D9"/>
    <w:rsid w:val="001D0126"/>
    <w:rsid w:val="001D03F4"/>
    <w:rsid w:val="001D06EE"/>
    <w:rsid w:val="001D0759"/>
    <w:rsid w:val="001D08E0"/>
    <w:rsid w:val="001D09B2"/>
    <w:rsid w:val="001D0B9E"/>
    <w:rsid w:val="001D0C04"/>
    <w:rsid w:val="001D0DC5"/>
    <w:rsid w:val="001D11EE"/>
    <w:rsid w:val="001D12C3"/>
    <w:rsid w:val="001D12FC"/>
    <w:rsid w:val="001D1387"/>
    <w:rsid w:val="001D14C8"/>
    <w:rsid w:val="001D2179"/>
    <w:rsid w:val="001D268E"/>
    <w:rsid w:val="001D2A35"/>
    <w:rsid w:val="001D2A4F"/>
    <w:rsid w:val="001D2B7F"/>
    <w:rsid w:val="001D2E83"/>
    <w:rsid w:val="001D3020"/>
    <w:rsid w:val="001D306E"/>
    <w:rsid w:val="001D331B"/>
    <w:rsid w:val="001D343F"/>
    <w:rsid w:val="001D3449"/>
    <w:rsid w:val="001D34EA"/>
    <w:rsid w:val="001D3695"/>
    <w:rsid w:val="001D3850"/>
    <w:rsid w:val="001D38DD"/>
    <w:rsid w:val="001D3A36"/>
    <w:rsid w:val="001D4204"/>
    <w:rsid w:val="001D4337"/>
    <w:rsid w:val="001D4856"/>
    <w:rsid w:val="001D48DC"/>
    <w:rsid w:val="001D4B71"/>
    <w:rsid w:val="001D4B74"/>
    <w:rsid w:val="001D4BF9"/>
    <w:rsid w:val="001D4C90"/>
    <w:rsid w:val="001D4D9F"/>
    <w:rsid w:val="001D5066"/>
    <w:rsid w:val="001D54DC"/>
    <w:rsid w:val="001D56A4"/>
    <w:rsid w:val="001D57EF"/>
    <w:rsid w:val="001D5AB1"/>
    <w:rsid w:val="001D5AC8"/>
    <w:rsid w:val="001D5C04"/>
    <w:rsid w:val="001D5D41"/>
    <w:rsid w:val="001D68FD"/>
    <w:rsid w:val="001D6C64"/>
    <w:rsid w:val="001D6E1F"/>
    <w:rsid w:val="001D6E77"/>
    <w:rsid w:val="001D6F09"/>
    <w:rsid w:val="001D70F6"/>
    <w:rsid w:val="001D710B"/>
    <w:rsid w:val="001D71FE"/>
    <w:rsid w:val="001D7D8F"/>
    <w:rsid w:val="001D7D9F"/>
    <w:rsid w:val="001E069E"/>
    <w:rsid w:val="001E0881"/>
    <w:rsid w:val="001E0921"/>
    <w:rsid w:val="001E0AB8"/>
    <w:rsid w:val="001E0AF7"/>
    <w:rsid w:val="001E0BBA"/>
    <w:rsid w:val="001E0BBB"/>
    <w:rsid w:val="001E13AE"/>
    <w:rsid w:val="001E1A5C"/>
    <w:rsid w:val="001E1DCC"/>
    <w:rsid w:val="001E2005"/>
    <w:rsid w:val="001E20C8"/>
    <w:rsid w:val="001E21A5"/>
    <w:rsid w:val="001E21D2"/>
    <w:rsid w:val="001E2234"/>
    <w:rsid w:val="001E22D2"/>
    <w:rsid w:val="001E23A1"/>
    <w:rsid w:val="001E244B"/>
    <w:rsid w:val="001E24C6"/>
    <w:rsid w:val="001E28A5"/>
    <w:rsid w:val="001E292F"/>
    <w:rsid w:val="001E3328"/>
    <w:rsid w:val="001E3400"/>
    <w:rsid w:val="001E35FB"/>
    <w:rsid w:val="001E3637"/>
    <w:rsid w:val="001E3813"/>
    <w:rsid w:val="001E3C08"/>
    <w:rsid w:val="001E3C3F"/>
    <w:rsid w:val="001E3EA8"/>
    <w:rsid w:val="001E3FBD"/>
    <w:rsid w:val="001E419E"/>
    <w:rsid w:val="001E429D"/>
    <w:rsid w:val="001E434C"/>
    <w:rsid w:val="001E44CC"/>
    <w:rsid w:val="001E466B"/>
    <w:rsid w:val="001E46CF"/>
    <w:rsid w:val="001E47C0"/>
    <w:rsid w:val="001E4AA4"/>
    <w:rsid w:val="001E4BCC"/>
    <w:rsid w:val="001E4F6E"/>
    <w:rsid w:val="001E5199"/>
    <w:rsid w:val="001E52B2"/>
    <w:rsid w:val="001E5403"/>
    <w:rsid w:val="001E5787"/>
    <w:rsid w:val="001E5C34"/>
    <w:rsid w:val="001E5C97"/>
    <w:rsid w:val="001E5CA7"/>
    <w:rsid w:val="001E6872"/>
    <w:rsid w:val="001E69C1"/>
    <w:rsid w:val="001E6A46"/>
    <w:rsid w:val="001E6A8B"/>
    <w:rsid w:val="001E70FB"/>
    <w:rsid w:val="001E7379"/>
    <w:rsid w:val="001E749F"/>
    <w:rsid w:val="001E7837"/>
    <w:rsid w:val="001E78FD"/>
    <w:rsid w:val="001E79A9"/>
    <w:rsid w:val="001E79DF"/>
    <w:rsid w:val="001E7A27"/>
    <w:rsid w:val="001E7E8A"/>
    <w:rsid w:val="001F016B"/>
    <w:rsid w:val="001F01F8"/>
    <w:rsid w:val="001F05A8"/>
    <w:rsid w:val="001F146E"/>
    <w:rsid w:val="001F182C"/>
    <w:rsid w:val="001F1A48"/>
    <w:rsid w:val="001F1BC0"/>
    <w:rsid w:val="001F1E3A"/>
    <w:rsid w:val="001F1F13"/>
    <w:rsid w:val="001F20D2"/>
    <w:rsid w:val="001F212A"/>
    <w:rsid w:val="001F21E2"/>
    <w:rsid w:val="001F22C7"/>
    <w:rsid w:val="001F250A"/>
    <w:rsid w:val="001F2746"/>
    <w:rsid w:val="001F2AE9"/>
    <w:rsid w:val="001F30DF"/>
    <w:rsid w:val="001F350E"/>
    <w:rsid w:val="001F35C9"/>
    <w:rsid w:val="001F3FF4"/>
    <w:rsid w:val="001F4AD3"/>
    <w:rsid w:val="001F4EA0"/>
    <w:rsid w:val="001F4EDE"/>
    <w:rsid w:val="001F4EFD"/>
    <w:rsid w:val="001F511B"/>
    <w:rsid w:val="001F549E"/>
    <w:rsid w:val="001F5525"/>
    <w:rsid w:val="001F5705"/>
    <w:rsid w:val="001F5A03"/>
    <w:rsid w:val="001F5A5C"/>
    <w:rsid w:val="001F5C5E"/>
    <w:rsid w:val="001F5F5B"/>
    <w:rsid w:val="001F66DE"/>
    <w:rsid w:val="001F66F8"/>
    <w:rsid w:val="001F6A88"/>
    <w:rsid w:val="001F6D88"/>
    <w:rsid w:val="001F752D"/>
    <w:rsid w:val="001F75F6"/>
    <w:rsid w:val="001F786E"/>
    <w:rsid w:val="001F7990"/>
    <w:rsid w:val="001F7AE3"/>
    <w:rsid w:val="001F7F1B"/>
    <w:rsid w:val="00200185"/>
    <w:rsid w:val="002001CA"/>
    <w:rsid w:val="00200460"/>
    <w:rsid w:val="002004C7"/>
    <w:rsid w:val="002011A3"/>
    <w:rsid w:val="002012E4"/>
    <w:rsid w:val="00201488"/>
    <w:rsid w:val="00201597"/>
    <w:rsid w:val="00201986"/>
    <w:rsid w:val="00201AA1"/>
    <w:rsid w:val="00201F6C"/>
    <w:rsid w:val="00202027"/>
    <w:rsid w:val="0020209C"/>
    <w:rsid w:val="002022CB"/>
    <w:rsid w:val="002024E3"/>
    <w:rsid w:val="00202CFF"/>
    <w:rsid w:val="00202D63"/>
    <w:rsid w:val="00202EDB"/>
    <w:rsid w:val="0020350F"/>
    <w:rsid w:val="002036FF"/>
    <w:rsid w:val="00203B9D"/>
    <w:rsid w:val="00203F98"/>
    <w:rsid w:val="002043C9"/>
    <w:rsid w:val="00204D9A"/>
    <w:rsid w:val="00204E41"/>
    <w:rsid w:val="0020517B"/>
    <w:rsid w:val="002051B7"/>
    <w:rsid w:val="00205414"/>
    <w:rsid w:val="00205665"/>
    <w:rsid w:val="00205750"/>
    <w:rsid w:val="0020576D"/>
    <w:rsid w:val="00205A06"/>
    <w:rsid w:val="002060B5"/>
    <w:rsid w:val="0020611A"/>
    <w:rsid w:val="00206178"/>
    <w:rsid w:val="00206711"/>
    <w:rsid w:val="00206B35"/>
    <w:rsid w:val="00206BED"/>
    <w:rsid w:val="00206D92"/>
    <w:rsid w:val="00206E02"/>
    <w:rsid w:val="002070AA"/>
    <w:rsid w:val="002070C1"/>
    <w:rsid w:val="002073D0"/>
    <w:rsid w:val="0020746B"/>
    <w:rsid w:val="00207852"/>
    <w:rsid w:val="00207BD8"/>
    <w:rsid w:val="00207FE9"/>
    <w:rsid w:val="00210343"/>
    <w:rsid w:val="00210384"/>
    <w:rsid w:val="00210A2F"/>
    <w:rsid w:val="00210DC3"/>
    <w:rsid w:val="00210E5D"/>
    <w:rsid w:val="00210F2A"/>
    <w:rsid w:val="00210F8D"/>
    <w:rsid w:val="00211084"/>
    <w:rsid w:val="0021118A"/>
    <w:rsid w:val="0021119D"/>
    <w:rsid w:val="00211372"/>
    <w:rsid w:val="00211397"/>
    <w:rsid w:val="00211BA7"/>
    <w:rsid w:val="00211C3E"/>
    <w:rsid w:val="00211DC1"/>
    <w:rsid w:val="00212345"/>
    <w:rsid w:val="00212703"/>
    <w:rsid w:val="0021273A"/>
    <w:rsid w:val="00212A4A"/>
    <w:rsid w:val="00212D16"/>
    <w:rsid w:val="00212D49"/>
    <w:rsid w:val="00212DAA"/>
    <w:rsid w:val="00213068"/>
    <w:rsid w:val="002135DD"/>
    <w:rsid w:val="00213AC1"/>
    <w:rsid w:val="00213DED"/>
    <w:rsid w:val="00213F18"/>
    <w:rsid w:val="0021406F"/>
    <w:rsid w:val="00214220"/>
    <w:rsid w:val="0021459B"/>
    <w:rsid w:val="002149A4"/>
    <w:rsid w:val="00214A44"/>
    <w:rsid w:val="00214BD3"/>
    <w:rsid w:val="00215097"/>
    <w:rsid w:val="0021553F"/>
    <w:rsid w:val="0021596F"/>
    <w:rsid w:val="00215A6E"/>
    <w:rsid w:val="0021607D"/>
    <w:rsid w:val="0021626B"/>
    <w:rsid w:val="00216EAE"/>
    <w:rsid w:val="0021740A"/>
    <w:rsid w:val="0021746E"/>
    <w:rsid w:val="002175BA"/>
    <w:rsid w:val="002175F8"/>
    <w:rsid w:val="002178B8"/>
    <w:rsid w:val="00217B87"/>
    <w:rsid w:val="00217D12"/>
    <w:rsid w:val="00217EFF"/>
    <w:rsid w:val="00217F3A"/>
    <w:rsid w:val="002202EF"/>
    <w:rsid w:val="00220490"/>
    <w:rsid w:val="002207AA"/>
    <w:rsid w:val="0022099E"/>
    <w:rsid w:val="00220D9B"/>
    <w:rsid w:val="0022126C"/>
    <w:rsid w:val="002212C2"/>
    <w:rsid w:val="00221401"/>
    <w:rsid w:val="00221604"/>
    <w:rsid w:val="002216BD"/>
    <w:rsid w:val="002217B3"/>
    <w:rsid w:val="0022183B"/>
    <w:rsid w:val="0022197B"/>
    <w:rsid w:val="00221BCB"/>
    <w:rsid w:val="00221DC4"/>
    <w:rsid w:val="00223279"/>
    <w:rsid w:val="00223C14"/>
    <w:rsid w:val="00223CDB"/>
    <w:rsid w:val="00223E3E"/>
    <w:rsid w:val="00224158"/>
    <w:rsid w:val="00224536"/>
    <w:rsid w:val="00224CE4"/>
    <w:rsid w:val="00224F08"/>
    <w:rsid w:val="00224FF7"/>
    <w:rsid w:val="002251EE"/>
    <w:rsid w:val="00225727"/>
    <w:rsid w:val="0022587F"/>
    <w:rsid w:val="002259CE"/>
    <w:rsid w:val="002266E6"/>
    <w:rsid w:val="0022673A"/>
    <w:rsid w:val="0022763B"/>
    <w:rsid w:val="00227677"/>
    <w:rsid w:val="002276A1"/>
    <w:rsid w:val="0022794D"/>
    <w:rsid w:val="00227C94"/>
    <w:rsid w:val="002301DD"/>
    <w:rsid w:val="0023056E"/>
    <w:rsid w:val="0023079B"/>
    <w:rsid w:val="002309C9"/>
    <w:rsid w:val="00230A18"/>
    <w:rsid w:val="00230C5C"/>
    <w:rsid w:val="00230EB5"/>
    <w:rsid w:val="00230EBC"/>
    <w:rsid w:val="0023146C"/>
    <w:rsid w:val="002315BA"/>
    <w:rsid w:val="00231789"/>
    <w:rsid w:val="00231C08"/>
    <w:rsid w:val="00231EC2"/>
    <w:rsid w:val="00232242"/>
    <w:rsid w:val="00232323"/>
    <w:rsid w:val="002323E7"/>
    <w:rsid w:val="00232671"/>
    <w:rsid w:val="00232832"/>
    <w:rsid w:val="002328AE"/>
    <w:rsid w:val="00233037"/>
    <w:rsid w:val="00233184"/>
    <w:rsid w:val="0023349F"/>
    <w:rsid w:val="00234166"/>
    <w:rsid w:val="002343AE"/>
    <w:rsid w:val="002343E2"/>
    <w:rsid w:val="00234510"/>
    <w:rsid w:val="002345CC"/>
    <w:rsid w:val="0023467A"/>
    <w:rsid w:val="002348B7"/>
    <w:rsid w:val="00234A16"/>
    <w:rsid w:val="00234E9C"/>
    <w:rsid w:val="002350B7"/>
    <w:rsid w:val="0023546C"/>
    <w:rsid w:val="00235828"/>
    <w:rsid w:val="00235BFE"/>
    <w:rsid w:val="00235C88"/>
    <w:rsid w:val="00235CC8"/>
    <w:rsid w:val="00235EFC"/>
    <w:rsid w:val="0023659C"/>
    <w:rsid w:val="00236FD2"/>
    <w:rsid w:val="002376D5"/>
    <w:rsid w:val="00237818"/>
    <w:rsid w:val="00237CE5"/>
    <w:rsid w:val="00240088"/>
    <w:rsid w:val="00240195"/>
    <w:rsid w:val="0024026B"/>
    <w:rsid w:val="00240386"/>
    <w:rsid w:val="002403F8"/>
    <w:rsid w:val="0024049D"/>
    <w:rsid w:val="00240797"/>
    <w:rsid w:val="002409F6"/>
    <w:rsid w:val="00240DF3"/>
    <w:rsid w:val="00240FC9"/>
    <w:rsid w:val="00241464"/>
    <w:rsid w:val="00241512"/>
    <w:rsid w:val="0024158D"/>
    <w:rsid w:val="00241C40"/>
    <w:rsid w:val="00241CF2"/>
    <w:rsid w:val="00242128"/>
    <w:rsid w:val="0024239E"/>
    <w:rsid w:val="0024259B"/>
    <w:rsid w:val="002429D1"/>
    <w:rsid w:val="00242AA6"/>
    <w:rsid w:val="00242D34"/>
    <w:rsid w:val="00243082"/>
    <w:rsid w:val="00243140"/>
    <w:rsid w:val="0024321B"/>
    <w:rsid w:val="002435BC"/>
    <w:rsid w:val="0024381D"/>
    <w:rsid w:val="00243835"/>
    <w:rsid w:val="002438E6"/>
    <w:rsid w:val="00243B54"/>
    <w:rsid w:val="00243D12"/>
    <w:rsid w:val="00243D88"/>
    <w:rsid w:val="00243EB0"/>
    <w:rsid w:val="00243F00"/>
    <w:rsid w:val="00243F7D"/>
    <w:rsid w:val="00243FCB"/>
    <w:rsid w:val="00244270"/>
    <w:rsid w:val="002446D3"/>
    <w:rsid w:val="00244965"/>
    <w:rsid w:val="0024496E"/>
    <w:rsid w:val="0024525D"/>
    <w:rsid w:val="002454FA"/>
    <w:rsid w:val="002456D6"/>
    <w:rsid w:val="002457EC"/>
    <w:rsid w:val="00245849"/>
    <w:rsid w:val="00245969"/>
    <w:rsid w:val="00245EFE"/>
    <w:rsid w:val="002461C1"/>
    <w:rsid w:val="00246BC0"/>
    <w:rsid w:val="00246D7E"/>
    <w:rsid w:val="002470AC"/>
    <w:rsid w:val="002472BA"/>
    <w:rsid w:val="00247610"/>
    <w:rsid w:val="002478F7"/>
    <w:rsid w:val="00247990"/>
    <w:rsid w:val="002479B4"/>
    <w:rsid w:val="002479E4"/>
    <w:rsid w:val="00247B4C"/>
    <w:rsid w:val="002507DC"/>
    <w:rsid w:val="00250ADF"/>
    <w:rsid w:val="00250CAA"/>
    <w:rsid w:val="00251129"/>
    <w:rsid w:val="00251400"/>
    <w:rsid w:val="0025142C"/>
    <w:rsid w:val="0025191D"/>
    <w:rsid w:val="002519AC"/>
    <w:rsid w:val="00251A22"/>
    <w:rsid w:val="00251BBF"/>
    <w:rsid w:val="00251E22"/>
    <w:rsid w:val="002523E3"/>
    <w:rsid w:val="00252472"/>
    <w:rsid w:val="00252685"/>
    <w:rsid w:val="00252B5A"/>
    <w:rsid w:val="00252F80"/>
    <w:rsid w:val="0025360E"/>
    <w:rsid w:val="002536FA"/>
    <w:rsid w:val="002539C0"/>
    <w:rsid w:val="00253D3A"/>
    <w:rsid w:val="00253F32"/>
    <w:rsid w:val="00254AAA"/>
    <w:rsid w:val="00254B56"/>
    <w:rsid w:val="00254FAF"/>
    <w:rsid w:val="0025565A"/>
    <w:rsid w:val="00255DB3"/>
    <w:rsid w:val="00255E8A"/>
    <w:rsid w:val="00255F61"/>
    <w:rsid w:val="00255F62"/>
    <w:rsid w:val="002564AA"/>
    <w:rsid w:val="00256557"/>
    <w:rsid w:val="00256559"/>
    <w:rsid w:val="0025679D"/>
    <w:rsid w:val="00256883"/>
    <w:rsid w:val="00256A37"/>
    <w:rsid w:val="00256A3F"/>
    <w:rsid w:val="00256BC5"/>
    <w:rsid w:val="00256CB1"/>
    <w:rsid w:val="00256CD3"/>
    <w:rsid w:val="002572B4"/>
    <w:rsid w:val="00257524"/>
    <w:rsid w:val="00257DB5"/>
    <w:rsid w:val="00257EB3"/>
    <w:rsid w:val="002603FC"/>
    <w:rsid w:val="00260432"/>
    <w:rsid w:val="002604BF"/>
    <w:rsid w:val="0026057E"/>
    <w:rsid w:val="002606C8"/>
    <w:rsid w:val="00260930"/>
    <w:rsid w:val="00261327"/>
    <w:rsid w:val="00261383"/>
    <w:rsid w:val="0026189B"/>
    <w:rsid w:val="00261B40"/>
    <w:rsid w:val="00262760"/>
    <w:rsid w:val="00262A7F"/>
    <w:rsid w:val="00262B05"/>
    <w:rsid w:val="00262BD0"/>
    <w:rsid w:val="00262C3F"/>
    <w:rsid w:val="00262C48"/>
    <w:rsid w:val="00262EAC"/>
    <w:rsid w:val="002632EF"/>
    <w:rsid w:val="00263940"/>
    <w:rsid w:val="00263EA1"/>
    <w:rsid w:val="00263F99"/>
    <w:rsid w:val="002643A2"/>
    <w:rsid w:val="00264499"/>
    <w:rsid w:val="002648FE"/>
    <w:rsid w:val="002652C6"/>
    <w:rsid w:val="00265435"/>
    <w:rsid w:val="002655C8"/>
    <w:rsid w:val="002655FF"/>
    <w:rsid w:val="00265B2F"/>
    <w:rsid w:val="00265CE5"/>
    <w:rsid w:val="00265EDD"/>
    <w:rsid w:val="00265F5E"/>
    <w:rsid w:val="00266150"/>
    <w:rsid w:val="0026650E"/>
    <w:rsid w:val="002666CA"/>
    <w:rsid w:val="002666CD"/>
    <w:rsid w:val="00266A7E"/>
    <w:rsid w:val="00266EB5"/>
    <w:rsid w:val="00266EC7"/>
    <w:rsid w:val="00266F12"/>
    <w:rsid w:val="0026704D"/>
    <w:rsid w:val="00267629"/>
    <w:rsid w:val="002676CC"/>
    <w:rsid w:val="00267B67"/>
    <w:rsid w:val="00267F29"/>
    <w:rsid w:val="0027071D"/>
    <w:rsid w:val="002707BE"/>
    <w:rsid w:val="00270811"/>
    <w:rsid w:val="00270BFD"/>
    <w:rsid w:val="00270C50"/>
    <w:rsid w:val="00270D66"/>
    <w:rsid w:val="00270EF1"/>
    <w:rsid w:val="00270F49"/>
    <w:rsid w:val="00270FC2"/>
    <w:rsid w:val="0027121C"/>
    <w:rsid w:val="00271326"/>
    <w:rsid w:val="0027161E"/>
    <w:rsid w:val="002716E7"/>
    <w:rsid w:val="00271A2C"/>
    <w:rsid w:val="00271EBD"/>
    <w:rsid w:val="002724F9"/>
    <w:rsid w:val="00272695"/>
    <w:rsid w:val="0027289E"/>
    <w:rsid w:val="00272B85"/>
    <w:rsid w:val="00272BB9"/>
    <w:rsid w:val="00273080"/>
    <w:rsid w:val="0027314E"/>
    <w:rsid w:val="002731E9"/>
    <w:rsid w:val="00273261"/>
    <w:rsid w:val="002738CC"/>
    <w:rsid w:val="00273D14"/>
    <w:rsid w:val="00273D3F"/>
    <w:rsid w:val="00273D53"/>
    <w:rsid w:val="002741A2"/>
    <w:rsid w:val="00274907"/>
    <w:rsid w:val="0027512F"/>
    <w:rsid w:val="0027517A"/>
    <w:rsid w:val="002751C1"/>
    <w:rsid w:val="0027530D"/>
    <w:rsid w:val="00275832"/>
    <w:rsid w:val="00275C18"/>
    <w:rsid w:val="00276025"/>
    <w:rsid w:val="0027603D"/>
    <w:rsid w:val="0027652C"/>
    <w:rsid w:val="0027652F"/>
    <w:rsid w:val="0027656F"/>
    <w:rsid w:val="00276611"/>
    <w:rsid w:val="00276F6E"/>
    <w:rsid w:val="00277036"/>
    <w:rsid w:val="00277390"/>
    <w:rsid w:val="002773F9"/>
    <w:rsid w:val="0027751B"/>
    <w:rsid w:val="002777AA"/>
    <w:rsid w:val="002778E9"/>
    <w:rsid w:val="0027794D"/>
    <w:rsid w:val="00277DDC"/>
    <w:rsid w:val="00277F7E"/>
    <w:rsid w:val="00280A76"/>
    <w:rsid w:val="00280B11"/>
    <w:rsid w:val="00280CBA"/>
    <w:rsid w:val="00280D41"/>
    <w:rsid w:val="00280E9D"/>
    <w:rsid w:val="00280FF9"/>
    <w:rsid w:val="002811A2"/>
    <w:rsid w:val="002811F1"/>
    <w:rsid w:val="002813E0"/>
    <w:rsid w:val="002814BD"/>
    <w:rsid w:val="002817E1"/>
    <w:rsid w:val="002818EC"/>
    <w:rsid w:val="002819BD"/>
    <w:rsid w:val="00281F6B"/>
    <w:rsid w:val="0028211E"/>
    <w:rsid w:val="00282675"/>
    <w:rsid w:val="00282B03"/>
    <w:rsid w:val="00282DBC"/>
    <w:rsid w:val="00282E06"/>
    <w:rsid w:val="00282EC6"/>
    <w:rsid w:val="0028304B"/>
    <w:rsid w:val="00283192"/>
    <w:rsid w:val="00283239"/>
    <w:rsid w:val="002834F2"/>
    <w:rsid w:val="00283A95"/>
    <w:rsid w:val="00283AE1"/>
    <w:rsid w:val="00284205"/>
    <w:rsid w:val="002845C2"/>
    <w:rsid w:val="002846FF"/>
    <w:rsid w:val="0028480D"/>
    <w:rsid w:val="00284B6D"/>
    <w:rsid w:val="00284BF4"/>
    <w:rsid w:val="00284E8A"/>
    <w:rsid w:val="00284FC2"/>
    <w:rsid w:val="00285017"/>
    <w:rsid w:val="00285707"/>
    <w:rsid w:val="002857A6"/>
    <w:rsid w:val="002857B1"/>
    <w:rsid w:val="0028592B"/>
    <w:rsid w:val="00285DAC"/>
    <w:rsid w:val="002860F5"/>
    <w:rsid w:val="00286138"/>
    <w:rsid w:val="0028637B"/>
    <w:rsid w:val="00286584"/>
    <w:rsid w:val="0028695C"/>
    <w:rsid w:val="00286C18"/>
    <w:rsid w:val="0028739B"/>
    <w:rsid w:val="00287CCB"/>
    <w:rsid w:val="00287E0B"/>
    <w:rsid w:val="00290644"/>
    <w:rsid w:val="00290BD2"/>
    <w:rsid w:val="00290CE6"/>
    <w:rsid w:val="00290F05"/>
    <w:rsid w:val="00290FF6"/>
    <w:rsid w:val="0029109C"/>
    <w:rsid w:val="00291200"/>
    <w:rsid w:val="0029154C"/>
    <w:rsid w:val="00291559"/>
    <w:rsid w:val="00291895"/>
    <w:rsid w:val="0029189E"/>
    <w:rsid w:val="00291C37"/>
    <w:rsid w:val="00291C42"/>
    <w:rsid w:val="00291D07"/>
    <w:rsid w:val="00292066"/>
    <w:rsid w:val="0029216E"/>
    <w:rsid w:val="002922A8"/>
    <w:rsid w:val="002923B6"/>
    <w:rsid w:val="002924AF"/>
    <w:rsid w:val="002925B1"/>
    <w:rsid w:val="002928CD"/>
    <w:rsid w:val="00292BC2"/>
    <w:rsid w:val="00292E0E"/>
    <w:rsid w:val="00292F08"/>
    <w:rsid w:val="002930B0"/>
    <w:rsid w:val="002932AA"/>
    <w:rsid w:val="00293458"/>
    <w:rsid w:val="0029380A"/>
    <w:rsid w:val="00293A7A"/>
    <w:rsid w:val="00293C9E"/>
    <w:rsid w:val="00293EAA"/>
    <w:rsid w:val="00294959"/>
    <w:rsid w:val="00294E46"/>
    <w:rsid w:val="00294FDF"/>
    <w:rsid w:val="002951DB"/>
    <w:rsid w:val="002956BE"/>
    <w:rsid w:val="0029608B"/>
    <w:rsid w:val="00296273"/>
    <w:rsid w:val="002963B9"/>
    <w:rsid w:val="00296675"/>
    <w:rsid w:val="00296697"/>
    <w:rsid w:val="0029679C"/>
    <w:rsid w:val="0029686D"/>
    <w:rsid w:val="00296CDF"/>
    <w:rsid w:val="00296E9B"/>
    <w:rsid w:val="00296F13"/>
    <w:rsid w:val="00297506"/>
    <w:rsid w:val="002977AB"/>
    <w:rsid w:val="002977F9"/>
    <w:rsid w:val="00297885"/>
    <w:rsid w:val="002A05A1"/>
    <w:rsid w:val="002A05D5"/>
    <w:rsid w:val="002A0AA0"/>
    <w:rsid w:val="002A0D2A"/>
    <w:rsid w:val="002A0D47"/>
    <w:rsid w:val="002A1019"/>
    <w:rsid w:val="002A1194"/>
    <w:rsid w:val="002A1717"/>
    <w:rsid w:val="002A184D"/>
    <w:rsid w:val="002A1A63"/>
    <w:rsid w:val="002A1F07"/>
    <w:rsid w:val="002A207A"/>
    <w:rsid w:val="002A21A8"/>
    <w:rsid w:val="002A329F"/>
    <w:rsid w:val="002A335C"/>
    <w:rsid w:val="002A3696"/>
    <w:rsid w:val="002A38A1"/>
    <w:rsid w:val="002A3C47"/>
    <w:rsid w:val="002A3CF0"/>
    <w:rsid w:val="002A3F86"/>
    <w:rsid w:val="002A4010"/>
    <w:rsid w:val="002A4D17"/>
    <w:rsid w:val="002A4DD8"/>
    <w:rsid w:val="002A5290"/>
    <w:rsid w:val="002A5393"/>
    <w:rsid w:val="002A5732"/>
    <w:rsid w:val="002A5C14"/>
    <w:rsid w:val="002A5D6C"/>
    <w:rsid w:val="002A611A"/>
    <w:rsid w:val="002A61AF"/>
    <w:rsid w:val="002A6598"/>
    <w:rsid w:val="002A6C4F"/>
    <w:rsid w:val="002A6CAF"/>
    <w:rsid w:val="002A7236"/>
    <w:rsid w:val="002A7365"/>
    <w:rsid w:val="002A7436"/>
    <w:rsid w:val="002A7438"/>
    <w:rsid w:val="002A7BB1"/>
    <w:rsid w:val="002B01C7"/>
    <w:rsid w:val="002B0681"/>
    <w:rsid w:val="002B09AE"/>
    <w:rsid w:val="002B09E9"/>
    <w:rsid w:val="002B0BEB"/>
    <w:rsid w:val="002B0F1E"/>
    <w:rsid w:val="002B0FA2"/>
    <w:rsid w:val="002B149C"/>
    <w:rsid w:val="002B171D"/>
    <w:rsid w:val="002B1A72"/>
    <w:rsid w:val="002B1CFF"/>
    <w:rsid w:val="002B25E1"/>
    <w:rsid w:val="002B2611"/>
    <w:rsid w:val="002B2BB0"/>
    <w:rsid w:val="002B2D81"/>
    <w:rsid w:val="002B31D9"/>
    <w:rsid w:val="002B3211"/>
    <w:rsid w:val="002B32DA"/>
    <w:rsid w:val="002B3531"/>
    <w:rsid w:val="002B3755"/>
    <w:rsid w:val="002B3779"/>
    <w:rsid w:val="002B3F73"/>
    <w:rsid w:val="002B489E"/>
    <w:rsid w:val="002B4CD9"/>
    <w:rsid w:val="002B4D59"/>
    <w:rsid w:val="002B4DEB"/>
    <w:rsid w:val="002B5008"/>
    <w:rsid w:val="002B50E8"/>
    <w:rsid w:val="002B5310"/>
    <w:rsid w:val="002B54FE"/>
    <w:rsid w:val="002B56B3"/>
    <w:rsid w:val="002B5721"/>
    <w:rsid w:val="002B576E"/>
    <w:rsid w:val="002B58DA"/>
    <w:rsid w:val="002B5B13"/>
    <w:rsid w:val="002B5D71"/>
    <w:rsid w:val="002B6250"/>
    <w:rsid w:val="002B65E0"/>
    <w:rsid w:val="002B66DF"/>
    <w:rsid w:val="002B6888"/>
    <w:rsid w:val="002B6D49"/>
    <w:rsid w:val="002B6EF2"/>
    <w:rsid w:val="002B7750"/>
    <w:rsid w:val="002B7F2F"/>
    <w:rsid w:val="002B7F79"/>
    <w:rsid w:val="002C00F9"/>
    <w:rsid w:val="002C03F2"/>
    <w:rsid w:val="002C07D8"/>
    <w:rsid w:val="002C0B41"/>
    <w:rsid w:val="002C0D21"/>
    <w:rsid w:val="002C0D8A"/>
    <w:rsid w:val="002C118A"/>
    <w:rsid w:val="002C1266"/>
    <w:rsid w:val="002C15C2"/>
    <w:rsid w:val="002C1A6F"/>
    <w:rsid w:val="002C1B8C"/>
    <w:rsid w:val="002C1C30"/>
    <w:rsid w:val="002C1FA2"/>
    <w:rsid w:val="002C20C9"/>
    <w:rsid w:val="002C2181"/>
    <w:rsid w:val="002C2230"/>
    <w:rsid w:val="002C2696"/>
    <w:rsid w:val="002C2740"/>
    <w:rsid w:val="002C28A2"/>
    <w:rsid w:val="002C2C93"/>
    <w:rsid w:val="002C2D9D"/>
    <w:rsid w:val="002C2DF3"/>
    <w:rsid w:val="002C2E6A"/>
    <w:rsid w:val="002C2FB1"/>
    <w:rsid w:val="002C3174"/>
    <w:rsid w:val="002C3472"/>
    <w:rsid w:val="002C34E5"/>
    <w:rsid w:val="002C36B8"/>
    <w:rsid w:val="002C393F"/>
    <w:rsid w:val="002C3BE6"/>
    <w:rsid w:val="002C4169"/>
    <w:rsid w:val="002C41F7"/>
    <w:rsid w:val="002C42B0"/>
    <w:rsid w:val="002C430E"/>
    <w:rsid w:val="002C4316"/>
    <w:rsid w:val="002C454A"/>
    <w:rsid w:val="002C4622"/>
    <w:rsid w:val="002C469A"/>
    <w:rsid w:val="002C4798"/>
    <w:rsid w:val="002C48A7"/>
    <w:rsid w:val="002C4AB5"/>
    <w:rsid w:val="002C4C13"/>
    <w:rsid w:val="002C4D86"/>
    <w:rsid w:val="002C4DB6"/>
    <w:rsid w:val="002C4FC2"/>
    <w:rsid w:val="002C5004"/>
    <w:rsid w:val="002C5390"/>
    <w:rsid w:val="002C5442"/>
    <w:rsid w:val="002C573A"/>
    <w:rsid w:val="002C5976"/>
    <w:rsid w:val="002C5A0D"/>
    <w:rsid w:val="002C5B45"/>
    <w:rsid w:val="002C5F40"/>
    <w:rsid w:val="002C6335"/>
    <w:rsid w:val="002C6789"/>
    <w:rsid w:val="002C692A"/>
    <w:rsid w:val="002C6C34"/>
    <w:rsid w:val="002C6F4C"/>
    <w:rsid w:val="002C718C"/>
    <w:rsid w:val="002C71C8"/>
    <w:rsid w:val="002C7246"/>
    <w:rsid w:val="002C72AC"/>
    <w:rsid w:val="002C7331"/>
    <w:rsid w:val="002C7400"/>
    <w:rsid w:val="002C7461"/>
    <w:rsid w:val="002C78B9"/>
    <w:rsid w:val="002C7B45"/>
    <w:rsid w:val="002C7F23"/>
    <w:rsid w:val="002D005A"/>
    <w:rsid w:val="002D008F"/>
    <w:rsid w:val="002D010B"/>
    <w:rsid w:val="002D0295"/>
    <w:rsid w:val="002D066A"/>
    <w:rsid w:val="002D0B56"/>
    <w:rsid w:val="002D0C3B"/>
    <w:rsid w:val="002D0E0B"/>
    <w:rsid w:val="002D0FB3"/>
    <w:rsid w:val="002D10C0"/>
    <w:rsid w:val="002D1110"/>
    <w:rsid w:val="002D11A6"/>
    <w:rsid w:val="002D133D"/>
    <w:rsid w:val="002D14FD"/>
    <w:rsid w:val="002D1836"/>
    <w:rsid w:val="002D1C0C"/>
    <w:rsid w:val="002D23D1"/>
    <w:rsid w:val="002D2528"/>
    <w:rsid w:val="002D27CF"/>
    <w:rsid w:val="002D27F3"/>
    <w:rsid w:val="002D29AD"/>
    <w:rsid w:val="002D2F2D"/>
    <w:rsid w:val="002D3222"/>
    <w:rsid w:val="002D356C"/>
    <w:rsid w:val="002D3FA0"/>
    <w:rsid w:val="002D4366"/>
    <w:rsid w:val="002D4604"/>
    <w:rsid w:val="002D46A9"/>
    <w:rsid w:val="002D5366"/>
    <w:rsid w:val="002D5533"/>
    <w:rsid w:val="002D56FC"/>
    <w:rsid w:val="002D58E8"/>
    <w:rsid w:val="002D5E59"/>
    <w:rsid w:val="002D5F8F"/>
    <w:rsid w:val="002D60C2"/>
    <w:rsid w:val="002D60E2"/>
    <w:rsid w:val="002D67DB"/>
    <w:rsid w:val="002D6BA7"/>
    <w:rsid w:val="002D73EE"/>
    <w:rsid w:val="002D785E"/>
    <w:rsid w:val="002D78B3"/>
    <w:rsid w:val="002D7927"/>
    <w:rsid w:val="002D7A50"/>
    <w:rsid w:val="002E02D5"/>
    <w:rsid w:val="002E0508"/>
    <w:rsid w:val="002E07CD"/>
    <w:rsid w:val="002E09A3"/>
    <w:rsid w:val="002E0C0E"/>
    <w:rsid w:val="002E0D8A"/>
    <w:rsid w:val="002E10C8"/>
    <w:rsid w:val="002E1151"/>
    <w:rsid w:val="002E15B5"/>
    <w:rsid w:val="002E15CF"/>
    <w:rsid w:val="002E182A"/>
    <w:rsid w:val="002E186E"/>
    <w:rsid w:val="002E1B6A"/>
    <w:rsid w:val="002E2389"/>
    <w:rsid w:val="002E25E8"/>
    <w:rsid w:val="002E26FC"/>
    <w:rsid w:val="002E276D"/>
    <w:rsid w:val="002E2CBB"/>
    <w:rsid w:val="002E2EDD"/>
    <w:rsid w:val="002E30B2"/>
    <w:rsid w:val="002E31C5"/>
    <w:rsid w:val="002E3596"/>
    <w:rsid w:val="002E3743"/>
    <w:rsid w:val="002E386F"/>
    <w:rsid w:val="002E392D"/>
    <w:rsid w:val="002E39D0"/>
    <w:rsid w:val="002E3C1C"/>
    <w:rsid w:val="002E423F"/>
    <w:rsid w:val="002E4707"/>
    <w:rsid w:val="002E4873"/>
    <w:rsid w:val="002E4949"/>
    <w:rsid w:val="002E4AFE"/>
    <w:rsid w:val="002E4EE2"/>
    <w:rsid w:val="002E4FB0"/>
    <w:rsid w:val="002E500C"/>
    <w:rsid w:val="002E507C"/>
    <w:rsid w:val="002E510A"/>
    <w:rsid w:val="002E5297"/>
    <w:rsid w:val="002E5629"/>
    <w:rsid w:val="002E5706"/>
    <w:rsid w:val="002E591E"/>
    <w:rsid w:val="002E5920"/>
    <w:rsid w:val="002E5A4D"/>
    <w:rsid w:val="002E5AE9"/>
    <w:rsid w:val="002E5CF3"/>
    <w:rsid w:val="002E5D68"/>
    <w:rsid w:val="002E5DAE"/>
    <w:rsid w:val="002E5F88"/>
    <w:rsid w:val="002E621E"/>
    <w:rsid w:val="002E6330"/>
    <w:rsid w:val="002E65E3"/>
    <w:rsid w:val="002E6691"/>
    <w:rsid w:val="002E66B3"/>
    <w:rsid w:val="002E6BEE"/>
    <w:rsid w:val="002E6D23"/>
    <w:rsid w:val="002E6D46"/>
    <w:rsid w:val="002E6E6D"/>
    <w:rsid w:val="002E7152"/>
    <w:rsid w:val="002E7356"/>
    <w:rsid w:val="002E7690"/>
    <w:rsid w:val="002E7709"/>
    <w:rsid w:val="002F0327"/>
    <w:rsid w:val="002F071C"/>
    <w:rsid w:val="002F0726"/>
    <w:rsid w:val="002F0F38"/>
    <w:rsid w:val="002F120D"/>
    <w:rsid w:val="002F1671"/>
    <w:rsid w:val="002F1981"/>
    <w:rsid w:val="002F1B2C"/>
    <w:rsid w:val="002F1B40"/>
    <w:rsid w:val="002F1B49"/>
    <w:rsid w:val="002F1FF5"/>
    <w:rsid w:val="002F29CC"/>
    <w:rsid w:val="002F2C27"/>
    <w:rsid w:val="002F3355"/>
    <w:rsid w:val="002F3406"/>
    <w:rsid w:val="002F369A"/>
    <w:rsid w:val="002F39DE"/>
    <w:rsid w:val="002F46D1"/>
    <w:rsid w:val="002F48CC"/>
    <w:rsid w:val="002F510B"/>
    <w:rsid w:val="002F51AB"/>
    <w:rsid w:val="002F520B"/>
    <w:rsid w:val="002F539A"/>
    <w:rsid w:val="002F58EC"/>
    <w:rsid w:val="002F5AD9"/>
    <w:rsid w:val="002F5B10"/>
    <w:rsid w:val="002F5EA5"/>
    <w:rsid w:val="002F6200"/>
    <w:rsid w:val="002F624E"/>
    <w:rsid w:val="002F6EE0"/>
    <w:rsid w:val="002F6F59"/>
    <w:rsid w:val="002F72D6"/>
    <w:rsid w:val="002F7366"/>
    <w:rsid w:val="002F73AC"/>
    <w:rsid w:val="002F7537"/>
    <w:rsid w:val="002F7663"/>
    <w:rsid w:val="002F771B"/>
    <w:rsid w:val="002F7E40"/>
    <w:rsid w:val="002F7E8B"/>
    <w:rsid w:val="002F7EC7"/>
    <w:rsid w:val="0030013A"/>
    <w:rsid w:val="003001C8"/>
    <w:rsid w:val="00300227"/>
    <w:rsid w:val="003004C0"/>
    <w:rsid w:val="003007AA"/>
    <w:rsid w:val="00300A40"/>
    <w:rsid w:val="00300D68"/>
    <w:rsid w:val="003010A8"/>
    <w:rsid w:val="00301D59"/>
    <w:rsid w:val="0030205D"/>
    <w:rsid w:val="00302335"/>
    <w:rsid w:val="00302583"/>
    <w:rsid w:val="003026E6"/>
    <w:rsid w:val="003029E9"/>
    <w:rsid w:val="00302B07"/>
    <w:rsid w:val="00302BAA"/>
    <w:rsid w:val="00302DCB"/>
    <w:rsid w:val="00302E24"/>
    <w:rsid w:val="00302E65"/>
    <w:rsid w:val="0030377C"/>
    <w:rsid w:val="00303B06"/>
    <w:rsid w:val="00303F38"/>
    <w:rsid w:val="0030402A"/>
    <w:rsid w:val="003041D5"/>
    <w:rsid w:val="0030422C"/>
    <w:rsid w:val="00304286"/>
    <w:rsid w:val="00304B26"/>
    <w:rsid w:val="00304E93"/>
    <w:rsid w:val="0030520E"/>
    <w:rsid w:val="003053F9"/>
    <w:rsid w:val="00305619"/>
    <w:rsid w:val="0030564B"/>
    <w:rsid w:val="00305B09"/>
    <w:rsid w:val="00305C07"/>
    <w:rsid w:val="00305D3F"/>
    <w:rsid w:val="003067BA"/>
    <w:rsid w:val="003069D7"/>
    <w:rsid w:val="00306CE2"/>
    <w:rsid w:val="00306E33"/>
    <w:rsid w:val="00307082"/>
    <w:rsid w:val="00307107"/>
    <w:rsid w:val="003075C9"/>
    <w:rsid w:val="00307A95"/>
    <w:rsid w:val="00307B18"/>
    <w:rsid w:val="003102F3"/>
    <w:rsid w:val="003104BD"/>
    <w:rsid w:val="003106EF"/>
    <w:rsid w:val="0031088E"/>
    <w:rsid w:val="00310B8D"/>
    <w:rsid w:val="00310E14"/>
    <w:rsid w:val="003112EE"/>
    <w:rsid w:val="0031140C"/>
    <w:rsid w:val="00311568"/>
    <w:rsid w:val="00311580"/>
    <w:rsid w:val="003115A3"/>
    <w:rsid w:val="00311D2A"/>
    <w:rsid w:val="003122AC"/>
    <w:rsid w:val="00312306"/>
    <w:rsid w:val="0031236E"/>
    <w:rsid w:val="0031292B"/>
    <w:rsid w:val="00312D9B"/>
    <w:rsid w:val="00312DD2"/>
    <w:rsid w:val="00312E69"/>
    <w:rsid w:val="00312F37"/>
    <w:rsid w:val="003134BD"/>
    <w:rsid w:val="00313541"/>
    <w:rsid w:val="003135E3"/>
    <w:rsid w:val="00313990"/>
    <w:rsid w:val="00313F67"/>
    <w:rsid w:val="00314216"/>
    <w:rsid w:val="00314462"/>
    <w:rsid w:val="00314540"/>
    <w:rsid w:val="003145C7"/>
    <w:rsid w:val="0031476D"/>
    <w:rsid w:val="00314E3F"/>
    <w:rsid w:val="00315059"/>
    <w:rsid w:val="003151EF"/>
    <w:rsid w:val="0031528A"/>
    <w:rsid w:val="00315478"/>
    <w:rsid w:val="00315915"/>
    <w:rsid w:val="00315A00"/>
    <w:rsid w:val="00315A35"/>
    <w:rsid w:val="003167CE"/>
    <w:rsid w:val="00316911"/>
    <w:rsid w:val="00316A88"/>
    <w:rsid w:val="00316B6B"/>
    <w:rsid w:val="00317B79"/>
    <w:rsid w:val="00320182"/>
    <w:rsid w:val="00320540"/>
    <w:rsid w:val="00320E16"/>
    <w:rsid w:val="00320F45"/>
    <w:rsid w:val="00321032"/>
    <w:rsid w:val="003210D1"/>
    <w:rsid w:val="0032135C"/>
    <w:rsid w:val="0032145C"/>
    <w:rsid w:val="003215EC"/>
    <w:rsid w:val="00321CF7"/>
    <w:rsid w:val="00321DFE"/>
    <w:rsid w:val="00322224"/>
    <w:rsid w:val="003223F3"/>
    <w:rsid w:val="0032253C"/>
    <w:rsid w:val="00322777"/>
    <w:rsid w:val="00322864"/>
    <w:rsid w:val="00322A07"/>
    <w:rsid w:val="00322BE6"/>
    <w:rsid w:val="00322E3E"/>
    <w:rsid w:val="0032330E"/>
    <w:rsid w:val="003234AD"/>
    <w:rsid w:val="00323798"/>
    <w:rsid w:val="00323B58"/>
    <w:rsid w:val="00323CFD"/>
    <w:rsid w:val="00323DFC"/>
    <w:rsid w:val="00323E88"/>
    <w:rsid w:val="00323FEA"/>
    <w:rsid w:val="00324353"/>
    <w:rsid w:val="00324367"/>
    <w:rsid w:val="0032445D"/>
    <w:rsid w:val="003244B2"/>
    <w:rsid w:val="003244DA"/>
    <w:rsid w:val="00324792"/>
    <w:rsid w:val="00324BCC"/>
    <w:rsid w:val="00324D97"/>
    <w:rsid w:val="00324DBF"/>
    <w:rsid w:val="00324DD8"/>
    <w:rsid w:val="00324EFA"/>
    <w:rsid w:val="00325489"/>
    <w:rsid w:val="003254A9"/>
    <w:rsid w:val="003254D2"/>
    <w:rsid w:val="003259AB"/>
    <w:rsid w:val="00325C4F"/>
    <w:rsid w:val="00325D25"/>
    <w:rsid w:val="00325E9E"/>
    <w:rsid w:val="003261BA"/>
    <w:rsid w:val="0032664D"/>
    <w:rsid w:val="00326704"/>
    <w:rsid w:val="00326920"/>
    <w:rsid w:val="00326AED"/>
    <w:rsid w:val="00326C34"/>
    <w:rsid w:val="00327473"/>
    <w:rsid w:val="00327B2E"/>
    <w:rsid w:val="00327D13"/>
    <w:rsid w:val="00327DDF"/>
    <w:rsid w:val="00327F43"/>
    <w:rsid w:val="00327FCB"/>
    <w:rsid w:val="0033010A"/>
    <w:rsid w:val="00330127"/>
    <w:rsid w:val="0033015F"/>
    <w:rsid w:val="003305B8"/>
    <w:rsid w:val="0033076F"/>
    <w:rsid w:val="00330F56"/>
    <w:rsid w:val="00330FBA"/>
    <w:rsid w:val="0033104A"/>
    <w:rsid w:val="003313A0"/>
    <w:rsid w:val="003313B3"/>
    <w:rsid w:val="00331964"/>
    <w:rsid w:val="00331C59"/>
    <w:rsid w:val="00331D5A"/>
    <w:rsid w:val="00331D98"/>
    <w:rsid w:val="003320EE"/>
    <w:rsid w:val="003323F5"/>
    <w:rsid w:val="00332465"/>
    <w:rsid w:val="00332880"/>
    <w:rsid w:val="00332C70"/>
    <w:rsid w:val="00332D43"/>
    <w:rsid w:val="00332FD1"/>
    <w:rsid w:val="003331D6"/>
    <w:rsid w:val="003332C1"/>
    <w:rsid w:val="003334F9"/>
    <w:rsid w:val="003338A3"/>
    <w:rsid w:val="00333C6E"/>
    <w:rsid w:val="00333CB0"/>
    <w:rsid w:val="00333E89"/>
    <w:rsid w:val="00334035"/>
    <w:rsid w:val="0033438A"/>
    <w:rsid w:val="003344E6"/>
    <w:rsid w:val="00334634"/>
    <w:rsid w:val="00334786"/>
    <w:rsid w:val="00334BE7"/>
    <w:rsid w:val="0033525D"/>
    <w:rsid w:val="003354ED"/>
    <w:rsid w:val="00336309"/>
    <w:rsid w:val="003364E7"/>
    <w:rsid w:val="003364F5"/>
    <w:rsid w:val="00336503"/>
    <w:rsid w:val="00336508"/>
    <w:rsid w:val="0033656D"/>
    <w:rsid w:val="0033668F"/>
    <w:rsid w:val="0033670C"/>
    <w:rsid w:val="003367EA"/>
    <w:rsid w:val="003367F1"/>
    <w:rsid w:val="00336948"/>
    <w:rsid w:val="00336D9D"/>
    <w:rsid w:val="00336E91"/>
    <w:rsid w:val="00337259"/>
    <w:rsid w:val="00337319"/>
    <w:rsid w:val="003374BD"/>
    <w:rsid w:val="00337782"/>
    <w:rsid w:val="00337836"/>
    <w:rsid w:val="003379B5"/>
    <w:rsid w:val="00337BCD"/>
    <w:rsid w:val="00337DD2"/>
    <w:rsid w:val="00337DF2"/>
    <w:rsid w:val="00337E70"/>
    <w:rsid w:val="0034022C"/>
    <w:rsid w:val="003402C7"/>
    <w:rsid w:val="00340421"/>
    <w:rsid w:val="00340488"/>
    <w:rsid w:val="00340BFE"/>
    <w:rsid w:val="0034102E"/>
    <w:rsid w:val="0034117B"/>
    <w:rsid w:val="0034125B"/>
    <w:rsid w:val="003412A0"/>
    <w:rsid w:val="003413CF"/>
    <w:rsid w:val="0034168E"/>
    <w:rsid w:val="00341708"/>
    <w:rsid w:val="00341AE2"/>
    <w:rsid w:val="00341E6B"/>
    <w:rsid w:val="00341F07"/>
    <w:rsid w:val="00342018"/>
    <w:rsid w:val="0034206A"/>
    <w:rsid w:val="00342362"/>
    <w:rsid w:val="003429DE"/>
    <w:rsid w:val="00342CEF"/>
    <w:rsid w:val="00342DF6"/>
    <w:rsid w:val="00342EAC"/>
    <w:rsid w:val="00343A2D"/>
    <w:rsid w:val="00343A85"/>
    <w:rsid w:val="00343F7A"/>
    <w:rsid w:val="003441E8"/>
    <w:rsid w:val="00344B1D"/>
    <w:rsid w:val="00344E27"/>
    <w:rsid w:val="00344F88"/>
    <w:rsid w:val="00345162"/>
    <w:rsid w:val="0034544C"/>
    <w:rsid w:val="00345688"/>
    <w:rsid w:val="00345821"/>
    <w:rsid w:val="00345A1A"/>
    <w:rsid w:val="00345D05"/>
    <w:rsid w:val="00346310"/>
    <w:rsid w:val="003464E8"/>
    <w:rsid w:val="00346672"/>
    <w:rsid w:val="00346891"/>
    <w:rsid w:val="00346AC2"/>
    <w:rsid w:val="00346ECE"/>
    <w:rsid w:val="003472F1"/>
    <w:rsid w:val="0034745F"/>
    <w:rsid w:val="0034754C"/>
    <w:rsid w:val="003475A8"/>
    <w:rsid w:val="0034794E"/>
    <w:rsid w:val="00347E5A"/>
    <w:rsid w:val="00347FB1"/>
    <w:rsid w:val="003500C0"/>
    <w:rsid w:val="003501E7"/>
    <w:rsid w:val="0035021F"/>
    <w:rsid w:val="00350325"/>
    <w:rsid w:val="0035048A"/>
    <w:rsid w:val="003504A8"/>
    <w:rsid w:val="0035093B"/>
    <w:rsid w:val="00350B78"/>
    <w:rsid w:val="00350F0B"/>
    <w:rsid w:val="0035123D"/>
    <w:rsid w:val="003512E0"/>
    <w:rsid w:val="0035176D"/>
    <w:rsid w:val="00351A66"/>
    <w:rsid w:val="00351B74"/>
    <w:rsid w:val="003523AC"/>
    <w:rsid w:val="003524ED"/>
    <w:rsid w:val="00352776"/>
    <w:rsid w:val="003527B1"/>
    <w:rsid w:val="003527E0"/>
    <w:rsid w:val="00352DA1"/>
    <w:rsid w:val="0035310E"/>
    <w:rsid w:val="00353439"/>
    <w:rsid w:val="00353508"/>
    <w:rsid w:val="00353D80"/>
    <w:rsid w:val="00353E10"/>
    <w:rsid w:val="00354016"/>
    <w:rsid w:val="00354A28"/>
    <w:rsid w:val="00354B81"/>
    <w:rsid w:val="00354C32"/>
    <w:rsid w:val="00354E64"/>
    <w:rsid w:val="00354EFC"/>
    <w:rsid w:val="003550D6"/>
    <w:rsid w:val="00355592"/>
    <w:rsid w:val="00355DBA"/>
    <w:rsid w:val="00355E9A"/>
    <w:rsid w:val="0035616F"/>
    <w:rsid w:val="00356413"/>
    <w:rsid w:val="003564FB"/>
    <w:rsid w:val="0035684E"/>
    <w:rsid w:val="00356A2A"/>
    <w:rsid w:val="00356C07"/>
    <w:rsid w:val="00356FD7"/>
    <w:rsid w:val="0035763E"/>
    <w:rsid w:val="00360679"/>
    <w:rsid w:val="003606DE"/>
    <w:rsid w:val="0036078B"/>
    <w:rsid w:val="0036079B"/>
    <w:rsid w:val="00360845"/>
    <w:rsid w:val="00360979"/>
    <w:rsid w:val="00360E24"/>
    <w:rsid w:val="00360EEB"/>
    <w:rsid w:val="00360F14"/>
    <w:rsid w:val="00360FB2"/>
    <w:rsid w:val="003610C1"/>
    <w:rsid w:val="00361133"/>
    <w:rsid w:val="0036120F"/>
    <w:rsid w:val="00361378"/>
    <w:rsid w:val="00361ED0"/>
    <w:rsid w:val="00362422"/>
    <w:rsid w:val="003629AF"/>
    <w:rsid w:val="00362ABA"/>
    <w:rsid w:val="00362CFD"/>
    <w:rsid w:val="00362D75"/>
    <w:rsid w:val="00362F11"/>
    <w:rsid w:val="00363116"/>
    <w:rsid w:val="0036321A"/>
    <w:rsid w:val="003639CE"/>
    <w:rsid w:val="00363D06"/>
    <w:rsid w:val="0036458B"/>
    <w:rsid w:val="00364B5C"/>
    <w:rsid w:val="00364C26"/>
    <w:rsid w:val="00364FEB"/>
    <w:rsid w:val="0036507A"/>
    <w:rsid w:val="003650F6"/>
    <w:rsid w:val="0036515F"/>
    <w:rsid w:val="00365716"/>
    <w:rsid w:val="00365771"/>
    <w:rsid w:val="00365797"/>
    <w:rsid w:val="003658C1"/>
    <w:rsid w:val="00365BCB"/>
    <w:rsid w:val="00365BD9"/>
    <w:rsid w:val="00365CD1"/>
    <w:rsid w:val="00365D37"/>
    <w:rsid w:val="00365E49"/>
    <w:rsid w:val="0036663E"/>
    <w:rsid w:val="00366800"/>
    <w:rsid w:val="00366F53"/>
    <w:rsid w:val="003670C7"/>
    <w:rsid w:val="00367190"/>
    <w:rsid w:val="003671CB"/>
    <w:rsid w:val="003671D9"/>
    <w:rsid w:val="003674FF"/>
    <w:rsid w:val="0036784D"/>
    <w:rsid w:val="00367B73"/>
    <w:rsid w:val="00367EFD"/>
    <w:rsid w:val="00367F1C"/>
    <w:rsid w:val="003701FF"/>
    <w:rsid w:val="003703AF"/>
    <w:rsid w:val="0037077B"/>
    <w:rsid w:val="00370964"/>
    <w:rsid w:val="00370CAC"/>
    <w:rsid w:val="00370DA5"/>
    <w:rsid w:val="00370E78"/>
    <w:rsid w:val="00371114"/>
    <w:rsid w:val="00371396"/>
    <w:rsid w:val="00371482"/>
    <w:rsid w:val="003716E9"/>
    <w:rsid w:val="00371752"/>
    <w:rsid w:val="0037198A"/>
    <w:rsid w:val="00371CDE"/>
    <w:rsid w:val="00371EE7"/>
    <w:rsid w:val="0037206A"/>
    <w:rsid w:val="003724C2"/>
    <w:rsid w:val="00372778"/>
    <w:rsid w:val="00372E03"/>
    <w:rsid w:val="00372F28"/>
    <w:rsid w:val="00373129"/>
    <w:rsid w:val="003734D2"/>
    <w:rsid w:val="0037360A"/>
    <w:rsid w:val="00373847"/>
    <w:rsid w:val="003738F4"/>
    <w:rsid w:val="00373E2E"/>
    <w:rsid w:val="00373EE9"/>
    <w:rsid w:val="003742A9"/>
    <w:rsid w:val="003744C3"/>
    <w:rsid w:val="00374770"/>
    <w:rsid w:val="003748FF"/>
    <w:rsid w:val="0037492D"/>
    <w:rsid w:val="00374DDB"/>
    <w:rsid w:val="00375033"/>
    <w:rsid w:val="00375699"/>
    <w:rsid w:val="003757EB"/>
    <w:rsid w:val="00376379"/>
    <w:rsid w:val="003763C9"/>
    <w:rsid w:val="003763F1"/>
    <w:rsid w:val="00376823"/>
    <w:rsid w:val="00376848"/>
    <w:rsid w:val="003768FD"/>
    <w:rsid w:val="00377224"/>
    <w:rsid w:val="00377428"/>
    <w:rsid w:val="003775C4"/>
    <w:rsid w:val="00377704"/>
    <w:rsid w:val="003778C5"/>
    <w:rsid w:val="00377ABD"/>
    <w:rsid w:val="00377C35"/>
    <w:rsid w:val="00377ED2"/>
    <w:rsid w:val="003805E4"/>
    <w:rsid w:val="003807D8"/>
    <w:rsid w:val="00380924"/>
    <w:rsid w:val="0038104F"/>
    <w:rsid w:val="003811A9"/>
    <w:rsid w:val="0038146A"/>
    <w:rsid w:val="00381614"/>
    <w:rsid w:val="00381680"/>
    <w:rsid w:val="00381730"/>
    <w:rsid w:val="0038194A"/>
    <w:rsid w:val="003819C2"/>
    <w:rsid w:val="00381BBD"/>
    <w:rsid w:val="00381ED4"/>
    <w:rsid w:val="003820BB"/>
    <w:rsid w:val="003820D2"/>
    <w:rsid w:val="003825D0"/>
    <w:rsid w:val="0038294F"/>
    <w:rsid w:val="003829D4"/>
    <w:rsid w:val="00382E5A"/>
    <w:rsid w:val="00382E62"/>
    <w:rsid w:val="00383047"/>
    <w:rsid w:val="0038329E"/>
    <w:rsid w:val="00383820"/>
    <w:rsid w:val="00383954"/>
    <w:rsid w:val="00383ECB"/>
    <w:rsid w:val="0038421D"/>
    <w:rsid w:val="00384409"/>
    <w:rsid w:val="00384D79"/>
    <w:rsid w:val="003851FC"/>
    <w:rsid w:val="00385571"/>
    <w:rsid w:val="003857F0"/>
    <w:rsid w:val="003859D1"/>
    <w:rsid w:val="00385DEC"/>
    <w:rsid w:val="00385F3C"/>
    <w:rsid w:val="003861CE"/>
    <w:rsid w:val="003862D7"/>
    <w:rsid w:val="003866A9"/>
    <w:rsid w:val="00386782"/>
    <w:rsid w:val="00386DB9"/>
    <w:rsid w:val="00387510"/>
    <w:rsid w:val="003875B3"/>
    <w:rsid w:val="00387649"/>
    <w:rsid w:val="003878AB"/>
    <w:rsid w:val="00387AE9"/>
    <w:rsid w:val="00387BC3"/>
    <w:rsid w:val="00387DC1"/>
    <w:rsid w:val="003900E3"/>
    <w:rsid w:val="00390164"/>
    <w:rsid w:val="003902D5"/>
    <w:rsid w:val="00390313"/>
    <w:rsid w:val="00390404"/>
    <w:rsid w:val="00390438"/>
    <w:rsid w:val="00390517"/>
    <w:rsid w:val="00390705"/>
    <w:rsid w:val="00390973"/>
    <w:rsid w:val="0039099A"/>
    <w:rsid w:val="00390A14"/>
    <w:rsid w:val="00390CF6"/>
    <w:rsid w:val="003917CD"/>
    <w:rsid w:val="003917E8"/>
    <w:rsid w:val="00391901"/>
    <w:rsid w:val="00391979"/>
    <w:rsid w:val="003919CF"/>
    <w:rsid w:val="00391A8D"/>
    <w:rsid w:val="00391C17"/>
    <w:rsid w:val="003921C0"/>
    <w:rsid w:val="003921DB"/>
    <w:rsid w:val="00392222"/>
    <w:rsid w:val="00392328"/>
    <w:rsid w:val="00392562"/>
    <w:rsid w:val="003929BE"/>
    <w:rsid w:val="00392B64"/>
    <w:rsid w:val="00392BF3"/>
    <w:rsid w:val="0039330D"/>
    <w:rsid w:val="00393731"/>
    <w:rsid w:val="00393BEB"/>
    <w:rsid w:val="00393C65"/>
    <w:rsid w:val="00393C74"/>
    <w:rsid w:val="00393D6F"/>
    <w:rsid w:val="00394052"/>
    <w:rsid w:val="00394495"/>
    <w:rsid w:val="00394707"/>
    <w:rsid w:val="0039489B"/>
    <w:rsid w:val="00394988"/>
    <w:rsid w:val="00394CDA"/>
    <w:rsid w:val="00394E24"/>
    <w:rsid w:val="00394FD5"/>
    <w:rsid w:val="00394FF7"/>
    <w:rsid w:val="00395190"/>
    <w:rsid w:val="0039529D"/>
    <w:rsid w:val="0039553D"/>
    <w:rsid w:val="00396035"/>
    <w:rsid w:val="00396114"/>
    <w:rsid w:val="003965A3"/>
    <w:rsid w:val="003966C1"/>
    <w:rsid w:val="0039677E"/>
    <w:rsid w:val="00396925"/>
    <w:rsid w:val="00396F1B"/>
    <w:rsid w:val="003972EA"/>
    <w:rsid w:val="003975FA"/>
    <w:rsid w:val="003976A4"/>
    <w:rsid w:val="003977D5"/>
    <w:rsid w:val="00397CC5"/>
    <w:rsid w:val="00397EAC"/>
    <w:rsid w:val="003A0136"/>
    <w:rsid w:val="003A02A1"/>
    <w:rsid w:val="003A0353"/>
    <w:rsid w:val="003A071E"/>
    <w:rsid w:val="003A0A3C"/>
    <w:rsid w:val="003A162B"/>
    <w:rsid w:val="003A177F"/>
    <w:rsid w:val="003A1825"/>
    <w:rsid w:val="003A1A6A"/>
    <w:rsid w:val="003A1BC2"/>
    <w:rsid w:val="003A1D89"/>
    <w:rsid w:val="003A1F02"/>
    <w:rsid w:val="003A232F"/>
    <w:rsid w:val="003A275D"/>
    <w:rsid w:val="003A2901"/>
    <w:rsid w:val="003A299D"/>
    <w:rsid w:val="003A2A36"/>
    <w:rsid w:val="003A2AB0"/>
    <w:rsid w:val="003A2FE0"/>
    <w:rsid w:val="003A345D"/>
    <w:rsid w:val="003A3F91"/>
    <w:rsid w:val="003A4198"/>
    <w:rsid w:val="003A4283"/>
    <w:rsid w:val="003A4F86"/>
    <w:rsid w:val="003A5343"/>
    <w:rsid w:val="003A57B5"/>
    <w:rsid w:val="003A57E8"/>
    <w:rsid w:val="003A5AAD"/>
    <w:rsid w:val="003A5D7D"/>
    <w:rsid w:val="003A5DF6"/>
    <w:rsid w:val="003A5E1C"/>
    <w:rsid w:val="003A5F5C"/>
    <w:rsid w:val="003A60C4"/>
    <w:rsid w:val="003A63A9"/>
    <w:rsid w:val="003A689B"/>
    <w:rsid w:val="003A6D49"/>
    <w:rsid w:val="003A728B"/>
    <w:rsid w:val="003A7338"/>
    <w:rsid w:val="003A73C6"/>
    <w:rsid w:val="003A75B7"/>
    <w:rsid w:val="003A76CF"/>
    <w:rsid w:val="003A793A"/>
    <w:rsid w:val="003A7B20"/>
    <w:rsid w:val="003A7CC9"/>
    <w:rsid w:val="003A7D84"/>
    <w:rsid w:val="003B0147"/>
    <w:rsid w:val="003B05AE"/>
    <w:rsid w:val="003B05B1"/>
    <w:rsid w:val="003B06D9"/>
    <w:rsid w:val="003B0804"/>
    <w:rsid w:val="003B0A1E"/>
    <w:rsid w:val="003B0C85"/>
    <w:rsid w:val="003B0DCD"/>
    <w:rsid w:val="003B14C4"/>
    <w:rsid w:val="003B15C2"/>
    <w:rsid w:val="003B16BD"/>
    <w:rsid w:val="003B18D8"/>
    <w:rsid w:val="003B250A"/>
    <w:rsid w:val="003B29C4"/>
    <w:rsid w:val="003B2CFD"/>
    <w:rsid w:val="003B2DB7"/>
    <w:rsid w:val="003B2E43"/>
    <w:rsid w:val="003B2F28"/>
    <w:rsid w:val="003B3051"/>
    <w:rsid w:val="003B3058"/>
    <w:rsid w:val="003B3071"/>
    <w:rsid w:val="003B30C8"/>
    <w:rsid w:val="003B3212"/>
    <w:rsid w:val="003B3451"/>
    <w:rsid w:val="003B3628"/>
    <w:rsid w:val="003B38C7"/>
    <w:rsid w:val="003B38FF"/>
    <w:rsid w:val="003B3E03"/>
    <w:rsid w:val="003B44D6"/>
    <w:rsid w:val="003B4AA3"/>
    <w:rsid w:val="003B4E35"/>
    <w:rsid w:val="003B5067"/>
    <w:rsid w:val="003B512A"/>
    <w:rsid w:val="003B51A6"/>
    <w:rsid w:val="003B5516"/>
    <w:rsid w:val="003B571E"/>
    <w:rsid w:val="003B5967"/>
    <w:rsid w:val="003B598E"/>
    <w:rsid w:val="003B5A0A"/>
    <w:rsid w:val="003B5A10"/>
    <w:rsid w:val="003B611F"/>
    <w:rsid w:val="003B6147"/>
    <w:rsid w:val="003B64F1"/>
    <w:rsid w:val="003B657F"/>
    <w:rsid w:val="003B65E9"/>
    <w:rsid w:val="003B6966"/>
    <w:rsid w:val="003B69A5"/>
    <w:rsid w:val="003B69ED"/>
    <w:rsid w:val="003B6AC1"/>
    <w:rsid w:val="003B6CED"/>
    <w:rsid w:val="003B6D40"/>
    <w:rsid w:val="003B743F"/>
    <w:rsid w:val="003B7BA6"/>
    <w:rsid w:val="003B7C94"/>
    <w:rsid w:val="003B7E71"/>
    <w:rsid w:val="003B7F5E"/>
    <w:rsid w:val="003B7F81"/>
    <w:rsid w:val="003C0176"/>
    <w:rsid w:val="003C03D6"/>
    <w:rsid w:val="003C04C9"/>
    <w:rsid w:val="003C06AA"/>
    <w:rsid w:val="003C0986"/>
    <w:rsid w:val="003C0D97"/>
    <w:rsid w:val="003C0EB8"/>
    <w:rsid w:val="003C1252"/>
    <w:rsid w:val="003C1276"/>
    <w:rsid w:val="003C13E3"/>
    <w:rsid w:val="003C1411"/>
    <w:rsid w:val="003C1812"/>
    <w:rsid w:val="003C190C"/>
    <w:rsid w:val="003C1AAE"/>
    <w:rsid w:val="003C2411"/>
    <w:rsid w:val="003C2946"/>
    <w:rsid w:val="003C2955"/>
    <w:rsid w:val="003C2DF7"/>
    <w:rsid w:val="003C2F9E"/>
    <w:rsid w:val="003C310A"/>
    <w:rsid w:val="003C338E"/>
    <w:rsid w:val="003C37BE"/>
    <w:rsid w:val="003C3A17"/>
    <w:rsid w:val="003C3D42"/>
    <w:rsid w:val="003C3DFE"/>
    <w:rsid w:val="003C418E"/>
    <w:rsid w:val="003C4708"/>
    <w:rsid w:val="003C48C4"/>
    <w:rsid w:val="003C4A3B"/>
    <w:rsid w:val="003C4E9B"/>
    <w:rsid w:val="003C5734"/>
    <w:rsid w:val="003C5884"/>
    <w:rsid w:val="003C5B9E"/>
    <w:rsid w:val="003C60C5"/>
    <w:rsid w:val="003C6268"/>
    <w:rsid w:val="003C629C"/>
    <w:rsid w:val="003C62CF"/>
    <w:rsid w:val="003C62D0"/>
    <w:rsid w:val="003C6485"/>
    <w:rsid w:val="003C6644"/>
    <w:rsid w:val="003C6702"/>
    <w:rsid w:val="003C6BD3"/>
    <w:rsid w:val="003C6C94"/>
    <w:rsid w:val="003C70B2"/>
    <w:rsid w:val="003C7159"/>
    <w:rsid w:val="003C7927"/>
    <w:rsid w:val="003C7993"/>
    <w:rsid w:val="003C7AFA"/>
    <w:rsid w:val="003C7BA0"/>
    <w:rsid w:val="003D001E"/>
    <w:rsid w:val="003D00C4"/>
    <w:rsid w:val="003D03BE"/>
    <w:rsid w:val="003D0971"/>
    <w:rsid w:val="003D0AE5"/>
    <w:rsid w:val="003D0B9E"/>
    <w:rsid w:val="003D0DC2"/>
    <w:rsid w:val="003D0E02"/>
    <w:rsid w:val="003D0EE0"/>
    <w:rsid w:val="003D10FE"/>
    <w:rsid w:val="003D11DD"/>
    <w:rsid w:val="003D120F"/>
    <w:rsid w:val="003D1243"/>
    <w:rsid w:val="003D12FC"/>
    <w:rsid w:val="003D1487"/>
    <w:rsid w:val="003D1704"/>
    <w:rsid w:val="003D1815"/>
    <w:rsid w:val="003D1AF3"/>
    <w:rsid w:val="003D1FF1"/>
    <w:rsid w:val="003D26AE"/>
    <w:rsid w:val="003D27ED"/>
    <w:rsid w:val="003D2A69"/>
    <w:rsid w:val="003D2ABE"/>
    <w:rsid w:val="003D2B14"/>
    <w:rsid w:val="003D36E2"/>
    <w:rsid w:val="003D3CCE"/>
    <w:rsid w:val="003D4062"/>
    <w:rsid w:val="003D41D9"/>
    <w:rsid w:val="003D43F0"/>
    <w:rsid w:val="003D447F"/>
    <w:rsid w:val="003D4769"/>
    <w:rsid w:val="003D4A3A"/>
    <w:rsid w:val="003D4A52"/>
    <w:rsid w:val="003D5047"/>
    <w:rsid w:val="003D5080"/>
    <w:rsid w:val="003D50D5"/>
    <w:rsid w:val="003D531B"/>
    <w:rsid w:val="003D548E"/>
    <w:rsid w:val="003D56A8"/>
    <w:rsid w:val="003D5C35"/>
    <w:rsid w:val="003D5D35"/>
    <w:rsid w:val="003D5DC3"/>
    <w:rsid w:val="003D5E56"/>
    <w:rsid w:val="003D6425"/>
    <w:rsid w:val="003D64E4"/>
    <w:rsid w:val="003D6EE2"/>
    <w:rsid w:val="003D7099"/>
    <w:rsid w:val="003D70E3"/>
    <w:rsid w:val="003D76C6"/>
    <w:rsid w:val="003D79C7"/>
    <w:rsid w:val="003D7E13"/>
    <w:rsid w:val="003E0149"/>
    <w:rsid w:val="003E0183"/>
    <w:rsid w:val="003E02DC"/>
    <w:rsid w:val="003E0810"/>
    <w:rsid w:val="003E0876"/>
    <w:rsid w:val="003E0A09"/>
    <w:rsid w:val="003E0D61"/>
    <w:rsid w:val="003E0EE1"/>
    <w:rsid w:val="003E14A0"/>
    <w:rsid w:val="003E17B5"/>
    <w:rsid w:val="003E19AF"/>
    <w:rsid w:val="003E1C9C"/>
    <w:rsid w:val="003E21E5"/>
    <w:rsid w:val="003E24BB"/>
    <w:rsid w:val="003E25B9"/>
    <w:rsid w:val="003E267A"/>
    <w:rsid w:val="003E28A1"/>
    <w:rsid w:val="003E28B6"/>
    <w:rsid w:val="003E291B"/>
    <w:rsid w:val="003E2AF7"/>
    <w:rsid w:val="003E2BDD"/>
    <w:rsid w:val="003E2C98"/>
    <w:rsid w:val="003E2D80"/>
    <w:rsid w:val="003E2F1D"/>
    <w:rsid w:val="003E33AF"/>
    <w:rsid w:val="003E3689"/>
    <w:rsid w:val="003E3791"/>
    <w:rsid w:val="003E3793"/>
    <w:rsid w:val="003E3908"/>
    <w:rsid w:val="003E39DB"/>
    <w:rsid w:val="003E3D8B"/>
    <w:rsid w:val="003E4B0E"/>
    <w:rsid w:val="003E4CD5"/>
    <w:rsid w:val="003E535C"/>
    <w:rsid w:val="003E5647"/>
    <w:rsid w:val="003E5A03"/>
    <w:rsid w:val="003E5A2D"/>
    <w:rsid w:val="003E5B59"/>
    <w:rsid w:val="003E5BB4"/>
    <w:rsid w:val="003E5D39"/>
    <w:rsid w:val="003E6536"/>
    <w:rsid w:val="003E65D0"/>
    <w:rsid w:val="003E68E8"/>
    <w:rsid w:val="003E6CF0"/>
    <w:rsid w:val="003E71F9"/>
    <w:rsid w:val="003E7279"/>
    <w:rsid w:val="003E7373"/>
    <w:rsid w:val="003E73EF"/>
    <w:rsid w:val="003E766E"/>
    <w:rsid w:val="003E76C7"/>
    <w:rsid w:val="003E787A"/>
    <w:rsid w:val="003E7A45"/>
    <w:rsid w:val="003E7AF1"/>
    <w:rsid w:val="003E7E71"/>
    <w:rsid w:val="003E7F3E"/>
    <w:rsid w:val="003E7FD1"/>
    <w:rsid w:val="003F02C6"/>
    <w:rsid w:val="003F0410"/>
    <w:rsid w:val="003F04CB"/>
    <w:rsid w:val="003F089F"/>
    <w:rsid w:val="003F0946"/>
    <w:rsid w:val="003F0FCA"/>
    <w:rsid w:val="003F10AC"/>
    <w:rsid w:val="003F16A8"/>
    <w:rsid w:val="003F185D"/>
    <w:rsid w:val="003F1D24"/>
    <w:rsid w:val="003F1F1F"/>
    <w:rsid w:val="003F2150"/>
    <w:rsid w:val="003F224A"/>
    <w:rsid w:val="003F23B3"/>
    <w:rsid w:val="003F2B3C"/>
    <w:rsid w:val="003F2BDC"/>
    <w:rsid w:val="003F2D6A"/>
    <w:rsid w:val="003F2E4F"/>
    <w:rsid w:val="003F2ECE"/>
    <w:rsid w:val="003F3075"/>
    <w:rsid w:val="003F3226"/>
    <w:rsid w:val="003F3266"/>
    <w:rsid w:val="003F344C"/>
    <w:rsid w:val="003F3702"/>
    <w:rsid w:val="003F3995"/>
    <w:rsid w:val="003F45EE"/>
    <w:rsid w:val="003F49CC"/>
    <w:rsid w:val="003F4B4A"/>
    <w:rsid w:val="003F4DAE"/>
    <w:rsid w:val="003F509E"/>
    <w:rsid w:val="003F50E2"/>
    <w:rsid w:val="003F53AA"/>
    <w:rsid w:val="003F541B"/>
    <w:rsid w:val="003F5C86"/>
    <w:rsid w:val="003F5E5C"/>
    <w:rsid w:val="003F613B"/>
    <w:rsid w:val="003F62FC"/>
    <w:rsid w:val="003F63EE"/>
    <w:rsid w:val="003F65F7"/>
    <w:rsid w:val="003F67E6"/>
    <w:rsid w:val="003F6C31"/>
    <w:rsid w:val="003F6D43"/>
    <w:rsid w:val="003F728F"/>
    <w:rsid w:val="003F767F"/>
    <w:rsid w:val="003F76A1"/>
    <w:rsid w:val="003F7EA2"/>
    <w:rsid w:val="004001C8"/>
    <w:rsid w:val="004008BA"/>
    <w:rsid w:val="00400AA6"/>
    <w:rsid w:val="00400CF2"/>
    <w:rsid w:val="00400DF6"/>
    <w:rsid w:val="004017EB"/>
    <w:rsid w:val="00401D0E"/>
    <w:rsid w:val="0040217B"/>
    <w:rsid w:val="004022F2"/>
    <w:rsid w:val="004023B1"/>
    <w:rsid w:val="00402407"/>
    <w:rsid w:val="0040293A"/>
    <w:rsid w:val="00402959"/>
    <w:rsid w:val="00402C52"/>
    <w:rsid w:val="00402E53"/>
    <w:rsid w:val="00404567"/>
    <w:rsid w:val="00404B6C"/>
    <w:rsid w:val="00404E43"/>
    <w:rsid w:val="0040509A"/>
    <w:rsid w:val="004050E9"/>
    <w:rsid w:val="004054B3"/>
    <w:rsid w:val="00405518"/>
    <w:rsid w:val="00405752"/>
    <w:rsid w:val="004058D7"/>
    <w:rsid w:val="00405A20"/>
    <w:rsid w:val="00405E5F"/>
    <w:rsid w:val="004062C9"/>
    <w:rsid w:val="00406424"/>
    <w:rsid w:val="004064C2"/>
    <w:rsid w:val="004069A5"/>
    <w:rsid w:val="00406B88"/>
    <w:rsid w:val="00406BAB"/>
    <w:rsid w:val="00406E5E"/>
    <w:rsid w:val="00407082"/>
    <w:rsid w:val="00407512"/>
    <w:rsid w:val="004075FD"/>
    <w:rsid w:val="00407C2C"/>
    <w:rsid w:val="00407CDE"/>
    <w:rsid w:val="00407E1B"/>
    <w:rsid w:val="00407F91"/>
    <w:rsid w:val="0041001A"/>
    <w:rsid w:val="0041060F"/>
    <w:rsid w:val="004106E7"/>
    <w:rsid w:val="004107EF"/>
    <w:rsid w:val="00410851"/>
    <w:rsid w:val="0041086A"/>
    <w:rsid w:val="00410C2A"/>
    <w:rsid w:val="00410E60"/>
    <w:rsid w:val="004113A2"/>
    <w:rsid w:val="004113D9"/>
    <w:rsid w:val="0041140A"/>
    <w:rsid w:val="004115D1"/>
    <w:rsid w:val="004117EE"/>
    <w:rsid w:val="00411FA2"/>
    <w:rsid w:val="00412448"/>
    <w:rsid w:val="0041261D"/>
    <w:rsid w:val="00412776"/>
    <w:rsid w:val="00412A80"/>
    <w:rsid w:val="00412CA3"/>
    <w:rsid w:val="00412CCC"/>
    <w:rsid w:val="00412F27"/>
    <w:rsid w:val="00413103"/>
    <w:rsid w:val="0041352E"/>
    <w:rsid w:val="00413AE9"/>
    <w:rsid w:val="0041448A"/>
    <w:rsid w:val="004145D6"/>
    <w:rsid w:val="00414671"/>
    <w:rsid w:val="00414982"/>
    <w:rsid w:val="00414CDE"/>
    <w:rsid w:val="00414E36"/>
    <w:rsid w:val="0041509D"/>
    <w:rsid w:val="00415249"/>
    <w:rsid w:val="004152E8"/>
    <w:rsid w:val="00415635"/>
    <w:rsid w:val="004156A2"/>
    <w:rsid w:val="00415850"/>
    <w:rsid w:val="00415D3C"/>
    <w:rsid w:val="00415DF9"/>
    <w:rsid w:val="004161EC"/>
    <w:rsid w:val="0041694B"/>
    <w:rsid w:val="00416AA4"/>
    <w:rsid w:val="00416D5F"/>
    <w:rsid w:val="00416EF3"/>
    <w:rsid w:val="00417697"/>
    <w:rsid w:val="00417C18"/>
    <w:rsid w:val="00417F0D"/>
    <w:rsid w:val="00420419"/>
    <w:rsid w:val="00420475"/>
    <w:rsid w:val="0042059D"/>
    <w:rsid w:val="00420A23"/>
    <w:rsid w:val="00420DD9"/>
    <w:rsid w:val="00420E55"/>
    <w:rsid w:val="00420ECA"/>
    <w:rsid w:val="0042118F"/>
    <w:rsid w:val="004214AE"/>
    <w:rsid w:val="0042151F"/>
    <w:rsid w:val="00421C0F"/>
    <w:rsid w:val="00421E03"/>
    <w:rsid w:val="00421FFA"/>
    <w:rsid w:val="004221AA"/>
    <w:rsid w:val="00422220"/>
    <w:rsid w:val="0042231E"/>
    <w:rsid w:val="004223DC"/>
    <w:rsid w:val="00422419"/>
    <w:rsid w:val="00422478"/>
    <w:rsid w:val="00422520"/>
    <w:rsid w:val="004225B5"/>
    <w:rsid w:val="00422835"/>
    <w:rsid w:val="004228CF"/>
    <w:rsid w:val="00422CCE"/>
    <w:rsid w:val="00423133"/>
    <w:rsid w:val="004231A7"/>
    <w:rsid w:val="0042368E"/>
    <w:rsid w:val="0042376C"/>
    <w:rsid w:val="00423BC8"/>
    <w:rsid w:val="00423C7A"/>
    <w:rsid w:val="00424060"/>
    <w:rsid w:val="004242AE"/>
    <w:rsid w:val="004243A2"/>
    <w:rsid w:val="00424409"/>
    <w:rsid w:val="004244D1"/>
    <w:rsid w:val="0042454E"/>
    <w:rsid w:val="00424737"/>
    <w:rsid w:val="004248FB"/>
    <w:rsid w:val="004249C0"/>
    <w:rsid w:val="00424A4D"/>
    <w:rsid w:val="00425053"/>
    <w:rsid w:val="0042518F"/>
    <w:rsid w:val="004252AD"/>
    <w:rsid w:val="0042532D"/>
    <w:rsid w:val="00425352"/>
    <w:rsid w:val="00425582"/>
    <w:rsid w:val="004256A1"/>
    <w:rsid w:val="00425961"/>
    <w:rsid w:val="00425C00"/>
    <w:rsid w:val="004264FB"/>
    <w:rsid w:val="00426634"/>
    <w:rsid w:val="0042685D"/>
    <w:rsid w:val="00426916"/>
    <w:rsid w:val="00426C9E"/>
    <w:rsid w:val="00426DED"/>
    <w:rsid w:val="00427671"/>
    <w:rsid w:val="004278B1"/>
    <w:rsid w:val="00427B83"/>
    <w:rsid w:val="00427DAB"/>
    <w:rsid w:val="0043008B"/>
    <w:rsid w:val="0043077E"/>
    <w:rsid w:val="00430CDC"/>
    <w:rsid w:val="00430ED9"/>
    <w:rsid w:val="00431D75"/>
    <w:rsid w:val="00431DB3"/>
    <w:rsid w:val="004320C8"/>
    <w:rsid w:val="00432156"/>
    <w:rsid w:val="0043276C"/>
    <w:rsid w:val="00432ECB"/>
    <w:rsid w:val="00432ECF"/>
    <w:rsid w:val="00432F37"/>
    <w:rsid w:val="00432F82"/>
    <w:rsid w:val="00433060"/>
    <w:rsid w:val="00433618"/>
    <w:rsid w:val="004336B2"/>
    <w:rsid w:val="00433A48"/>
    <w:rsid w:val="00433A5A"/>
    <w:rsid w:val="00433AF8"/>
    <w:rsid w:val="00433F8F"/>
    <w:rsid w:val="004341D5"/>
    <w:rsid w:val="004343EA"/>
    <w:rsid w:val="004347DF"/>
    <w:rsid w:val="0043496A"/>
    <w:rsid w:val="00434A37"/>
    <w:rsid w:val="00434A8D"/>
    <w:rsid w:val="00434D32"/>
    <w:rsid w:val="00434E43"/>
    <w:rsid w:val="00434F87"/>
    <w:rsid w:val="00435417"/>
    <w:rsid w:val="00435C2A"/>
    <w:rsid w:val="00435F0D"/>
    <w:rsid w:val="00436B76"/>
    <w:rsid w:val="00437229"/>
    <w:rsid w:val="00437232"/>
    <w:rsid w:val="004373A4"/>
    <w:rsid w:val="00437501"/>
    <w:rsid w:val="004377CB"/>
    <w:rsid w:val="00437CFB"/>
    <w:rsid w:val="00440354"/>
    <w:rsid w:val="00440678"/>
    <w:rsid w:val="004406F4"/>
    <w:rsid w:val="0044077C"/>
    <w:rsid w:val="00440942"/>
    <w:rsid w:val="00440C8D"/>
    <w:rsid w:val="00440DF6"/>
    <w:rsid w:val="00440FE8"/>
    <w:rsid w:val="004411EA"/>
    <w:rsid w:val="004412A5"/>
    <w:rsid w:val="00441561"/>
    <w:rsid w:val="00441565"/>
    <w:rsid w:val="00441717"/>
    <w:rsid w:val="004422FF"/>
    <w:rsid w:val="004425F0"/>
    <w:rsid w:val="00442755"/>
    <w:rsid w:val="00442AC3"/>
    <w:rsid w:val="00442CA0"/>
    <w:rsid w:val="00442CFA"/>
    <w:rsid w:val="00442D6B"/>
    <w:rsid w:val="00442EC5"/>
    <w:rsid w:val="00442FAC"/>
    <w:rsid w:val="004432CF"/>
    <w:rsid w:val="0044330D"/>
    <w:rsid w:val="00443E7C"/>
    <w:rsid w:val="00443FE6"/>
    <w:rsid w:val="00444327"/>
    <w:rsid w:val="004446BB"/>
    <w:rsid w:val="00444729"/>
    <w:rsid w:val="004447FF"/>
    <w:rsid w:val="00444974"/>
    <w:rsid w:val="00444A0F"/>
    <w:rsid w:val="00444A90"/>
    <w:rsid w:val="00444B09"/>
    <w:rsid w:val="004451D8"/>
    <w:rsid w:val="00445329"/>
    <w:rsid w:val="004455A3"/>
    <w:rsid w:val="0044561E"/>
    <w:rsid w:val="004456F2"/>
    <w:rsid w:val="00445D98"/>
    <w:rsid w:val="00445E73"/>
    <w:rsid w:val="004461FB"/>
    <w:rsid w:val="00446345"/>
    <w:rsid w:val="0044645D"/>
    <w:rsid w:val="00446632"/>
    <w:rsid w:val="00446C0E"/>
    <w:rsid w:val="004472EB"/>
    <w:rsid w:val="00447507"/>
    <w:rsid w:val="00447CE1"/>
    <w:rsid w:val="0045025A"/>
    <w:rsid w:val="00450431"/>
    <w:rsid w:val="00450608"/>
    <w:rsid w:val="00450635"/>
    <w:rsid w:val="004509DD"/>
    <w:rsid w:val="00450B01"/>
    <w:rsid w:val="00450B2D"/>
    <w:rsid w:val="00450BFE"/>
    <w:rsid w:val="00450E68"/>
    <w:rsid w:val="00450EA0"/>
    <w:rsid w:val="00450F48"/>
    <w:rsid w:val="004510D8"/>
    <w:rsid w:val="00451452"/>
    <w:rsid w:val="0045163F"/>
    <w:rsid w:val="004516D9"/>
    <w:rsid w:val="00451729"/>
    <w:rsid w:val="00451A42"/>
    <w:rsid w:val="00451DFB"/>
    <w:rsid w:val="00451FD1"/>
    <w:rsid w:val="00452056"/>
    <w:rsid w:val="0045298B"/>
    <w:rsid w:val="00452A7F"/>
    <w:rsid w:val="00452E4B"/>
    <w:rsid w:val="004532FC"/>
    <w:rsid w:val="004535D1"/>
    <w:rsid w:val="00453971"/>
    <w:rsid w:val="004539E0"/>
    <w:rsid w:val="00453D04"/>
    <w:rsid w:val="0045404F"/>
    <w:rsid w:val="004543E0"/>
    <w:rsid w:val="0045449A"/>
    <w:rsid w:val="00454589"/>
    <w:rsid w:val="004547B2"/>
    <w:rsid w:val="00454990"/>
    <w:rsid w:val="00454B66"/>
    <w:rsid w:val="00454D35"/>
    <w:rsid w:val="00454F2E"/>
    <w:rsid w:val="00455180"/>
    <w:rsid w:val="0045531E"/>
    <w:rsid w:val="00455E2A"/>
    <w:rsid w:val="004561A4"/>
    <w:rsid w:val="00456205"/>
    <w:rsid w:val="004563CA"/>
    <w:rsid w:val="0045642D"/>
    <w:rsid w:val="00456677"/>
    <w:rsid w:val="0045671D"/>
    <w:rsid w:val="004567C2"/>
    <w:rsid w:val="00456968"/>
    <w:rsid w:val="00456A2F"/>
    <w:rsid w:val="00456A9E"/>
    <w:rsid w:val="00456DF8"/>
    <w:rsid w:val="00456E63"/>
    <w:rsid w:val="00456E6E"/>
    <w:rsid w:val="00456F6E"/>
    <w:rsid w:val="00457A54"/>
    <w:rsid w:val="00457CE4"/>
    <w:rsid w:val="00457E87"/>
    <w:rsid w:val="004600CA"/>
    <w:rsid w:val="004602B7"/>
    <w:rsid w:val="00460349"/>
    <w:rsid w:val="004604BA"/>
    <w:rsid w:val="0046061A"/>
    <w:rsid w:val="004609AA"/>
    <w:rsid w:val="00460A1F"/>
    <w:rsid w:val="00460B6F"/>
    <w:rsid w:val="00460D2C"/>
    <w:rsid w:val="00460DB1"/>
    <w:rsid w:val="00460FD4"/>
    <w:rsid w:val="0046125B"/>
    <w:rsid w:val="0046157C"/>
    <w:rsid w:val="0046164F"/>
    <w:rsid w:val="00461963"/>
    <w:rsid w:val="00461D19"/>
    <w:rsid w:val="00461E7B"/>
    <w:rsid w:val="00462570"/>
    <w:rsid w:val="00462852"/>
    <w:rsid w:val="0046289E"/>
    <w:rsid w:val="00462968"/>
    <w:rsid w:val="00462FE8"/>
    <w:rsid w:val="0046308A"/>
    <w:rsid w:val="004630A5"/>
    <w:rsid w:val="00463178"/>
    <w:rsid w:val="004634F3"/>
    <w:rsid w:val="00463B34"/>
    <w:rsid w:val="00463D84"/>
    <w:rsid w:val="00463F2A"/>
    <w:rsid w:val="00463FF0"/>
    <w:rsid w:val="004642A3"/>
    <w:rsid w:val="004642B0"/>
    <w:rsid w:val="004643E3"/>
    <w:rsid w:val="00464622"/>
    <w:rsid w:val="00464A56"/>
    <w:rsid w:val="00464DF2"/>
    <w:rsid w:val="00465271"/>
    <w:rsid w:val="00465532"/>
    <w:rsid w:val="004655BD"/>
    <w:rsid w:val="00465869"/>
    <w:rsid w:val="004659A2"/>
    <w:rsid w:val="00465C19"/>
    <w:rsid w:val="00465EBE"/>
    <w:rsid w:val="00465EDF"/>
    <w:rsid w:val="0046607B"/>
    <w:rsid w:val="0046617A"/>
    <w:rsid w:val="00466237"/>
    <w:rsid w:val="0046699B"/>
    <w:rsid w:val="004669F6"/>
    <w:rsid w:val="00466B49"/>
    <w:rsid w:val="004672B9"/>
    <w:rsid w:val="00467515"/>
    <w:rsid w:val="004676B8"/>
    <w:rsid w:val="00467AE2"/>
    <w:rsid w:val="00467B18"/>
    <w:rsid w:val="00467DAA"/>
    <w:rsid w:val="00467ECB"/>
    <w:rsid w:val="0047001F"/>
    <w:rsid w:val="004700C6"/>
    <w:rsid w:val="00470648"/>
    <w:rsid w:val="00470B80"/>
    <w:rsid w:val="004714A8"/>
    <w:rsid w:val="0047164C"/>
    <w:rsid w:val="004719BB"/>
    <w:rsid w:val="00471B8C"/>
    <w:rsid w:val="00471F9A"/>
    <w:rsid w:val="00471FAD"/>
    <w:rsid w:val="004721DC"/>
    <w:rsid w:val="00472C9D"/>
    <w:rsid w:val="00472F0D"/>
    <w:rsid w:val="0047302F"/>
    <w:rsid w:val="004731A1"/>
    <w:rsid w:val="00473449"/>
    <w:rsid w:val="00473548"/>
    <w:rsid w:val="00473604"/>
    <w:rsid w:val="00473765"/>
    <w:rsid w:val="0047391A"/>
    <w:rsid w:val="00473CC3"/>
    <w:rsid w:val="00473F2A"/>
    <w:rsid w:val="0047418D"/>
    <w:rsid w:val="00474895"/>
    <w:rsid w:val="00474900"/>
    <w:rsid w:val="00474A4D"/>
    <w:rsid w:val="00474BDE"/>
    <w:rsid w:val="00474D0C"/>
    <w:rsid w:val="00475082"/>
    <w:rsid w:val="0047524B"/>
    <w:rsid w:val="0047559C"/>
    <w:rsid w:val="00475918"/>
    <w:rsid w:val="00475C7F"/>
    <w:rsid w:val="00476BBF"/>
    <w:rsid w:val="00476DCC"/>
    <w:rsid w:val="0047707C"/>
    <w:rsid w:val="004777F0"/>
    <w:rsid w:val="004778D5"/>
    <w:rsid w:val="004778DC"/>
    <w:rsid w:val="00477C3B"/>
    <w:rsid w:val="00477C40"/>
    <w:rsid w:val="0048009B"/>
    <w:rsid w:val="004801E0"/>
    <w:rsid w:val="00480534"/>
    <w:rsid w:val="0048060F"/>
    <w:rsid w:val="0048099F"/>
    <w:rsid w:val="004809EA"/>
    <w:rsid w:val="00480BA7"/>
    <w:rsid w:val="00481114"/>
    <w:rsid w:val="00481115"/>
    <w:rsid w:val="00481266"/>
    <w:rsid w:val="0048141D"/>
    <w:rsid w:val="0048146C"/>
    <w:rsid w:val="0048153D"/>
    <w:rsid w:val="0048181A"/>
    <w:rsid w:val="00482358"/>
    <w:rsid w:val="004824BD"/>
    <w:rsid w:val="00482857"/>
    <w:rsid w:val="00482B8D"/>
    <w:rsid w:val="00482D45"/>
    <w:rsid w:val="00482ED1"/>
    <w:rsid w:val="00482FBF"/>
    <w:rsid w:val="00482FDF"/>
    <w:rsid w:val="00483081"/>
    <w:rsid w:val="004830D6"/>
    <w:rsid w:val="0048359F"/>
    <w:rsid w:val="00483B3C"/>
    <w:rsid w:val="0048424B"/>
    <w:rsid w:val="0048450C"/>
    <w:rsid w:val="00485449"/>
    <w:rsid w:val="004856B0"/>
    <w:rsid w:val="004856E0"/>
    <w:rsid w:val="0048578F"/>
    <w:rsid w:val="00485AA3"/>
    <w:rsid w:val="00485BF2"/>
    <w:rsid w:val="00485DA6"/>
    <w:rsid w:val="004863B5"/>
    <w:rsid w:val="004864F0"/>
    <w:rsid w:val="004866E1"/>
    <w:rsid w:val="004866FC"/>
    <w:rsid w:val="00486784"/>
    <w:rsid w:val="004867E9"/>
    <w:rsid w:val="00486A9F"/>
    <w:rsid w:val="00486BE8"/>
    <w:rsid w:val="00486C39"/>
    <w:rsid w:val="00487402"/>
    <w:rsid w:val="004875D2"/>
    <w:rsid w:val="004876EE"/>
    <w:rsid w:val="00490122"/>
    <w:rsid w:val="00490444"/>
    <w:rsid w:val="00490EB7"/>
    <w:rsid w:val="0049107C"/>
    <w:rsid w:val="0049136D"/>
    <w:rsid w:val="00491461"/>
    <w:rsid w:val="00491535"/>
    <w:rsid w:val="0049170A"/>
    <w:rsid w:val="00491830"/>
    <w:rsid w:val="00491CF6"/>
    <w:rsid w:val="0049222E"/>
    <w:rsid w:val="00492370"/>
    <w:rsid w:val="00492374"/>
    <w:rsid w:val="00492685"/>
    <w:rsid w:val="004926DE"/>
    <w:rsid w:val="00492B82"/>
    <w:rsid w:val="00492BBF"/>
    <w:rsid w:val="00492BFA"/>
    <w:rsid w:val="00492E28"/>
    <w:rsid w:val="00493013"/>
    <w:rsid w:val="00493078"/>
    <w:rsid w:val="004937FD"/>
    <w:rsid w:val="00493844"/>
    <w:rsid w:val="00493AB8"/>
    <w:rsid w:val="00493FD2"/>
    <w:rsid w:val="004944CC"/>
    <w:rsid w:val="004948BB"/>
    <w:rsid w:val="00494A73"/>
    <w:rsid w:val="00494C10"/>
    <w:rsid w:val="00495065"/>
    <w:rsid w:val="004950CE"/>
    <w:rsid w:val="00495332"/>
    <w:rsid w:val="004954A3"/>
    <w:rsid w:val="0049568E"/>
    <w:rsid w:val="00495696"/>
    <w:rsid w:val="004956C0"/>
    <w:rsid w:val="004957CE"/>
    <w:rsid w:val="00495948"/>
    <w:rsid w:val="00495C41"/>
    <w:rsid w:val="004960C5"/>
    <w:rsid w:val="0049619F"/>
    <w:rsid w:val="00496236"/>
    <w:rsid w:val="0049633F"/>
    <w:rsid w:val="004965AE"/>
    <w:rsid w:val="00496998"/>
    <w:rsid w:val="00497426"/>
    <w:rsid w:val="00497F9D"/>
    <w:rsid w:val="00497FFD"/>
    <w:rsid w:val="004A015C"/>
    <w:rsid w:val="004A099D"/>
    <w:rsid w:val="004A09F8"/>
    <w:rsid w:val="004A0B87"/>
    <w:rsid w:val="004A0BF1"/>
    <w:rsid w:val="004A0C83"/>
    <w:rsid w:val="004A0CC3"/>
    <w:rsid w:val="004A1186"/>
    <w:rsid w:val="004A14CE"/>
    <w:rsid w:val="004A1866"/>
    <w:rsid w:val="004A1B8D"/>
    <w:rsid w:val="004A1C64"/>
    <w:rsid w:val="004A1CCF"/>
    <w:rsid w:val="004A1F1B"/>
    <w:rsid w:val="004A21C7"/>
    <w:rsid w:val="004A277E"/>
    <w:rsid w:val="004A291D"/>
    <w:rsid w:val="004A2A6B"/>
    <w:rsid w:val="004A2AC1"/>
    <w:rsid w:val="004A2B0A"/>
    <w:rsid w:val="004A2B33"/>
    <w:rsid w:val="004A2C45"/>
    <w:rsid w:val="004A2DD9"/>
    <w:rsid w:val="004A31A2"/>
    <w:rsid w:val="004A3503"/>
    <w:rsid w:val="004A36F3"/>
    <w:rsid w:val="004A3925"/>
    <w:rsid w:val="004A3B44"/>
    <w:rsid w:val="004A3D69"/>
    <w:rsid w:val="004A4066"/>
    <w:rsid w:val="004A418E"/>
    <w:rsid w:val="004A43C8"/>
    <w:rsid w:val="004A44EA"/>
    <w:rsid w:val="004A4A86"/>
    <w:rsid w:val="004A4DFB"/>
    <w:rsid w:val="004A5CA8"/>
    <w:rsid w:val="004A5D2C"/>
    <w:rsid w:val="004A60D0"/>
    <w:rsid w:val="004A619B"/>
    <w:rsid w:val="004A6282"/>
    <w:rsid w:val="004A628E"/>
    <w:rsid w:val="004A62BE"/>
    <w:rsid w:val="004A6572"/>
    <w:rsid w:val="004A6762"/>
    <w:rsid w:val="004A6905"/>
    <w:rsid w:val="004A6BFA"/>
    <w:rsid w:val="004A70FE"/>
    <w:rsid w:val="004A7116"/>
    <w:rsid w:val="004A7509"/>
    <w:rsid w:val="004A79A2"/>
    <w:rsid w:val="004A7C61"/>
    <w:rsid w:val="004B00F3"/>
    <w:rsid w:val="004B0185"/>
    <w:rsid w:val="004B0546"/>
    <w:rsid w:val="004B06A4"/>
    <w:rsid w:val="004B09D8"/>
    <w:rsid w:val="004B0B10"/>
    <w:rsid w:val="004B0B24"/>
    <w:rsid w:val="004B0C39"/>
    <w:rsid w:val="004B0C73"/>
    <w:rsid w:val="004B0C87"/>
    <w:rsid w:val="004B0D14"/>
    <w:rsid w:val="004B1695"/>
    <w:rsid w:val="004B19DB"/>
    <w:rsid w:val="004B1B91"/>
    <w:rsid w:val="004B1FB5"/>
    <w:rsid w:val="004B22BC"/>
    <w:rsid w:val="004B2458"/>
    <w:rsid w:val="004B249E"/>
    <w:rsid w:val="004B26AE"/>
    <w:rsid w:val="004B2701"/>
    <w:rsid w:val="004B277F"/>
    <w:rsid w:val="004B279B"/>
    <w:rsid w:val="004B2A1B"/>
    <w:rsid w:val="004B337D"/>
    <w:rsid w:val="004B3621"/>
    <w:rsid w:val="004B366F"/>
    <w:rsid w:val="004B388A"/>
    <w:rsid w:val="004B39BB"/>
    <w:rsid w:val="004B3A77"/>
    <w:rsid w:val="004B3D53"/>
    <w:rsid w:val="004B3FB8"/>
    <w:rsid w:val="004B4085"/>
    <w:rsid w:val="004B44C5"/>
    <w:rsid w:val="004B4995"/>
    <w:rsid w:val="004B4C05"/>
    <w:rsid w:val="004B5056"/>
    <w:rsid w:val="004B50EE"/>
    <w:rsid w:val="004B5759"/>
    <w:rsid w:val="004B58CA"/>
    <w:rsid w:val="004B5D25"/>
    <w:rsid w:val="004B5E0B"/>
    <w:rsid w:val="004B5E4A"/>
    <w:rsid w:val="004B6171"/>
    <w:rsid w:val="004B6501"/>
    <w:rsid w:val="004B65A6"/>
    <w:rsid w:val="004B677F"/>
    <w:rsid w:val="004B6AF4"/>
    <w:rsid w:val="004B6CC4"/>
    <w:rsid w:val="004B72A8"/>
    <w:rsid w:val="004B7397"/>
    <w:rsid w:val="004B7405"/>
    <w:rsid w:val="004B7770"/>
    <w:rsid w:val="004B7A07"/>
    <w:rsid w:val="004B7B6D"/>
    <w:rsid w:val="004B7D1C"/>
    <w:rsid w:val="004C003F"/>
    <w:rsid w:val="004C046F"/>
    <w:rsid w:val="004C0569"/>
    <w:rsid w:val="004C0605"/>
    <w:rsid w:val="004C0968"/>
    <w:rsid w:val="004C0993"/>
    <w:rsid w:val="004C0B30"/>
    <w:rsid w:val="004C0B5A"/>
    <w:rsid w:val="004C0C82"/>
    <w:rsid w:val="004C0CBC"/>
    <w:rsid w:val="004C0CCF"/>
    <w:rsid w:val="004C0D1F"/>
    <w:rsid w:val="004C17FA"/>
    <w:rsid w:val="004C18A1"/>
    <w:rsid w:val="004C1A59"/>
    <w:rsid w:val="004C1BFE"/>
    <w:rsid w:val="004C1C27"/>
    <w:rsid w:val="004C2125"/>
    <w:rsid w:val="004C22BB"/>
    <w:rsid w:val="004C26FA"/>
    <w:rsid w:val="004C2766"/>
    <w:rsid w:val="004C2D44"/>
    <w:rsid w:val="004C31EE"/>
    <w:rsid w:val="004C3241"/>
    <w:rsid w:val="004C3337"/>
    <w:rsid w:val="004C3934"/>
    <w:rsid w:val="004C3A95"/>
    <w:rsid w:val="004C3BA8"/>
    <w:rsid w:val="004C3D0C"/>
    <w:rsid w:val="004C3E40"/>
    <w:rsid w:val="004C408E"/>
    <w:rsid w:val="004C40E3"/>
    <w:rsid w:val="004C4524"/>
    <w:rsid w:val="004C49AF"/>
    <w:rsid w:val="004C4C89"/>
    <w:rsid w:val="004C4CD6"/>
    <w:rsid w:val="004C57DF"/>
    <w:rsid w:val="004C5C3F"/>
    <w:rsid w:val="004C5CB9"/>
    <w:rsid w:val="004C5F08"/>
    <w:rsid w:val="004C5F1F"/>
    <w:rsid w:val="004C5F56"/>
    <w:rsid w:val="004C6273"/>
    <w:rsid w:val="004C6607"/>
    <w:rsid w:val="004C68B6"/>
    <w:rsid w:val="004C6B7C"/>
    <w:rsid w:val="004C6BC9"/>
    <w:rsid w:val="004C6CBB"/>
    <w:rsid w:val="004C765E"/>
    <w:rsid w:val="004C7926"/>
    <w:rsid w:val="004D0061"/>
    <w:rsid w:val="004D012B"/>
    <w:rsid w:val="004D03E9"/>
    <w:rsid w:val="004D05BD"/>
    <w:rsid w:val="004D05EF"/>
    <w:rsid w:val="004D0B8A"/>
    <w:rsid w:val="004D1003"/>
    <w:rsid w:val="004D10B8"/>
    <w:rsid w:val="004D1236"/>
    <w:rsid w:val="004D1324"/>
    <w:rsid w:val="004D1676"/>
    <w:rsid w:val="004D1873"/>
    <w:rsid w:val="004D1AA1"/>
    <w:rsid w:val="004D2007"/>
    <w:rsid w:val="004D206E"/>
    <w:rsid w:val="004D2514"/>
    <w:rsid w:val="004D2606"/>
    <w:rsid w:val="004D267F"/>
    <w:rsid w:val="004D2999"/>
    <w:rsid w:val="004D2CD1"/>
    <w:rsid w:val="004D3050"/>
    <w:rsid w:val="004D3089"/>
    <w:rsid w:val="004D31FD"/>
    <w:rsid w:val="004D33AA"/>
    <w:rsid w:val="004D3496"/>
    <w:rsid w:val="004D3540"/>
    <w:rsid w:val="004D3722"/>
    <w:rsid w:val="004D3A32"/>
    <w:rsid w:val="004D3A96"/>
    <w:rsid w:val="004D3D12"/>
    <w:rsid w:val="004D3D5D"/>
    <w:rsid w:val="004D3EA0"/>
    <w:rsid w:val="004D3FB7"/>
    <w:rsid w:val="004D40E6"/>
    <w:rsid w:val="004D46C2"/>
    <w:rsid w:val="004D474E"/>
    <w:rsid w:val="004D486F"/>
    <w:rsid w:val="004D4B7C"/>
    <w:rsid w:val="004D4C8B"/>
    <w:rsid w:val="004D4D37"/>
    <w:rsid w:val="004D4D5D"/>
    <w:rsid w:val="004D5377"/>
    <w:rsid w:val="004D549A"/>
    <w:rsid w:val="004D549C"/>
    <w:rsid w:val="004D58F6"/>
    <w:rsid w:val="004D59D3"/>
    <w:rsid w:val="004D5A12"/>
    <w:rsid w:val="004D5B87"/>
    <w:rsid w:val="004D5BEA"/>
    <w:rsid w:val="004D61D6"/>
    <w:rsid w:val="004D620C"/>
    <w:rsid w:val="004D6336"/>
    <w:rsid w:val="004D6460"/>
    <w:rsid w:val="004D6563"/>
    <w:rsid w:val="004D6BF9"/>
    <w:rsid w:val="004D6CB3"/>
    <w:rsid w:val="004D7133"/>
    <w:rsid w:val="004D745F"/>
    <w:rsid w:val="004D7BAC"/>
    <w:rsid w:val="004D7C47"/>
    <w:rsid w:val="004D7DDD"/>
    <w:rsid w:val="004D7E39"/>
    <w:rsid w:val="004D7E71"/>
    <w:rsid w:val="004E00B4"/>
    <w:rsid w:val="004E01E6"/>
    <w:rsid w:val="004E0518"/>
    <w:rsid w:val="004E0B28"/>
    <w:rsid w:val="004E0C3A"/>
    <w:rsid w:val="004E0CF3"/>
    <w:rsid w:val="004E0D2E"/>
    <w:rsid w:val="004E0E17"/>
    <w:rsid w:val="004E0EA9"/>
    <w:rsid w:val="004E1181"/>
    <w:rsid w:val="004E11BC"/>
    <w:rsid w:val="004E1376"/>
    <w:rsid w:val="004E13FE"/>
    <w:rsid w:val="004E1685"/>
    <w:rsid w:val="004E18D8"/>
    <w:rsid w:val="004E1A6C"/>
    <w:rsid w:val="004E1D7F"/>
    <w:rsid w:val="004E1EE6"/>
    <w:rsid w:val="004E21C4"/>
    <w:rsid w:val="004E2BAB"/>
    <w:rsid w:val="004E2D97"/>
    <w:rsid w:val="004E2EA3"/>
    <w:rsid w:val="004E2F85"/>
    <w:rsid w:val="004E2F86"/>
    <w:rsid w:val="004E2FC1"/>
    <w:rsid w:val="004E32B0"/>
    <w:rsid w:val="004E37A5"/>
    <w:rsid w:val="004E390A"/>
    <w:rsid w:val="004E3B9F"/>
    <w:rsid w:val="004E3BDA"/>
    <w:rsid w:val="004E3C68"/>
    <w:rsid w:val="004E41A3"/>
    <w:rsid w:val="004E4210"/>
    <w:rsid w:val="004E43FB"/>
    <w:rsid w:val="004E47DF"/>
    <w:rsid w:val="004E49BC"/>
    <w:rsid w:val="004E49CF"/>
    <w:rsid w:val="004E4CAF"/>
    <w:rsid w:val="004E502A"/>
    <w:rsid w:val="004E56D6"/>
    <w:rsid w:val="004E58CE"/>
    <w:rsid w:val="004E5AE6"/>
    <w:rsid w:val="004E5B10"/>
    <w:rsid w:val="004E5BEC"/>
    <w:rsid w:val="004E5D4E"/>
    <w:rsid w:val="004E5E8A"/>
    <w:rsid w:val="004E6090"/>
    <w:rsid w:val="004E61C5"/>
    <w:rsid w:val="004E6333"/>
    <w:rsid w:val="004E6403"/>
    <w:rsid w:val="004E674C"/>
    <w:rsid w:val="004E6B9C"/>
    <w:rsid w:val="004E6CBF"/>
    <w:rsid w:val="004E6DFF"/>
    <w:rsid w:val="004E6F20"/>
    <w:rsid w:val="004E7102"/>
    <w:rsid w:val="004E7458"/>
    <w:rsid w:val="004E785E"/>
    <w:rsid w:val="004E78A3"/>
    <w:rsid w:val="004E7A80"/>
    <w:rsid w:val="004E7AF4"/>
    <w:rsid w:val="004E7CC0"/>
    <w:rsid w:val="004E7D1C"/>
    <w:rsid w:val="004F0987"/>
    <w:rsid w:val="004F09E7"/>
    <w:rsid w:val="004F0C3C"/>
    <w:rsid w:val="004F0C56"/>
    <w:rsid w:val="004F0EE2"/>
    <w:rsid w:val="004F1295"/>
    <w:rsid w:val="004F132C"/>
    <w:rsid w:val="004F1B1D"/>
    <w:rsid w:val="004F1B44"/>
    <w:rsid w:val="004F1DDA"/>
    <w:rsid w:val="004F208A"/>
    <w:rsid w:val="004F21FE"/>
    <w:rsid w:val="004F2429"/>
    <w:rsid w:val="004F242D"/>
    <w:rsid w:val="004F2C74"/>
    <w:rsid w:val="004F2DF0"/>
    <w:rsid w:val="004F2E64"/>
    <w:rsid w:val="004F32DE"/>
    <w:rsid w:val="004F3300"/>
    <w:rsid w:val="004F3895"/>
    <w:rsid w:val="004F39D3"/>
    <w:rsid w:val="004F402A"/>
    <w:rsid w:val="004F450E"/>
    <w:rsid w:val="004F48D4"/>
    <w:rsid w:val="004F48E6"/>
    <w:rsid w:val="004F4E78"/>
    <w:rsid w:val="004F4FDD"/>
    <w:rsid w:val="004F503D"/>
    <w:rsid w:val="004F5261"/>
    <w:rsid w:val="004F52F4"/>
    <w:rsid w:val="004F5315"/>
    <w:rsid w:val="004F5396"/>
    <w:rsid w:val="004F564B"/>
    <w:rsid w:val="004F56CA"/>
    <w:rsid w:val="004F58A2"/>
    <w:rsid w:val="004F5A20"/>
    <w:rsid w:val="004F5E66"/>
    <w:rsid w:val="004F60FF"/>
    <w:rsid w:val="004F634B"/>
    <w:rsid w:val="004F650C"/>
    <w:rsid w:val="004F66BA"/>
    <w:rsid w:val="004F6DA7"/>
    <w:rsid w:val="004F6F9B"/>
    <w:rsid w:val="004F71EF"/>
    <w:rsid w:val="004F728D"/>
    <w:rsid w:val="004F73B5"/>
    <w:rsid w:val="004F7694"/>
    <w:rsid w:val="004F7770"/>
    <w:rsid w:val="004F7800"/>
    <w:rsid w:val="004F789A"/>
    <w:rsid w:val="004F7C6F"/>
    <w:rsid w:val="004F7E39"/>
    <w:rsid w:val="00500514"/>
    <w:rsid w:val="00500956"/>
    <w:rsid w:val="00500A2B"/>
    <w:rsid w:val="00500B04"/>
    <w:rsid w:val="00500CF2"/>
    <w:rsid w:val="00500FB3"/>
    <w:rsid w:val="005010D0"/>
    <w:rsid w:val="00501173"/>
    <w:rsid w:val="0050117A"/>
    <w:rsid w:val="00501252"/>
    <w:rsid w:val="00501638"/>
    <w:rsid w:val="005017A7"/>
    <w:rsid w:val="00501853"/>
    <w:rsid w:val="0050197D"/>
    <w:rsid w:val="00501B91"/>
    <w:rsid w:val="00501CD9"/>
    <w:rsid w:val="00501FF0"/>
    <w:rsid w:val="00502080"/>
    <w:rsid w:val="005028B6"/>
    <w:rsid w:val="005029F0"/>
    <w:rsid w:val="00503001"/>
    <w:rsid w:val="005030B9"/>
    <w:rsid w:val="00503C0B"/>
    <w:rsid w:val="00503D4F"/>
    <w:rsid w:val="005043A9"/>
    <w:rsid w:val="005043BB"/>
    <w:rsid w:val="00504CB1"/>
    <w:rsid w:val="005050AE"/>
    <w:rsid w:val="005058C8"/>
    <w:rsid w:val="00505934"/>
    <w:rsid w:val="005059B6"/>
    <w:rsid w:val="00505B98"/>
    <w:rsid w:val="00505E34"/>
    <w:rsid w:val="005067B9"/>
    <w:rsid w:val="00506B29"/>
    <w:rsid w:val="00506CFD"/>
    <w:rsid w:val="00506D06"/>
    <w:rsid w:val="00506E15"/>
    <w:rsid w:val="005071E8"/>
    <w:rsid w:val="00507237"/>
    <w:rsid w:val="005074B5"/>
    <w:rsid w:val="00507CD2"/>
    <w:rsid w:val="005100A7"/>
    <w:rsid w:val="00510120"/>
    <w:rsid w:val="005103DA"/>
    <w:rsid w:val="0051075E"/>
    <w:rsid w:val="00510897"/>
    <w:rsid w:val="005108C2"/>
    <w:rsid w:val="00510FFE"/>
    <w:rsid w:val="00511AA3"/>
    <w:rsid w:val="00511D6C"/>
    <w:rsid w:val="00511DFB"/>
    <w:rsid w:val="00511F86"/>
    <w:rsid w:val="005123A8"/>
    <w:rsid w:val="0051269B"/>
    <w:rsid w:val="0051272D"/>
    <w:rsid w:val="00512732"/>
    <w:rsid w:val="005127A6"/>
    <w:rsid w:val="005129BF"/>
    <w:rsid w:val="00512D07"/>
    <w:rsid w:val="00512DB2"/>
    <w:rsid w:val="00512DC9"/>
    <w:rsid w:val="00512ECC"/>
    <w:rsid w:val="00512F21"/>
    <w:rsid w:val="00513116"/>
    <w:rsid w:val="005134E0"/>
    <w:rsid w:val="00513A6B"/>
    <w:rsid w:val="00513E6B"/>
    <w:rsid w:val="005147D6"/>
    <w:rsid w:val="00514BC2"/>
    <w:rsid w:val="00514C6D"/>
    <w:rsid w:val="00514F82"/>
    <w:rsid w:val="0051504A"/>
    <w:rsid w:val="0051542D"/>
    <w:rsid w:val="005155A5"/>
    <w:rsid w:val="00515623"/>
    <w:rsid w:val="005157EB"/>
    <w:rsid w:val="0051581F"/>
    <w:rsid w:val="00515B2D"/>
    <w:rsid w:val="00515B8B"/>
    <w:rsid w:val="00515D5A"/>
    <w:rsid w:val="00515ECB"/>
    <w:rsid w:val="0051631A"/>
    <w:rsid w:val="005164FD"/>
    <w:rsid w:val="00516813"/>
    <w:rsid w:val="005169E9"/>
    <w:rsid w:val="00516BB8"/>
    <w:rsid w:val="00516E46"/>
    <w:rsid w:val="00516E76"/>
    <w:rsid w:val="00516EFF"/>
    <w:rsid w:val="00516F15"/>
    <w:rsid w:val="00517375"/>
    <w:rsid w:val="00517E2A"/>
    <w:rsid w:val="005202EB"/>
    <w:rsid w:val="0052032C"/>
    <w:rsid w:val="005206CD"/>
    <w:rsid w:val="00520DB2"/>
    <w:rsid w:val="005210ED"/>
    <w:rsid w:val="00521395"/>
    <w:rsid w:val="005214E3"/>
    <w:rsid w:val="00521F69"/>
    <w:rsid w:val="005220B3"/>
    <w:rsid w:val="005221D5"/>
    <w:rsid w:val="00522388"/>
    <w:rsid w:val="005229DD"/>
    <w:rsid w:val="00522B18"/>
    <w:rsid w:val="00522C65"/>
    <w:rsid w:val="00522D02"/>
    <w:rsid w:val="00522EC5"/>
    <w:rsid w:val="0052314A"/>
    <w:rsid w:val="00523ADB"/>
    <w:rsid w:val="00523AE5"/>
    <w:rsid w:val="00523B2B"/>
    <w:rsid w:val="00523B9F"/>
    <w:rsid w:val="00523D87"/>
    <w:rsid w:val="00523DE8"/>
    <w:rsid w:val="00524134"/>
    <w:rsid w:val="0052415A"/>
    <w:rsid w:val="005241FF"/>
    <w:rsid w:val="00524285"/>
    <w:rsid w:val="0052480C"/>
    <w:rsid w:val="005249B7"/>
    <w:rsid w:val="00524C39"/>
    <w:rsid w:val="00524E27"/>
    <w:rsid w:val="00524FC9"/>
    <w:rsid w:val="005251F0"/>
    <w:rsid w:val="00525422"/>
    <w:rsid w:val="00525974"/>
    <w:rsid w:val="00525BA9"/>
    <w:rsid w:val="00525CAC"/>
    <w:rsid w:val="00526016"/>
    <w:rsid w:val="00526184"/>
    <w:rsid w:val="005261F6"/>
    <w:rsid w:val="005265A5"/>
    <w:rsid w:val="00526941"/>
    <w:rsid w:val="00526C15"/>
    <w:rsid w:val="005275EA"/>
    <w:rsid w:val="00527A35"/>
    <w:rsid w:val="00527ED0"/>
    <w:rsid w:val="00530093"/>
    <w:rsid w:val="00530184"/>
    <w:rsid w:val="00530327"/>
    <w:rsid w:val="005303A3"/>
    <w:rsid w:val="0053053E"/>
    <w:rsid w:val="00530D2A"/>
    <w:rsid w:val="00530D8A"/>
    <w:rsid w:val="00530DE8"/>
    <w:rsid w:val="005317AA"/>
    <w:rsid w:val="00531DC1"/>
    <w:rsid w:val="00531E88"/>
    <w:rsid w:val="005322B6"/>
    <w:rsid w:val="00532696"/>
    <w:rsid w:val="00532938"/>
    <w:rsid w:val="00532ABD"/>
    <w:rsid w:val="00532B06"/>
    <w:rsid w:val="00532C2F"/>
    <w:rsid w:val="00532CAC"/>
    <w:rsid w:val="0053305A"/>
    <w:rsid w:val="00533182"/>
    <w:rsid w:val="00533246"/>
    <w:rsid w:val="00533274"/>
    <w:rsid w:val="00533498"/>
    <w:rsid w:val="005334D6"/>
    <w:rsid w:val="00533669"/>
    <w:rsid w:val="005338AC"/>
    <w:rsid w:val="00533CB3"/>
    <w:rsid w:val="00533F14"/>
    <w:rsid w:val="00534024"/>
    <w:rsid w:val="005344E4"/>
    <w:rsid w:val="0053472B"/>
    <w:rsid w:val="00534DBB"/>
    <w:rsid w:val="00535153"/>
    <w:rsid w:val="005352A9"/>
    <w:rsid w:val="00535369"/>
    <w:rsid w:val="00535403"/>
    <w:rsid w:val="0053545B"/>
    <w:rsid w:val="005355BB"/>
    <w:rsid w:val="005355BE"/>
    <w:rsid w:val="005355D7"/>
    <w:rsid w:val="005359FC"/>
    <w:rsid w:val="00535ACD"/>
    <w:rsid w:val="00535B3F"/>
    <w:rsid w:val="00535E39"/>
    <w:rsid w:val="005361C8"/>
    <w:rsid w:val="0053651E"/>
    <w:rsid w:val="00536731"/>
    <w:rsid w:val="0053696F"/>
    <w:rsid w:val="00536A24"/>
    <w:rsid w:val="00536A4D"/>
    <w:rsid w:val="00536AC2"/>
    <w:rsid w:val="00537676"/>
    <w:rsid w:val="0053776C"/>
    <w:rsid w:val="00537EE8"/>
    <w:rsid w:val="0054010A"/>
    <w:rsid w:val="00540162"/>
    <w:rsid w:val="00540238"/>
    <w:rsid w:val="005408BD"/>
    <w:rsid w:val="00540C4C"/>
    <w:rsid w:val="00540F99"/>
    <w:rsid w:val="00541183"/>
    <w:rsid w:val="00541307"/>
    <w:rsid w:val="005414BF"/>
    <w:rsid w:val="00541540"/>
    <w:rsid w:val="00541669"/>
    <w:rsid w:val="00541932"/>
    <w:rsid w:val="005419F0"/>
    <w:rsid w:val="00541BBC"/>
    <w:rsid w:val="00541EBC"/>
    <w:rsid w:val="00541EF1"/>
    <w:rsid w:val="0054244B"/>
    <w:rsid w:val="00542772"/>
    <w:rsid w:val="00542B69"/>
    <w:rsid w:val="00543105"/>
    <w:rsid w:val="00543213"/>
    <w:rsid w:val="005432E2"/>
    <w:rsid w:val="00543699"/>
    <w:rsid w:val="00543BE5"/>
    <w:rsid w:val="00543CF3"/>
    <w:rsid w:val="00543E48"/>
    <w:rsid w:val="00543F05"/>
    <w:rsid w:val="0054419F"/>
    <w:rsid w:val="005443D9"/>
    <w:rsid w:val="005446E4"/>
    <w:rsid w:val="00544DDD"/>
    <w:rsid w:val="00544E53"/>
    <w:rsid w:val="00544ECC"/>
    <w:rsid w:val="00544F21"/>
    <w:rsid w:val="005454A6"/>
    <w:rsid w:val="005455AA"/>
    <w:rsid w:val="005456E2"/>
    <w:rsid w:val="00545702"/>
    <w:rsid w:val="00545B47"/>
    <w:rsid w:val="00545BA8"/>
    <w:rsid w:val="00545BB2"/>
    <w:rsid w:val="00545E19"/>
    <w:rsid w:val="005462A8"/>
    <w:rsid w:val="00546393"/>
    <w:rsid w:val="00546581"/>
    <w:rsid w:val="0054696D"/>
    <w:rsid w:val="00546ADF"/>
    <w:rsid w:val="00546E44"/>
    <w:rsid w:val="00546F8D"/>
    <w:rsid w:val="0054702C"/>
    <w:rsid w:val="00547077"/>
    <w:rsid w:val="0054707B"/>
    <w:rsid w:val="00547297"/>
    <w:rsid w:val="00550262"/>
    <w:rsid w:val="005507DC"/>
    <w:rsid w:val="00550865"/>
    <w:rsid w:val="00550CCF"/>
    <w:rsid w:val="00550FEE"/>
    <w:rsid w:val="00551141"/>
    <w:rsid w:val="005511CE"/>
    <w:rsid w:val="005512B5"/>
    <w:rsid w:val="00551EF3"/>
    <w:rsid w:val="0055243E"/>
    <w:rsid w:val="0055263B"/>
    <w:rsid w:val="0055274B"/>
    <w:rsid w:val="00552896"/>
    <w:rsid w:val="005528AF"/>
    <w:rsid w:val="00552937"/>
    <w:rsid w:val="00552D37"/>
    <w:rsid w:val="00552DA3"/>
    <w:rsid w:val="00553360"/>
    <w:rsid w:val="00553720"/>
    <w:rsid w:val="00553737"/>
    <w:rsid w:val="00553865"/>
    <w:rsid w:val="00553C4A"/>
    <w:rsid w:val="00553DEE"/>
    <w:rsid w:val="00553E50"/>
    <w:rsid w:val="005541C4"/>
    <w:rsid w:val="0055487A"/>
    <w:rsid w:val="00555278"/>
    <w:rsid w:val="005553CE"/>
    <w:rsid w:val="0055548B"/>
    <w:rsid w:val="00556138"/>
    <w:rsid w:val="005563D0"/>
    <w:rsid w:val="00556777"/>
    <w:rsid w:val="00556D86"/>
    <w:rsid w:val="00556E9F"/>
    <w:rsid w:val="00556ED6"/>
    <w:rsid w:val="0055750B"/>
    <w:rsid w:val="00557CBE"/>
    <w:rsid w:val="00557E96"/>
    <w:rsid w:val="005600EE"/>
    <w:rsid w:val="0056015E"/>
    <w:rsid w:val="005601B3"/>
    <w:rsid w:val="00560847"/>
    <w:rsid w:val="00560B3F"/>
    <w:rsid w:val="00560C5B"/>
    <w:rsid w:val="00560D94"/>
    <w:rsid w:val="00560E8C"/>
    <w:rsid w:val="00561309"/>
    <w:rsid w:val="0056168B"/>
    <w:rsid w:val="0056198D"/>
    <w:rsid w:val="00561A2A"/>
    <w:rsid w:val="00561A8C"/>
    <w:rsid w:val="00561B3F"/>
    <w:rsid w:val="00561BEC"/>
    <w:rsid w:val="00561CA8"/>
    <w:rsid w:val="00561D03"/>
    <w:rsid w:val="00561E33"/>
    <w:rsid w:val="00561FBA"/>
    <w:rsid w:val="00562109"/>
    <w:rsid w:val="00562796"/>
    <w:rsid w:val="00562F53"/>
    <w:rsid w:val="0056376D"/>
    <w:rsid w:val="00563A43"/>
    <w:rsid w:val="00563A9D"/>
    <w:rsid w:val="00563FB3"/>
    <w:rsid w:val="0056404D"/>
    <w:rsid w:val="005641B9"/>
    <w:rsid w:val="005642B6"/>
    <w:rsid w:val="00564411"/>
    <w:rsid w:val="00564439"/>
    <w:rsid w:val="005644B4"/>
    <w:rsid w:val="00564715"/>
    <w:rsid w:val="005647DD"/>
    <w:rsid w:val="005648B7"/>
    <w:rsid w:val="00564E44"/>
    <w:rsid w:val="00564FF2"/>
    <w:rsid w:val="0056519B"/>
    <w:rsid w:val="005652E6"/>
    <w:rsid w:val="005657A5"/>
    <w:rsid w:val="00565BEE"/>
    <w:rsid w:val="00565D3F"/>
    <w:rsid w:val="00566075"/>
    <w:rsid w:val="005660C3"/>
    <w:rsid w:val="0056622E"/>
    <w:rsid w:val="005667A1"/>
    <w:rsid w:val="00566A12"/>
    <w:rsid w:val="00566BF0"/>
    <w:rsid w:val="00566DCE"/>
    <w:rsid w:val="00567332"/>
    <w:rsid w:val="00567515"/>
    <w:rsid w:val="0056754F"/>
    <w:rsid w:val="005679DD"/>
    <w:rsid w:val="00567A78"/>
    <w:rsid w:val="00567C0A"/>
    <w:rsid w:val="00567CFB"/>
    <w:rsid w:val="00567D80"/>
    <w:rsid w:val="00567DF3"/>
    <w:rsid w:val="00567ED8"/>
    <w:rsid w:val="0057045A"/>
    <w:rsid w:val="005706B6"/>
    <w:rsid w:val="00570774"/>
    <w:rsid w:val="005708BC"/>
    <w:rsid w:val="00570961"/>
    <w:rsid w:val="00570CE7"/>
    <w:rsid w:val="00570F7C"/>
    <w:rsid w:val="00571157"/>
    <w:rsid w:val="005712E7"/>
    <w:rsid w:val="005713A9"/>
    <w:rsid w:val="0057143F"/>
    <w:rsid w:val="00571816"/>
    <w:rsid w:val="00571973"/>
    <w:rsid w:val="00572283"/>
    <w:rsid w:val="0057256C"/>
    <w:rsid w:val="00572576"/>
    <w:rsid w:val="0057276D"/>
    <w:rsid w:val="005729B8"/>
    <w:rsid w:val="00572DAB"/>
    <w:rsid w:val="0057315F"/>
    <w:rsid w:val="005731F1"/>
    <w:rsid w:val="00573344"/>
    <w:rsid w:val="0057336D"/>
    <w:rsid w:val="00573A35"/>
    <w:rsid w:val="0057414A"/>
    <w:rsid w:val="00574905"/>
    <w:rsid w:val="00574E34"/>
    <w:rsid w:val="005756AA"/>
    <w:rsid w:val="00575CB5"/>
    <w:rsid w:val="00576037"/>
    <w:rsid w:val="005761F1"/>
    <w:rsid w:val="0057625D"/>
    <w:rsid w:val="0057659B"/>
    <w:rsid w:val="00576659"/>
    <w:rsid w:val="0057678C"/>
    <w:rsid w:val="005767AD"/>
    <w:rsid w:val="00576DC2"/>
    <w:rsid w:val="00576E02"/>
    <w:rsid w:val="00576E5D"/>
    <w:rsid w:val="00576E7F"/>
    <w:rsid w:val="0057714D"/>
    <w:rsid w:val="005771E3"/>
    <w:rsid w:val="005773C5"/>
    <w:rsid w:val="00577800"/>
    <w:rsid w:val="00577AF2"/>
    <w:rsid w:val="00577B43"/>
    <w:rsid w:val="00577E48"/>
    <w:rsid w:val="00577F5D"/>
    <w:rsid w:val="005807D4"/>
    <w:rsid w:val="00580DFF"/>
    <w:rsid w:val="00580EB2"/>
    <w:rsid w:val="005813DF"/>
    <w:rsid w:val="00581533"/>
    <w:rsid w:val="0058162D"/>
    <w:rsid w:val="005817AD"/>
    <w:rsid w:val="00581CFF"/>
    <w:rsid w:val="00581E94"/>
    <w:rsid w:val="0058287E"/>
    <w:rsid w:val="0058299C"/>
    <w:rsid w:val="00582A0F"/>
    <w:rsid w:val="00582C20"/>
    <w:rsid w:val="00582C8A"/>
    <w:rsid w:val="00583146"/>
    <w:rsid w:val="005831FF"/>
    <w:rsid w:val="0058320C"/>
    <w:rsid w:val="00583551"/>
    <w:rsid w:val="005835B2"/>
    <w:rsid w:val="00583A0C"/>
    <w:rsid w:val="00583FCE"/>
    <w:rsid w:val="00584335"/>
    <w:rsid w:val="00584695"/>
    <w:rsid w:val="00584999"/>
    <w:rsid w:val="00584EF3"/>
    <w:rsid w:val="00584F45"/>
    <w:rsid w:val="00585283"/>
    <w:rsid w:val="0058552E"/>
    <w:rsid w:val="00585674"/>
    <w:rsid w:val="00585A87"/>
    <w:rsid w:val="00585ABA"/>
    <w:rsid w:val="00585B68"/>
    <w:rsid w:val="00585BDF"/>
    <w:rsid w:val="00586080"/>
    <w:rsid w:val="005861ED"/>
    <w:rsid w:val="005862C7"/>
    <w:rsid w:val="0058684A"/>
    <w:rsid w:val="00586BA9"/>
    <w:rsid w:val="00586D0B"/>
    <w:rsid w:val="00586FEC"/>
    <w:rsid w:val="0058719B"/>
    <w:rsid w:val="005871E9"/>
    <w:rsid w:val="005874D0"/>
    <w:rsid w:val="00587788"/>
    <w:rsid w:val="00587B9F"/>
    <w:rsid w:val="005903ED"/>
    <w:rsid w:val="005906D3"/>
    <w:rsid w:val="00590843"/>
    <w:rsid w:val="005909C5"/>
    <w:rsid w:val="00590EE5"/>
    <w:rsid w:val="0059104A"/>
    <w:rsid w:val="00591101"/>
    <w:rsid w:val="005913C6"/>
    <w:rsid w:val="0059166B"/>
    <w:rsid w:val="0059166F"/>
    <w:rsid w:val="005917C7"/>
    <w:rsid w:val="00591A2D"/>
    <w:rsid w:val="00592033"/>
    <w:rsid w:val="005920B1"/>
    <w:rsid w:val="00592570"/>
    <w:rsid w:val="005925B0"/>
    <w:rsid w:val="00592719"/>
    <w:rsid w:val="00592836"/>
    <w:rsid w:val="005929B1"/>
    <w:rsid w:val="00592B61"/>
    <w:rsid w:val="00592D15"/>
    <w:rsid w:val="00592E4B"/>
    <w:rsid w:val="00592F40"/>
    <w:rsid w:val="0059320D"/>
    <w:rsid w:val="005938AC"/>
    <w:rsid w:val="00593B0A"/>
    <w:rsid w:val="00593ED3"/>
    <w:rsid w:val="00593FD6"/>
    <w:rsid w:val="00594399"/>
    <w:rsid w:val="00594496"/>
    <w:rsid w:val="00594A0F"/>
    <w:rsid w:val="00594C18"/>
    <w:rsid w:val="00594DA4"/>
    <w:rsid w:val="00594DEF"/>
    <w:rsid w:val="0059519A"/>
    <w:rsid w:val="005952C0"/>
    <w:rsid w:val="00595525"/>
    <w:rsid w:val="0059555A"/>
    <w:rsid w:val="005958B5"/>
    <w:rsid w:val="00595B2C"/>
    <w:rsid w:val="00595BC0"/>
    <w:rsid w:val="005962D3"/>
    <w:rsid w:val="005965E4"/>
    <w:rsid w:val="00596821"/>
    <w:rsid w:val="00596C42"/>
    <w:rsid w:val="00596CBD"/>
    <w:rsid w:val="0059705F"/>
    <w:rsid w:val="00597226"/>
    <w:rsid w:val="00597411"/>
    <w:rsid w:val="005976A4"/>
    <w:rsid w:val="005977A6"/>
    <w:rsid w:val="00597867"/>
    <w:rsid w:val="00597A80"/>
    <w:rsid w:val="00597D9A"/>
    <w:rsid w:val="00597E23"/>
    <w:rsid w:val="005A01A0"/>
    <w:rsid w:val="005A020D"/>
    <w:rsid w:val="005A02EB"/>
    <w:rsid w:val="005A03AB"/>
    <w:rsid w:val="005A09A8"/>
    <w:rsid w:val="005A0F81"/>
    <w:rsid w:val="005A11D8"/>
    <w:rsid w:val="005A1327"/>
    <w:rsid w:val="005A162E"/>
    <w:rsid w:val="005A1968"/>
    <w:rsid w:val="005A1B63"/>
    <w:rsid w:val="005A1F0E"/>
    <w:rsid w:val="005A2099"/>
    <w:rsid w:val="005A21FB"/>
    <w:rsid w:val="005A25C2"/>
    <w:rsid w:val="005A2AE8"/>
    <w:rsid w:val="005A2C61"/>
    <w:rsid w:val="005A2DFA"/>
    <w:rsid w:val="005A3016"/>
    <w:rsid w:val="005A301A"/>
    <w:rsid w:val="005A3081"/>
    <w:rsid w:val="005A329F"/>
    <w:rsid w:val="005A3955"/>
    <w:rsid w:val="005A3A80"/>
    <w:rsid w:val="005A3AF1"/>
    <w:rsid w:val="005A3F25"/>
    <w:rsid w:val="005A4150"/>
    <w:rsid w:val="005A4151"/>
    <w:rsid w:val="005A42B7"/>
    <w:rsid w:val="005A42EC"/>
    <w:rsid w:val="005A4F09"/>
    <w:rsid w:val="005A4F5F"/>
    <w:rsid w:val="005A58A9"/>
    <w:rsid w:val="005A58F4"/>
    <w:rsid w:val="005A5A81"/>
    <w:rsid w:val="005A5C40"/>
    <w:rsid w:val="005A5CC8"/>
    <w:rsid w:val="005A5FAC"/>
    <w:rsid w:val="005A653D"/>
    <w:rsid w:val="005A664A"/>
    <w:rsid w:val="005A665B"/>
    <w:rsid w:val="005A66EB"/>
    <w:rsid w:val="005A6783"/>
    <w:rsid w:val="005A678C"/>
    <w:rsid w:val="005A683B"/>
    <w:rsid w:val="005A69D0"/>
    <w:rsid w:val="005A6A83"/>
    <w:rsid w:val="005A6E47"/>
    <w:rsid w:val="005A6FE6"/>
    <w:rsid w:val="005A709E"/>
    <w:rsid w:val="005A7866"/>
    <w:rsid w:val="005B0144"/>
    <w:rsid w:val="005B0602"/>
    <w:rsid w:val="005B06F0"/>
    <w:rsid w:val="005B0820"/>
    <w:rsid w:val="005B0F75"/>
    <w:rsid w:val="005B1B64"/>
    <w:rsid w:val="005B2078"/>
    <w:rsid w:val="005B23D9"/>
    <w:rsid w:val="005B2519"/>
    <w:rsid w:val="005B2531"/>
    <w:rsid w:val="005B2A7E"/>
    <w:rsid w:val="005B2C63"/>
    <w:rsid w:val="005B2E32"/>
    <w:rsid w:val="005B32AA"/>
    <w:rsid w:val="005B3471"/>
    <w:rsid w:val="005B36F1"/>
    <w:rsid w:val="005B38F4"/>
    <w:rsid w:val="005B3909"/>
    <w:rsid w:val="005B3D4A"/>
    <w:rsid w:val="005B3F9F"/>
    <w:rsid w:val="005B4062"/>
    <w:rsid w:val="005B433E"/>
    <w:rsid w:val="005B4A8B"/>
    <w:rsid w:val="005B4FD7"/>
    <w:rsid w:val="005B5783"/>
    <w:rsid w:val="005B57CF"/>
    <w:rsid w:val="005B5AF4"/>
    <w:rsid w:val="005B5BFF"/>
    <w:rsid w:val="005B5D4B"/>
    <w:rsid w:val="005B68EC"/>
    <w:rsid w:val="005B6CCB"/>
    <w:rsid w:val="005B6CD9"/>
    <w:rsid w:val="005B6EC6"/>
    <w:rsid w:val="005B716B"/>
    <w:rsid w:val="005B73D4"/>
    <w:rsid w:val="005B7A65"/>
    <w:rsid w:val="005B7A77"/>
    <w:rsid w:val="005B7B0F"/>
    <w:rsid w:val="005B7CE0"/>
    <w:rsid w:val="005B7FF9"/>
    <w:rsid w:val="005C00BB"/>
    <w:rsid w:val="005C041A"/>
    <w:rsid w:val="005C0755"/>
    <w:rsid w:val="005C07AB"/>
    <w:rsid w:val="005C081F"/>
    <w:rsid w:val="005C08F0"/>
    <w:rsid w:val="005C0A76"/>
    <w:rsid w:val="005C0AA5"/>
    <w:rsid w:val="005C0BA3"/>
    <w:rsid w:val="005C0BB3"/>
    <w:rsid w:val="005C0F51"/>
    <w:rsid w:val="005C1272"/>
    <w:rsid w:val="005C17AC"/>
    <w:rsid w:val="005C19B8"/>
    <w:rsid w:val="005C1ABB"/>
    <w:rsid w:val="005C1CCD"/>
    <w:rsid w:val="005C1D02"/>
    <w:rsid w:val="005C1D15"/>
    <w:rsid w:val="005C1E27"/>
    <w:rsid w:val="005C21DA"/>
    <w:rsid w:val="005C2356"/>
    <w:rsid w:val="005C253C"/>
    <w:rsid w:val="005C28AC"/>
    <w:rsid w:val="005C28CC"/>
    <w:rsid w:val="005C2A90"/>
    <w:rsid w:val="005C2C8A"/>
    <w:rsid w:val="005C2F0B"/>
    <w:rsid w:val="005C32F3"/>
    <w:rsid w:val="005C3401"/>
    <w:rsid w:val="005C389A"/>
    <w:rsid w:val="005C3ABD"/>
    <w:rsid w:val="005C3C4F"/>
    <w:rsid w:val="005C3D4C"/>
    <w:rsid w:val="005C419F"/>
    <w:rsid w:val="005C42DD"/>
    <w:rsid w:val="005C4445"/>
    <w:rsid w:val="005C46C8"/>
    <w:rsid w:val="005C4EDF"/>
    <w:rsid w:val="005C501C"/>
    <w:rsid w:val="005C54A3"/>
    <w:rsid w:val="005C55BF"/>
    <w:rsid w:val="005C55EB"/>
    <w:rsid w:val="005C5762"/>
    <w:rsid w:val="005C5A6D"/>
    <w:rsid w:val="005C5AB4"/>
    <w:rsid w:val="005C612D"/>
    <w:rsid w:val="005C6925"/>
    <w:rsid w:val="005C6CC8"/>
    <w:rsid w:val="005C703B"/>
    <w:rsid w:val="005C7197"/>
    <w:rsid w:val="005C729F"/>
    <w:rsid w:val="005C757A"/>
    <w:rsid w:val="005C780D"/>
    <w:rsid w:val="005C785F"/>
    <w:rsid w:val="005C7C16"/>
    <w:rsid w:val="005C7EF2"/>
    <w:rsid w:val="005C7FEC"/>
    <w:rsid w:val="005D0177"/>
    <w:rsid w:val="005D0199"/>
    <w:rsid w:val="005D0734"/>
    <w:rsid w:val="005D0A5A"/>
    <w:rsid w:val="005D0D96"/>
    <w:rsid w:val="005D0E06"/>
    <w:rsid w:val="005D112E"/>
    <w:rsid w:val="005D114C"/>
    <w:rsid w:val="005D12C6"/>
    <w:rsid w:val="005D15BB"/>
    <w:rsid w:val="005D2019"/>
    <w:rsid w:val="005D23FE"/>
    <w:rsid w:val="005D24A0"/>
    <w:rsid w:val="005D2791"/>
    <w:rsid w:val="005D29B1"/>
    <w:rsid w:val="005D2B86"/>
    <w:rsid w:val="005D301F"/>
    <w:rsid w:val="005D3528"/>
    <w:rsid w:val="005D3D08"/>
    <w:rsid w:val="005D3D20"/>
    <w:rsid w:val="005D3DCA"/>
    <w:rsid w:val="005D3ED6"/>
    <w:rsid w:val="005D3FD9"/>
    <w:rsid w:val="005D40FB"/>
    <w:rsid w:val="005D41F5"/>
    <w:rsid w:val="005D4206"/>
    <w:rsid w:val="005D44BA"/>
    <w:rsid w:val="005D46DB"/>
    <w:rsid w:val="005D479A"/>
    <w:rsid w:val="005D4897"/>
    <w:rsid w:val="005D4C99"/>
    <w:rsid w:val="005D4DFB"/>
    <w:rsid w:val="005D4FD7"/>
    <w:rsid w:val="005D5023"/>
    <w:rsid w:val="005D54CB"/>
    <w:rsid w:val="005D5595"/>
    <w:rsid w:val="005D56F8"/>
    <w:rsid w:val="005D5A3A"/>
    <w:rsid w:val="005D5C83"/>
    <w:rsid w:val="005D60BC"/>
    <w:rsid w:val="005D6346"/>
    <w:rsid w:val="005D657B"/>
    <w:rsid w:val="005D6668"/>
    <w:rsid w:val="005D681C"/>
    <w:rsid w:val="005D696E"/>
    <w:rsid w:val="005D6BB5"/>
    <w:rsid w:val="005D7329"/>
    <w:rsid w:val="005D7423"/>
    <w:rsid w:val="005D764A"/>
    <w:rsid w:val="005D7886"/>
    <w:rsid w:val="005D7B52"/>
    <w:rsid w:val="005D7FF4"/>
    <w:rsid w:val="005E0094"/>
    <w:rsid w:val="005E02FF"/>
    <w:rsid w:val="005E04A2"/>
    <w:rsid w:val="005E06BD"/>
    <w:rsid w:val="005E077C"/>
    <w:rsid w:val="005E0AC3"/>
    <w:rsid w:val="005E0AE3"/>
    <w:rsid w:val="005E0C9A"/>
    <w:rsid w:val="005E1109"/>
    <w:rsid w:val="005E124C"/>
    <w:rsid w:val="005E15D5"/>
    <w:rsid w:val="005E1638"/>
    <w:rsid w:val="005E1836"/>
    <w:rsid w:val="005E1B3A"/>
    <w:rsid w:val="005E1C41"/>
    <w:rsid w:val="005E1D12"/>
    <w:rsid w:val="005E1DD4"/>
    <w:rsid w:val="005E1EC5"/>
    <w:rsid w:val="005E206A"/>
    <w:rsid w:val="005E2258"/>
    <w:rsid w:val="005E26F6"/>
    <w:rsid w:val="005E2A07"/>
    <w:rsid w:val="005E2AD1"/>
    <w:rsid w:val="005E2B3E"/>
    <w:rsid w:val="005E2CBB"/>
    <w:rsid w:val="005E2F8B"/>
    <w:rsid w:val="005E3118"/>
    <w:rsid w:val="005E323D"/>
    <w:rsid w:val="005E33B4"/>
    <w:rsid w:val="005E3400"/>
    <w:rsid w:val="005E3C94"/>
    <w:rsid w:val="005E3D1F"/>
    <w:rsid w:val="005E3DF9"/>
    <w:rsid w:val="005E3EC5"/>
    <w:rsid w:val="005E400A"/>
    <w:rsid w:val="005E4010"/>
    <w:rsid w:val="005E489B"/>
    <w:rsid w:val="005E4B7F"/>
    <w:rsid w:val="005E4E7D"/>
    <w:rsid w:val="005E4F5E"/>
    <w:rsid w:val="005E509F"/>
    <w:rsid w:val="005E546E"/>
    <w:rsid w:val="005E5B46"/>
    <w:rsid w:val="005E5DEC"/>
    <w:rsid w:val="005E6044"/>
    <w:rsid w:val="005E6120"/>
    <w:rsid w:val="005E6188"/>
    <w:rsid w:val="005E6471"/>
    <w:rsid w:val="005E6654"/>
    <w:rsid w:val="005E6B54"/>
    <w:rsid w:val="005E6F28"/>
    <w:rsid w:val="005E70EC"/>
    <w:rsid w:val="005E771E"/>
    <w:rsid w:val="005F01F2"/>
    <w:rsid w:val="005F0421"/>
    <w:rsid w:val="005F05FB"/>
    <w:rsid w:val="005F06CE"/>
    <w:rsid w:val="005F0E49"/>
    <w:rsid w:val="005F0EEF"/>
    <w:rsid w:val="005F1231"/>
    <w:rsid w:val="005F166E"/>
    <w:rsid w:val="005F19DD"/>
    <w:rsid w:val="005F1B11"/>
    <w:rsid w:val="005F1ED0"/>
    <w:rsid w:val="005F1FD0"/>
    <w:rsid w:val="005F23E2"/>
    <w:rsid w:val="005F2489"/>
    <w:rsid w:val="005F297C"/>
    <w:rsid w:val="005F2DFD"/>
    <w:rsid w:val="005F2EE7"/>
    <w:rsid w:val="005F3048"/>
    <w:rsid w:val="005F30CD"/>
    <w:rsid w:val="005F31CA"/>
    <w:rsid w:val="005F3487"/>
    <w:rsid w:val="005F3600"/>
    <w:rsid w:val="005F3889"/>
    <w:rsid w:val="005F3A4D"/>
    <w:rsid w:val="005F3E2B"/>
    <w:rsid w:val="005F4135"/>
    <w:rsid w:val="005F4141"/>
    <w:rsid w:val="005F44B7"/>
    <w:rsid w:val="005F4629"/>
    <w:rsid w:val="005F49C1"/>
    <w:rsid w:val="005F4CA3"/>
    <w:rsid w:val="005F4DB3"/>
    <w:rsid w:val="005F4F6C"/>
    <w:rsid w:val="005F504B"/>
    <w:rsid w:val="005F50EB"/>
    <w:rsid w:val="005F5279"/>
    <w:rsid w:val="005F569A"/>
    <w:rsid w:val="005F5E16"/>
    <w:rsid w:val="005F618D"/>
    <w:rsid w:val="005F6214"/>
    <w:rsid w:val="005F63A0"/>
    <w:rsid w:val="005F6541"/>
    <w:rsid w:val="005F694A"/>
    <w:rsid w:val="005F6DD5"/>
    <w:rsid w:val="005F6DE4"/>
    <w:rsid w:val="005F6FFD"/>
    <w:rsid w:val="005F7697"/>
    <w:rsid w:val="005F77A0"/>
    <w:rsid w:val="005F7DBC"/>
    <w:rsid w:val="005F7DCF"/>
    <w:rsid w:val="0060032B"/>
    <w:rsid w:val="0060043F"/>
    <w:rsid w:val="0060095C"/>
    <w:rsid w:val="00600986"/>
    <w:rsid w:val="0060098D"/>
    <w:rsid w:val="00600C6B"/>
    <w:rsid w:val="00600DA8"/>
    <w:rsid w:val="00600F3E"/>
    <w:rsid w:val="00600FBF"/>
    <w:rsid w:val="00601181"/>
    <w:rsid w:val="006015ED"/>
    <w:rsid w:val="00601649"/>
    <w:rsid w:val="006016FD"/>
    <w:rsid w:val="0060170F"/>
    <w:rsid w:val="00601A18"/>
    <w:rsid w:val="00601E68"/>
    <w:rsid w:val="006022F1"/>
    <w:rsid w:val="00602395"/>
    <w:rsid w:val="00602564"/>
    <w:rsid w:val="006028EB"/>
    <w:rsid w:val="006029ED"/>
    <w:rsid w:val="00602C81"/>
    <w:rsid w:val="00603037"/>
    <w:rsid w:val="006032DE"/>
    <w:rsid w:val="006034EA"/>
    <w:rsid w:val="00603BD3"/>
    <w:rsid w:val="0060444B"/>
    <w:rsid w:val="0060467E"/>
    <w:rsid w:val="006046E8"/>
    <w:rsid w:val="006047D0"/>
    <w:rsid w:val="00604B48"/>
    <w:rsid w:val="00604C93"/>
    <w:rsid w:val="006052EB"/>
    <w:rsid w:val="006053DA"/>
    <w:rsid w:val="00605469"/>
    <w:rsid w:val="00605DDF"/>
    <w:rsid w:val="00605F2A"/>
    <w:rsid w:val="00605F34"/>
    <w:rsid w:val="00605F45"/>
    <w:rsid w:val="00606164"/>
    <w:rsid w:val="006065A2"/>
    <w:rsid w:val="006065EF"/>
    <w:rsid w:val="00606772"/>
    <w:rsid w:val="00606A3F"/>
    <w:rsid w:val="00606DD6"/>
    <w:rsid w:val="00606E32"/>
    <w:rsid w:val="00607464"/>
    <w:rsid w:val="0060748B"/>
    <w:rsid w:val="0060749B"/>
    <w:rsid w:val="006074FF"/>
    <w:rsid w:val="006075E4"/>
    <w:rsid w:val="00607646"/>
    <w:rsid w:val="00607B35"/>
    <w:rsid w:val="006101E5"/>
    <w:rsid w:val="0061028B"/>
    <w:rsid w:val="0061030B"/>
    <w:rsid w:val="00610597"/>
    <w:rsid w:val="0061067C"/>
    <w:rsid w:val="006108B5"/>
    <w:rsid w:val="00610C70"/>
    <w:rsid w:val="006110E8"/>
    <w:rsid w:val="0061122C"/>
    <w:rsid w:val="00611404"/>
    <w:rsid w:val="00611406"/>
    <w:rsid w:val="00611561"/>
    <w:rsid w:val="0061166E"/>
    <w:rsid w:val="006118AD"/>
    <w:rsid w:val="006119ED"/>
    <w:rsid w:val="00611B12"/>
    <w:rsid w:val="00611DF3"/>
    <w:rsid w:val="00611E43"/>
    <w:rsid w:val="006123F5"/>
    <w:rsid w:val="00612A17"/>
    <w:rsid w:val="00613315"/>
    <w:rsid w:val="00613470"/>
    <w:rsid w:val="0061392E"/>
    <w:rsid w:val="00613A6C"/>
    <w:rsid w:val="00613ADF"/>
    <w:rsid w:val="00613BF4"/>
    <w:rsid w:val="00613C02"/>
    <w:rsid w:val="00613CE3"/>
    <w:rsid w:val="0061429F"/>
    <w:rsid w:val="006143B3"/>
    <w:rsid w:val="0061441E"/>
    <w:rsid w:val="00614769"/>
    <w:rsid w:val="006147AB"/>
    <w:rsid w:val="006148A9"/>
    <w:rsid w:val="0061500E"/>
    <w:rsid w:val="0061506A"/>
    <w:rsid w:val="00615157"/>
    <w:rsid w:val="00615358"/>
    <w:rsid w:val="00615F26"/>
    <w:rsid w:val="0061626D"/>
    <w:rsid w:val="006164B6"/>
    <w:rsid w:val="006165ED"/>
    <w:rsid w:val="00616865"/>
    <w:rsid w:val="006172E6"/>
    <w:rsid w:val="0061736C"/>
    <w:rsid w:val="006174C6"/>
    <w:rsid w:val="00617791"/>
    <w:rsid w:val="00617E3F"/>
    <w:rsid w:val="00617F51"/>
    <w:rsid w:val="00617F85"/>
    <w:rsid w:val="00617F8A"/>
    <w:rsid w:val="0062022C"/>
    <w:rsid w:val="006202D3"/>
    <w:rsid w:val="00620508"/>
    <w:rsid w:val="0062056D"/>
    <w:rsid w:val="00620719"/>
    <w:rsid w:val="006207E9"/>
    <w:rsid w:val="006208BF"/>
    <w:rsid w:val="00620A4F"/>
    <w:rsid w:val="00620C38"/>
    <w:rsid w:val="00620D7E"/>
    <w:rsid w:val="00621015"/>
    <w:rsid w:val="00621391"/>
    <w:rsid w:val="0062143D"/>
    <w:rsid w:val="00621750"/>
    <w:rsid w:val="00621BF4"/>
    <w:rsid w:val="00621C0C"/>
    <w:rsid w:val="00622170"/>
    <w:rsid w:val="006223CF"/>
    <w:rsid w:val="00622496"/>
    <w:rsid w:val="00622BF9"/>
    <w:rsid w:val="00622F0C"/>
    <w:rsid w:val="0062303A"/>
    <w:rsid w:val="0062315D"/>
    <w:rsid w:val="0062353E"/>
    <w:rsid w:val="00623780"/>
    <w:rsid w:val="006237B5"/>
    <w:rsid w:val="00623BF5"/>
    <w:rsid w:val="00624114"/>
    <w:rsid w:val="0062411C"/>
    <w:rsid w:val="00624270"/>
    <w:rsid w:val="006245C4"/>
    <w:rsid w:val="006246BA"/>
    <w:rsid w:val="00624C42"/>
    <w:rsid w:val="00624EE2"/>
    <w:rsid w:val="00624EEA"/>
    <w:rsid w:val="00625095"/>
    <w:rsid w:val="00625236"/>
    <w:rsid w:val="0062533F"/>
    <w:rsid w:val="0062538F"/>
    <w:rsid w:val="00625AD7"/>
    <w:rsid w:val="00625E05"/>
    <w:rsid w:val="006263D1"/>
    <w:rsid w:val="00626442"/>
    <w:rsid w:val="0062691B"/>
    <w:rsid w:val="00627264"/>
    <w:rsid w:val="00627483"/>
    <w:rsid w:val="0062788A"/>
    <w:rsid w:val="00627A4A"/>
    <w:rsid w:val="00627F87"/>
    <w:rsid w:val="00630043"/>
    <w:rsid w:val="00630045"/>
    <w:rsid w:val="0063059D"/>
    <w:rsid w:val="00630718"/>
    <w:rsid w:val="00631054"/>
    <w:rsid w:val="006312BC"/>
    <w:rsid w:val="006313EB"/>
    <w:rsid w:val="0063140A"/>
    <w:rsid w:val="0063166D"/>
    <w:rsid w:val="0063224B"/>
    <w:rsid w:val="0063242E"/>
    <w:rsid w:val="00633355"/>
    <w:rsid w:val="0063346D"/>
    <w:rsid w:val="006337AA"/>
    <w:rsid w:val="006337F1"/>
    <w:rsid w:val="00633856"/>
    <w:rsid w:val="00633A68"/>
    <w:rsid w:val="006341C7"/>
    <w:rsid w:val="0063438B"/>
    <w:rsid w:val="00634408"/>
    <w:rsid w:val="006344C9"/>
    <w:rsid w:val="00634FCB"/>
    <w:rsid w:val="00635046"/>
    <w:rsid w:val="0063515B"/>
    <w:rsid w:val="0063533D"/>
    <w:rsid w:val="00635384"/>
    <w:rsid w:val="006353EB"/>
    <w:rsid w:val="00635903"/>
    <w:rsid w:val="00635B77"/>
    <w:rsid w:val="00635DBD"/>
    <w:rsid w:val="00635ECF"/>
    <w:rsid w:val="00636464"/>
    <w:rsid w:val="006367CD"/>
    <w:rsid w:val="00636A13"/>
    <w:rsid w:val="00636B99"/>
    <w:rsid w:val="0063707F"/>
    <w:rsid w:val="006376E5"/>
    <w:rsid w:val="0063784D"/>
    <w:rsid w:val="006378B1"/>
    <w:rsid w:val="00637A9C"/>
    <w:rsid w:val="00637E0F"/>
    <w:rsid w:val="00637E3C"/>
    <w:rsid w:val="006402DE"/>
    <w:rsid w:val="00640424"/>
    <w:rsid w:val="00640566"/>
    <w:rsid w:val="00640952"/>
    <w:rsid w:val="0064096A"/>
    <w:rsid w:val="0064097C"/>
    <w:rsid w:val="006409C3"/>
    <w:rsid w:val="00640F5D"/>
    <w:rsid w:val="0064105F"/>
    <w:rsid w:val="006418A0"/>
    <w:rsid w:val="00641AB6"/>
    <w:rsid w:val="00641AD3"/>
    <w:rsid w:val="00641B37"/>
    <w:rsid w:val="00641C6E"/>
    <w:rsid w:val="00641D9B"/>
    <w:rsid w:val="00642040"/>
    <w:rsid w:val="00642106"/>
    <w:rsid w:val="00642672"/>
    <w:rsid w:val="00642891"/>
    <w:rsid w:val="00642A82"/>
    <w:rsid w:val="00642AF8"/>
    <w:rsid w:val="00642C46"/>
    <w:rsid w:val="00642D9C"/>
    <w:rsid w:val="00642E7A"/>
    <w:rsid w:val="0064309F"/>
    <w:rsid w:val="00643379"/>
    <w:rsid w:val="00643579"/>
    <w:rsid w:val="00643670"/>
    <w:rsid w:val="00643F65"/>
    <w:rsid w:val="0064447E"/>
    <w:rsid w:val="00645262"/>
    <w:rsid w:val="006458A6"/>
    <w:rsid w:val="00645BB8"/>
    <w:rsid w:val="00645FD1"/>
    <w:rsid w:val="0064616A"/>
    <w:rsid w:val="00646275"/>
    <w:rsid w:val="0064637D"/>
    <w:rsid w:val="00646B6D"/>
    <w:rsid w:val="00646C78"/>
    <w:rsid w:val="00646D9D"/>
    <w:rsid w:val="00646FD1"/>
    <w:rsid w:val="0064794E"/>
    <w:rsid w:val="0064795F"/>
    <w:rsid w:val="00647C93"/>
    <w:rsid w:val="00650C8A"/>
    <w:rsid w:val="00650F8C"/>
    <w:rsid w:val="006510A2"/>
    <w:rsid w:val="00651219"/>
    <w:rsid w:val="00651271"/>
    <w:rsid w:val="006513EE"/>
    <w:rsid w:val="00651551"/>
    <w:rsid w:val="0065155F"/>
    <w:rsid w:val="006515C9"/>
    <w:rsid w:val="006519D9"/>
    <w:rsid w:val="00651AE9"/>
    <w:rsid w:val="0065211B"/>
    <w:rsid w:val="006521AD"/>
    <w:rsid w:val="00652281"/>
    <w:rsid w:val="00652602"/>
    <w:rsid w:val="00652A07"/>
    <w:rsid w:val="00652AA3"/>
    <w:rsid w:val="00652C98"/>
    <w:rsid w:val="00652D0B"/>
    <w:rsid w:val="00652E35"/>
    <w:rsid w:val="00652E94"/>
    <w:rsid w:val="006531F5"/>
    <w:rsid w:val="00653980"/>
    <w:rsid w:val="00653C84"/>
    <w:rsid w:val="00653D35"/>
    <w:rsid w:val="00653E64"/>
    <w:rsid w:val="00653F8A"/>
    <w:rsid w:val="00653F9A"/>
    <w:rsid w:val="006541C9"/>
    <w:rsid w:val="006545A9"/>
    <w:rsid w:val="00654692"/>
    <w:rsid w:val="00654744"/>
    <w:rsid w:val="00654780"/>
    <w:rsid w:val="0065489F"/>
    <w:rsid w:val="006549F0"/>
    <w:rsid w:val="00654D1F"/>
    <w:rsid w:val="00655186"/>
    <w:rsid w:val="006554F3"/>
    <w:rsid w:val="00655AF9"/>
    <w:rsid w:val="00655BBE"/>
    <w:rsid w:val="00655BF7"/>
    <w:rsid w:val="00655E77"/>
    <w:rsid w:val="00656602"/>
    <w:rsid w:val="00656A42"/>
    <w:rsid w:val="00656CA9"/>
    <w:rsid w:val="00656FB6"/>
    <w:rsid w:val="006570B1"/>
    <w:rsid w:val="006571EB"/>
    <w:rsid w:val="006572BC"/>
    <w:rsid w:val="006576A8"/>
    <w:rsid w:val="00657BC8"/>
    <w:rsid w:val="00657BF4"/>
    <w:rsid w:val="00657E62"/>
    <w:rsid w:val="00657FE4"/>
    <w:rsid w:val="00660089"/>
    <w:rsid w:val="006602DB"/>
    <w:rsid w:val="006603C6"/>
    <w:rsid w:val="006603FD"/>
    <w:rsid w:val="00660692"/>
    <w:rsid w:val="00660853"/>
    <w:rsid w:val="00660925"/>
    <w:rsid w:val="00660CB5"/>
    <w:rsid w:val="006613FF"/>
    <w:rsid w:val="00661559"/>
    <w:rsid w:val="0066172B"/>
    <w:rsid w:val="00661BCC"/>
    <w:rsid w:val="00661FE0"/>
    <w:rsid w:val="00661FF3"/>
    <w:rsid w:val="0066213E"/>
    <w:rsid w:val="006623F0"/>
    <w:rsid w:val="00662642"/>
    <w:rsid w:val="006626A6"/>
    <w:rsid w:val="006627D7"/>
    <w:rsid w:val="00662A73"/>
    <w:rsid w:val="00662A9D"/>
    <w:rsid w:val="00662B3C"/>
    <w:rsid w:val="00662BAF"/>
    <w:rsid w:val="00662E93"/>
    <w:rsid w:val="006631DD"/>
    <w:rsid w:val="006632B0"/>
    <w:rsid w:val="0066341F"/>
    <w:rsid w:val="006635FF"/>
    <w:rsid w:val="00663869"/>
    <w:rsid w:val="00663BE6"/>
    <w:rsid w:val="00664246"/>
    <w:rsid w:val="0066444B"/>
    <w:rsid w:val="0066445A"/>
    <w:rsid w:val="00664521"/>
    <w:rsid w:val="0066494C"/>
    <w:rsid w:val="006649BB"/>
    <w:rsid w:val="00664C32"/>
    <w:rsid w:val="00664DEC"/>
    <w:rsid w:val="006651F3"/>
    <w:rsid w:val="00665300"/>
    <w:rsid w:val="0066543F"/>
    <w:rsid w:val="006655EA"/>
    <w:rsid w:val="00665A0B"/>
    <w:rsid w:val="0066639A"/>
    <w:rsid w:val="00666451"/>
    <w:rsid w:val="00666474"/>
    <w:rsid w:val="00666801"/>
    <w:rsid w:val="00666C56"/>
    <w:rsid w:val="00666F57"/>
    <w:rsid w:val="0066712A"/>
    <w:rsid w:val="0066713D"/>
    <w:rsid w:val="00667355"/>
    <w:rsid w:val="00667580"/>
    <w:rsid w:val="00667582"/>
    <w:rsid w:val="00667A48"/>
    <w:rsid w:val="00667B0C"/>
    <w:rsid w:val="00667BDF"/>
    <w:rsid w:val="00667CC2"/>
    <w:rsid w:val="006701EF"/>
    <w:rsid w:val="0067099B"/>
    <w:rsid w:val="006709AE"/>
    <w:rsid w:val="00670ACC"/>
    <w:rsid w:val="00670B11"/>
    <w:rsid w:val="00670BB6"/>
    <w:rsid w:val="00670D47"/>
    <w:rsid w:val="00670EDD"/>
    <w:rsid w:val="00671354"/>
    <w:rsid w:val="0067142D"/>
    <w:rsid w:val="006714A0"/>
    <w:rsid w:val="006714B5"/>
    <w:rsid w:val="00671650"/>
    <w:rsid w:val="006719C8"/>
    <w:rsid w:val="00671C60"/>
    <w:rsid w:val="00671E0F"/>
    <w:rsid w:val="00671EA5"/>
    <w:rsid w:val="0067213A"/>
    <w:rsid w:val="006721C9"/>
    <w:rsid w:val="00672223"/>
    <w:rsid w:val="00672926"/>
    <w:rsid w:val="00672964"/>
    <w:rsid w:val="00672AB9"/>
    <w:rsid w:val="00672F09"/>
    <w:rsid w:val="006732C2"/>
    <w:rsid w:val="006735D1"/>
    <w:rsid w:val="0067381B"/>
    <w:rsid w:val="0067398B"/>
    <w:rsid w:val="00673BFB"/>
    <w:rsid w:val="00673CD9"/>
    <w:rsid w:val="00674388"/>
    <w:rsid w:val="0067484C"/>
    <w:rsid w:val="00674A5C"/>
    <w:rsid w:val="00674E02"/>
    <w:rsid w:val="0067511E"/>
    <w:rsid w:val="00675272"/>
    <w:rsid w:val="0067546D"/>
    <w:rsid w:val="0067562C"/>
    <w:rsid w:val="0067577B"/>
    <w:rsid w:val="0067586F"/>
    <w:rsid w:val="00675CFC"/>
    <w:rsid w:val="00675D49"/>
    <w:rsid w:val="006760A2"/>
    <w:rsid w:val="0067652F"/>
    <w:rsid w:val="00676666"/>
    <w:rsid w:val="00676764"/>
    <w:rsid w:val="00676C3C"/>
    <w:rsid w:val="00676C66"/>
    <w:rsid w:val="00676F47"/>
    <w:rsid w:val="00677130"/>
    <w:rsid w:val="006771AF"/>
    <w:rsid w:val="006772AB"/>
    <w:rsid w:val="00677487"/>
    <w:rsid w:val="00677512"/>
    <w:rsid w:val="006776EE"/>
    <w:rsid w:val="006777ED"/>
    <w:rsid w:val="00677B50"/>
    <w:rsid w:val="00677C1B"/>
    <w:rsid w:val="00677D88"/>
    <w:rsid w:val="0068000A"/>
    <w:rsid w:val="00680499"/>
    <w:rsid w:val="006809DB"/>
    <w:rsid w:val="006809E7"/>
    <w:rsid w:val="00680EBF"/>
    <w:rsid w:val="00680F2A"/>
    <w:rsid w:val="0068107F"/>
    <w:rsid w:val="00681602"/>
    <w:rsid w:val="006819BE"/>
    <w:rsid w:val="00681A55"/>
    <w:rsid w:val="00681C5F"/>
    <w:rsid w:val="00682318"/>
    <w:rsid w:val="00682B75"/>
    <w:rsid w:val="00682CEE"/>
    <w:rsid w:val="00682D70"/>
    <w:rsid w:val="00682E51"/>
    <w:rsid w:val="00682E59"/>
    <w:rsid w:val="0068330D"/>
    <w:rsid w:val="00683782"/>
    <w:rsid w:val="006838A1"/>
    <w:rsid w:val="00683CF5"/>
    <w:rsid w:val="00683DE9"/>
    <w:rsid w:val="006845F5"/>
    <w:rsid w:val="0068468E"/>
    <w:rsid w:val="00684AD9"/>
    <w:rsid w:val="00684B8F"/>
    <w:rsid w:val="00684E38"/>
    <w:rsid w:val="006853F5"/>
    <w:rsid w:val="00685464"/>
    <w:rsid w:val="006859C3"/>
    <w:rsid w:val="00685FF0"/>
    <w:rsid w:val="006861FD"/>
    <w:rsid w:val="006864D0"/>
    <w:rsid w:val="0068650E"/>
    <w:rsid w:val="0068671A"/>
    <w:rsid w:val="006868EB"/>
    <w:rsid w:val="00686CBE"/>
    <w:rsid w:val="006870F8"/>
    <w:rsid w:val="0068715D"/>
    <w:rsid w:val="00687707"/>
    <w:rsid w:val="006878BF"/>
    <w:rsid w:val="00687A88"/>
    <w:rsid w:val="00687B3E"/>
    <w:rsid w:val="00687C78"/>
    <w:rsid w:val="00687D2E"/>
    <w:rsid w:val="00687EDD"/>
    <w:rsid w:val="00687F33"/>
    <w:rsid w:val="00690062"/>
    <w:rsid w:val="0069056F"/>
    <w:rsid w:val="00690787"/>
    <w:rsid w:val="00690B23"/>
    <w:rsid w:val="00690B7F"/>
    <w:rsid w:val="00690BFB"/>
    <w:rsid w:val="00690D4A"/>
    <w:rsid w:val="00690DDA"/>
    <w:rsid w:val="0069108D"/>
    <w:rsid w:val="00691122"/>
    <w:rsid w:val="00691124"/>
    <w:rsid w:val="006912B8"/>
    <w:rsid w:val="006916AD"/>
    <w:rsid w:val="00691D56"/>
    <w:rsid w:val="00691FA2"/>
    <w:rsid w:val="0069212E"/>
    <w:rsid w:val="00692170"/>
    <w:rsid w:val="006923FD"/>
    <w:rsid w:val="0069282D"/>
    <w:rsid w:val="00692880"/>
    <w:rsid w:val="00692A47"/>
    <w:rsid w:val="00692AF1"/>
    <w:rsid w:val="00692C63"/>
    <w:rsid w:val="00692D98"/>
    <w:rsid w:val="00692EBB"/>
    <w:rsid w:val="00692EDC"/>
    <w:rsid w:val="00692F71"/>
    <w:rsid w:val="006932A2"/>
    <w:rsid w:val="00693419"/>
    <w:rsid w:val="00693535"/>
    <w:rsid w:val="006935A7"/>
    <w:rsid w:val="006936D6"/>
    <w:rsid w:val="00693956"/>
    <w:rsid w:val="00693B49"/>
    <w:rsid w:val="00693E1E"/>
    <w:rsid w:val="00694132"/>
    <w:rsid w:val="00694208"/>
    <w:rsid w:val="0069434A"/>
    <w:rsid w:val="0069441E"/>
    <w:rsid w:val="00694521"/>
    <w:rsid w:val="006945A3"/>
    <w:rsid w:val="006945E8"/>
    <w:rsid w:val="0069498A"/>
    <w:rsid w:val="00694ACD"/>
    <w:rsid w:val="00694FF4"/>
    <w:rsid w:val="00695506"/>
    <w:rsid w:val="0069550E"/>
    <w:rsid w:val="006955B9"/>
    <w:rsid w:val="00695F36"/>
    <w:rsid w:val="00696364"/>
    <w:rsid w:val="006963D9"/>
    <w:rsid w:val="00696818"/>
    <w:rsid w:val="00696CF3"/>
    <w:rsid w:val="006971FF"/>
    <w:rsid w:val="006974B6"/>
    <w:rsid w:val="0069778E"/>
    <w:rsid w:val="00697950"/>
    <w:rsid w:val="00697C7F"/>
    <w:rsid w:val="00697EDF"/>
    <w:rsid w:val="00697FAD"/>
    <w:rsid w:val="006A0028"/>
    <w:rsid w:val="006A01F5"/>
    <w:rsid w:val="006A064F"/>
    <w:rsid w:val="006A0C14"/>
    <w:rsid w:val="006A12D8"/>
    <w:rsid w:val="006A14A1"/>
    <w:rsid w:val="006A179F"/>
    <w:rsid w:val="006A19B0"/>
    <w:rsid w:val="006A1DEF"/>
    <w:rsid w:val="006A1E3D"/>
    <w:rsid w:val="006A1ED8"/>
    <w:rsid w:val="006A1F5F"/>
    <w:rsid w:val="006A1FF3"/>
    <w:rsid w:val="006A20A2"/>
    <w:rsid w:val="006A2152"/>
    <w:rsid w:val="006A2762"/>
    <w:rsid w:val="006A3008"/>
    <w:rsid w:val="006A3533"/>
    <w:rsid w:val="006A3587"/>
    <w:rsid w:val="006A35C4"/>
    <w:rsid w:val="006A36AF"/>
    <w:rsid w:val="006A36DB"/>
    <w:rsid w:val="006A3824"/>
    <w:rsid w:val="006A3B16"/>
    <w:rsid w:val="006A3F2C"/>
    <w:rsid w:val="006A3FA2"/>
    <w:rsid w:val="006A4270"/>
    <w:rsid w:val="006A4404"/>
    <w:rsid w:val="006A44EA"/>
    <w:rsid w:val="006A4698"/>
    <w:rsid w:val="006A4CE4"/>
    <w:rsid w:val="006A4F55"/>
    <w:rsid w:val="006A503B"/>
    <w:rsid w:val="006A517A"/>
    <w:rsid w:val="006A5C6F"/>
    <w:rsid w:val="006A60B7"/>
    <w:rsid w:val="006A6112"/>
    <w:rsid w:val="006A622F"/>
    <w:rsid w:val="006A6232"/>
    <w:rsid w:val="006A62D7"/>
    <w:rsid w:val="006A6361"/>
    <w:rsid w:val="006A6ABD"/>
    <w:rsid w:val="006A6ED4"/>
    <w:rsid w:val="006A732E"/>
    <w:rsid w:val="006A73A6"/>
    <w:rsid w:val="006A73D4"/>
    <w:rsid w:val="006A75E9"/>
    <w:rsid w:val="006A7888"/>
    <w:rsid w:val="006A78C4"/>
    <w:rsid w:val="006A7C69"/>
    <w:rsid w:val="006A7E38"/>
    <w:rsid w:val="006A7F11"/>
    <w:rsid w:val="006B00B9"/>
    <w:rsid w:val="006B0700"/>
    <w:rsid w:val="006B0C1D"/>
    <w:rsid w:val="006B0C8F"/>
    <w:rsid w:val="006B0D8F"/>
    <w:rsid w:val="006B0EB2"/>
    <w:rsid w:val="006B1006"/>
    <w:rsid w:val="006B16AD"/>
    <w:rsid w:val="006B18FF"/>
    <w:rsid w:val="006B1CB5"/>
    <w:rsid w:val="006B22AA"/>
    <w:rsid w:val="006B2558"/>
    <w:rsid w:val="006B284C"/>
    <w:rsid w:val="006B28FC"/>
    <w:rsid w:val="006B2A95"/>
    <w:rsid w:val="006B2B84"/>
    <w:rsid w:val="006B3252"/>
    <w:rsid w:val="006B35E2"/>
    <w:rsid w:val="006B38DF"/>
    <w:rsid w:val="006B3CC2"/>
    <w:rsid w:val="006B41A1"/>
    <w:rsid w:val="006B432B"/>
    <w:rsid w:val="006B45D6"/>
    <w:rsid w:val="006B4DF0"/>
    <w:rsid w:val="006B4E5A"/>
    <w:rsid w:val="006B50E3"/>
    <w:rsid w:val="006B51E8"/>
    <w:rsid w:val="006B5965"/>
    <w:rsid w:val="006B5EB7"/>
    <w:rsid w:val="006B5F8D"/>
    <w:rsid w:val="006B62F3"/>
    <w:rsid w:val="006B6329"/>
    <w:rsid w:val="006B67CE"/>
    <w:rsid w:val="006B69A0"/>
    <w:rsid w:val="006B7134"/>
    <w:rsid w:val="006B72C2"/>
    <w:rsid w:val="006B739C"/>
    <w:rsid w:val="006B7441"/>
    <w:rsid w:val="006B75C3"/>
    <w:rsid w:val="006B78CD"/>
    <w:rsid w:val="006B7C0F"/>
    <w:rsid w:val="006B7E01"/>
    <w:rsid w:val="006C014C"/>
    <w:rsid w:val="006C042F"/>
    <w:rsid w:val="006C04BA"/>
    <w:rsid w:val="006C05F0"/>
    <w:rsid w:val="006C0EC0"/>
    <w:rsid w:val="006C13AF"/>
    <w:rsid w:val="006C1E06"/>
    <w:rsid w:val="006C22A4"/>
    <w:rsid w:val="006C24BB"/>
    <w:rsid w:val="006C25BA"/>
    <w:rsid w:val="006C2F75"/>
    <w:rsid w:val="006C2F81"/>
    <w:rsid w:val="006C2F8A"/>
    <w:rsid w:val="006C3063"/>
    <w:rsid w:val="006C3753"/>
    <w:rsid w:val="006C37C7"/>
    <w:rsid w:val="006C3820"/>
    <w:rsid w:val="006C393B"/>
    <w:rsid w:val="006C39B8"/>
    <w:rsid w:val="006C39F3"/>
    <w:rsid w:val="006C3CFC"/>
    <w:rsid w:val="006C3D04"/>
    <w:rsid w:val="006C4083"/>
    <w:rsid w:val="006C40E8"/>
    <w:rsid w:val="006C4574"/>
    <w:rsid w:val="006C4CB0"/>
    <w:rsid w:val="006C4D0B"/>
    <w:rsid w:val="006C5143"/>
    <w:rsid w:val="006C54DB"/>
    <w:rsid w:val="006C55C5"/>
    <w:rsid w:val="006C5736"/>
    <w:rsid w:val="006C57D4"/>
    <w:rsid w:val="006C5833"/>
    <w:rsid w:val="006C5BCF"/>
    <w:rsid w:val="006C6163"/>
    <w:rsid w:val="006C6A43"/>
    <w:rsid w:val="006C6D35"/>
    <w:rsid w:val="006C71BC"/>
    <w:rsid w:val="006C79DC"/>
    <w:rsid w:val="006C7A11"/>
    <w:rsid w:val="006C7A15"/>
    <w:rsid w:val="006C7B3D"/>
    <w:rsid w:val="006C7E0E"/>
    <w:rsid w:val="006C7F59"/>
    <w:rsid w:val="006D003B"/>
    <w:rsid w:val="006D01EB"/>
    <w:rsid w:val="006D0203"/>
    <w:rsid w:val="006D0515"/>
    <w:rsid w:val="006D09E9"/>
    <w:rsid w:val="006D0B81"/>
    <w:rsid w:val="006D0CF7"/>
    <w:rsid w:val="006D0D79"/>
    <w:rsid w:val="006D0DBE"/>
    <w:rsid w:val="006D173A"/>
    <w:rsid w:val="006D1972"/>
    <w:rsid w:val="006D19C4"/>
    <w:rsid w:val="006D1BDB"/>
    <w:rsid w:val="006D1BF8"/>
    <w:rsid w:val="006D1CB1"/>
    <w:rsid w:val="006D1E47"/>
    <w:rsid w:val="006D1F06"/>
    <w:rsid w:val="006D21E4"/>
    <w:rsid w:val="006D249B"/>
    <w:rsid w:val="006D27A6"/>
    <w:rsid w:val="006D27AE"/>
    <w:rsid w:val="006D27EE"/>
    <w:rsid w:val="006D307F"/>
    <w:rsid w:val="006D35FE"/>
    <w:rsid w:val="006D36F0"/>
    <w:rsid w:val="006D39D4"/>
    <w:rsid w:val="006D3B9A"/>
    <w:rsid w:val="006D3CAE"/>
    <w:rsid w:val="006D3D58"/>
    <w:rsid w:val="006D46EC"/>
    <w:rsid w:val="006D483F"/>
    <w:rsid w:val="006D5372"/>
    <w:rsid w:val="006D54E8"/>
    <w:rsid w:val="006D54E9"/>
    <w:rsid w:val="006D59BE"/>
    <w:rsid w:val="006D5CEA"/>
    <w:rsid w:val="006D5DD1"/>
    <w:rsid w:val="006D5DDE"/>
    <w:rsid w:val="006D5E33"/>
    <w:rsid w:val="006D6014"/>
    <w:rsid w:val="006D61DD"/>
    <w:rsid w:val="006D6233"/>
    <w:rsid w:val="006D63D2"/>
    <w:rsid w:val="006D6452"/>
    <w:rsid w:val="006D6857"/>
    <w:rsid w:val="006D69B5"/>
    <w:rsid w:val="006D6EBC"/>
    <w:rsid w:val="006D6FC2"/>
    <w:rsid w:val="006D7058"/>
    <w:rsid w:val="006D715D"/>
    <w:rsid w:val="006D73BC"/>
    <w:rsid w:val="006D7588"/>
    <w:rsid w:val="006E0199"/>
    <w:rsid w:val="006E026F"/>
    <w:rsid w:val="006E0292"/>
    <w:rsid w:val="006E04D8"/>
    <w:rsid w:val="006E05A3"/>
    <w:rsid w:val="006E0783"/>
    <w:rsid w:val="006E07A0"/>
    <w:rsid w:val="006E0D31"/>
    <w:rsid w:val="006E15C7"/>
    <w:rsid w:val="006E1651"/>
    <w:rsid w:val="006E16DA"/>
    <w:rsid w:val="006E16EB"/>
    <w:rsid w:val="006E19E2"/>
    <w:rsid w:val="006E1B74"/>
    <w:rsid w:val="006E1EAF"/>
    <w:rsid w:val="006E20D3"/>
    <w:rsid w:val="006E2500"/>
    <w:rsid w:val="006E2A68"/>
    <w:rsid w:val="006E2A80"/>
    <w:rsid w:val="006E2B16"/>
    <w:rsid w:val="006E2E9D"/>
    <w:rsid w:val="006E34A3"/>
    <w:rsid w:val="006E3539"/>
    <w:rsid w:val="006E35B0"/>
    <w:rsid w:val="006E3AAB"/>
    <w:rsid w:val="006E3AEF"/>
    <w:rsid w:val="006E3BB8"/>
    <w:rsid w:val="006E3DB5"/>
    <w:rsid w:val="006E4173"/>
    <w:rsid w:val="006E41D7"/>
    <w:rsid w:val="006E4233"/>
    <w:rsid w:val="006E4AE7"/>
    <w:rsid w:val="006E4AF0"/>
    <w:rsid w:val="006E4C0D"/>
    <w:rsid w:val="006E4ED0"/>
    <w:rsid w:val="006E51FC"/>
    <w:rsid w:val="006E5417"/>
    <w:rsid w:val="006E5515"/>
    <w:rsid w:val="006E5879"/>
    <w:rsid w:val="006E5952"/>
    <w:rsid w:val="006E59F8"/>
    <w:rsid w:val="006E5D61"/>
    <w:rsid w:val="006E5F4B"/>
    <w:rsid w:val="006E6720"/>
    <w:rsid w:val="006E675D"/>
    <w:rsid w:val="006E71EE"/>
    <w:rsid w:val="006E72A7"/>
    <w:rsid w:val="006E7DCF"/>
    <w:rsid w:val="006E7E03"/>
    <w:rsid w:val="006E7FB0"/>
    <w:rsid w:val="006F0203"/>
    <w:rsid w:val="006F030B"/>
    <w:rsid w:val="006F0324"/>
    <w:rsid w:val="006F0820"/>
    <w:rsid w:val="006F0C27"/>
    <w:rsid w:val="006F0D44"/>
    <w:rsid w:val="006F0FC1"/>
    <w:rsid w:val="006F1127"/>
    <w:rsid w:val="006F136B"/>
    <w:rsid w:val="006F1499"/>
    <w:rsid w:val="006F17D6"/>
    <w:rsid w:val="006F1ADB"/>
    <w:rsid w:val="006F1C27"/>
    <w:rsid w:val="006F1D68"/>
    <w:rsid w:val="006F1E61"/>
    <w:rsid w:val="006F2111"/>
    <w:rsid w:val="006F233A"/>
    <w:rsid w:val="006F26E7"/>
    <w:rsid w:val="006F27B8"/>
    <w:rsid w:val="006F29C0"/>
    <w:rsid w:val="006F2AD4"/>
    <w:rsid w:val="006F2B3B"/>
    <w:rsid w:val="006F2E33"/>
    <w:rsid w:val="006F2EAD"/>
    <w:rsid w:val="006F31B7"/>
    <w:rsid w:val="006F3305"/>
    <w:rsid w:val="006F36A2"/>
    <w:rsid w:val="006F3CA4"/>
    <w:rsid w:val="006F4282"/>
    <w:rsid w:val="006F4600"/>
    <w:rsid w:val="006F4765"/>
    <w:rsid w:val="006F4FEB"/>
    <w:rsid w:val="006F51FF"/>
    <w:rsid w:val="006F5312"/>
    <w:rsid w:val="006F5394"/>
    <w:rsid w:val="006F5597"/>
    <w:rsid w:val="006F5665"/>
    <w:rsid w:val="006F56C3"/>
    <w:rsid w:val="006F57D4"/>
    <w:rsid w:val="006F5AEE"/>
    <w:rsid w:val="006F6494"/>
    <w:rsid w:val="006F685C"/>
    <w:rsid w:val="006F6A8B"/>
    <w:rsid w:val="006F6AEB"/>
    <w:rsid w:val="006F6CF9"/>
    <w:rsid w:val="006F7624"/>
    <w:rsid w:val="006F7B4D"/>
    <w:rsid w:val="006F7D4A"/>
    <w:rsid w:val="00700247"/>
    <w:rsid w:val="0070037F"/>
    <w:rsid w:val="00700411"/>
    <w:rsid w:val="00700752"/>
    <w:rsid w:val="00700C4B"/>
    <w:rsid w:val="00700F55"/>
    <w:rsid w:val="00701124"/>
    <w:rsid w:val="007013E8"/>
    <w:rsid w:val="00701447"/>
    <w:rsid w:val="00701D47"/>
    <w:rsid w:val="00701E86"/>
    <w:rsid w:val="0070214B"/>
    <w:rsid w:val="00702434"/>
    <w:rsid w:val="00702C7B"/>
    <w:rsid w:val="00703029"/>
    <w:rsid w:val="007030F3"/>
    <w:rsid w:val="00703162"/>
    <w:rsid w:val="0070357A"/>
    <w:rsid w:val="007044F7"/>
    <w:rsid w:val="0070459B"/>
    <w:rsid w:val="0070459E"/>
    <w:rsid w:val="007045AA"/>
    <w:rsid w:val="00704729"/>
    <w:rsid w:val="00704732"/>
    <w:rsid w:val="007048FF"/>
    <w:rsid w:val="007049E8"/>
    <w:rsid w:val="00704E7B"/>
    <w:rsid w:val="00705046"/>
    <w:rsid w:val="007050B6"/>
    <w:rsid w:val="00705276"/>
    <w:rsid w:val="0070534A"/>
    <w:rsid w:val="007055FE"/>
    <w:rsid w:val="00705788"/>
    <w:rsid w:val="007058BB"/>
    <w:rsid w:val="00705A22"/>
    <w:rsid w:val="00705A57"/>
    <w:rsid w:val="00705ABE"/>
    <w:rsid w:val="00705F3B"/>
    <w:rsid w:val="00706132"/>
    <w:rsid w:val="007061DB"/>
    <w:rsid w:val="007063E5"/>
    <w:rsid w:val="007065B1"/>
    <w:rsid w:val="00706713"/>
    <w:rsid w:val="00706724"/>
    <w:rsid w:val="00706A4F"/>
    <w:rsid w:val="00707027"/>
    <w:rsid w:val="00707395"/>
    <w:rsid w:val="007076A1"/>
    <w:rsid w:val="007076AB"/>
    <w:rsid w:val="00707846"/>
    <w:rsid w:val="00707B14"/>
    <w:rsid w:val="00707BCB"/>
    <w:rsid w:val="00707FEF"/>
    <w:rsid w:val="007100EB"/>
    <w:rsid w:val="0071093B"/>
    <w:rsid w:val="00711101"/>
    <w:rsid w:val="0071146D"/>
    <w:rsid w:val="00711AEF"/>
    <w:rsid w:val="00711EEC"/>
    <w:rsid w:val="007121D2"/>
    <w:rsid w:val="007123CF"/>
    <w:rsid w:val="007128DC"/>
    <w:rsid w:val="00712A7F"/>
    <w:rsid w:val="00712D38"/>
    <w:rsid w:val="00713083"/>
    <w:rsid w:val="0071331C"/>
    <w:rsid w:val="00713377"/>
    <w:rsid w:val="0071339F"/>
    <w:rsid w:val="0071365C"/>
    <w:rsid w:val="007137CD"/>
    <w:rsid w:val="0071395D"/>
    <w:rsid w:val="00713B88"/>
    <w:rsid w:val="00713EF7"/>
    <w:rsid w:val="007148E7"/>
    <w:rsid w:val="007149A9"/>
    <w:rsid w:val="00714B79"/>
    <w:rsid w:val="00714C2C"/>
    <w:rsid w:val="00714D12"/>
    <w:rsid w:val="00714FB0"/>
    <w:rsid w:val="00714FC3"/>
    <w:rsid w:val="007150A1"/>
    <w:rsid w:val="00715212"/>
    <w:rsid w:val="00715519"/>
    <w:rsid w:val="007157DA"/>
    <w:rsid w:val="0071596E"/>
    <w:rsid w:val="007159E1"/>
    <w:rsid w:val="00716004"/>
    <w:rsid w:val="007160E0"/>
    <w:rsid w:val="007167CD"/>
    <w:rsid w:val="00716A67"/>
    <w:rsid w:val="00716D2A"/>
    <w:rsid w:val="00716D97"/>
    <w:rsid w:val="00716DF7"/>
    <w:rsid w:val="007173A3"/>
    <w:rsid w:val="00717C6B"/>
    <w:rsid w:val="0072003F"/>
    <w:rsid w:val="00720092"/>
    <w:rsid w:val="00720528"/>
    <w:rsid w:val="0072080C"/>
    <w:rsid w:val="00720E9C"/>
    <w:rsid w:val="00721445"/>
    <w:rsid w:val="007214AD"/>
    <w:rsid w:val="00721532"/>
    <w:rsid w:val="0072167A"/>
    <w:rsid w:val="0072170D"/>
    <w:rsid w:val="00721808"/>
    <w:rsid w:val="00721E90"/>
    <w:rsid w:val="00722154"/>
    <w:rsid w:val="00722232"/>
    <w:rsid w:val="0072263D"/>
    <w:rsid w:val="0072289C"/>
    <w:rsid w:val="00722C0B"/>
    <w:rsid w:val="00722C54"/>
    <w:rsid w:val="00722D1A"/>
    <w:rsid w:val="00723259"/>
    <w:rsid w:val="0072343F"/>
    <w:rsid w:val="007234BC"/>
    <w:rsid w:val="007235FF"/>
    <w:rsid w:val="00723F9D"/>
    <w:rsid w:val="00724850"/>
    <w:rsid w:val="00724B10"/>
    <w:rsid w:val="00724B4F"/>
    <w:rsid w:val="00724DC9"/>
    <w:rsid w:val="007252D2"/>
    <w:rsid w:val="0072644B"/>
    <w:rsid w:val="007267EA"/>
    <w:rsid w:val="00726897"/>
    <w:rsid w:val="007268B3"/>
    <w:rsid w:val="00726CC6"/>
    <w:rsid w:val="00726D96"/>
    <w:rsid w:val="00726FB2"/>
    <w:rsid w:val="007272D9"/>
    <w:rsid w:val="00727485"/>
    <w:rsid w:val="00727731"/>
    <w:rsid w:val="00727999"/>
    <w:rsid w:val="00727AAD"/>
    <w:rsid w:val="00727AF5"/>
    <w:rsid w:val="00727BEB"/>
    <w:rsid w:val="0073008F"/>
    <w:rsid w:val="00730496"/>
    <w:rsid w:val="007305CE"/>
    <w:rsid w:val="007306DE"/>
    <w:rsid w:val="00730808"/>
    <w:rsid w:val="00730AA5"/>
    <w:rsid w:val="00730B5E"/>
    <w:rsid w:val="0073161E"/>
    <w:rsid w:val="0073190F"/>
    <w:rsid w:val="00731B87"/>
    <w:rsid w:val="00731C6E"/>
    <w:rsid w:val="00731F56"/>
    <w:rsid w:val="0073206A"/>
    <w:rsid w:val="007320A2"/>
    <w:rsid w:val="00732367"/>
    <w:rsid w:val="007324ED"/>
    <w:rsid w:val="0073258A"/>
    <w:rsid w:val="007325D9"/>
    <w:rsid w:val="007325EE"/>
    <w:rsid w:val="007325FD"/>
    <w:rsid w:val="00732704"/>
    <w:rsid w:val="00732AC2"/>
    <w:rsid w:val="00732B37"/>
    <w:rsid w:val="00732B6A"/>
    <w:rsid w:val="00732E7E"/>
    <w:rsid w:val="00732F26"/>
    <w:rsid w:val="0073326C"/>
    <w:rsid w:val="007332CF"/>
    <w:rsid w:val="0073335E"/>
    <w:rsid w:val="0073347F"/>
    <w:rsid w:val="00733686"/>
    <w:rsid w:val="00733758"/>
    <w:rsid w:val="007338CA"/>
    <w:rsid w:val="007338F1"/>
    <w:rsid w:val="007339CC"/>
    <w:rsid w:val="00733A88"/>
    <w:rsid w:val="00733DFB"/>
    <w:rsid w:val="00734363"/>
    <w:rsid w:val="0073496C"/>
    <w:rsid w:val="00734B01"/>
    <w:rsid w:val="00734C26"/>
    <w:rsid w:val="00734C74"/>
    <w:rsid w:val="00734F71"/>
    <w:rsid w:val="007351A6"/>
    <w:rsid w:val="0073526E"/>
    <w:rsid w:val="00735BFD"/>
    <w:rsid w:val="0073627F"/>
    <w:rsid w:val="007362DF"/>
    <w:rsid w:val="00736401"/>
    <w:rsid w:val="0073646F"/>
    <w:rsid w:val="007365FF"/>
    <w:rsid w:val="00736723"/>
    <w:rsid w:val="00736A3D"/>
    <w:rsid w:val="00736B06"/>
    <w:rsid w:val="00736DEC"/>
    <w:rsid w:val="00736E69"/>
    <w:rsid w:val="00736EDA"/>
    <w:rsid w:val="00737046"/>
    <w:rsid w:val="0073714A"/>
    <w:rsid w:val="0073737D"/>
    <w:rsid w:val="007376F7"/>
    <w:rsid w:val="007377F8"/>
    <w:rsid w:val="00737D98"/>
    <w:rsid w:val="00737F22"/>
    <w:rsid w:val="007402F8"/>
    <w:rsid w:val="007404EC"/>
    <w:rsid w:val="00740674"/>
    <w:rsid w:val="00740AEA"/>
    <w:rsid w:val="00740B43"/>
    <w:rsid w:val="00740EBA"/>
    <w:rsid w:val="00740FBC"/>
    <w:rsid w:val="0074119D"/>
    <w:rsid w:val="00741483"/>
    <w:rsid w:val="007414B3"/>
    <w:rsid w:val="00741B0D"/>
    <w:rsid w:val="00741DA8"/>
    <w:rsid w:val="007426B1"/>
    <w:rsid w:val="007428C4"/>
    <w:rsid w:val="007429DC"/>
    <w:rsid w:val="00742D2A"/>
    <w:rsid w:val="00742E55"/>
    <w:rsid w:val="00742EB5"/>
    <w:rsid w:val="00743170"/>
    <w:rsid w:val="007437F0"/>
    <w:rsid w:val="007439FD"/>
    <w:rsid w:val="00743C5F"/>
    <w:rsid w:val="00743FAF"/>
    <w:rsid w:val="00743FEF"/>
    <w:rsid w:val="00744198"/>
    <w:rsid w:val="0074428F"/>
    <w:rsid w:val="007446CF"/>
    <w:rsid w:val="007447A9"/>
    <w:rsid w:val="00744881"/>
    <w:rsid w:val="00744944"/>
    <w:rsid w:val="00744D07"/>
    <w:rsid w:val="00744ED3"/>
    <w:rsid w:val="00744EF0"/>
    <w:rsid w:val="007452CD"/>
    <w:rsid w:val="00745771"/>
    <w:rsid w:val="007466DD"/>
    <w:rsid w:val="00746939"/>
    <w:rsid w:val="0074697F"/>
    <w:rsid w:val="00747105"/>
    <w:rsid w:val="00747313"/>
    <w:rsid w:val="00747575"/>
    <w:rsid w:val="007476C8"/>
    <w:rsid w:val="00747D60"/>
    <w:rsid w:val="00747DB3"/>
    <w:rsid w:val="00747F06"/>
    <w:rsid w:val="0075003B"/>
    <w:rsid w:val="007502A5"/>
    <w:rsid w:val="007507A5"/>
    <w:rsid w:val="00750B9C"/>
    <w:rsid w:val="00750CEF"/>
    <w:rsid w:val="00750DD5"/>
    <w:rsid w:val="0075120D"/>
    <w:rsid w:val="00751685"/>
    <w:rsid w:val="007516A1"/>
    <w:rsid w:val="0075195A"/>
    <w:rsid w:val="00751A4F"/>
    <w:rsid w:val="00751E29"/>
    <w:rsid w:val="0075209F"/>
    <w:rsid w:val="007527FE"/>
    <w:rsid w:val="00752A7A"/>
    <w:rsid w:val="00752B4D"/>
    <w:rsid w:val="00752C6C"/>
    <w:rsid w:val="00752D8B"/>
    <w:rsid w:val="00752D8E"/>
    <w:rsid w:val="00753A4A"/>
    <w:rsid w:val="00753AA0"/>
    <w:rsid w:val="00753CD6"/>
    <w:rsid w:val="00753F36"/>
    <w:rsid w:val="00753FE1"/>
    <w:rsid w:val="00754493"/>
    <w:rsid w:val="00754652"/>
    <w:rsid w:val="00754947"/>
    <w:rsid w:val="00755048"/>
    <w:rsid w:val="00755205"/>
    <w:rsid w:val="0075557C"/>
    <w:rsid w:val="00755617"/>
    <w:rsid w:val="007558DB"/>
    <w:rsid w:val="00756345"/>
    <w:rsid w:val="00756632"/>
    <w:rsid w:val="007567C5"/>
    <w:rsid w:val="00756AFE"/>
    <w:rsid w:val="00756C86"/>
    <w:rsid w:val="00756EDE"/>
    <w:rsid w:val="007571C8"/>
    <w:rsid w:val="007576E7"/>
    <w:rsid w:val="00757F04"/>
    <w:rsid w:val="0076018A"/>
    <w:rsid w:val="0076018F"/>
    <w:rsid w:val="007601E6"/>
    <w:rsid w:val="00760512"/>
    <w:rsid w:val="00760662"/>
    <w:rsid w:val="00760761"/>
    <w:rsid w:val="00760789"/>
    <w:rsid w:val="00760ACE"/>
    <w:rsid w:val="00760CC3"/>
    <w:rsid w:val="00760DF8"/>
    <w:rsid w:val="007611B4"/>
    <w:rsid w:val="0076151D"/>
    <w:rsid w:val="0076154C"/>
    <w:rsid w:val="007617CE"/>
    <w:rsid w:val="00761854"/>
    <w:rsid w:val="007618D1"/>
    <w:rsid w:val="00762055"/>
    <w:rsid w:val="00762424"/>
    <w:rsid w:val="0076251C"/>
    <w:rsid w:val="007628C4"/>
    <w:rsid w:val="00762E83"/>
    <w:rsid w:val="00762ED3"/>
    <w:rsid w:val="00762F84"/>
    <w:rsid w:val="00763246"/>
    <w:rsid w:val="00763452"/>
    <w:rsid w:val="007634F1"/>
    <w:rsid w:val="007639AA"/>
    <w:rsid w:val="00763AD4"/>
    <w:rsid w:val="00763C9F"/>
    <w:rsid w:val="00763CDB"/>
    <w:rsid w:val="00763E6D"/>
    <w:rsid w:val="00763E74"/>
    <w:rsid w:val="00764004"/>
    <w:rsid w:val="007647DA"/>
    <w:rsid w:val="007649EB"/>
    <w:rsid w:val="00764AAC"/>
    <w:rsid w:val="00764B13"/>
    <w:rsid w:val="00764B71"/>
    <w:rsid w:val="00764E80"/>
    <w:rsid w:val="00764FA3"/>
    <w:rsid w:val="00765097"/>
    <w:rsid w:val="00765124"/>
    <w:rsid w:val="007652B4"/>
    <w:rsid w:val="007656B4"/>
    <w:rsid w:val="00765976"/>
    <w:rsid w:val="00765CAA"/>
    <w:rsid w:val="00765DD8"/>
    <w:rsid w:val="00765E22"/>
    <w:rsid w:val="00765F28"/>
    <w:rsid w:val="00765F3C"/>
    <w:rsid w:val="00766073"/>
    <w:rsid w:val="0076647A"/>
    <w:rsid w:val="00766504"/>
    <w:rsid w:val="00766628"/>
    <w:rsid w:val="00766631"/>
    <w:rsid w:val="007666E6"/>
    <w:rsid w:val="0076699D"/>
    <w:rsid w:val="007669D2"/>
    <w:rsid w:val="00766B3C"/>
    <w:rsid w:val="00766C50"/>
    <w:rsid w:val="00767241"/>
    <w:rsid w:val="007704D8"/>
    <w:rsid w:val="0077057C"/>
    <w:rsid w:val="0077074C"/>
    <w:rsid w:val="00770B45"/>
    <w:rsid w:val="00770CFD"/>
    <w:rsid w:val="00770DD3"/>
    <w:rsid w:val="00770F9E"/>
    <w:rsid w:val="00771479"/>
    <w:rsid w:val="007715E6"/>
    <w:rsid w:val="007716EB"/>
    <w:rsid w:val="007718EC"/>
    <w:rsid w:val="00771BC3"/>
    <w:rsid w:val="00771BDD"/>
    <w:rsid w:val="00771E4C"/>
    <w:rsid w:val="00771F56"/>
    <w:rsid w:val="0077213C"/>
    <w:rsid w:val="00772216"/>
    <w:rsid w:val="0077221C"/>
    <w:rsid w:val="007722CF"/>
    <w:rsid w:val="00772797"/>
    <w:rsid w:val="0077285A"/>
    <w:rsid w:val="00772AB1"/>
    <w:rsid w:val="007731E5"/>
    <w:rsid w:val="0077324C"/>
    <w:rsid w:val="007732F9"/>
    <w:rsid w:val="00773377"/>
    <w:rsid w:val="007735F7"/>
    <w:rsid w:val="007737D7"/>
    <w:rsid w:val="007739AF"/>
    <w:rsid w:val="00773A6B"/>
    <w:rsid w:val="00773B73"/>
    <w:rsid w:val="00773D43"/>
    <w:rsid w:val="00773FCB"/>
    <w:rsid w:val="00774108"/>
    <w:rsid w:val="007741D2"/>
    <w:rsid w:val="007741DF"/>
    <w:rsid w:val="00774481"/>
    <w:rsid w:val="007747CD"/>
    <w:rsid w:val="00774875"/>
    <w:rsid w:val="00774967"/>
    <w:rsid w:val="007749AB"/>
    <w:rsid w:val="00774B6D"/>
    <w:rsid w:val="00774F8D"/>
    <w:rsid w:val="007759E1"/>
    <w:rsid w:val="0077625E"/>
    <w:rsid w:val="007764CA"/>
    <w:rsid w:val="00776758"/>
    <w:rsid w:val="007769CA"/>
    <w:rsid w:val="00776D5B"/>
    <w:rsid w:val="00776EEE"/>
    <w:rsid w:val="00776F24"/>
    <w:rsid w:val="00776F9F"/>
    <w:rsid w:val="007770B5"/>
    <w:rsid w:val="0077711D"/>
    <w:rsid w:val="0077712F"/>
    <w:rsid w:val="00777332"/>
    <w:rsid w:val="0077770A"/>
    <w:rsid w:val="00777885"/>
    <w:rsid w:val="007779CB"/>
    <w:rsid w:val="007779EA"/>
    <w:rsid w:val="00777EF2"/>
    <w:rsid w:val="007802D6"/>
    <w:rsid w:val="00780A84"/>
    <w:rsid w:val="00781142"/>
    <w:rsid w:val="00781376"/>
    <w:rsid w:val="00781584"/>
    <w:rsid w:val="00781B42"/>
    <w:rsid w:val="00781F3B"/>
    <w:rsid w:val="007821C1"/>
    <w:rsid w:val="007821F5"/>
    <w:rsid w:val="00782230"/>
    <w:rsid w:val="00782243"/>
    <w:rsid w:val="00782263"/>
    <w:rsid w:val="0078243A"/>
    <w:rsid w:val="00782A50"/>
    <w:rsid w:val="00782C12"/>
    <w:rsid w:val="00782E82"/>
    <w:rsid w:val="00782F74"/>
    <w:rsid w:val="0078308F"/>
    <w:rsid w:val="0078314B"/>
    <w:rsid w:val="007832D9"/>
    <w:rsid w:val="00783BD5"/>
    <w:rsid w:val="00783DE5"/>
    <w:rsid w:val="00784027"/>
    <w:rsid w:val="0078411E"/>
    <w:rsid w:val="00784376"/>
    <w:rsid w:val="00784745"/>
    <w:rsid w:val="00784927"/>
    <w:rsid w:val="007849CC"/>
    <w:rsid w:val="00784E7A"/>
    <w:rsid w:val="00784F88"/>
    <w:rsid w:val="0078580E"/>
    <w:rsid w:val="007858B6"/>
    <w:rsid w:val="00786014"/>
    <w:rsid w:val="00786179"/>
    <w:rsid w:val="0078624A"/>
    <w:rsid w:val="0078625B"/>
    <w:rsid w:val="007862F5"/>
    <w:rsid w:val="0078630C"/>
    <w:rsid w:val="0078666B"/>
    <w:rsid w:val="00786F29"/>
    <w:rsid w:val="00787029"/>
    <w:rsid w:val="00787144"/>
    <w:rsid w:val="007873A6"/>
    <w:rsid w:val="007875FE"/>
    <w:rsid w:val="00787979"/>
    <w:rsid w:val="00787F73"/>
    <w:rsid w:val="00790222"/>
    <w:rsid w:val="00790529"/>
    <w:rsid w:val="0079085B"/>
    <w:rsid w:val="00790983"/>
    <w:rsid w:val="00790A2E"/>
    <w:rsid w:val="00790B91"/>
    <w:rsid w:val="00791050"/>
    <w:rsid w:val="0079130C"/>
    <w:rsid w:val="00791642"/>
    <w:rsid w:val="007917F9"/>
    <w:rsid w:val="00791866"/>
    <w:rsid w:val="007919AF"/>
    <w:rsid w:val="00791F84"/>
    <w:rsid w:val="007923A4"/>
    <w:rsid w:val="007927DE"/>
    <w:rsid w:val="00792A2E"/>
    <w:rsid w:val="00792B03"/>
    <w:rsid w:val="00792D1A"/>
    <w:rsid w:val="00792D20"/>
    <w:rsid w:val="007931C8"/>
    <w:rsid w:val="00793309"/>
    <w:rsid w:val="007935EE"/>
    <w:rsid w:val="0079361D"/>
    <w:rsid w:val="007939AF"/>
    <w:rsid w:val="00793C46"/>
    <w:rsid w:val="00794036"/>
    <w:rsid w:val="00794346"/>
    <w:rsid w:val="00794487"/>
    <w:rsid w:val="00794586"/>
    <w:rsid w:val="00794648"/>
    <w:rsid w:val="00794909"/>
    <w:rsid w:val="007949A5"/>
    <w:rsid w:val="007951A6"/>
    <w:rsid w:val="00795271"/>
    <w:rsid w:val="00795A0F"/>
    <w:rsid w:val="00795C00"/>
    <w:rsid w:val="00795CA0"/>
    <w:rsid w:val="00796319"/>
    <w:rsid w:val="00796523"/>
    <w:rsid w:val="007968AA"/>
    <w:rsid w:val="00796AE1"/>
    <w:rsid w:val="00796E89"/>
    <w:rsid w:val="0079788B"/>
    <w:rsid w:val="00797937"/>
    <w:rsid w:val="007A01A2"/>
    <w:rsid w:val="007A0522"/>
    <w:rsid w:val="007A0854"/>
    <w:rsid w:val="007A0921"/>
    <w:rsid w:val="007A0991"/>
    <w:rsid w:val="007A0DBB"/>
    <w:rsid w:val="007A1162"/>
    <w:rsid w:val="007A15D8"/>
    <w:rsid w:val="007A174D"/>
    <w:rsid w:val="007A19FD"/>
    <w:rsid w:val="007A1DED"/>
    <w:rsid w:val="007A1E31"/>
    <w:rsid w:val="007A1EC9"/>
    <w:rsid w:val="007A2037"/>
    <w:rsid w:val="007A2046"/>
    <w:rsid w:val="007A22A1"/>
    <w:rsid w:val="007A2CAA"/>
    <w:rsid w:val="007A2D71"/>
    <w:rsid w:val="007A2E25"/>
    <w:rsid w:val="007A2FB5"/>
    <w:rsid w:val="007A3299"/>
    <w:rsid w:val="007A3373"/>
    <w:rsid w:val="007A3728"/>
    <w:rsid w:val="007A3A90"/>
    <w:rsid w:val="007A3C7B"/>
    <w:rsid w:val="007A3CC6"/>
    <w:rsid w:val="007A4171"/>
    <w:rsid w:val="007A4351"/>
    <w:rsid w:val="007A4414"/>
    <w:rsid w:val="007A45E1"/>
    <w:rsid w:val="007A49D5"/>
    <w:rsid w:val="007A4D4A"/>
    <w:rsid w:val="007A4FB4"/>
    <w:rsid w:val="007A5286"/>
    <w:rsid w:val="007A552D"/>
    <w:rsid w:val="007A56EB"/>
    <w:rsid w:val="007A5856"/>
    <w:rsid w:val="007A58F4"/>
    <w:rsid w:val="007A5AFB"/>
    <w:rsid w:val="007A5B83"/>
    <w:rsid w:val="007A5C76"/>
    <w:rsid w:val="007A5C78"/>
    <w:rsid w:val="007A5CA4"/>
    <w:rsid w:val="007A5F59"/>
    <w:rsid w:val="007A5FBF"/>
    <w:rsid w:val="007A61C1"/>
    <w:rsid w:val="007A61F6"/>
    <w:rsid w:val="007A6635"/>
    <w:rsid w:val="007A69A0"/>
    <w:rsid w:val="007A6AAC"/>
    <w:rsid w:val="007A6AAD"/>
    <w:rsid w:val="007A6DFA"/>
    <w:rsid w:val="007A716D"/>
    <w:rsid w:val="007A7342"/>
    <w:rsid w:val="007A7496"/>
    <w:rsid w:val="007A74F2"/>
    <w:rsid w:val="007B022C"/>
    <w:rsid w:val="007B027B"/>
    <w:rsid w:val="007B034C"/>
    <w:rsid w:val="007B044B"/>
    <w:rsid w:val="007B0668"/>
    <w:rsid w:val="007B0677"/>
    <w:rsid w:val="007B0703"/>
    <w:rsid w:val="007B075C"/>
    <w:rsid w:val="007B07BE"/>
    <w:rsid w:val="007B0EC9"/>
    <w:rsid w:val="007B10C5"/>
    <w:rsid w:val="007B10E9"/>
    <w:rsid w:val="007B11AA"/>
    <w:rsid w:val="007B14F0"/>
    <w:rsid w:val="007B1581"/>
    <w:rsid w:val="007B15F2"/>
    <w:rsid w:val="007B1645"/>
    <w:rsid w:val="007B16F4"/>
    <w:rsid w:val="007B1836"/>
    <w:rsid w:val="007B1B77"/>
    <w:rsid w:val="007B1F48"/>
    <w:rsid w:val="007B223C"/>
    <w:rsid w:val="007B264C"/>
    <w:rsid w:val="007B27D2"/>
    <w:rsid w:val="007B302E"/>
    <w:rsid w:val="007B3311"/>
    <w:rsid w:val="007B3454"/>
    <w:rsid w:val="007B345E"/>
    <w:rsid w:val="007B34A4"/>
    <w:rsid w:val="007B3A39"/>
    <w:rsid w:val="007B3AA4"/>
    <w:rsid w:val="007B3AD7"/>
    <w:rsid w:val="007B3CB4"/>
    <w:rsid w:val="007B3D0B"/>
    <w:rsid w:val="007B45A9"/>
    <w:rsid w:val="007B4752"/>
    <w:rsid w:val="007B4B98"/>
    <w:rsid w:val="007B4BB5"/>
    <w:rsid w:val="007B4DDF"/>
    <w:rsid w:val="007B5011"/>
    <w:rsid w:val="007B5454"/>
    <w:rsid w:val="007B54B9"/>
    <w:rsid w:val="007B5529"/>
    <w:rsid w:val="007B55A1"/>
    <w:rsid w:val="007B5844"/>
    <w:rsid w:val="007B5D27"/>
    <w:rsid w:val="007B65EE"/>
    <w:rsid w:val="007B66B1"/>
    <w:rsid w:val="007B681F"/>
    <w:rsid w:val="007B6925"/>
    <w:rsid w:val="007B695B"/>
    <w:rsid w:val="007B6D3E"/>
    <w:rsid w:val="007B6E2F"/>
    <w:rsid w:val="007B7359"/>
    <w:rsid w:val="007B75C2"/>
    <w:rsid w:val="007B75EC"/>
    <w:rsid w:val="007B78B5"/>
    <w:rsid w:val="007B7921"/>
    <w:rsid w:val="007B7956"/>
    <w:rsid w:val="007B7DD9"/>
    <w:rsid w:val="007B7FC7"/>
    <w:rsid w:val="007C024F"/>
    <w:rsid w:val="007C02FF"/>
    <w:rsid w:val="007C0373"/>
    <w:rsid w:val="007C06FA"/>
    <w:rsid w:val="007C07C7"/>
    <w:rsid w:val="007C0852"/>
    <w:rsid w:val="007C0BD5"/>
    <w:rsid w:val="007C0C19"/>
    <w:rsid w:val="007C0D4F"/>
    <w:rsid w:val="007C0F65"/>
    <w:rsid w:val="007C1013"/>
    <w:rsid w:val="007C1116"/>
    <w:rsid w:val="007C113B"/>
    <w:rsid w:val="007C1167"/>
    <w:rsid w:val="007C1426"/>
    <w:rsid w:val="007C166C"/>
    <w:rsid w:val="007C1C83"/>
    <w:rsid w:val="007C218D"/>
    <w:rsid w:val="007C21E3"/>
    <w:rsid w:val="007C2208"/>
    <w:rsid w:val="007C22B2"/>
    <w:rsid w:val="007C22F9"/>
    <w:rsid w:val="007C2305"/>
    <w:rsid w:val="007C25C5"/>
    <w:rsid w:val="007C2662"/>
    <w:rsid w:val="007C29C2"/>
    <w:rsid w:val="007C2C6D"/>
    <w:rsid w:val="007C2D56"/>
    <w:rsid w:val="007C2DB2"/>
    <w:rsid w:val="007C30C4"/>
    <w:rsid w:val="007C3547"/>
    <w:rsid w:val="007C35FC"/>
    <w:rsid w:val="007C3AD7"/>
    <w:rsid w:val="007C3DDB"/>
    <w:rsid w:val="007C3FF8"/>
    <w:rsid w:val="007C4588"/>
    <w:rsid w:val="007C4622"/>
    <w:rsid w:val="007C47B7"/>
    <w:rsid w:val="007C49AD"/>
    <w:rsid w:val="007C4AEB"/>
    <w:rsid w:val="007C4D75"/>
    <w:rsid w:val="007C50D1"/>
    <w:rsid w:val="007C51C1"/>
    <w:rsid w:val="007C53C5"/>
    <w:rsid w:val="007C5856"/>
    <w:rsid w:val="007C58F3"/>
    <w:rsid w:val="007C5ABC"/>
    <w:rsid w:val="007C6290"/>
    <w:rsid w:val="007C6471"/>
    <w:rsid w:val="007C6A61"/>
    <w:rsid w:val="007C6A97"/>
    <w:rsid w:val="007C6C69"/>
    <w:rsid w:val="007C7CDF"/>
    <w:rsid w:val="007D027D"/>
    <w:rsid w:val="007D050E"/>
    <w:rsid w:val="007D079D"/>
    <w:rsid w:val="007D1224"/>
    <w:rsid w:val="007D127C"/>
    <w:rsid w:val="007D1364"/>
    <w:rsid w:val="007D1496"/>
    <w:rsid w:val="007D179C"/>
    <w:rsid w:val="007D1B00"/>
    <w:rsid w:val="007D1D32"/>
    <w:rsid w:val="007D23D1"/>
    <w:rsid w:val="007D25FF"/>
    <w:rsid w:val="007D2733"/>
    <w:rsid w:val="007D2783"/>
    <w:rsid w:val="007D2A52"/>
    <w:rsid w:val="007D2D2E"/>
    <w:rsid w:val="007D2D7A"/>
    <w:rsid w:val="007D3117"/>
    <w:rsid w:val="007D3342"/>
    <w:rsid w:val="007D3488"/>
    <w:rsid w:val="007D34AD"/>
    <w:rsid w:val="007D354C"/>
    <w:rsid w:val="007D35E1"/>
    <w:rsid w:val="007D3D13"/>
    <w:rsid w:val="007D3EF9"/>
    <w:rsid w:val="007D3F3A"/>
    <w:rsid w:val="007D3FB5"/>
    <w:rsid w:val="007D3FF1"/>
    <w:rsid w:val="007D42A4"/>
    <w:rsid w:val="007D472A"/>
    <w:rsid w:val="007D48E1"/>
    <w:rsid w:val="007D48F9"/>
    <w:rsid w:val="007D4A41"/>
    <w:rsid w:val="007D500D"/>
    <w:rsid w:val="007D567F"/>
    <w:rsid w:val="007D5CBF"/>
    <w:rsid w:val="007D5D07"/>
    <w:rsid w:val="007D5E51"/>
    <w:rsid w:val="007D615E"/>
    <w:rsid w:val="007D6351"/>
    <w:rsid w:val="007D6481"/>
    <w:rsid w:val="007D69CB"/>
    <w:rsid w:val="007D6CED"/>
    <w:rsid w:val="007D6F95"/>
    <w:rsid w:val="007D6FE9"/>
    <w:rsid w:val="007D7730"/>
    <w:rsid w:val="007D77CE"/>
    <w:rsid w:val="007D79C4"/>
    <w:rsid w:val="007D7AFA"/>
    <w:rsid w:val="007D7DEC"/>
    <w:rsid w:val="007D7FAC"/>
    <w:rsid w:val="007E00C2"/>
    <w:rsid w:val="007E01DD"/>
    <w:rsid w:val="007E0A36"/>
    <w:rsid w:val="007E0CB4"/>
    <w:rsid w:val="007E105E"/>
    <w:rsid w:val="007E1172"/>
    <w:rsid w:val="007E1518"/>
    <w:rsid w:val="007E17A2"/>
    <w:rsid w:val="007E190B"/>
    <w:rsid w:val="007E1A8C"/>
    <w:rsid w:val="007E21A7"/>
    <w:rsid w:val="007E21FD"/>
    <w:rsid w:val="007E2712"/>
    <w:rsid w:val="007E2A01"/>
    <w:rsid w:val="007E2A69"/>
    <w:rsid w:val="007E339E"/>
    <w:rsid w:val="007E33C4"/>
    <w:rsid w:val="007E34DA"/>
    <w:rsid w:val="007E3600"/>
    <w:rsid w:val="007E395F"/>
    <w:rsid w:val="007E3C03"/>
    <w:rsid w:val="007E45AC"/>
    <w:rsid w:val="007E46A6"/>
    <w:rsid w:val="007E49F8"/>
    <w:rsid w:val="007E5350"/>
    <w:rsid w:val="007E5383"/>
    <w:rsid w:val="007E5515"/>
    <w:rsid w:val="007E58F6"/>
    <w:rsid w:val="007E5AE8"/>
    <w:rsid w:val="007E5B38"/>
    <w:rsid w:val="007E5D8C"/>
    <w:rsid w:val="007E6167"/>
    <w:rsid w:val="007E6414"/>
    <w:rsid w:val="007E64F0"/>
    <w:rsid w:val="007E6BF2"/>
    <w:rsid w:val="007E6D0A"/>
    <w:rsid w:val="007E72D3"/>
    <w:rsid w:val="007E73E0"/>
    <w:rsid w:val="007E75E2"/>
    <w:rsid w:val="007E761C"/>
    <w:rsid w:val="007F0263"/>
    <w:rsid w:val="007F05A8"/>
    <w:rsid w:val="007F0948"/>
    <w:rsid w:val="007F0ABE"/>
    <w:rsid w:val="007F0B5B"/>
    <w:rsid w:val="007F0E5C"/>
    <w:rsid w:val="007F14EE"/>
    <w:rsid w:val="007F171F"/>
    <w:rsid w:val="007F1E06"/>
    <w:rsid w:val="007F1EB3"/>
    <w:rsid w:val="007F1F4F"/>
    <w:rsid w:val="007F2056"/>
    <w:rsid w:val="007F22D3"/>
    <w:rsid w:val="007F23E7"/>
    <w:rsid w:val="007F2422"/>
    <w:rsid w:val="007F2575"/>
    <w:rsid w:val="007F258C"/>
    <w:rsid w:val="007F28F8"/>
    <w:rsid w:val="007F2B62"/>
    <w:rsid w:val="007F2EEB"/>
    <w:rsid w:val="007F32E7"/>
    <w:rsid w:val="007F3402"/>
    <w:rsid w:val="007F34CC"/>
    <w:rsid w:val="007F36BA"/>
    <w:rsid w:val="007F3886"/>
    <w:rsid w:val="007F3B06"/>
    <w:rsid w:val="007F3B0E"/>
    <w:rsid w:val="007F40B7"/>
    <w:rsid w:val="007F427F"/>
    <w:rsid w:val="007F4362"/>
    <w:rsid w:val="007F47D3"/>
    <w:rsid w:val="007F4882"/>
    <w:rsid w:val="007F48D4"/>
    <w:rsid w:val="007F4A70"/>
    <w:rsid w:val="007F4A88"/>
    <w:rsid w:val="007F4C0F"/>
    <w:rsid w:val="007F4F43"/>
    <w:rsid w:val="007F51C7"/>
    <w:rsid w:val="007F62DC"/>
    <w:rsid w:val="007F6623"/>
    <w:rsid w:val="007F6647"/>
    <w:rsid w:val="007F6969"/>
    <w:rsid w:val="007F6A95"/>
    <w:rsid w:val="007F6AFD"/>
    <w:rsid w:val="007F6CC0"/>
    <w:rsid w:val="007F6EE6"/>
    <w:rsid w:val="007F6F81"/>
    <w:rsid w:val="007F722C"/>
    <w:rsid w:val="007F72A2"/>
    <w:rsid w:val="007F74D6"/>
    <w:rsid w:val="007F74F1"/>
    <w:rsid w:val="007F74F8"/>
    <w:rsid w:val="007F7565"/>
    <w:rsid w:val="007F7786"/>
    <w:rsid w:val="007F7882"/>
    <w:rsid w:val="007F78F4"/>
    <w:rsid w:val="007F7AF0"/>
    <w:rsid w:val="00800034"/>
    <w:rsid w:val="008002BD"/>
    <w:rsid w:val="008003F7"/>
    <w:rsid w:val="008006C1"/>
    <w:rsid w:val="00800793"/>
    <w:rsid w:val="008008A1"/>
    <w:rsid w:val="0080091C"/>
    <w:rsid w:val="0080143C"/>
    <w:rsid w:val="00801456"/>
    <w:rsid w:val="00801775"/>
    <w:rsid w:val="0080194C"/>
    <w:rsid w:val="008019BD"/>
    <w:rsid w:val="008019D4"/>
    <w:rsid w:val="00801D5E"/>
    <w:rsid w:val="00801E33"/>
    <w:rsid w:val="00802443"/>
    <w:rsid w:val="008029EC"/>
    <w:rsid w:val="00802AD4"/>
    <w:rsid w:val="008030EB"/>
    <w:rsid w:val="00803106"/>
    <w:rsid w:val="00803279"/>
    <w:rsid w:val="00803372"/>
    <w:rsid w:val="008035C5"/>
    <w:rsid w:val="00803A16"/>
    <w:rsid w:val="00803AB4"/>
    <w:rsid w:val="00803BCF"/>
    <w:rsid w:val="008040BC"/>
    <w:rsid w:val="008044DB"/>
    <w:rsid w:val="00804B55"/>
    <w:rsid w:val="00805014"/>
    <w:rsid w:val="008051C4"/>
    <w:rsid w:val="00805719"/>
    <w:rsid w:val="008058D5"/>
    <w:rsid w:val="008059D4"/>
    <w:rsid w:val="00805B12"/>
    <w:rsid w:val="00805BCD"/>
    <w:rsid w:val="00805D05"/>
    <w:rsid w:val="00805EF4"/>
    <w:rsid w:val="008069A8"/>
    <w:rsid w:val="008069B4"/>
    <w:rsid w:val="008069C1"/>
    <w:rsid w:val="00806FF3"/>
    <w:rsid w:val="0080722E"/>
    <w:rsid w:val="0080783E"/>
    <w:rsid w:val="00807AC9"/>
    <w:rsid w:val="00807AE3"/>
    <w:rsid w:val="0081033A"/>
    <w:rsid w:val="00810345"/>
    <w:rsid w:val="008104C3"/>
    <w:rsid w:val="008106AF"/>
    <w:rsid w:val="00810A2C"/>
    <w:rsid w:val="008117B6"/>
    <w:rsid w:val="00811AC1"/>
    <w:rsid w:val="00811D69"/>
    <w:rsid w:val="0081212A"/>
    <w:rsid w:val="008121E1"/>
    <w:rsid w:val="0081260A"/>
    <w:rsid w:val="008127E4"/>
    <w:rsid w:val="00812AA3"/>
    <w:rsid w:val="00812B20"/>
    <w:rsid w:val="00812C69"/>
    <w:rsid w:val="00812D9F"/>
    <w:rsid w:val="008132CA"/>
    <w:rsid w:val="0081366E"/>
    <w:rsid w:val="00813C36"/>
    <w:rsid w:val="00813F70"/>
    <w:rsid w:val="008140BA"/>
    <w:rsid w:val="00814283"/>
    <w:rsid w:val="0081459C"/>
    <w:rsid w:val="0081464E"/>
    <w:rsid w:val="00814680"/>
    <w:rsid w:val="00814764"/>
    <w:rsid w:val="00814D77"/>
    <w:rsid w:val="00814FA8"/>
    <w:rsid w:val="008151AE"/>
    <w:rsid w:val="00815247"/>
    <w:rsid w:val="0081578B"/>
    <w:rsid w:val="00815FF3"/>
    <w:rsid w:val="008163D3"/>
    <w:rsid w:val="008164B5"/>
    <w:rsid w:val="0081650D"/>
    <w:rsid w:val="00816543"/>
    <w:rsid w:val="0081686B"/>
    <w:rsid w:val="00816A1C"/>
    <w:rsid w:val="00816A84"/>
    <w:rsid w:val="00816D34"/>
    <w:rsid w:val="0081743A"/>
    <w:rsid w:val="00817BF9"/>
    <w:rsid w:val="00817FBD"/>
    <w:rsid w:val="008201D1"/>
    <w:rsid w:val="008203ED"/>
    <w:rsid w:val="0082081E"/>
    <w:rsid w:val="008209E3"/>
    <w:rsid w:val="00820B96"/>
    <w:rsid w:val="00820F92"/>
    <w:rsid w:val="00821169"/>
    <w:rsid w:val="008212A3"/>
    <w:rsid w:val="0082156E"/>
    <w:rsid w:val="00821768"/>
    <w:rsid w:val="008217EF"/>
    <w:rsid w:val="0082187E"/>
    <w:rsid w:val="00821888"/>
    <w:rsid w:val="00821AC8"/>
    <w:rsid w:val="00822035"/>
    <w:rsid w:val="0082283E"/>
    <w:rsid w:val="00822985"/>
    <w:rsid w:val="00822A94"/>
    <w:rsid w:val="00822CA8"/>
    <w:rsid w:val="00822D97"/>
    <w:rsid w:val="008230E8"/>
    <w:rsid w:val="00823186"/>
    <w:rsid w:val="0082370D"/>
    <w:rsid w:val="0082381E"/>
    <w:rsid w:val="00823A51"/>
    <w:rsid w:val="00823F4D"/>
    <w:rsid w:val="00824574"/>
    <w:rsid w:val="00824769"/>
    <w:rsid w:val="008249DE"/>
    <w:rsid w:val="00824AB0"/>
    <w:rsid w:val="00824F10"/>
    <w:rsid w:val="00825234"/>
    <w:rsid w:val="008264DE"/>
    <w:rsid w:val="008264ED"/>
    <w:rsid w:val="008265B5"/>
    <w:rsid w:val="00826770"/>
    <w:rsid w:val="008268D3"/>
    <w:rsid w:val="008269DF"/>
    <w:rsid w:val="00827FFA"/>
    <w:rsid w:val="00830124"/>
    <w:rsid w:val="0083031D"/>
    <w:rsid w:val="0083065A"/>
    <w:rsid w:val="00830ACB"/>
    <w:rsid w:val="00830B61"/>
    <w:rsid w:val="00830F22"/>
    <w:rsid w:val="00830FA4"/>
    <w:rsid w:val="008314A2"/>
    <w:rsid w:val="00831619"/>
    <w:rsid w:val="00831644"/>
    <w:rsid w:val="00831FAC"/>
    <w:rsid w:val="008320E0"/>
    <w:rsid w:val="00832831"/>
    <w:rsid w:val="00832BCF"/>
    <w:rsid w:val="00832C2C"/>
    <w:rsid w:val="008332D8"/>
    <w:rsid w:val="008333F3"/>
    <w:rsid w:val="008335D8"/>
    <w:rsid w:val="00833742"/>
    <w:rsid w:val="008337D3"/>
    <w:rsid w:val="008339B3"/>
    <w:rsid w:val="00833A8C"/>
    <w:rsid w:val="00834355"/>
    <w:rsid w:val="00834670"/>
    <w:rsid w:val="00834694"/>
    <w:rsid w:val="00834CD2"/>
    <w:rsid w:val="00834E85"/>
    <w:rsid w:val="008354A9"/>
    <w:rsid w:val="00835606"/>
    <w:rsid w:val="00835642"/>
    <w:rsid w:val="00835AE8"/>
    <w:rsid w:val="00835C64"/>
    <w:rsid w:val="00835C97"/>
    <w:rsid w:val="00835CBC"/>
    <w:rsid w:val="008362C9"/>
    <w:rsid w:val="008363BB"/>
    <w:rsid w:val="0083676A"/>
    <w:rsid w:val="008369B4"/>
    <w:rsid w:val="00836A8D"/>
    <w:rsid w:val="00836B09"/>
    <w:rsid w:val="00836BD3"/>
    <w:rsid w:val="00836C58"/>
    <w:rsid w:val="00836D04"/>
    <w:rsid w:val="00836DD1"/>
    <w:rsid w:val="00836E8C"/>
    <w:rsid w:val="00836F0F"/>
    <w:rsid w:val="00836F42"/>
    <w:rsid w:val="00836FE3"/>
    <w:rsid w:val="008370B2"/>
    <w:rsid w:val="00837101"/>
    <w:rsid w:val="008376B3"/>
    <w:rsid w:val="008376DA"/>
    <w:rsid w:val="0084037F"/>
    <w:rsid w:val="0084043D"/>
    <w:rsid w:val="00841737"/>
    <w:rsid w:val="00841F9B"/>
    <w:rsid w:val="00841FD0"/>
    <w:rsid w:val="008422F0"/>
    <w:rsid w:val="00842398"/>
    <w:rsid w:val="008424E8"/>
    <w:rsid w:val="0084254A"/>
    <w:rsid w:val="0084278F"/>
    <w:rsid w:val="008427C1"/>
    <w:rsid w:val="00842848"/>
    <w:rsid w:val="008428C4"/>
    <w:rsid w:val="00842F94"/>
    <w:rsid w:val="00842FC4"/>
    <w:rsid w:val="008430B3"/>
    <w:rsid w:val="0084351D"/>
    <w:rsid w:val="00843614"/>
    <w:rsid w:val="00843A76"/>
    <w:rsid w:val="00843FF5"/>
    <w:rsid w:val="00844034"/>
    <w:rsid w:val="008440C8"/>
    <w:rsid w:val="008443DD"/>
    <w:rsid w:val="008445F2"/>
    <w:rsid w:val="0084460C"/>
    <w:rsid w:val="008450F6"/>
    <w:rsid w:val="00845567"/>
    <w:rsid w:val="0084560C"/>
    <w:rsid w:val="008458DD"/>
    <w:rsid w:val="00845AB5"/>
    <w:rsid w:val="00845EC1"/>
    <w:rsid w:val="0084626E"/>
    <w:rsid w:val="0084637B"/>
    <w:rsid w:val="008463F1"/>
    <w:rsid w:val="00846665"/>
    <w:rsid w:val="0084680D"/>
    <w:rsid w:val="00846DAF"/>
    <w:rsid w:val="00847769"/>
    <w:rsid w:val="008479D5"/>
    <w:rsid w:val="00847C9A"/>
    <w:rsid w:val="00847EC6"/>
    <w:rsid w:val="00850531"/>
    <w:rsid w:val="008508BC"/>
    <w:rsid w:val="00850924"/>
    <w:rsid w:val="00850B0D"/>
    <w:rsid w:val="00850B17"/>
    <w:rsid w:val="00850DB1"/>
    <w:rsid w:val="0085166E"/>
    <w:rsid w:val="0085170D"/>
    <w:rsid w:val="00851884"/>
    <w:rsid w:val="00851970"/>
    <w:rsid w:val="008524BA"/>
    <w:rsid w:val="00852566"/>
    <w:rsid w:val="008526B5"/>
    <w:rsid w:val="008527F1"/>
    <w:rsid w:val="00852B17"/>
    <w:rsid w:val="00852E1C"/>
    <w:rsid w:val="0085300E"/>
    <w:rsid w:val="00853735"/>
    <w:rsid w:val="00853900"/>
    <w:rsid w:val="00853970"/>
    <w:rsid w:val="00853B7F"/>
    <w:rsid w:val="00853CF0"/>
    <w:rsid w:val="00853EC6"/>
    <w:rsid w:val="00853F65"/>
    <w:rsid w:val="00854350"/>
    <w:rsid w:val="008543D0"/>
    <w:rsid w:val="008544C3"/>
    <w:rsid w:val="008544D7"/>
    <w:rsid w:val="00854E92"/>
    <w:rsid w:val="00855173"/>
    <w:rsid w:val="008551BD"/>
    <w:rsid w:val="008556DE"/>
    <w:rsid w:val="00855A10"/>
    <w:rsid w:val="00855F4D"/>
    <w:rsid w:val="008560E1"/>
    <w:rsid w:val="00856A5C"/>
    <w:rsid w:val="00856EEB"/>
    <w:rsid w:val="008570A5"/>
    <w:rsid w:val="008570E2"/>
    <w:rsid w:val="0085767A"/>
    <w:rsid w:val="008576AD"/>
    <w:rsid w:val="00857C39"/>
    <w:rsid w:val="00857CDD"/>
    <w:rsid w:val="00857E00"/>
    <w:rsid w:val="00857F86"/>
    <w:rsid w:val="0086000B"/>
    <w:rsid w:val="0086077E"/>
    <w:rsid w:val="00860825"/>
    <w:rsid w:val="008609F7"/>
    <w:rsid w:val="00860A82"/>
    <w:rsid w:val="00860B1A"/>
    <w:rsid w:val="00860B98"/>
    <w:rsid w:val="00860D32"/>
    <w:rsid w:val="00860E87"/>
    <w:rsid w:val="008613C0"/>
    <w:rsid w:val="00861519"/>
    <w:rsid w:val="0086158F"/>
    <w:rsid w:val="0086171F"/>
    <w:rsid w:val="0086199E"/>
    <w:rsid w:val="00861AA1"/>
    <w:rsid w:val="00861D98"/>
    <w:rsid w:val="008626F6"/>
    <w:rsid w:val="00862ADB"/>
    <w:rsid w:val="00862BA8"/>
    <w:rsid w:val="00862DC6"/>
    <w:rsid w:val="008632A6"/>
    <w:rsid w:val="0086343B"/>
    <w:rsid w:val="008634A6"/>
    <w:rsid w:val="008634D0"/>
    <w:rsid w:val="0086352D"/>
    <w:rsid w:val="00863737"/>
    <w:rsid w:val="0086399A"/>
    <w:rsid w:val="00863E2C"/>
    <w:rsid w:val="00863FA8"/>
    <w:rsid w:val="00863FB6"/>
    <w:rsid w:val="00863FF9"/>
    <w:rsid w:val="008640FE"/>
    <w:rsid w:val="00864554"/>
    <w:rsid w:val="008647F7"/>
    <w:rsid w:val="0086495A"/>
    <w:rsid w:val="00864967"/>
    <w:rsid w:val="008649BC"/>
    <w:rsid w:val="00864B28"/>
    <w:rsid w:val="00865023"/>
    <w:rsid w:val="008654AF"/>
    <w:rsid w:val="008654C9"/>
    <w:rsid w:val="0086559F"/>
    <w:rsid w:val="0086587B"/>
    <w:rsid w:val="00865A2D"/>
    <w:rsid w:val="00865A54"/>
    <w:rsid w:val="00865DDA"/>
    <w:rsid w:val="00865E3C"/>
    <w:rsid w:val="008665F6"/>
    <w:rsid w:val="008668FC"/>
    <w:rsid w:val="00866BAB"/>
    <w:rsid w:val="00866E3D"/>
    <w:rsid w:val="008670C2"/>
    <w:rsid w:val="00867344"/>
    <w:rsid w:val="008673CE"/>
    <w:rsid w:val="0086761C"/>
    <w:rsid w:val="00867684"/>
    <w:rsid w:val="0086781F"/>
    <w:rsid w:val="00867E62"/>
    <w:rsid w:val="008701B4"/>
    <w:rsid w:val="008701F1"/>
    <w:rsid w:val="008704AB"/>
    <w:rsid w:val="00870A0E"/>
    <w:rsid w:val="00870F32"/>
    <w:rsid w:val="00870FFF"/>
    <w:rsid w:val="008713DA"/>
    <w:rsid w:val="00871632"/>
    <w:rsid w:val="0087165D"/>
    <w:rsid w:val="00871709"/>
    <w:rsid w:val="0087190A"/>
    <w:rsid w:val="00871BA7"/>
    <w:rsid w:val="00871CAC"/>
    <w:rsid w:val="0087201C"/>
    <w:rsid w:val="008720BA"/>
    <w:rsid w:val="00872189"/>
    <w:rsid w:val="008722D7"/>
    <w:rsid w:val="00872542"/>
    <w:rsid w:val="00872B2E"/>
    <w:rsid w:val="00872B51"/>
    <w:rsid w:val="00872E53"/>
    <w:rsid w:val="008732E7"/>
    <w:rsid w:val="00873509"/>
    <w:rsid w:val="00873A46"/>
    <w:rsid w:val="00873AB1"/>
    <w:rsid w:val="00873CCA"/>
    <w:rsid w:val="00873D17"/>
    <w:rsid w:val="00873D4A"/>
    <w:rsid w:val="00874029"/>
    <w:rsid w:val="008747B6"/>
    <w:rsid w:val="0087487B"/>
    <w:rsid w:val="0087489A"/>
    <w:rsid w:val="008748BA"/>
    <w:rsid w:val="008748E3"/>
    <w:rsid w:val="00874AE5"/>
    <w:rsid w:val="00874C38"/>
    <w:rsid w:val="00874E10"/>
    <w:rsid w:val="00875081"/>
    <w:rsid w:val="008751C6"/>
    <w:rsid w:val="00875474"/>
    <w:rsid w:val="0087560D"/>
    <w:rsid w:val="00875807"/>
    <w:rsid w:val="008758CA"/>
    <w:rsid w:val="00875A57"/>
    <w:rsid w:val="00875B8B"/>
    <w:rsid w:val="00875D00"/>
    <w:rsid w:val="00875E27"/>
    <w:rsid w:val="00876168"/>
    <w:rsid w:val="00876580"/>
    <w:rsid w:val="00876653"/>
    <w:rsid w:val="008766F2"/>
    <w:rsid w:val="00876AE0"/>
    <w:rsid w:val="00877601"/>
    <w:rsid w:val="00877677"/>
    <w:rsid w:val="008777BF"/>
    <w:rsid w:val="008779B2"/>
    <w:rsid w:val="00877D8E"/>
    <w:rsid w:val="00877DE6"/>
    <w:rsid w:val="00880075"/>
    <w:rsid w:val="008802FF"/>
    <w:rsid w:val="0088035F"/>
    <w:rsid w:val="008804AC"/>
    <w:rsid w:val="008807FC"/>
    <w:rsid w:val="00880964"/>
    <w:rsid w:val="00880A8C"/>
    <w:rsid w:val="00880ABE"/>
    <w:rsid w:val="00880CB6"/>
    <w:rsid w:val="00881073"/>
    <w:rsid w:val="00881221"/>
    <w:rsid w:val="0088143C"/>
    <w:rsid w:val="00881534"/>
    <w:rsid w:val="008815D0"/>
    <w:rsid w:val="0088176F"/>
    <w:rsid w:val="008818E4"/>
    <w:rsid w:val="00881A55"/>
    <w:rsid w:val="00881B71"/>
    <w:rsid w:val="008820D5"/>
    <w:rsid w:val="00882158"/>
    <w:rsid w:val="008821B0"/>
    <w:rsid w:val="00882588"/>
    <w:rsid w:val="008829F8"/>
    <w:rsid w:val="00882B38"/>
    <w:rsid w:val="00882EA6"/>
    <w:rsid w:val="00882FE6"/>
    <w:rsid w:val="008831C7"/>
    <w:rsid w:val="00883729"/>
    <w:rsid w:val="008838CD"/>
    <w:rsid w:val="00883941"/>
    <w:rsid w:val="00883A55"/>
    <w:rsid w:val="00883CE6"/>
    <w:rsid w:val="00883E69"/>
    <w:rsid w:val="00883EA3"/>
    <w:rsid w:val="00883F62"/>
    <w:rsid w:val="00883FD4"/>
    <w:rsid w:val="0088440F"/>
    <w:rsid w:val="008847FA"/>
    <w:rsid w:val="00884ADD"/>
    <w:rsid w:val="00884DDC"/>
    <w:rsid w:val="00884E19"/>
    <w:rsid w:val="00884EE3"/>
    <w:rsid w:val="00885131"/>
    <w:rsid w:val="00885355"/>
    <w:rsid w:val="00885529"/>
    <w:rsid w:val="00885536"/>
    <w:rsid w:val="00885B93"/>
    <w:rsid w:val="00885C58"/>
    <w:rsid w:val="00885EA1"/>
    <w:rsid w:val="00885F16"/>
    <w:rsid w:val="008865C5"/>
    <w:rsid w:val="0088698F"/>
    <w:rsid w:val="00886E55"/>
    <w:rsid w:val="00887192"/>
    <w:rsid w:val="00887400"/>
    <w:rsid w:val="008875E3"/>
    <w:rsid w:val="0088761A"/>
    <w:rsid w:val="00887754"/>
    <w:rsid w:val="00887984"/>
    <w:rsid w:val="00887CAB"/>
    <w:rsid w:val="00887D41"/>
    <w:rsid w:val="00887E69"/>
    <w:rsid w:val="008901A3"/>
    <w:rsid w:val="008908E2"/>
    <w:rsid w:val="00890996"/>
    <w:rsid w:val="00890D9C"/>
    <w:rsid w:val="00890E5B"/>
    <w:rsid w:val="00890E71"/>
    <w:rsid w:val="00891535"/>
    <w:rsid w:val="00891921"/>
    <w:rsid w:val="00891ED7"/>
    <w:rsid w:val="00891F11"/>
    <w:rsid w:val="0089212E"/>
    <w:rsid w:val="00892372"/>
    <w:rsid w:val="00892BC6"/>
    <w:rsid w:val="00892F7A"/>
    <w:rsid w:val="008930FF"/>
    <w:rsid w:val="00893109"/>
    <w:rsid w:val="008935D0"/>
    <w:rsid w:val="0089382C"/>
    <w:rsid w:val="00893A1A"/>
    <w:rsid w:val="00893B07"/>
    <w:rsid w:val="008943C1"/>
    <w:rsid w:val="00894D79"/>
    <w:rsid w:val="00894D87"/>
    <w:rsid w:val="00895118"/>
    <w:rsid w:val="00895422"/>
    <w:rsid w:val="0089576B"/>
    <w:rsid w:val="00895A4B"/>
    <w:rsid w:val="00895ADC"/>
    <w:rsid w:val="008961F3"/>
    <w:rsid w:val="00896201"/>
    <w:rsid w:val="00896275"/>
    <w:rsid w:val="008963C0"/>
    <w:rsid w:val="008965BD"/>
    <w:rsid w:val="00896682"/>
    <w:rsid w:val="00896986"/>
    <w:rsid w:val="00896A42"/>
    <w:rsid w:val="00896B6F"/>
    <w:rsid w:val="00896CB9"/>
    <w:rsid w:val="00896D06"/>
    <w:rsid w:val="00896D77"/>
    <w:rsid w:val="00896F28"/>
    <w:rsid w:val="00897535"/>
    <w:rsid w:val="00897918"/>
    <w:rsid w:val="0089793B"/>
    <w:rsid w:val="00897A2F"/>
    <w:rsid w:val="00897B79"/>
    <w:rsid w:val="00897C68"/>
    <w:rsid w:val="00897D42"/>
    <w:rsid w:val="00897E6E"/>
    <w:rsid w:val="00897E70"/>
    <w:rsid w:val="00897FD5"/>
    <w:rsid w:val="008A0100"/>
    <w:rsid w:val="008A010B"/>
    <w:rsid w:val="008A03A9"/>
    <w:rsid w:val="008A0550"/>
    <w:rsid w:val="008A0D1E"/>
    <w:rsid w:val="008A115E"/>
    <w:rsid w:val="008A1807"/>
    <w:rsid w:val="008A1824"/>
    <w:rsid w:val="008A1B20"/>
    <w:rsid w:val="008A1C62"/>
    <w:rsid w:val="008A1D72"/>
    <w:rsid w:val="008A20F9"/>
    <w:rsid w:val="008A214F"/>
    <w:rsid w:val="008A24A6"/>
    <w:rsid w:val="008A2A0D"/>
    <w:rsid w:val="008A30B8"/>
    <w:rsid w:val="008A36EC"/>
    <w:rsid w:val="008A39A1"/>
    <w:rsid w:val="008A4268"/>
    <w:rsid w:val="008A469C"/>
    <w:rsid w:val="008A49D2"/>
    <w:rsid w:val="008A4A5C"/>
    <w:rsid w:val="008A4C47"/>
    <w:rsid w:val="008A4DA1"/>
    <w:rsid w:val="008A4E84"/>
    <w:rsid w:val="008A5112"/>
    <w:rsid w:val="008A51B7"/>
    <w:rsid w:val="008A54A3"/>
    <w:rsid w:val="008A5690"/>
    <w:rsid w:val="008A573B"/>
    <w:rsid w:val="008A57E9"/>
    <w:rsid w:val="008A58CC"/>
    <w:rsid w:val="008A5A69"/>
    <w:rsid w:val="008A5A78"/>
    <w:rsid w:val="008A5C5E"/>
    <w:rsid w:val="008A6250"/>
    <w:rsid w:val="008A629C"/>
    <w:rsid w:val="008A6B39"/>
    <w:rsid w:val="008A6CB6"/>
    <w:rsid w:val="008A6E4D"/>
    <w:rsid w:val="008A6EE5"/>
    <w:rsid w:val="008A6F85"/>
    <w:rsid w:val="008A703F"/>
    <w:rsid w:val="008A741B"/>
    <w:rsid w:val="008A757B"/>
    <w:rsid w:val="008A7691"/>
    <w:rsid w:val="008A7807"/>
    <w:rsid w:val="008A7BDC"/>
    <w:rsid w:val="008A7DA4"/>
    <w:rsid w:val="008B07A3"/>
    <w:rsid w:val="008B0841"/>
    <w:rsid w:val="008B09E0"/>
    <w:rsid w:val="008B0BEB"/>
    <w:rsid w:val="008B0EC3"/>
    <w:rsid w:val="008B1175"/>
    <w:rsid w:val="008B153E"/>
    <w:rsid w:val="008B1F0F"/>
    <w:rsid w:val="008B1FB7"/>
    <w:rsid w:val="008B1FD1"/>
    <w:rsid w:val="008B210E"/>
    <w:rsid w:val="008B2263"/>
    <w:rsid w:val="008B2662"/>
    <w:rsid w:val="008B27D6"/>
    <w:rsid w:val="008B2C79"/>
    <w:rsid w:val="008B2E4D"/>
    <w:rsid w:val="008B3021"/>
    <w:rsid w:val="008B3069"/>
    <w:rsid w:val="008B31A6"/>
    <w:rsid w:val="008B38B8"/>
    <w:rsid w:val="008B3D2A"/>
    <w:rsid w:val="008B3F62"/>
    <w:rsid w:val="008B3FAF"/>
    <w:rsid w:val="008B40BB"/>
    <w:rsid w:val="008B43D7"/>
    <w:rsid w:val="008B46EF"/>
    <w:rsid w:val="008B475B"/>
    <w:rsid w:val="008B47D2"/>
    <w:rsid w:val="008B49D0"/>
    <w:rsid w:val="008B4A94"/>
    <w:rsid w:val="008B4B08"/>
    <w:rsid w:val="008B4B21"/>
    <w:rsid w:val="008B4FE1"/>
    <w:rsid w:val="008B50B1"/>
    <w:rsid w:val="008B5559"/>
    <w:rsid w:val="008B564D"/>
    <w:rsid w:val="008B581F"/>
    <w:rsid w:val="008B5FF7"/>
    <w:rsid w:val="008B633A"/>
    <w:rsid w:val="008B66FA"/>
    <w:rsid w:val="008B6799"/>
    <w:rsid w:val="008B6BB3"/>
    <w:rsid w:val="008B6BCE"/>
    <w:rsid w:val="008B6CC2"/>
    <w:rsid w:val="008B6F15"/>
    <w:rsid w:val="008B703B"/>
    <w:rsid w:val="008B72FB"/>
    <w:rsid w:val="008B7486"/>
    <w:rsid w:val="008B7A05"/>
    <w:rsid w:val="008B7AB3"/>
    <w:rsid w:val="008B7D57"/>
    <w:rsid w:val="008C0000"/>
    <w:rsid w:val="008C0223"/>
    <w:rsid w:val="008C037D"/>
    <w:rsid w:val="008C0449"/>
    <w:rsid w:val="008C0E94"/>
    <w:rsid w:val="008C125B"/>
    <w:rsid w:val="008C1265"/>
    <w:rsid w:val="008C12AC"/>
    <w:rsid w:val="008C1929"/>
    <w:rsid w:val="008C19AC"/>
    <w:rsid w:val="008C1A1D"/>
    <w:rsid w:val="008C1A35"/>
    <w:rsid w:val="008C1C31"/>
    <w:rsid w:val="008C1C7D"/>
    <w:rsid w:val="008C1D8A"/>
    <w:rsid w:val="008C1E55"/>
    <w:rsid w:val="008C2195"/>
    <w:rsid w:val="008C2381"/>
    <w:rsid w:val="008C23FB"/>
    <w:rsid w:val="008C2942"/>
    <w:rsid w:val="008C2CFF"/>
    <w:rsid w:val="008C30A2"/>
    <w:rsid w:val="008C32B4"/>
    <w:rsid w:val="008C33D7"/>
    <w:rsid w:val="008C3827"/>
    <w:rsid w:val="008C3CB8"/>
    <w:rsid w:val="008C4018"/>
    <w:rsid w:val="008C4063"/>
    <w:rsid w:val="008C48D5"/>
    <w:rsid w:val="008C4C76"/>
    <w:rsid w:val="008C4DAC"/>
    <w:rsid w:val="008C528B"/>
    <w:rsid w:val="008C52AC"/>
    <w:rsid w:val="008C559F"/>
    <w:rsid w:val="008C55A4"/>
    <w:rsid w:val="008C576E"/>
    <w:rsid w:val="008C5949"/>
    <w:rsid w:val="008C641A"/>
    <w:rsid w:val="008C6999"/>
    <w:rsid w:val="008C6BCA"/>
    <w:rsid w:val="008C7009"/>
    <w:rsid w:val="008C7124"/>
    <w:rsid w:val="008C765D"/>
    <w:rsid w:val="008C7EBA"/>
    <w:rsid w:val="008D08E6"/>
    <w:rsid w:val="008D0BDC"/>
    <w:rsid w:val="008D0C1A"/>
    <w:rsid w:val="008D0C23"/>
    <w:rsid w:val="008D0D1C"/>
    <w:rsid w:val="008D0EF2"/>
    <w:rsid w:val="008D1385"/>
    <w:rsid w:val="008D1427"/>
    <w:rsid w:val="008D1D2B"/>
    <w:rsid w:val="008D1E21"/>
    <w:rsid w:val="008D1F5E"/>
    <w:rsid w:val="008D20F2"/>
    <w:rsid w:val="008D226D"/>
    <w:rsid w:val="008D270C"/>
    <w:rsid w:val="008D2A67"/>
    <w:rsid w:val="008D302E"/>
    <w:rsid w:val="008D313A"/>
    <w:rsid w:val="008D3242"/>
    <w:rsid w:val="008D326B"/>
    <w:rsid w:val="008D34DE"/>
    <w:rsid w:val="008D37EA"/>
    <w:rsid w:val="008D3A93"/>
    <w:rsid w:val="008D43C3"/>
    <w:rsid w:val="008D4B09"/>
    <w:rsid w:val="008D4B7D"/>
    <w:rsid w:val="008D4C04"/>
    <w:rsid w:val="008D4CE6"/>
    <w:rsid w:val="008D4DE4"/>
    <w:rsid w:val="008D4E64"/>
    <w:rsid w:val="008D4EA7"/>
    <w:rsid w:val="008D4F9E"/>
    <w:rsid w:val="008D54BE"/>
    <w:rsid w:val="008D5696"/>
    <w:rsid w:val="008D5ABF"/>
    <w:rsid w:val="008D60BF"/>
    <w:rsid w:val="008D61F3"/>
    <w:rsid w:val="008D62AB"/>
    <w:rsid w:val="008D6488"/>
    <w:rsid w:val="008D65D9"/>
    <w:rsid w:val="008D692A"/>
    <w:rsid w:val="008D6A5F"/>
    <w:rsid w:val="008D6E4B"/>
    <w:rsid w:val="008D6EBC"/>
    <w:rsid w:val="008D70B9"/>
    <w:rsid w:val="008D755B"/>
    <w:rsid w:val="008D75DF"/>
    <w:rsid w:val="008D76C1"/>
    <w:rsid w:val="008D7AD3"/>
    <w:rsid w:val="008D7DC4"/>
    <w:rsid w:val="008E024B"/>
    <w:rsid w:val="008E0257"/>
    <w:rsid w:val="008E0363"/>
    <w:rsid w:val="008E052D"/>
    <w:rsid w:val="008E0C19"/>
    <w:rsid w:val="008E0C80"/>
    <w:rsid w:val="008E0D48"/>
    <w:rsid w:val="008E0DA3"/>
    <w:rsid w:val="008E0DC3"/>
    <w:rsid w:val="008E12BB"/>
    <w:rsid w:val="008E13CB"/>
    <w:rsid w:val="008E1417"/>
    <w:rsid w:val="008E1561"/>
    <w:rsid w:val="008E193C"/>
    <w:rsid w:val="008E21C0"/>
    <w:rsid w:val="008E2370"/>
    <w:rsid w:val="008E2B42"/>
    <w:rsid w:val="008E2C97"/>
    <w:rsid w:val="008E2F49"/>
    <w:rsid w:val="008E32B9"/>
    <w:rsid w:val="008E3579"/>
    <w:rsid w:val="008E35EB"/>
    <w:rsid w:val="008E3FE3"/>
    <w:rsid w:val="008E43DB"/>
    <w:rsid w:val="008E4AE4"/>
    <w:rsid w:val="008E4B3F"/>
    <w:rsid w:val="008E5277"/>
    <w:rsid w:val="008E55FD"/>
    <w:rsid w:val="008E5D9D"/>
    <w:rsid w:val="008E5DE4"/>
    <w:rsid w:val="008E5E76"/>
    <w:rsid w:val="008E5F99"/>
    <w:rsid w:val="008E603D"/>
    <w:rsid w:val="008E610A"/>
    <w:rsid w:val="008E6330"/>
    <w:rsid w:val="008E6495"/>
    <w:rsid w:val="008E6590"/>
    <w:rsid w:val="008E6839"/>
    <w:rsid w:val="008E6C81"/>
    <w:rsid w:val="008E6E4F"/>
    <w:rsid w:val="008E71C2"/>
    <w:rsid w:val="008E75DA"/>
    <w:rsid w:val="008E78EF"/>
    <w:rsid w:val="008E7B2B"/>
    <w:rsid w:val="008E7E06"/>
    <w:rsid w:val="008F00F9"/>
    <w:rsid w:val="008F05E1"/>
    <w:rsid w:val="008F084A"/>
    <w:rsid w:val="008F0880"/>
    <w:rsid w:val="008F092D"/>
    <w:rsid w:val="008F0B72"/>
    <w:rsid w:val="008F0D14"/>
    <w:rsid w:val="008F0E86"/>
    <w:rsid w:val="008F0F10"/>
    <w:rsid w:val="008F0F90"/>
    <w:rsid w:val="008F10DE"/>
    <w:rsid w:val="008F14EB"/>
    <w:rsid w:val="008F156E"/>
    <w:rsid w:val="008F1606"/>
    <w:rsid w:val="008F191A"/>
    <w:rsid w:val="008F1B18"/>
    <w:rsid w:val="008F1D74"/>
    <w:rsid w:val="008F205E"/>
    <w:rsid w:val="008F2524"/>
    <w:rsid w:val="008F265D"/>
    <w:rsid w:val="008F27B6"/>
    <w:rsid w:val="008F294E"/>
    <w:rsid w:val="008F298F"/>
    <w:rsid w:val="008F2BD0"/>
    <w:rsid w:val="008F2C1B"/>
    <w:rsid w:val="008F344D"/>
    <w:rsid w:val="008F3E95"/>
    <w:rsid w:val="008F434D"/>
    <w:rsid w:val="008F44AF"/>
    <w:rsid w:val="008F4628"/>
    <w:rsid w:val="008F4664"/>
    <w:rsid w:val="008F4B58"/>
    <w:rsid w:val="008F4E84"/>
    <w:rsid w:val="008F4F60"/>
    <w:rsid w:val="008F5095"/>
    <w:rsid w:val="008F515D"/>
    <w:rsid w:val="008F5167"/>
    <w:rsid w:val="008F55B0"/>
    <w:rsid w:val="008F582A"/>
    <w:rsid w:val="008F59C4"/>
    <w:rsid w:val="008F59D6"/>
    <w:rsid w:val="008F5D03"/>
    <w:rsid w:val="008F5D22"/>
    <w:rsid w:val="008F6056"/>
    <w:rsid w:val="008F60F2"/>
    <w:rsid w:val="008F645A"/>
    <w:rsid w:val="008F6721"/>
    <w:rsid w:val="008F67F9"/>
    <w:rsid w:val="008F6BB8"/>
    <w:rsid w:val="008F6F62"/>
    <w:rsid w:val="008F6F6D"/>
    <w:rsid w:val="008F71CC"/>
    <w:rsid w:val="008F7349"/>
    <w:rsid w:val="008F74F7"/>
    <w:rsid w:val="008F7629"/>
    <w:rsid w:val="008F7698"/>
    <w:rsid w:val="008F794F"/>
    <w:rsid w:val="008F79E4"/>
    <w:rsid w:val="008F7B2A"/>
    <w:rsid w:val="008F7E1C"/>
    <w:rsid w:val="0090038F"/>
    <w:rsid w:val="009004BC"/>
    <w:rsid w:val="00900702"/>
    <w:rsid w:val="00900B53"/>
    <w:rsid w:val="00900BE1"/>
    <w:rsid w:val="0090117D"/>
    <w:rsid w:val="009012FB"/>
    <w:rsid w:val="009016AE"/>
    <w:rsid w:val="009017FB"/>
    <w:rsid w:val="00901C7C"/>
    <w:rsid w:val="00901D8E"/>
    <w:rsid w:val="009020B7"/>
    <w:rsid w:val="00902152"/>
    <w:rsid w:val="009029BF"/>
    <w:rsid w:val="00902D20"/>
    <w:rsid w:val="0090302C"/>
    <w:rsid w:val="009030C4"/>
    <w:rsid w:val="009030C9"/>
    <w:rsid w:val="0090313A"/>
    <w:rsid w:val="009032D4"/>
    <w:rsid w:val="009032F0"/>
    <w:rsid w:val="0090334C"/>
    <w:rsid w:val="00903432"/>
    <w:rsid w:val="00903465"/>
    <w:rsid w:val="009036ED"/>
    <w:rsid w:val="00903874"/>
    <w:rsid w:val="00903D3E"/>
    <w:rsid w:val="00904162"/>
    <w:rsid w:val="00904447"/>
    <w:rsid w:val="009046B5"/>
    <w:rsid w:val="009047FD"/>
    <w:rsid w:val="00904E74"/>
    <w:rsid w:val="00904EDF"/>
    <w:rsid w:val="00904FCF"/>
    <w:rsid w:val="00904FF1"/>
    <w:rsid w:val="00905ED9"/>
    <w:rsid w:val="00905F70"/>
    <w:rsid w:val="00906174"/>
    <w:rsid w:val="009063B9"/>
    <w:rsid w:val="00906498"/>
    <w:rsid w:val="009064BE"/>
    <w:rsid w:val="009066C4"/>
    <w:rsid w:val="00906836"/>
    <w:rsid w:val="009069D6"/>
    <w:rsid w:val="00906BC9"/>
    <w:rsid w:val="00906CBF"/>
    <w:rsid w:val="00906CF8"/>
    <w:rsid w:val="00906F1D"/>
    <w:rsid w:val="009071D1"/>
    <w:rsid w:val="009073F8"/>
    <w:rsid w:val="00907C1B"/>
    <w:rsid w:val="00910185"/>
    <w:rsid w:val="00910263"/>
    <w:rsid w:val="00910471"/>
    <w:rsid w:val="00910E9B"/>
    <w:rsid w:val="0091132C"/>
    <w:rsid w:val="00911338"/>
    <w:rsid w:val="009114E4"/>
    <w:rsid w:val="00911632"/>
    <w:rsid w:val="00911651"/>
    <w:rsid w:val="00911820"/>
    <w:rsid w:val="00912559"/>
    <w:rsid w:val="00912979"/>
    <w:rsid w:val="00912ABE"/>
    <w:rsid w:val="00912AFA"/>
    <w:rsid w:val="00912C98"/>
    <w:rsid w:val="00912D11"/>
    <w:rsid w:val="00912E0B"/>
    <w:rsid w:val="00912E2C"/>
    <w:rsid w:val="00912F8D"/>
    <w:rsid w:val="0091311A"/>
    <w:rsid w:val="00913338"/>
    <w:rsid w:val="00913528"/>
    <w:rsid w:val="0091369B"/>
    <w:rsid w:val="00913952"/>
    <w:rsid w:val="00914263"/>
    <w:rsid w:val="00914450"/>
    <w:rsid w:val="00914898"/>
    <w:rsid w:val="00914A2F"/>
    <w:rsid w:val="00914BCC"/>
    <w:rsid w:val="00914C4E"/>
    <w:rsid w:val="00914F06"/>
    <w:rsid w:val="009154BD"/>
    <w:rsid w:val="009155A2"/>
    <w:rsid w:val="009158A9"/>
    <w:rsid w:val="009158F2"/>
    <w:rsid w:val="00915936"/>
    <w:rsid w:val="00915A9C"/>
    <w:rsid w:val="00915B3F"/>
    <w:rsid w:val="00915BDE"/>
    <w:rsid w:val="00915C73"/>
    <w:rsid w:val="00915F22"/>
    <w:rsid w:val="00915F8B"/>
    <w:rsid w:val="009164A2"/>
    <w:rsid w:val="009165ED"/>
    <w:rsid w:val="00916B05"/>
    <w:rsid w:val="00916E3D"/>
    <w:rsid w:val="00916F9A"/>
    <w:rsid w:val="00916FFD"/>
    <w:rsid w:val="00917504"/>
    <w:rsid w:val="00917623"/>
    <w:rsid w:val="0091796B"/>
    <w:rsid w:val="00917CCB"/>
    <w:rsid w:val="00917F3F"/>
    <w:rsid w:val="0092017D"/>
    <w:rsid w:val="009201AD"/>
    <w:rsid w:val="00920D0E"/>
    <w:rsid w:val="00920D1C"/>
    <w:rsid w:val="00920E10"/>
    <w:rsid w:val="009210A3"/>
    <w:rsid w:val="009210F5"/>
    <w:rsid w:val="0092112F"/>
    <w:rsid w:val="009211E7"/>
    <w:rsid w:val="0092129C"/>
    <w:rsid w:val="00921323"/>
    <w:rsid w:val="00921A85"/>
    <w:rsid w:val="00921CCF"/>
    <w:rsid w:val="009221D8"/>
    <w:rsid w:val="009221FA"/>
    <w:rsid w:val="00922242"/>
    <w:rsid w:val="00922446"/>
    <w:rsid w:val="009224FE"/>
    <w:rsid w:val="009225DB"/>
    <w:rsid w:val="00922A2D"/>
    <w:rsid w:val="00922AC0"/>
    <w:rsid w:val="00922FF1"/>
    <w:rsid w:val="009230E1"/>
    <w:rsid w:val="009230F4"/>
    <w:rsid w:val="009233B0"/>
    <w:rsid w:val="0092393A"/>
    <w:rsid w:val="00923FA0"/>
    <w:rsid w:val="009242F6"/>
    <w:rsid w:val="0092434E"/>
    <w:rsid w:val="009249A2"/>
    <w:rsid w:val="009252AF"/>
    <w:rsid w:val="009253CF"/>
    <w:rsid w:val="009254F7"/>
    <w:rsid w:val="00925540"/>
    <w:rsid w:val="00925672"/>
    <w:rsid w:val="009262F6"/>
    <w:rsid w:val="009266E8"/>
    <w:rsid w:val="0092671B"/>
    <w:rsid w:val="00926B14"/>
    <w:rsid w:val="00926B7C"/>
    <w:rsid w:val="00926D75"/>
    <w:rsid w:val="009276C6"/>
    <w:rsid w:val="00927A23"/>
    <w:rsid w:val="00927BFA"/>
    <w:rsid w:val="0093089D"/>
    <w:rsid w:val="009309D6"/>
    <w:rsid w:val="00930D4A"/>
    <w:rsid w:val="00930DE5"/>
    <w:rsid w:val="00931224"/>
    <w:rsid w:val="00931750"/>
    <w:rsid w:val="00931A07"/>
    <w:rsid w:val="00931B4A"/>
    <w:rsid w:val="00931D22"/>
    <w:rsid w:val="00931DC6"/>
    <w:rsid w:val="00931F5E"/>
    <w:rsid w:val="00932005"/>
    <w:rsid w:val="009321CF"/>
    <w:rsid w:val="009322DA"/>
    <w:rsid w:val="009324F9"/>
    <w:rsid w:val="009327C6"/>
    <w:rsid w:val="00933087"/>
    <w:rsid w:val="009333F3"/>
    <w:rsid w:val="00933489"/>
    <w:rsid w:val="00933551"/>
    <w:rsid w:val="00933808"/>
    <w:rsid w:val="009338D8"/>
    <w:rsid w:val="00933984"/>
    <w:rsid w:val="00933EFE"/>
    <w:rsid w:val="0093450B"/>
    <w:rsid w:val="009345DD"/>
    <w:rsid w:val="00934CA9"/>
    <w:rsid w:val="00935C63"/>
    <w:rsid w:val="00935DEF"/>
    <w:rsid w:val="00936008"/>
    <w:rsid w:val="0093641A"/>
    <w:rsid w:val="009364BC"/>
    <w:rsid w:val="009365C3"/>
    <w:rsid w:val="00936601"/>
    <w:rsid w:val="0093671B"/>
    <w:rsid w:val="00936790"/>
    <w:rsid w:val="0093696C"/>
    <w:rsid w:val="00936989"/>
    <w:rsid w:val="00936A7B"/>
    <w:rsid w:val="00936C56"/>
    <w:rsid w:val="00937112"/>
    <w:rsid w:val="00937390"/>
    <w:rsid w:val="00937591"/>
    <w:rsid w:val="009376DA"/>
    <w:rsid w:val="00937818"/>
    <w:rsid w:val="00937BDA"/>
    <w:rsid w:val="00937DE6"/>
    <w:rsid w:val="00937E9E"/>
    <w:rsid w:val="00937F83"/>
    <w:rsid w:val="00940367"/>
    <w:rsid w:val="0094043D"/>
    <w:rsid w:val="009404E1"/>
    <w:rsid w:val="0094058E"/>
    <w:rsid w:val="009405C4"/>
    <w:rsid w:val="0094064B"/>
    <w:rsid w:val="00940850"/>
    <w:rsid w:val="00940943"/>
    <w:rsid w:val="00940D9A"/>
    <w:rsid w:val="00940E17"/>
    <w:rsid w:val="00941A51"/>
    <w:rsid w:val="00941A98"/>
    <w:rsid w:val="00942131"/>
    <w:rsid w:val="00942245"/>
    <w:rsid w:val="00942310"/>
    <w:rsid w:val="00942372"/>
    <w:rsid w:val="00942760"/>
    <w:rsid w:val="009428B7"/>
    <w:rsid w:val="00942E86"/>
    <w:rsid w:val="00942F8A"/>
    <w:rsid w:val="009433C1"/>
    <w:rsid w:val="009433ED"/>
    <w:rsid w:val="00943735"/>
    <w:rsid w:val="00943C83"/>
    <w:rsid w:val="00943E2F"/>
    <w:rsid w:val="00944267"/>
    <w:rsid w:val="00944444"/>
    <w:rsid w:val="0094452C"/>
    <w:rsid w:val="00944680"/>
    <w:rsid w:val="00944C8D"/>
    <w:rsid w:val="009450C0"/>
    <w:rsid w:val="00945223"/>
    <w:rsid w:val="00945293"/>
    <w:rsid w:val="00945388"/>
    <w:rsid w:val="009455B3"/>
    <w:rsid w:val="00945629"/>
    <w:rsid w:val="009456A8"/>
    <w:rsid w:val="00945ABD"/>
    <w:rsid w:val="00945BD5"/>
    <w:rsid w:val="0094606D"/>
    <w:rsid w:val="009462A9"/>
    <w:rsid w:val="00946720"/>
    <w:rsid w:val="0094698D"/>
    <w:rsid w:val="00946A71"/>
    <w:rsid w:val="00946E1C"/>
    <w:rsid w:val="00946EF2"/>
    <w:rsid w:val="009471DC"/>
    <w:rsid w:val="00947229"/>
    <w:rsid w:val="009477CA"/>
    <w:rsid w:val="0094782E"/>
    <w:rsid w:val="00947855"/>
    <w:rsid w:val="00947B94"/>
    <w:rsid w:val="00947D63"/>
    <w:rsid w:val="009505D9"/>
    <w:rsid w:val="009507DD"/>
    <w:rsid w:val="00950E24"/>
    <w:rsid w:val="00950FF6"/>
    <w:rsid w:val="00951129"/>
    <w:rsid w:val="009516B8"/>
    <w:rsid w:val="00951B66"/>
    <w:rsid w:val="00951C08"/>
    <w:rsid w:val="00951C57"/>
    <w:rsid w:val="00951C6D"/>
    <w:rsid w:val="00951EF5"/>
    <w:rsid w:val="00952004"/>
    <w:rsid w:val="009520AF"/>
    <w:rsid w:val="00952831"/>
    <w:rsid w:val="00952904"/>
    <w:rsid w:val="00952B3B"/>
    <w:rsid w:val="00952D74"/>
    <w:rsid w:val="00952E0C"/>
    <w:rsid w:val="00953009"/>
    <w:rsid w:val="00953146"/>
    <w:rsid w:val="00953258"/>
    <w:rsid w:val="009532C8"/>
    <w:rsid w:val="009533FB"/>
    <w:rsid w:val="0095344C"/>
    <w:rsid w:val="009536B7"/>
    <w:rsid w:val="009537FD"/>
    <w:rsid w:val="00953922"/>
    <w:rsid w:val="00953934"/>
    <w:rsid w:val="00953945"/>
    <w:rsid w:val="00953BBE"/>
    <w:rsid w:val="0095403A"/>
    <w:rsid w:val="009542F9"/>
    <w:rsid w:val="0095481E"/>
    <w:rsid w:val="009549B5"/>
    <w:rsid w:val="00954F7B"/>
    <w:rsid w:val="0095510C"/>
    <w:rsid w:val="00955143"/>
    <w:rsid w:val="009552D2"/>
    <w:rsid w:val="009554B6"/>
    <w:rsid w:val="0095560E"/>
    <w:rsid w:val="00955657"/>
    <w:rsid w:val="009558DC"/>
    <w:rsid w:val="009558DE"/>
    <w:rsid w:val="00955A79"/>
    <w:rsid w:val="00955B5B"/>
    <w:rsid w:val="00955E28"/>
    <w:rsid w:val="00955E6D"/>
    <w:rsid w:val="00955E74"/>
    <w:rsid w:val="00956080"/>
    <w:rsid w:val="009560E7"/>
    <w:rsid w:val="00956110"/>
    <w:rsid w:val="00956264"/>
    <w:rsid w:val="009563A8"/>
    <w:rsid w:val="009567D0"/>
    <w:rsid w:val="009574E5"/>
    <w:rsid w:val="00957D27"/>
    <w:rsid w:val="00957D8D"/>
    <w:rsid w:val="00957F08"/>
    <w:rsid w:val="00960074"/>
    <w:rsid w:val="009602A2"/>
    <w:rsid w:val="0096041E"/>
    <w:rsid w:val="009608ED"/>
    <w:rsid w:val="009609B3"/>
    <w:rsid w:val="009609EB"/>
    <w:rsid w:val="00960BFE"/>
    <w:rsid w:val="00960CA3"/>
    <w:rsid w:val="00960EC5"/>
    <w:rsid w:val="00961013"/>
    <w:rsid w:val="0096161F"/>
    <w:rsid w:val="0096182A"/>
    <w:rsid w:val="009618F7"/>
    <w:rsid w:val="009619BC"/>
    <w:rsid w:val="00961B76"/>
    <w:rsid w:val="00961DD0"/>
    <w:rsid w:val="00961FBD"/>
    <w:rsid w:val="00962185"/>
    <w:rsid w:val="009622A4"/>
    <w:rsid w:val="0096265E"/>
    <w:rsid w:val="009626B7"/>
    <w:rsid w:val="009626E5"/>
    <w:rsid w:val="00962810"/>
    <w:rsid w:val="00962923"/>
    <w:rsid w:val="00962AFD"/>
    <w:rsid w:val="00962D5E"/>
    <w:rsid w:val="00962DD2"/>
    <w:rsid w:val="00962F01"/>
    <w:rsid w:val="00962F10"/>
    <w:rsid w:val="00963288"/>
    <w:rsid w:val="0096375B"/>
    <w:rsid w:val="0096378C"/>
    <w:rsid w:val="00963CDA"/>
    <w:rsid w:val="00963D0B"/>
    <w:rsid w:val="00963F1A"/>
    <w:rsid w:val="00964277"/>
    <w:rsid w:val="0096428D"/>
    <w:rsid w:val="009643F3"/>
    <w:rsid w:val="00964422"/>
    <w:rsid w:val="00964F19"/>
    <w:rsid w:val="00964F1F"/>
    <w:rsid w:val="0096503D"/>
    <w:rsid w:val="0096526C"/>
    <w:rsid w:val="00965507"/>
    <w:rsid w:val="00965768"/>
    <w:rsid w:val="00965C2F"/>
    <w:rsid w:val="00966469"/>
    <w:rsid w:val="0096652D"/>
    <w:rsid w:val="0096673F"/>
    <w:rsid w:val="009667D0"/>
    <w:rsid w:val="00966961"/>
    <w:rsid w:val="00966982"/>
    <w:rsid w:val="00966997"/>
    <w:rsid w:val="00966B3D"/>
    <w:rsid w:val="0096719F"/>
    <w:rsid w:val="009673BB"/>
    <w:rsid w:val="00967717"/>
    <w:rsid w:val="009678C4"/>
    <w:rsid w:val="00967BE5"/>
    <w:rsid w:val="00967FA5"/>
    <w:rsid w:val="009703E5"/>
    <w:rsid w:val="00970848"/>
    <w:rsid w:val="00970E1F"/>
    <w:rsid w:val="00970F2C"/>
    <w:rsid w:val="009712AF"/>
    <w:rsid w:val="0097145A"/>
    <w:rsid w:val="009717DE"/>
    <w:rsid w:val="00971F20"/>
    <w:rsid w:val="00971F4B"/>
    <w:rsid w:val="00972116"/>
    <w:rsid w:val="009721D7"/>
    <w:rsid w:val="009723CA"/>
    <w:rsid w:val="00972A98"/>
    <w:rsid w:val="00972CDF"/>
    <w:rsid w:val="00972EFF"/>
    <w:rsid w:val="00973311"/>
    <w:rsid w:val="009737CC"/>
    <w:rsid w:val="0097388D"/>
    <w:rsid w:val="00973AE1"/>
    <w:rsid w:val="00973C99"/>
    <w:rsid w:val="00973FF5"/>
    <w:rsid w:val="009741A7"/>
    <w:rsid w:val="00974319"/>
    <w:rsid w:val="009744B9"/>
    <w:rsid w:val="009744FF"/>
    <w:rsid w:val="00974678"/>
    <w:rsid w:val="009748E9"/>
    <w:rsid w:val="00974A0B"/>
    <w:rsid w:val="00974A18"/>
    <w:rsid w:val="00974A67"/>
    <w:rsid w:val="00974E1C"/>
    <w:rsid w:val="00974F50"/>
    <w:rsid w:val="00975190"/>
    <w:rsid w:val="009755F6"/>
    <w:rsid w:val="009756DD"/>
    <w:rsid w:val="00975988"/>
    <w:rsid w:val="00975A41"/>
    <w:rsid w:val="00975D95"/>
    <w:rsid w:val="00975E99"/>
    <w:rsid w:val="00975EBC"/>
    <w:rsid w:val="009761DD"/>
    <w:rsid w:val="009761ED"/>
    <w:rsid w:val="0097633E"/>
    <w:rsid w:val="009764F4"/>
    <w:rsid w:val="009766EE"/>
    <w:rsid w:val="00976BB1"/>
    <w:rsid w:val="00976CDB"/>
    <w:rsid w:val="009770E4"/>
    <w:rsid w:val="00977112"/>
    <w:rsid w:val="00977604"/>
    <w:rsid w:val="009778D1"/>
    <w:rsid w:val="00977A08"/>
    <w:rsid w:val="00977C95"/>
    <w:rsid w:val="00977EEA"/>
    <w:rsid w:val="00980C22"/>
    <w:rsid w:val="00980C45"/>
    <w:rsid w:val="00981372"/>
    <w:rsid w:val="009816A2"/>
    <w:rsid w:val="0098193A"/>
    <w:rsid w:val="00981D27"/>
    <w:rsid w:val="0098226C"/>
    <w:rsid w:val="0098245F"/>
    <w:rsid w:val="009824C8"/>
    <w:rsid w:val="0098280B"/>
    <w:rsid w:val="00982A61"/>
    <w:rsid w:val="00982B01"/>
    <w:rsid w:val="00982B5C"/>
    <w:rsid w:val="00982FE8"/>
    <w:rsid w:val="0098303E"/>
    <w:rsid w:val="0098326B"/>
    <w:rsid w:val="009833E0"/>
    <w:rsid w:val="009837E3"/>
    <w:rsid w:val="0098383C"/>
    <w:rsid w:val="009838B4"/>
    <w:rsid w:val="00983CA9"/>
    <w:rsid w:val="00983E7F"/>
    <w:rsid w:val="00983EF5"/>
    <w:rsid w:val="009840D0"/>
    <w:rsid w:val="0098497F"/>
    <w:rsid w:val="00984C77"/>
    <w:rsid w:val="009850ED"/>
    <w:rsid w:val="009851BC"/>
    <w:rsid w:val="0098529E"/>
    <w:rsid w:val="009854B3"/>
    <w:rsid w:val="009858D1"/>
    <w:rsid w:val="00985C02"/>
    <w:rsid w:val="00985C22"/>
    <w:rsid w:val="00985C8C"/>
    <w:rsid w:val="00985CCD"/>
    <w:rsid w:val="00985D5E"/>
    <w:rsid w:val="00985DF7"/>
    <w:rsid w:val="00985FA3"/>
    <w:rsid w:val="0098608C"/>
    <w:rsid w:val="0098662F"/>
    <w:rsid w:val="0098669E"/>
    <w:rsid w:val="009866F3"/>
    <w:rsid w:val="00986766"/>
    <w:rsid w:val="00986BD5"/>
    <w:rsid w:val="00986ED9"/>
    <w:rsid w:val="00986F51"/>
    <w:rsid w:val="00986FF8"/>
    <w:rsid w:val="00987218"/>
    <w:rsid w:val="009873DB"/>
    <w:rsid w:val="0098751B"/>
    <w:rsid w:val="00987764"/>
    <w:rsid w:val="00987775"/>
    <w:rsid w:val="00987798"/>
    <w:rsid w:val="0098797D"/>
    <w:rsid w:val="00987AAF"/>
    <w:rsid w:val="00990454"/>
    <w:rsid w:val="0099056D"/>
    <w:rsid w:val="0099062F"/>
    <w:rsid w:val="009906B0"/>
    <w:rsid w:val="0099088B"/>
    <w:rsid w:val="00990A2E"/>
    <w:rsid w:val="00990A75"/>
    <w:rsid w:val="00990A7A"/>
    <w:rsid w:val="00990B64"/>
    <w:rsid w:val="00990C26"/>
    <w:rsid w:val="00991607"/>
    <w:rsid w:val="00991692"/>
    <w:rsid w:val="009916BC"/>
    <w:rsid w:val="0099192C"/>
    <w:rsid w:val="009919FA"/>
    <w:rsid w:val="00992225"/>
    <w:rsid w:val="0099227D"/>
    <w:rsid w:val="00992AF7"/>
    <w:rsid w:val="00993261"/>
    <w:rsid w:val="009932BA"/>
    <w:rsid w:val="0099371A"/>
    <w:rsid w:val="00993764"/>
    <w:rsid w:val="00993A4D"/>
    <w:rsid w:val="00993B46"/>
    <w:rsid w:val="00993C04"/>
    <w:rsid w:val="009943CA"/>
    <w:rsid w:val="00994B8A"/>
    <w:rsid w:val="00994C71"/>
    <w:rsid w:val="00994F3B"/>
    <w:rsid w:val="00995187"/>
    <w:rsid w:val="009954BC"/>
    <w:rsid w:val="00995524"/>
    <w:rsid w:val="0099592A"/>
    <w:rsid w:val="00995CDC"/>
    <w:rsid w:val="0099622A"/>
    <w:rsid w:val="0099631C"/>
    <w:rsid w:val="009964F7"/>
    <w:rsid w:val="009968ED"/>
    <w:rsid w:val="009968F3"/>
    <w:rsid w:val="00996E3D"/>
    <w:rsid w:val="00996F01"/>
    <w:rsid w:val="00996FCA"/>
    <w:rsid w:val="009970F5"/>
    <w:rsid w:val="00997264"/>
    <w:rsid w:val="0099762E"/>
    <w:rsid w:val="00997A36"/>
    <w:rsid w:val="00997B47"/>
    <w:rsid w:val="00997C29"/>
    <w:rsid w:val="009A01A1"/>
    <w:rsid w:val="009A0296"/>
    <w:rsid w:val="009A0F85"/>
    <w:rsid w:val="009A10A6"/>
    <w:rsid w:val="009A124A"/>
    <w:rsid w:val="009A150E"/>
    <w:rsid w:val="009A16CD"/>
    <w:rsid w:val="009A16FF"/>
    <w:rsid w:val="009A19D6"/>
    <w:rsid w:val="009A1BD6"/>
    <w:rsid w:val="009A1F5D"/>
    <w:rsid w:val="009A20A2"/>
    <w:rsid w:val="009A2203"/>
    <w:rsid w:val="009A22B9"/>
    <w:rsid w:val="009A2650"/>
    <w:rsid w:val="009A295C"/>
    <w:rsid w:val="009A2C05"/>
    <w:rsid w:val="009A2C50"/>
    <w:rsid w:val="009A2D71"/>
    <w:rsid w:val="009A2E68"/>
    <w:rsid w:val="009A305D"/>
    <w:rsid w:val="009A306C"/>
    <w:rsid w:val="009A30F6"/>
    <w:rsid w:val="009A330D"/>
    <w:rsid w:val="009A37F5"/>
    <w:rsid w:val="009A384B"/>
    <w:rsid w:val="009A38C4"/>
    <w:rsid w:val="009A39D3"/>
    <w:rsid w:val="009A3AF8"/>
    <w:rsid w:val="009A3B53"/>
    <w:rsid w:val="009A3B7D"/>
    <w:rsid w:val="009A3D0E"/>
    <w:rsid w:val="009A3D2F"/>
    <w:rsid w:val="009A427A"/>
    <w:rsid w:val="009A436E"/>
    <w:rsid w:val="009A450C"/>
    <w:rsid w:val="009A4710"/>
    <w:rsid w:val="009A4847"/>
    <w:rsid w:val="009A4B67"/>
    <w:rsid w:val="009A5630"/>
    <w:rsid w:val="009A5762"/>
    <w:rsid w:val="009A5803"/>
    <w:rsid w:val="009A58D8"/>
    <w:rsid w:val="009A5B62"/>
    <w:rsid w:val="009A5BB6"/>
    <w:rsid w:val="009A5BD4"/>
    <w:rsid w:val="009A6121"/>
    <w:rsid w:val="009A63CC"/>
    <w:rsid w:val="009A68C0"/>
    <w:rsid w:val="009A697D"/>
    <w:rsid w:val="009A6E69"/>
    <w:rsid w:val="009A6EEE"/>
    <w:rsid w:val="009A704A"/>
    <w:rsid w:val="009A7642"/>
    <w:rsid w:val="009A77C6"/>
    <w:rsid w:val="009A7A5B"/>
    <w:rsid w:val="009A7AF1"/>
    <w:rsid w:val="009A7B5A"/>
    <w:rsid w:val="009A7E07"/>
    <w:rsid w:val="009B0420"/>
    <w:rsid w:val="009B0633"/>
    <w:rsid w:val="009B0637"/>
    <w:rsid w:val="009B0809"/>
    <w:rsid w:val="009B09E8"/>
    <w:rsid w:val="009B0C55"/>
    <w:rsid w:val="009B0F46"/>
    <w:rsid w:val="009B12D2"/>
    <w:rsid w:val="009B12FE"/>
    <w:rsid w:val="009B1323"/>
    <w:rsid w:val="009B1742"/>
    <w:rsid w:val="009B190D"/>
    <w:rsid w:val="009B1986"/>
    <w:rsid w:val="009B1C55"/>
    <w:rsid w:val="009B1C9D"/>
    <w:rsid w:val="009B1EAF"/>
    <w:rsid w:val="009B1F57"/>
    <w:rsid w:val="009B2190"/>
    <w:rsid w:val="009B2244"/>
    <w:rsid w:val="009B28A0"/>
    <w:rsid w:val="009B29A1"/>
    <w:rsid w:val="009B2AED"/>
    <w:rsid w:val="009B2C12"/>
    <w:rsid w:val="009B2D5D"/>
    <w:rsid w:val="009B2FA8"/>
    <w:rsid w:val="009B317A"/>
    <w:rsid w:val="009B322C"/>
    <w:rsid w:val="009B3489"/>
    <w:rsid w:val="009B3C10"/>
    <w:rsid w:val="009B403F"/>
    <w:rsid w:val="009B410D"/>
    <w:rsid w:val="009B4496"/>
    <w:rsid w:val="009B4BDC"/>
    <w:rsid w:val="009B4F19"/>
    <w:rsid w:val="009B52B4"/>
    <w:rsid w:val="009B569A"/>
    <w:rsid w:val="009B576A"/>
    <w:rsid w:val="009B57E8"/>
    <w:rsid w:val="009B5858"/>
    <w:rsid w:val="009B59FC"/>
    <w:rsid w:val="009B5BAF"/>
    <w:rsid w:val="009B5C4C"/>
    <w:rsid w:val="009B5DCA"/>
    <w:rsid w:val="009B5E78"/>
    <w:rsid w:val="009B5EA7"/>
    <w:rsid w:val="009B5F02"/>
    <w:rsid w:val="009B6036"/>
    <w:rsid w:val="009B639F"/>
    <w:rsid w:val="009B65EF"/>
    <w:rsid w:val="009B67B5"/>
    <w:rsid w:val="009B6989"/>
    <w:rsid w:val="009B6D23"/>
    <w:rsid w:val="009B72DC"/>
    <w:rsid w:val="009B77AF"/>
    <w:rsid w:val="009B7AB3"/>
    <w:rsid w:val="009B7BB7"/>
    <w:rsid w:val="009B7C1D"/>
    <w:rsid w:val="009C050B"/>
    <w:rsid w:val="009C075F"/>
    <w:rsid w:val="009C0764"/>
    <w:rsid w:val="009C0BE4"/>
    <w:rsid w:val="009C0DEA"/>
    <w:rsid w:val="009C1BAA"/>
    <w:rsid w:val="009C1D1D"/>
    <w:rsid w:val="009C1D5A"/>
    <w:rsid w:val="009C1DB3"/>
    <w:rsid w:val="009C1E56"/>
    <w:rsid w:val="009C23F6"/>
    <w:rsid w:val="009C24C1"/>
    <w:rsid w:val="009C25AF"/>
    <w:rsid w:val="009C2787"/>
    <w:rsid w:val="009C28ED"/>
    <w:rsid w:val="009C2C49"/>
    <w:rsid w:val="009C2E0B"/>
    <w:rsid w:val="009C2F0A"/>
    <w:rsid w:val="009C31E7"/>
    <w:rsid w:val="009C32E9"/>
    <w:rsid w:val="009C3533"/>
    <w:rsid w:val="009C39C2"/>
    <w:rsid w:val="009C4425"/>
    <w:rsid w:val="009C457B"/>
    <w:rsid w:val="009C4C39"/>
    <w:rsid w:val="009C4EDF"/>
    <w:rsid w:val="009C51D6"/>
    <w:rsid w:val="009C522F"/>
    <w:rsid w:val="009C535F"/>
    <w:rsid w:val="009C53E4"/>
    <w:rsid w:val="009C585E"/>
    <w:rsid w:val="009C5C26"/>
    <w:rsid w:val="009C5C7F"/>
    <w:rsid w:val="009C5DBC"/>
    <w:rsid w:val="009C5F4F"/>
    <w:rsid w:val="009C671C"/>
    <w:rsid w:val="009C6CDA"/>
    <w:rsid w:val="009C6E6B"/>
    <w:rsid w:val="009C715F"/>
    <w:rsid w:val="009C7295"/>
    <w:rsid w:val="009C77C8"/>
    <w:rsid w:val="009C7B3E"/>
    <w:rsid w:val="009C7B6F"/>
    <w:rsid w:val="009C7E15"/>
    <w:rsid w:val="009C7FD8"/>
    <w:rsid w:val="009C7FFC"/>
    <w:rsid w:val="009D01AE"/>
    <w:rsid w:val="009D0354"/>
    <w:rsid w:val="009D0AE5"/>
    <w:rsid w:val="009D0B7F"/>
    <w:rsid w:val="009D0E8B"/>
    <w:rsid w:val="009D0EBF"/>
    <w:rsid w:val="009D102B"/>
    <w:rsid w:val="009D1178"/>
    <w:rsid w:val="009D15D4"/>
    <w:rsid w:val="009D17C5"/>
    <w:rsid w:val="009D1AB0"/>
    <w:rsid w:val="009D1E57"/>
    <w:rsid w:val="009D1E9B"/>
    <w:rsid w:val="009D2241"/>
    <w:rsid w:val="009D234A"/>
    <w:rsid w:val="009D2452"/>
    <w:rsid w:val="009D2562"/>
    <w:rsid w:val="009D2B4B"/>
    <w:rsid w:val="009D2BAE"/>
    <w:rsid w:val="009D2C52"/>
    <w:rsid w:val="009D3097"/>
    <w:rsid w:val="009D3844"/>
    <w:rsid w:val="009D38D5"/>
    <w:rsid w:val="009D39E5"/>
    <w:rsid w:val="009D3B7B"/>
    <w:rsid w:val="009D3E36"/>
    <w:rsid w:val="009D3FFD"/>
    <w:rsid w:val="009D40FE"/>
    <w:rsid w:val="009D4291"/>
    <w:rsid w:val="009D465D"/>
    <w:rsid w:val="009D4BA9"/>
    <w:rsid w:val="009D4EDA"/>
    <w:rsid w:val="009D5047"/>
    <w:rsid w:val="009D5113"/>
    <w:rsid w:val="009D5265"/>
    <w:rsid w:val="009D54B2"/>
    <w:rsid w:val="009D56FA"/>
    <w:rsid w:val="009D5912"/>
    <w:rsid w:val="009D5958"/>
    <w:rsid w:val="009D60E3"/>
    <w:rsid w:val="009D642C"/>
    <w:rsid w:val="009D6696"/>
    <w:rsid w:val="009D66A9"/>
    <w:rsid w:val="009D6BB4"/>
    <w:rsid w:val="009D6D20"/>
    <w:rsid w:val="009D6DEF"/>
    <w:rsid w:val="009D6F99"/>
    <w:rsid w:val="009D7459"/>
    <w:rsid w:val="009D767B"/>
    <w:rsid w:val="009D792A"/>
    <w:rsid w:val="009D7B03"/>
    <w:rsid w:val="009D7DF1"/>
    <w:rsid w:val="009D7E18"/>
    <w:rsid w:val="009E0297"/>
    <w:rsid w:val="009E0553"/>
    <w:rsid w:val="009E1399"/>
    <w:rsid w:val="009E15E8"/>
    <w:rsid w:val="009E15FA"/>
    <w:rsid w:val="009E1A64"/>
    <w:rsid w:val="009E1B97"/>
    <w:rsid w:val="009E1BB9"/>
    <w:rsid w:val="009E1D0F"/>
    <w:rsid w:val="009E1F8C"/>
    <w:rsid w:val="009E20B9"/>
    <w:rsid w:val="009E2110"/>
    <w:rsid w:val="009E25CB"/>
    <w:rsid w:val="009E270D"/>
    <w:rsid w:val="009E27DD"/>
    <w:rsid w:val="009E2CF7"/>
    <w:rsid w:val="009E3332"/>
    <w:rsid w:val="009E34B1"/>
    <w:rsid w:val="009E3500"/>
    <w:rsid w:val="009E3750"/>
    <w:rsid w:val="009E37C2"/>
    <w:rsid w:val="009E3F25"/>
    <w:rsid w:val="009E41EE"/>
    <w:rsid w:val="009E4422"/>
    <w:rsid w:val="009E48B1"/>
    <w:rsid w:val="009E4E1B"/>
    <w:rsid w:val="009E4EA9"/>
    <w:rsid w:val="009E4F0C"/>
    <w:rsid w:val="009E5285"/>
    <w:rsid w:val="009E5592"/>
    <w:rsid w:val="009E570C"/>
    <w:rsid w:val="009E5833"/>
    <w:rsid w:val="009E5913"/>
    <w:rsid w:val="009E59C8"/>
    <w:rsid w:val="009E61FD"/>
    <w:rsid w:val="009E637E"/>
    <w:rsid w:val="009E63B4"/>
    <w:rsid w:val="009E65FB"/>
    <w:rsid w:val="009E67DF"/>
    <w:rsid w:val="009E6B5A"/>
    <w:rsid w:val="009E6BEF"/>
    <w:rsid w:val="009E6C33"/>
    <w:rsid w:val="009E6CB8"/>
    <w:rsid w:val="009E7056"/>
    <w:rsid w:val="009E70F0"/>
    <w:rsid w:val="009E71BA"/>
    <w:rsid w:val="009E7619"/>
    <w:rsid w:val="009E7988"/>
    <w:rsid w:val="009E7BA7"/>
    <w:rsid w:val="009F02F7"/>
    <w:rsid w:val="009F05A4"/>
    <w:rsid w:val="009F067D"/>
    <w:rsid w:val="009F0999"/>
    <w:rsid w:val="009F0ECA"/>
    <w:rsid w:val="009F0FD0"/>
    <w:rsid w:val="009F1464"/>
    <w:rsid w:val="009F1567"/>
    <w:rsid w:val="009F185C"/>
    <w:rsid w:val="009F18DA"/>
    <w:rsid w:val="009F1C33"/>
    <w:rsid w:val="009F1D53"/>
    <w:rsid w:val="009F1EAA"/>
    <w:rsid w:val="009F202A"/>
    <w:rsid w:val="009F2149"/>
    <w:rsid w:val="009F262D"/>
    <w:rsid w:val="009F26B9"/>
    <w:rsid w:val="009F27B2"/>
    <w:rsid w:val="009F297A"/>
    <w:rsid w:val="009F2A37"/>
    <w:rsid w:val="009F2B60"/>
    <w:rsid w:val="009F2C91"/>
    <w:rsid w:val="009F311F"/>
    <w:rsid w:val="009F322C"/>
    <w:rsid w:val="009F326E"/>
    <w:rsid w:val="009F32DF"/>
    <w:rsid w:val="009F347C"/>
    <w:rsid w:val="009F3673"/>
    <w:rsid w:val="009F36A3"/>
    <w:rsid w:val="009F3772"/>
    <w:rsid w:val="009F37D9"/>
    <w:rsid w:val="009F3B85"/>
    <w:rsid w:val="009F3F38"/>
    <w:rsid w:val="009F41E5"/>
    <w:rsid w:val="009F42D7"/>
    <w:rsid w:val="009F4490"/>
    <w:rsid w:val="009F46ED"/>
    <w:rsid w:val="009F489A"/>
    <w:rsid w:val="009F48EA"/>
    <w:rsid w:val="009F4A6A"/>
    <w:rsid w:val="009F4D11"/>
    <w:rsid w:val="009F4E54"/>
    <w:rsid w:val="009F4FBB"/>
    <w:rsid w:val="009F52F6"/>
    <w:rsid w:val="009F55A3"/>
    <w:rsid w:val="009F562E"/>
    <w:rsid w:val="009F5752"/>
    <w:rsid w:val="009F595B"/>
    <w:rsid w:val="009F5A2D"/>
    <w:rsid w:val="009F5D1B"/>
    <w:rsid w:val="009F5E52"/>
    <w:rsid w:val="009F61E7"/>
    <w:rsid w:val="009F657C"/>
    <w:rsid w:val="009F66F9"/>
    <w:rsid w:val="009F695A"/>
    <w:rsid w:val="009F6AFF"/>
    <w:rsid w:val="009F70FF"/>
    <w:rsid w:val="009F73B6"/>
    <w:rsid w:val="009F741C"/>
    <w:rsid w:val="009F756D"/>
    <w:rsid w:val="009F7CE2"/>
    <w:rsid w:val="009F7F75"/>
    <w:rsid w:val="009F7FF6"/>
    <w:rsid w:val="00A0005C"/>
    <w:rsid w:val="00A00126"/>
    <w:rsid w:val="00A006FF"/>
    <w:rsid w:val="00A008CF"/>
    <w:rsid w:val="00A008EB"/>
    <w:rsid w:val="00A0090C"/>
    <w:rsid w:val="00A009D2"/>
    <w:rsid w:val="00A00C08"/>
    <w:rsid w:val="00A00CD2"/>
    <w:rsid w:val="00A00D15"/>
    <w:rsid w:val="00A00D30"/>
    <w:rsid w:val="00A00DB8"/>
    <w:rsid w:val="00A00DF1"/>
    <w:rsid w:val="00A00F92"/>
    <w:rsid w:val="00A01207"/>
    <w:rsid w:val="00A012D7"/>
    <w:rsid w:val="00A01427"/>
    <w:rsid w:val="00A0144F"/>
    <w:rsid w:val="00A01641"/>
    <w:rsid w:val="00A01680"/>
    <w:rsid w:val="00A0180C"/>
    <w:rsid w:val="00A01816"/>
    <w:rsid w:val="00A0193E"/>
    <w:rsid w:val="00A01B13"/>
    <w:rsid w:val="00A01B3B"/>
    <w:rsid w:val="00A01B6A"/>
    <w:rsid w:val="00A01C14"/>
    <w:rsid w:val="00A01CE8"/>
    <w:rsid w:val="00A01D03"/>
    <w:rsid w:val="00A01F24"/>
    <w:rsid w:val="00A02245"/>
    <w:rsid w:val="00A02602"/>
    <w:rsid w:val="00A0291F"/>
    <w:rsid w:val="00A02959"/>
    <w:rsid w:val="00A02B64"/>
    <w:rsid w:val="00A0316D"/>
    <w:rsid w:val="00A03556"/>
    <w:rsid w:val="00A03638"/>
    <w:rsid w:val="00A03790"/>
    <w:rsid w:val="00A037F0"/>
    <w:rsid w:val="00A03965"/>
    <w:rsid w:val="00A03CA7"/>
    <w:rsid w:val="00A03D35"/>
    <w:rsid w:val="00A0404C"/>
    <w:rsid w:val="00A04279"/>
    <w:rsid w:val="00A044B1"/>
    <w:rsid w:val="00A046BF"/>
    <w:rsid w:val="00A0499A"/>
    <w:rsid w:val="00A049A0"/>
    <w:rsid w:val="00A04C7B"/>
    <w:rsid w:val="00A04CEE"/>
    <w:rsid w:val="00A04D46"/>
    <w:rsid w:val="00A04E15"/>
    <w:rsid w:val="00A04F54"/>
    <w:rsid w:val="00A05325"/>
    <w:rsid w:val="00A053CA"/>
    <w:rsid w:val="00A054D1"/>
    <w:rsid w:val="00A054D5"/>
    <w:rsid w:val="00A05BCC"/>
    <w:rsid w:val="00A066CD"/>
    <w:rsid w:val="00A068B4"/>
    <w:rsid w:val="00A069DE"/>
    <w:rsid w:val="00A06E05"/>
    <w:rsid w:val="00A06F7A"/>
    <w:rsid w:val="00A06FEF"/>
    <w:rsid w:val="00A07009"/>
    <w:rsid w:val="00A07130"/>
    <w:rsid w:val="00A0763A"/>
    <w:rsid w:val="00A07724"/>
    <w:rsid w:val="00A07809"/>
    <w:rsid w:val="00A07888"/>
    <w:rsid w:val="00A07966"/>
    <w:rsid w:val="00A079D7"/>
    <w:rsid w:val="00A07AC6"/>
    <w:rsid w:val="00A07DB5"/>
    <w:rsid w:val="00A1008A"/>
    <w:rsid w:val="00A101B2"/>
    <w:rsid w:val="00A10B2C"/>
    <w:rsid w:val="00A10C69"/>
    <w:rsid w:val="00A10CDD"/>
    <w:rsid w:val="00A10E3E"/>
    <w:rsid w:val="00A10E47"/>
    <w:rsid w:val="00A11028"/>
    <w:rsid w:val="00A11300"/>
    <w:rsid w:val="00A11438"/>
    <w:rsid w:val="00A114C5"/>
    <w:rsid w:val="00A11614"/>
    <w:rsid w:val="00A1178E"/>
    <w:rsid w:val="00A11905"/>
    <w:rsid w:val="00A11A01"/>
    <w:rsid w:val="00A11FB5"/>
    <w:rsid w:val="00A12115"/>
    <w:rsid w:val="00A12D09"/>
    <w:rsid w:val="00A12FAA"/>
    <w:rsid w:val="00A1342F"/>
    <w:rsid w:val="00A13547"/>
    <w:rsid w:val="00A13687"/>
    <w:rsid w:val="00A1376E"/>
    <w:rsid w:val="00A13B4E"/>
    <w:rsid w:val="00A13D3B"/>
    <w:rsid w:val="00A14507"/>
    <w:rsid w:val="00A1464C"/>
    <w:rsid w:val="00A14901"/>
    <w:rsid w:val="00A14A05"/>
    <w:rsid w:val="00A14C1D"/>
    <w:rsid w:val="00A14E56"/>
    <w:rsid w:val="00A15037"/>
    <w:rsid w:val="00A150C4"/>
    <w:rsid w:val="00A1530F"/>
    <w:rsid w:val="00A155BD"/>
    <w:rsid w:val="00A15C45"/>
    <w:rsid w:val="00A15F90"/>
    <w:rsid w:val="00A16405"/>
    <w:rsid w:val="00A16546"/>
    <w:rsid w:val="00A169CA"/>
    <w:rsid w:val="00A16C2E"/>
    <w:rsid w:val="00A16D89"/>
    <w:rsid w:val="00A17096"/>
    <w:rsid w:val="00A173AB"/>
    <w:rsid w:val="00A174BB"/>
    <w:rsid w:val="00A17551"/>
    <w:rsid w:val="00A17657"/>
    <w:rsid w:val="00A17706"/>
    <w:rsid w:val="00A17B94"/>
    <w:rsid w:val="00A17C61"/>
    <w:rsid w:val="00A17E38"/>
    <w:rsid w:val="00A20188"/>
    <w:rsid w:val="00A201BE"/>
    <w:rsid w:val="00A20274"/>
    <w:rsid w:val="00A203FB"/>
    <w:rsid w:val="00A20400"/>
    <w:rsid w:val="00A20759"/>
    <w:rsid w:val="00A208DE"/>
    <w:rsid w:val="00A20A26"/>
    <w:rsid w:val="00A20C6E"/>
    <w:rsid w:val="00A20D0A"/>
    <w:rsid w:val="00A212DC"/>
    <w:rsid w:val="00A212DD"/>
    <w:rsid w:val="00A218B5"/>
    <w:rsid w:val="00A21C79"/>
    <w:rsid w:val="00A21F27"/>
    <w:rsid w:val="00A21F39"/>
    <w:rsid w:val="00A2211C"/>
    <w:rsid w:val="00A223BD"/>
    <w:rsid w:val="00A22548"/>
    <w:rsid w:val="00A229D5"/>
    <w:rsid w:val="00A22C4A"/>
    <w:rsid w:val="00A22D3E"/>
    <w:rsid w:val="00A22DDB"/>
    <w:rsid w:val="00A23A7C"/>
    <w:rsid w:val="00A244AF"/>
    <w:rsid w:val="00A24517"/>
    <w:rsid w:val="00A24547"/>
    <w:rsid w:val="00A24C33"/>
    <w:rsid w:val="00A24DF5"/>
    <w:rsid w:val="00A24E31"/>
    <w:rsid w:val="00A25AB6"/>
    <w:rsid w:val="00A25CA8"/>
    <w:rsid w:val="00A261E4"/>
    <w:rsid w:val="00A2635D"/>
    <w:rsid w:val="00A264D9"/>
    <w:rsid w:val="00A26582"/>
    <w:rsid w:val="00A266BA"/>
    <w:rsid w:val="00A26EE6"/>
    <w:rsid w:val="00A27534"/>
    <w:rsid w:val="00A277C9"/>
    <w:rsid w:val="00A27A39"/>
    <w:rsid w:val="00A27CB6"/>
    <w:rsid w:val="00A27DF8"/>
    <w:rsid w:val="00A27FD9"/>
    <w:rsid w:val="00A30241"/>
    <w:rsid w:val="00A308CE"/>
    <w:rsid w:val="00A309EE"/>
    <w:rsid w:val="00A30BC3"/>
    <w:rsid w:val="00A30BE7"/>
    <w:rsid w:val="00A30C76"/>
    <w:rsid w:val="00A30D00"/>
    <w:rsid w:val="00A30DED"/>
    <w:rsid w:val="00A31126"/>
    <w:rsid w:val="00A31444"/>
    <w:rsid w:val="00A31477"/>
    <w:rsid w:val="00A317FC"/>
    <w:rsid w:val="00A318E5"/>
    <w:rsid w:val="00A31947"/>
    <w:rsid w:val="00A3199C"/>
    <w:rsid w:val="00A31A08"/>
    <w:rsid w:val="00A324AF"/>
    <w:rsid w:val="00A3251D"/>
    <w:rsid w:val="00A3267D"/>
    <w:rsid w:val="00A3280D"/>
    <w:rsid w:val="00A3284B"/>
    <w:rsid w:val="00A32922"/>
    <w:rsid w:val="00A32A0A"/>
    <w:rsid w:val="00A32DDB"/>
    <w:rsid w:val="00A32DE6"/>
    <w:rsid w:val="00A33027"/>
    <w:rsid w:val="00A33291"/>
    <w:rsid w:val="00A33349"/>
    <w:rsid w:val="00A3399A"/>
    <w:rsid w:val="00A33B2A"/>
    <w:rsid w:val="00A33B7E"/>
    <w:rsid w:val="00A34250"/>
    <w:rsid w:val="00A34476"/>
    <w:rsid w:val="00A34564"/>
    <w:rsid w:val="00A3491B"/>
    <w:rsid w:val="00A34959"/>
    <w:rsid w:val="00A34B38"/>
    <w:rsid w:val="00A34CE1"/>
    <w:rsid w:val="00A34E3D"/>
    <w:rsid w:val="00A34F4C"/>
    <w:rsid w:val="00A34F9D"/>
    <w:rsid w:val="00A351B1"/>
    <w:rsid w:val="00A352C1"/>
    <w:rsid w:val="00A3542C"/>
    <w:rsid w:val="00A3571B"/>
    <w:rsid w:val="00A35734"/>
    <w:rsid w:val="00A35936"/>
    <w:rsid w:val="00A35A28"/>
    <w:rsid w:val="00A35F49"/>
    <w:rsid w:val="00A35F75"/>
    <w:rsid w:val="00A35FC3"/>
    <w:rsid w:val="00A36460"/>
    <w:rsid w:val="00A36756"/>
    <w:rsid w:val="00A36EC4"/>
    <w:rsid w:val="00A36F5A"/>
    <w:rsid w:val="00A370D2"/>
    <w:rsid w:val="00A3734C"/>
    <w:rsid w:val="00A37904"/>
    <w:rsid w:val="00A400AC"/>
    <w:rsid w:val="00A402F5"/>
    <w:rsid w:val="00A40971"/>
    <w:rsid w:val="00A40A50"/>
    <w:rsid w:val="00A40A5A"/>
    <w:rsid w:val="00A40B80"/>
    <w:rsid w:val="00A40E3E"/>
    <w:rsid w:val="00A40E59"/>
    <w:rsid w:val="00A410D4"/>
    <w:rsid w:val="00A4110A"/>
    <w:rsid w:val="00A41719"/>
    <w:rsid w:val="00A419D4"/>
    <w:rsid w:val="00A41D30"/>
    <w:rsid w:val="00A42390"/>
    <w:rsid w:val="00A423A0"/>
    <w:rsid w:val="00A4253C"/>
    <w:rsid w:val="00A4288D"/>
    <w:rsid w:val="00A42CEF"/>
    <w:rsid w:val="00A43038"/>
    <w:rsid w:val="00A43166"/>
    <w:rsid w:val="00A43249"/>
    <w:rsid w:val="00A43434"/>
    <w:rsid w:val="00A434A0"/>
    <w:rsid w:val="00A43750"/>
    <w:rsid w:val="00A438F6"/>
    <w:rsid w:val="00A43A8C"/>
    <w:rsid w:val="00A44141"/>
    <w:rsid w:val="00A44587"/>
    <w:rsid w:val="00A44D1B"/>
    <w:rsid w:val="00A44FF1"/>
    <w:rsid w:val="00A45332"/>
    <w:rsid w:val="00A4533F"/>
    <w:rsid w:val="00A45408"/>
    <w:rsid w:val="00A4545D"/>
    <w:rsid w:val="00A454E7"/>
    <w:rsid w:val="00A4557C"/>
    <w:rsid w:val="00A45654"/>
    <w:rsid w:val="00A45708"/>
    <w:rsid w:val="00A4582C"/>
    <w:rsid w:val="00A4592F"/>
    <w:rsid w:val="00A46005"/>
    <w:rsid w:val="00A462CA"/>
    <w:rsid w:val="00A466A6"/>
    <w:rsid w:val="00A46788"/>
    <w:rsid w:val="00A46837"/>
    <w:rsid w:val="00A468F1"/>
    <w:rsid w:val="00A469CC"/>
    <w:rsid w:val="00A46A33"/>
    <w:rsid w:val="00A46A4F"/>
    <w:rsid w:val="00A46B9C"/>
    <w:rsid w:val="00A46D44"/>
    <w:rsid w:val="00A4705B"/>
    <w:rsid w:val="00A472E6"/>
    <w:rsid w:val="00A47646"/>
    <w:rsid w:val="00A4767C"/>
    <w:rsid w:val="00A476B3"/>
    <w:rsid w:val="00A4796A"/>
    <w:rsid w:val="00A4798D"/>
    <w:rsid w:val="00A47C9B"/>
    <w:rsid w:val="00A47ECD"/>
    <w:rsid w:val="00A47F94"/>
    <w:rsid w:val="00A5011C"/>
    <w:rsid w:val="00A5016B"/>
    <w:rsid w:val="00A5056A"/>
    <w:rsid w:val="00A5088B"/>
    <w:rsid w:val="00A50A7D"/>
    <w:rsid w:val="00A50B0A"/>
    <w:rsid w:val="00A50E8C"/>
    <w:rsid w:val="00A50F0A"/>
    <w:rsid w:val="00A512CE"/>
    <w:rsid w:val="00A5130D"/>
    <w:rsid w:val="00A513EF"/>
    <w:rsid w:val="00A51468"/>
    <w:rsid w:val="00A51824"/>
    <w:rsid w:val="00A51A3E"/>
    <w:rsid w:val="00A51BBF"/>
    <w:rsid w:val="00A51C97"/>
    <w:rsid w:val="00A520AC"/>
    <w:rsid w:val="00A5225D"/>
    <w:rsid w:val="00A525D6"/>
    <w:rsid w:val="00A52720"/>
    <w:rsid w:val="00A52EC1"/>
    <w:rsid w:val="00A533AB"/>
    <w:rsid w:val="00A53683"/>
    <w:rsid w:val="00A539CF"/>
    <w:rsid w:val="00A53D93"/>
    <w:rsid w:val="00A542F4"/>
    <w:rsid w:val="00A54377"/>
    <w:rsid w:val="00A5437F"/>
    <w:rsid w:val="00A543FD"/>
    <w:rsid w:val="00A545B0"/>
    <w:rsid w:val="00A54726"/>
    <w:rsid w:val="00A54977"/>
    <w:rsid w:val="00A54AF7"/>
    <w:rsid w:val="00A54D79"/>
    <w:rsid w:val="00A54E52"/>
    <w:rsid w:val="00A54EC7"/>
    <w:rsid w:val="00A5560B"/>
    <w:rsid w:val="00A5586E"/>
    <w:rsid w:val="00A55D19"/>
    <w:rsid w:val="00A5691A"/>
    <w:rsid w:val="00A569CB"/>
    <w:rsid w:val="00A56BAE"/>
    <w:rsid w:val="00A5706A"/>
    <w:rsid w:val="00A570D9"/>
    <w:rsid w:val="00A57148"/>
    <w:rsid w:val="00A573E6"/>
    <w:rsid w:val="00A5774D"/>
    <w:rsid w:val="00A605CD"/>
    <w:rsid w:val="00A60763"/>
    <w:rsid w:val="00A6089C"/>
    <w:rsid w:val="00A60A04"/>
    <w:rsid w:val="00A60C91"/>
    <w:rsid w:val="00A60DFA"/>
    <w:rsid w:val="00A614B2"/>
    <w:rsid w:val="00A6158F"/>
    <w:rsid w:val="00A6174A"/>
    <w:rsid w:val="00A61CE9"/>
    <w:rsid w:val="00A61DA2"/>
    <w:rsid w:val="00A622FB"/>
    <w:rsid w:val="00A624E1"/>
    <w:rsid w:val="00A627AF"/>
    <w:rsid w:val="00A62969"/>
    <w:rsid w:val="00A62A0A"/>
    <w:rsid w:val="00A62B88"/>
    <w:rsid w:val="00A63022"/>
    <w:rsid w:val="00A63213"/>
    <w:rsid w:val="00A632B9"/>
    <w:rsid w:val="00A633C2"/>
    <w:rsid w:val="00A63727"/>
    <w:rsid w:val="00A639D4"/>
    <w:rsid w:val="00A647BA"/>
    <w:rsid w:val="00A649E7"/>
    <w:rsid w:val="00A64C9D"/>
    <w:rsid w:val="00A64D15"/>
    <w:rsid w:val="00A64DB9"/>
    <w:rsid w:val="00A64EA1"/>
    <w:rsid w:val="00A65174"/>
    <w:rsid w:val="00A653A9"/>
    <w:rsid w:val="00A66676"/>
    <w:rsid w:val="00A667B4"/>
    <w:rsid w:val="00A667D4"/>
    <w:rsid w:val="00A667F7"/>
    <w:rsid w:val="00A66BC4"/>
    <w:rsid w:val="00A66CE6"/>
    <w:rsid w:val="00A66DAF"/>
    <w:rsid w:val="00A66F28"/>
    <w:rsid w:val="00A6721A"/>
    <w:rsid w:val="00A6727F"/>
    <w:rsid w:val="00A67318"/>
    <w:rsid w:val="00A674C5"/>
    <w:rsid w:val="00A675B6"/>
    <w:rsid w:val="00A678C6"/>
    <w:rsid w:val="00A67BB1"/>
    <w:rsid w:val="00A67C86"/>
    <w:rsid w:val="00A67D5E"/>
    <w:rsid w:val="00A67E69"/>
    <w:rsid w:val="00A67E79"/>
    <w:rsid w:val="00A67EE5"/>
    <w:rsid w:val="00A70180"/>
    <w:rsid w:val="00A7055D"/>
    <w:rsid w:val="00A70829"/>
    <w:rsid w:val="00A70FD8"/>
    <w:rsid w:val="00A71007"/>
    <w:rsid w:val="00A7121F"/>
    <w:rsid w:val="00A7156C"/>
    <w:rsid w:val="00A71706"/>
    <w:rsid w:val="00A71772"/>
    <w:rsid w:val="00A71856"/>
    <w:rsid w:val="00A721C7"/>
    <w:rsid w:val="00A72652"/>
    <w:rsid w:val="00A72D38"/>
    <w:rsid w:val="00A7302F"/>
    <w:rsid w:val="00A73144"/>
    <w:rsid w:val="00A734A2"/>
    <w:rsid w:val="00A73647"/>
    <w:rsid w:val="00A7366C"/>
    <w:rsid w:val="00A73832"/>
    <w:rsid w:val="00A738FE"/>
    <w:rsid w:val="00A73A3F"/>
    <w:rsid w:val="00A73BB3"/>
    <w:rsid w:val="00A73EA5"/>
    <w:rsid w:val="00A740D8"/>
    <w:rsid w:val="00A740EC"/>
    <w:rsid w:val="00A744CC"/>
    <w:rsid w:val="00A745C6"/>
    <w:rsid w:val="00A7468B"/>
    <w:rsid w:val="00A746F4"/>
    <w:rsid w:val="00A74B7C"/>
    <w:rsid w:val="00A74CC1"/>
    <w:rsid w:val="00A74E2D"/>
    <w:rsid w:val="00A74E7A"/>
    <w:rsid w:val="00A74F4E"/>
    <w:rsid w:val="00A7532E"/>
    <w:rsid w:val="00A75773"/>
    <w:rsid w:val="00A757A0"/>
    <w:rsid w:val="00A75837"/>
    <w:rsid w:val="00A75BAD"/>
    <w:rsid w:val="00A75DFB"/>
    <w:rsid w:val="00A76056"/>
    <w:rsid w:val="00A763B0"/>
    <w:rsid w:val="00A765DD"/>
    <w:rsid w:val="00A76693"/>
    <w:rsid w:val="00A7686D"/>
    <w:rsid w:val="00A76C79"/>
    <w:rsid w:val="00A76D09"/>
    <w:rsid w:val="00A76F9B"/>
    <w:rsid w:val="00A76FA1"/>
    <w:rsid w:val="00A7700D"/>
    <w:rsid w:val="00A77408"/>
    <w:rsid w:val="00A77448"/>
    <w:rsid w:val="00A77903"/>
    <w:rsid w:val="00A77C10"/>
    <w:rsid w:val="00A77C1B"/>
    <w:rsid w:val="00A77CFE"/>
    <w:rsid w:val="00A801DB"/>
    <w:rsid w:val="00A80556"/>
    <w:rsid w:val="00A80653"/>
    <w:rsid w:val="00A80730"/>
    <w:rsid w:val="00A80BC8"/>
    <w:rsid w:val="00A80D3F"/>
    <w:rsid w:val="00A80D83"/>
    <w:rsid w:val="00A80DE8"/>
    <w:rsid w:val="00A80F5E"/>
    <w:rsid w:val="00A81313"/>
    <w:rsid w:val="00A81A3A"/>
    <w:rsid w:val="00A81B28"/>
    <w:rsid w:val="00A81BB4"/>
    <w:rsid w:val="00A8217D"/>
    <w:rsid w:val="00A825D0"/>
    <w:rsid w:val="00A82E8E"/>
    <w:rsid w:val="00A83172"/>
    <w:rsid w:val="00A8317A"/>
    <w:rsid w:val="00A83740"/>
    <w:rsid w:val="00A837EC"/>
    <w:rsid w:val="00A83842"/>
    <w:rsid w:val="00A83902"/>
    <w:rsid w:val="00A8394B"/>
    <w:rsid w:val="00A83C8C"/>
    <w:rsid w:val="00A83D9C"/>
    <w:rsid w:val="00A83D9D"/>
    <w:rsid w:val="00A847B6"/>
    <w:rsid w:val="00A8481B"/>
    <w:rsid w:val="00A84930"/>
    <w:rsid w:val="00A84932"/>
    <w:rsid w:val="00A84BA9"/>
    <w:rsid w:val="00A84C94"/>
    <w:rsid w:val="00A84EDC"/>
    <w:rsid w:val="00A850DB"/>
    <w:rsid w:val="00A8537B"/>
    <w:rsid w:val="00A85432"/>
    <w:rsid w:val="00A8553F"/>
    <w:rsid w:val="00A85636"/>
    <w:rsid w:val="00A85DF5"/>
    <w:rsid w:val="00A85F49"/>
    <w:rsid w:val="00A86244"/>
    <w:rsid w:val="00A86332"/>
    <w:rsid w:val="00A86467"/>
    <w:rsid w:val="00A866F7"/>
    <w:rsid w:val="00A8686B"/>
    <w:rsid w:val="00A869A4"/>
    <w:rsid w:val="00A86AEF"/>
    <w:rsid w:val="00A86BF9"/>
    <w:rsid w:val="00A8775A"/>
    <w:rsid w:val="00A878B9"/>
    <w:rsid w:val="00A878C5"/>
    <w:rsid w:val="00A87953"/>
    <w:rsid w:val="00A879FF"/>
    <w:rsid w:val="00A87C18"/>
    <w:rsid w:val="00A87E83"/>
    <w:rsid w:val="00A90145"/>
    <w:rsid w:val="00A9018F"/>
    <w:rsid w:val="00A901DD"/>
    <w:rsid w:val="00A9051F"/>
    <w:rsid w:val="00A906FB"/>
    <w:rsid w:val="00A90AD1"/>
    <w:rsid w:val="00A90F77"/>
    <w:rsid w:val="00A910C5"/>
    <w:rsid w:val="00A91322"/>
    <w:rsid w:val="00A91548"/>
    <w:rsid w:val="00A915C6"/>
    <w:rsid w:val="00A91779"/>
    <w:rsid w:val="00A9178D"/>
    <w:rsid w:val="00A9188E"/>
    <w:rsid w:val="00A918CE"/>
    <w:rsid w:val="00A9192D"/>
    <w:rsid w:val="00A91D9C"/>
    <w:rsid w:val="00A92279"/>
    <w:rsid w:val="00A922E8"/>
    <w:rsid w:val="00A92361"/>
    <w:rsid w:val="00A926A2"/>
    <w:rsid w:val="00A9297F"/>
    <w:rsid w:val="00A92A84"/>
    <w:rsid w:val="00A931F5"/>
    <w:rsid w:val="00A9341E"/>
    <w:rsid w:val="00A936B4"/>
    <w:rsid w:val="00A938E1"/>
    <w:rsid w:val="00A93D6F"/>
    <w:rsid w:val="00A941AF"/>
    <w:rsid w:val="00A943B1"/>
    <w:rsid w:val="00A9450E"/>
    <w:rsid w:val="00A9461B"/>
    <w:rsid w:val="00A94AAA"/>
    <w:rsid w:val="00A94B13"/>
    <w:rsid w:val="00A94BB5"/>
    <w:rsid w:val="00A94D0D"/>
    <w:rsid w:val="00A94EF3"/>
    <w:rsid w:val="00A950CE"/>
    <w:rsid w:val="00A95498"/>
    <w:rsid w:val="00A956B5"/>
    <w:rsid w:val="00A9576B"/>
    <w:rsid w:val="00A958DB"/>
    <w:rsid w:val="00A9590C"/>
    <w:rsid w:val="00A95BC7"/>
    <w:rsid w:val="00A95D8C"/>
    <w:rsid w:val="00A95DE5"/>
    <w:rsid w:val="00A95EBC"/>
    <w:rsid w:val="00A96041"/>
    <w:rsid w:val="00A960AD"/>
    <w:rsid w:val="00A96582"/>
    <w:rsid w:val="00A96D2B"/>
    <w:rsid w:val="00A96E53"/>
    <w:rsid w:val="00A97046"/>
    <w:rsid w:val="00A9711F"/>
    <w:rsid w:val="00A974F6"/>
    <w:rsid w:val="00A97613"/>
    <w:rsid w:val="00A97EDC"/>
    <w:rsid w:val="00AA02AA"/>
    <w:rsid w:val="00AA0354"/>
    <w:rsid w:val="00AA05EC"/>
    <w:rsid w:val="00AA0AED"/>
    <w:rsid w:val="00AA0F24"/>
    <w:rsid w:val="00AA124D"/>
    <w:rsid w:val="00AA1833"/>
    <w:rsid w:val="00AA1A74"/>
    <w:rsid w:val="00AA1BB9"/>
    <w:rsid w:val="00AA2416"/>
    <w:rsid w:val="00AA28DA"/>
    <w:rsid w:val="00AA2985"/>
    <w:rsid w:val="00AA2AD0"/>
    <w:rsid w:val="00AA3369"/>
    <w:rsid w:val="00AA3546"/>
    <w:rsid w:val="00AA3703"/>
    <w:rsid w:val="00AA372D"/>
    <w:rsid w:val="00AA379A"/>
    <w:rsid w:val="00AA3DA1"/>
    <w:rsid w:val="00AA3E2F"/>
    <w:rsid w:val="00AA3EA6"/>
    <w:rsid w:val="00AA3F3B"/>
    <w:rsid w:val="00AA41C6"/>
    <w:rsid w:val="00AA47F7"/>
    <w:rsid w:val="00AA4B98"/>
    <w:rsid w:val="00AA4F46"/>
    <w:rsid w:val="00AA50D0"/>
    <w:rsid w:val="00AA50F4"/>
    <w:rsid w:val="00AA520A"/>
    <w:rsid w:val="00AA5703"/>
    <w:rsid w:val="00AA5BF1"/>
    <w:rsid w:val="00AA5C6C"/>
    <w:rsid w:val="00AA5DBC"/>
    <w:rsid w:val="00AA5F8D"/>
    <w:rsid w:val="00AA5FA9"/>
    <w:rsid w:val="00AA5FB3"/>
    <w:rsid w:val="00AA6A72"/>
    <w:rsid w:val="00AA6B3D"/>
    <w:rsid w:val="00AA6C0E"/>
    <w:rsid w:val="00AA6F9D"/>
    <w:rsid w:val="00AA6FBA"/>
    <w:rsid w:val="00AA7363"/>
    <w:rsid w:val="00AA7369"/>
    <w:rsid w:val="00AA7591"/>
    <w:rsid w:val="00AA75D3"/>
    <w:rsid w:val="00AA77E8"/>
    <w:rsid w:val="00AB062D"/>
    <w:rsid w:val="00AB0640"/>
    <w:rsid w:val="00AB0754"/>
    <w:rsid w:val="00AB0ED9"/>
    <w:rsid w:val="00AB1187"/>
    <w:rsid w:val="00AB1501"/>
    <w:rsid w:val="00AB1700"/>
    <w:rsid w:val="00AB18E5"/>
    <w:rsid w:val="00AB1AE7"/>
    <w:rsid w:val="00AB1BE9"/>
    <w:rsid w:val="00AB1DB0"/>
    <w:rsid w:val="00AB1FE2"/>
    <w:rsid w:val="00AB209C"/>
    <w:rsid w:val="00AB2161"/>
    <w:rsid w:val="00AB23DF"/>
    <w:rsid w:val="00AB2806"/>
    <w:rsid w:val="00AB2BF3"/>
    <w:rsid w:val="00AB2F47"/>
    <w:rsid w:val="00AB3029"/>
    <w:rsid w:val="00AB311C"/>
    <w:rsid w:val="00AB37DC"/>
    <w:rsid w:val="00AB3B78"/>
    <w:rsid w:val="00AB3F0E"/>
    <w:rsid w:val="00AB40DC"/>
    <w:rsid w:val="00AB41C8"/>
    <w:rsid w:val="00AB42C6"/>
    <w:rsid w:val="00AB45BC"/>
    <w:rsid w:val="00AB46A0"/>
    <w:rsid w:val="00AB4924"/>
    <w:rsid w:val="00AB4957"/>
    <w:rsid w:val="00AB4A31"/>
    <w:rsid w:val="00AB4D6F"/>
    <w:rsid w:val="00AB4F8A"/>
    <w:rsid w:val="00AB5413"/>
    <w:rsid w:val="00AB546E"/>
    <w:rsid w:val="00AB5801"/>
    <w:rsid w:val="00AB5852"/>
    <w:rsid w:val="00AB5BA7"/>
    <w:rsid w:val="00AB5C72"/>
    <w:rsid w:val="00AB5EC4"/>
    <w:rsid w:val="00AB6184"/>
    <w:rsid w:val="00AB6804"/>
    <w:rsid w:val="00AB68D8"/>
    <w:rsid w:val="00AB6AA9"/>
    <w:rsid w:val="00AB701C"/>
    <w:rsid w:val="00AB703C"/>
    <w:rsid w:val="00AB7409"/>
    <w:rsid w:val="00AB797B"/>
    <w:rsid w:val="00AB7FCE"/>
    <w:rsid w:val="00AB7FF2"/>
    <w:rsid w:val="00AC0479"/>
    <w:rsid w:val="00AC05DB"/>
    <w:rsid w:val="00AC0733"/>
    <w:rsid w:val="00AC0C85"/>
    <w:rsid w:val="00AC0F9C"/>
    <w:rsid w:val="00AC18A9"/>
    <w:rsid w:val="00AC1B46"/>
    <w:rsid w:val="00AC2073"/>
    <w:rsid w:val="00AC22B2"/>
    <w:rsid w:val="00AC25D5"/>
    <w:rsid w:val="00AC2884"/>
    <w:rsid w:val="00AC2971"/>
    <w:rsid w:val="00AC2A5A"/>
    <w:rsid w:val="00AC2AF0"/>
    <w:rsid w:val="00AC2CCA"/>
    <w:rsid w:val="00AC2D5A"/>
    <w:rsid w:val="00AC2E58"/>
    <w:rsid w:val="00AC2E62"/>
    <w:rsid w:val="00AC2EFA"/>
    <w:rsid w:val="00AC2FF8"/>
    <w:rsid w:val="00AC30CF"/>
    <w:rsid w:val="00AC33AB"/>
    <w:rsid w:val="00AC3647"/>
    <w:rsid w:val="00AC365B"/>
    <w:rsid w:val="00AC373D"/>
    <w:rsid w:val="00AC3ACF"/>
    <w:rsid w:val="00AC3C98"/>
    <w:rsid w:val="00AC3E64"/>
    <w:rsid w:val="00AC3F18"/>
    <w:rsid w:val="00AC410A"/>
    <w:rsid w:val="00AC43B6"/>
    <w:rsid w:val="00AC4648"/>
    <w:rsid w:val="00AC48D6"/>
    <w:rsid w:val="00AC48F1"/>
    <w:rsid w:val="00AC4C51"/>
    <w:rsid w:val="00AC4CDC"/>
    <w:rsid w:val="00AC4FF8"/>
    <w:rsid w:val="00AC5127"/>
    <w:rsid w:val="00AC5175"/>
    <w:rsid w:val="00AC54D3"/>
    <w:rsid w:val="00AC551A"/>
    <w:rsid w:val="00AC5702"/>
    <w:rsid w:val="00AC5846"/>
    <w:rsid w:val="00AC5A5A"/>
    <w:rsid w:val="00AC5B0A"/>
    <w:rsid w:val="00AC6134"/>
    <w:rsid w:val="00AC6495"/>
    <w:rsid w:val="00AC66EF"/>
    <w:rsid w:val="00AC66F6"/>
    <w:rsid w:val="00AC686E"/>
    <w:rsid w:val="00AC6A1C"/>
    <w:rsid w:val="00AC6B17"/>
    <w:rsid w:val="00AC6C2A"/>
    <w:rsid w:val="00AC6E34"/>
    <w:rsid w:val="00AC6FF8"/>
    <w:rsid w:val="00AC704C"/>
    <w:rsid w:val="00AC70D8"/>
    <w:rsid w:val="00AC71E6"/>
    <w:rsid w:val="00AC7364"/>
    <w:rsid w:val="00AC73C0"/>
    <w:rsid w:val="00AC7A45"/>
    <w:rsid w:val="00AC7DE3"/>
    <w:rsid w:val="00AC7E33"/>
    <w:rsid w:val="00AC7F1B"/>
    <w:rsid w:val="00AD0385"/>
    <w:rsid w:val="00AD0386"/>
    <w:rsid w:val="00AD04ED"/>
    <w:rsid w:val="00AD078C"/>
    <w:rsid w:val="00AD095D"/>
    <w:rsid w:val="00AD0B89"/>
    <w:rsid w:val="00AD0CA1"/>
    <w:rsid w:val="00AD0D31"/>
    <w:rsid w:val="00AD16A4"/>
    <w:rsid w:val="00AD176B"/>
    <w:rsid w:val="00AD1919"/>
    <w:rsid w:val="00AD1A54"/>
    <w:rsid w:val="00AD1C4D"/>
    <w:rsid w:val="00AD1D5F"/>
    <w:rsid w:val="00AD20E6"/>
    <w:rsid w:val="00AD2296"/>
    <w:rsid w:val="00AD229C"/>
    <w:rsid w:val="00AD22CE"/>
    <w:rsid w:val="00AD253D"/>
    <w:rsid w:val="00AD2728"/>
    <w:rsid w:val="00AD2A92"/>
    <w:rsid w:val="00AD2EDE"/>
    <w:rsid w:val="00AD2F68"/>
    <w:rsid w:val="00AD31A7"/>
    <w:rsid w:val="00AD321D"/>
    <w:rsid w:val="00AD3304"/>
    <w:rsid w:val="00AD3475"/>
    <w:rsid w:val="00AD34D4"/>
    <w:rsid w:val="00AD385B"/>
    <w:rsid w:val="00AD389D"/>
    <w:rsid w:val="00AD39A5"/>
    <w:rsid w:val="00AD3B22"/>
    <w:rsid w:val="00AD3D33"/>
    <w:rsid w:val="00AD3D73"/>
    <w:rsid w:val="00AD3E5D"/>
    <w:rsid w:val="00AD3FA0"/>
    <w:rsid w:val="00AD4499"/>
    <w:rsid w:val="00AD45D2"/>
    <w:rsid w:val="00AD4608"/>
    <w:rsid w:val="00AD49A8"/>
    <w:rsid w:val="00AD49C9"/>
    <w:rsid w:val="00AD4B0C"/>
    <w:rsid w:val="00AD4DE1"/>
    <w:rsid w:val="00AD51A0"/>
    <w:rsid w:val="00AD532F"/>
    <w:rsid w:val="00AD543D"/>
    <w:rsid w:val="00AD56B9"/>
    <w:rsid w:val="00AD57D7"/>
    <w:rsid w:val="00AD598A"/>
    <w:rsid w:val="00AD5C98"/>
    <w:rsid w:val="00AD5CA6"/>
    <w:rsid w:val="00AD5EB9"/>
    <w:rsid w:val="00AD6006"/>
    <w:rsid w:val="00AD626C"/>
    <w:rsid w:val="00AD6384"/>
    <w:rsid w:val="00AD646C"/>
    <w:rsid w:val="00AD66AF"/>
    <w:rsid w:val="00AD6A5F"/>
    <w:rsid w:val="00AD6A74"/>
    <w:rsid w:val="00AD6BD2"/>
    <w:rsid w:val="00AD6C84"/>
    <w:rsid w:val="00AD6EB5"/>
    <w:rsid w:val="00AD7290"/>
    <w:rsid w:val="00AD73EF"/>
    <w:rsid w:val="00AD76C1"/>
    <w:rsid w:val="00AD7A54"/>
    <w:rsid w:val="00AE02B7"/>
    <w:rsid w:val="00AE043C"/>
    <w:rsid w:val="00AE0619"/>
    <w:rsid w:val="00AE0714"/>
    <w:rsid w:val="00AE0723"/>
    <w:rsid w:val="00AE0745"/>
    <w:rsid w:val="00AE0B8D"/>
    <w:rsid w:val="00AE0C67"/>
    <w:rsid w:val="00AE0DBA"/>
    <w:rsid w:val="00AE0E89"/>
    <w:rsid w:val="00AE1DE0"/>
    <w:rsid w:val="00AE1E12"/>
    <w:rsid w:val="00AE224B"/>
    <w:rsid w:val="00AE2489"/>
    <w:rsid w:val="00AE2574"/>
    <w:rsid w:val="00AE264E"/>
    <w:rsid w:val="00AE27FC"/>
    <w:rsid w:val="00AE2989"/>
    <w:rsid w:val="00AE2A09"/>
    <w:rsid w:val="00AE2A13"/>
    <w:rsid w:val="00AE2C07"/>
    <w:rsid w:val="00AE2C49"/>
    <w:rsid w:val="00AE2E42"/>
    <w:rsid w:val="00AE30EE"/>
    <w:rsid w:val="00AE3156"/>
    <w:rsid w:val="00AE33AC"/>
    <w:rsid w:val="00AE3440"/>
    <w:rsid w:val="00AE34E3"/>
    <w:rsid w:val="00AE390D"/>
    <w:rsid w:val="00AE39A9"/>
    <w:rsid w:val="00AE3A8E"/>
    <w:rsid w:val="00AE3E92"/>
    <w:rsid w:val="00AE4BFC"/>
    <w:rsid w:val="00AE4CB6"/>
    <w:rsid w:val="00AE4E6F"/>
    <w:rsid w:val="00AE4F56"/>
    <w:rsid w:val="00AE4FC4"/>
    <w:rsid w:val="00AE5238"/>
    <w:rsid w:val="00AE57A3"/>
    <w:rsid w:val="00AE5E84"/>
    <w:rsid w:val="00AE5F82"/>
    <w:rsid w:val="00AE6039"/>
    <w:rsid w:val="00AE6137"/>
    <w:rsid w:val="00AE6363"/>
    <w:rsid w:val="00AE71C8"/>
    <w:rsid w:val="00AE7376"/>
    <w:rsid w:val="00AE7520"/>
    <w:rsid w:val="00AE775C"/>
    <w:rsid w:val="00AE78D0"/>
    <w:rsid w:val="00AE79F2"/>
    <w:rsid w:val="00AE7C42"/>
    <w:rsid w:val="00AE7CC0"/>
    <w:rsid w:val="00AE7CD9"/>
    <w:rsid w:val="00AF00C1"/>
    <w:rsid w:val="00AF0382"/>
    <w:rsid w:val="00AF05EC"/>
    <w:rsid w:val="00AF05EE"/>
    <w:rsid w:val="00AF098C"/>
    <w:rsid w:val="00AF0A87"/>
    <w:rsid w:val="00AF0AF5"/>
    <w:rsid w:val="00AF0FEC"/>
    <w:rsid w:val="00AF1045"/>
    <w:rsid w:val="00AF11B1"/>
    <w:rsid w:val="00AF1546"/>
    <w:rsid w:val="00AF16FA"/>
    <w:rsid w:val="00AF17BC"/>
    <w:rsid w:val="00AF1FA1"/>
    <w:rsid w:val="00AF202C"/>
    <w:rsid w:val="00AF20C3"/>
    <w:rsid w:val="00AF2161"/>
    <w:rsid w:val="00AF22F0"/>
    <w:rsid w:val="00AF263B"/>
    <w:rsid w:val="00AF271D"/>
    <w:rsid w:val="00AF2940"/>
    <w:rsid w:val="00AF2CF7"/>
    <w:rsid w:val="00AF2D9D"/>
    <w:rsid w:val="00AF2DDB"/>
    <w:rsid w:val="00AF3081"/>
    <w:rsid w:val="00AF30B5"/>
    <w:rsid w:val="00AF341E"/>
    <w:rsid w:val="00AF393F"/>
    <w:rsid w:val="00AF3AAC"/>
    <w:rsid w:val="00AF3CD9"/>
    <w:rsid w:val="00AF40B5"/>
    <w:rsid w:val="00AF4273"/>
    <w:rsid w:val="00AF4325"/>
    <w:rsid w:val="00AF4708"/>
    <w:rsid w:val="00AF48BD"/>
    <w:rsid w:val="00AF504B"/>
    <w:rsid w:val="00AF51AC"/>
    <w:rsid w:val="00AF524B"/>
    <w:rsid w:val="00AF531F"/>
    <w:rsid w:val="00AF5722"/>
    <w:rsid w:val="00AF59D3"/>
    <w:rsid w:val="00AF5D30"/>
    <w:rsid w:val="00AF5D63"/>
    <w:rsid w:val="00AF5E8D"/>
    <w:rsid w:val="00AF5EB5"/>
    <w:rsid w:val="00AF6045"/>
    <w:rsid w:val="00AF6248"/>
    <w:rsid w:val="00AF6299"/>
    <w:rsid w:val="00AF62A2"/>
    <w:rsid w:val="00AF6306"/>
    <w:rsid w:val="00AF662F"/>
    <w:rsid w:val="00AF67FF"/>
    <w:rsid w:val="00AF6976"/>
    <w:rsid w:val="00AF6A63"/>
    <w:rsid w:val="00AF6D56"/>
    <w:rsid w:val="00AF6DA3"/>
    <w:rsid w:val="00AF6E25"/>
    <w:rsid w:val="00AF6E2B"/>
    <w:rsid w:val="00AF7154"/>
    <w:rsid w:val="00AF72A3"/>
    <w:rsid w:val="00AF77E2"/>
    <w:rsid w:val="00AF7A20"/>
    <w:rsid w:val="00AF7B19"/>
    <w:rsid w:val="00B00105"/>
    <w:rsid w:val="00B001AA"/>
    <w:rsid w:val="00B0022D"/>
    <w:rsid w:val="00B00289"/>
    <w:rsid w:val="00B0096C"/>
    <w:rsid w:val="00B009FA"/>
    <w:rsid w:val="00B00C87"/>
    <w:rsid w:val="00B00DB8"/>
    <w:rsid w:val="00B0121D"/>
    <w:rsid w:val="00B01774"/>
    <w:rsid w:val="00B01ABB"/>
    <w:rsid w:val="00B01D2A"/>
    <w:rsid w:val="00B01D79"/>
    <w:rsid w:val="00B020B4"/>
    <w:rsid w:val="00B02317"/>
    <w:rsid w:val="00B026DC"/>
    <w:rsid w:val="00B02740"/>
    <w:rsid w:val="00B02911"/>
    <w:rsid w:val="00B02944"/>
    <w:rsid w:val="00B02964"/>
    <w:rsid w:val="00B02EA7"/>
    <w:rsid w:val="00B0320E"/>
    <w:rsid w:val="00B03638"/>
    <w:rsid w:val="00B037D6"/>
    <w:rsid w:val="00B03B02"/>
    <w:rsid w:val="00B03BA1"/>
    <w:rsid w:val="00B03E67"/>
    <w:rsid w:val="00B047D2"/>
    <w:rsid w:val="00B04C7F"/>
    <w:rsid w:val="00B04F47"/>
    <w:rsid w:val="00B052D6"/>
    <w:rsid w:val="00B0540B"/>
    <w:rsid w:val="00B05595"/>
    <w:rsid w:val="00B05655"/>
    <w:rsid w:val="00B05B92"/>
    <w:rsid w:val="00B06261"/>
    <w:rsid w:val="00B066D4"/>
    <w:rsid w:val="00B0676D"/>
    <w:rsid w:val="00B06E05"/>
    <w:rsid w:val="00B07148"/>
    <w:rsid w:val="00B0727A"/>
    <w:rsid w:val="00B0746B"/>
    <w:rsid w:val="00B07618"/>
    <w:rsid w:val="00B0780F"/>
    <w:rsid w:val="00B07A19"/>
    <w:rsid w:val="00B07AF1"/>
    <w:rsid w:val="00B07CAE"/>
    <w:rsid w:val="00B07EF5"/>
    <w:rsid w:val="00B10194"/>
    <w:rsid w:val="00B104BD"/>
    <w:rsid w:val="00B1070A"/>
    <w:rsid w:val="00B10A65"/>
    <w:rsid w:val="00B10BDA"/>
    <w:rsid w:val="00B10EA2"/>
    <w:rsid w:val="00B11D64"/>
    <w:rsid w:val="00B123D0"/>
    <w:rsid w:val="00B12426"/>
    <w:rsid w:val="00B1274E"/>
    <w:rsid w:val="00B12766"/>
    <w:rsid w:val="00B12893"/>
    <w:rsid w:val="00B12BE7"/>
    <w:rsid w:val="00B12CA6"/>
    <w:rsid w:val="00B1386F"/>
    <w:rsid w:val="00B138C2"/>
    <w:rsid w:val="00B13B0D"/>
    <w:rsid w:val="00B13BEF"/>
    <w:rsid w:val="00B13DEF"/>
    <w:rsid w:val="00B13E55"/>
    <w:rsid w:val="00B13EFF"/>
    <w:rsid w:val="00B13F3F"/>
    <w:rsid w:val="00B14366"/>
    <w:rsid w:val="00B14839"/>
    <w:rsid w:val="00B14A5E"/>
    <w:rsid w:val="00B14D60"/>
    <w:rsid w:val="00B150B2"/>
    <w:rsid w:val="00B15206"/>
    <w:rsid w:val="00B15228"/>
    <w:rsid w:val="00B15624"/>
    <w:rsid w:val="00B15673"/>
    <w:rsid w:val="00B15C93"/>
    <w:rsid w:val="00B16019"/>
    <w:rsid w:val="00B161CB"/>
    <w:rsid w:val="00B163DC"/>
    <w:rsid w:val="00B165A3"/>
    <w:rsid w:val="00B16B52"/>
    <w:rsid w:val="00B17947"/>
    <w:rsid w:val="00B17BE4"/>
    <w:rsid w:val="00B17C21"/>
    <w:rsid w:val="00B20117"/>
    <w:rsid w:val="00B20179"/>
    <w:rsid w:val="00B204A3"/>
    <w:rsid w:val="00B2053C"/>
    <w:rsid w:val="00B205FB"/>
    <w:rsid w:val="00B20DDA"/>
    <w:rsid w:val="00B21129"/>
    <w:rsid w:val="00B21607"/>
    <w:rsid w:val="00B2170D"/>
    <w:rsid w:val="00B21804"/>
    <w:rsid w:val="00B21A15"/>
    <w:rsid w:val="00B21A66"/>
    <w:rsid w:val="00B21E0F"/>
    <w:rsid w:val="00B22414"/>
    <w:rsid w:val="00B22B9F"/>
    <w:rsid w:val="00B22D71"/>
    <w:rsid w:val="00B22E37"/>
    <w:rsid w:val="00B2342A"/>
    <w:rsid w:val="00B23575"/>
    <w:rsid w:val="00B23BEF"/>
    <w:rsid w:val="00B23D7B"/>
    <w:rsid w:val="00B23D88"/>
    <w:rsid w:val="00B23E3A"/>
    <w:rsid w:val="00B23FBD"/>
    <w:rsid w:val="00B23FF7"/>
    <w:rsid w:val="00B2402D"/>
    <w:rsid w:val="00B240D3"/>
    <w:rsid w:val="00B245CF"/>
    <w:rsid w:val="00B2462C"/>
    <w:rsid w:val="00B2464D"/>
    <w:rsid w:val="00B247FD"/>
    <w:rsid w:val="00B24985"/>
    <w:rsid w:val="00B24BF2"/>
    <w:rsid w:val="00B24C97"/>
    <w:rsid w:val="00B25485"/>
    <w:rsid w:val="00B25788"/>
    <w:rsid w:val="00B25D43"/>
    <w:rsid w:val="00B25E82"/>
    <w:rsid w:val="00B25F23"/>
    <w:rsid w:val="00B264FD"/>
    <w:rsid w:val="00B26971"/>
    <w:rsid w:val="00B26B18"/>
    <w:rsid w:val="00B26D09"/>
    <w:rsid w:val="00B26FB2"/>
    <w:rsid w:val="00B26FC0"/>
    <w:rsid w:val="00B27324"/>
    <w:rsid w:val="00B27365"/>
    <w:rsid w:val="00B275A3"/>
    <w:rsid w:val="00B27946"/>
    <w:rsid w:val="00B27F4D"/>
    <w:rsid w:val="00B27FC0"/>
    <w:rsid w:val="00B307BD"/>
    <w:rsid w:val="00B30E8E"/>
    <w:rsid w:val="00B310C4"/>
    <w:rsid w:val="00B316FE"/>
    <w:rsid w:val="00B31C2D"/>
    <w:rsid w:val="00B31C86"/>
    <w:rsid w:val="00B3324B"/>
    <w:rsid w:val="00B33505"/>
    <w:rsid w:val="00B338A1"/>
    <w:rsid w:val="00B339B6"/>
    <w:rsid w:val="00B33A74"/>
    <w:rsid w:val="00B33C1D"/>
    <w:rsid w:val="00B33EAD"/>
    <w:rsid w:val="00B33FBD"/>
    <w:rsid w:val="00B34235"/>
    <w:rsid w:val="00B34333"/>
    <w:rsid w:val="00B34797"/>
    <w:rsid w:val="00B34824"/>
    <w:rsid w:val="00B3497E"/>
    <w:rsid w:val="00B34C16"/>
    <w:rsid w:val="00B3518C"/>
    <w:rsid w:val="00B35271"/>
    <w:rsid w:val="00B3539B"/>
    <w:rsid w:val="00B35A0F"/>
    <w:rsid w:val="00B35B26"/>
    <w:rsid w:val="00B35DBA"/>
    <w:rsid w:val="00B35F30"/>
    <w:rsid w:val="00B35F7D"/>
    <w:rsid w:val="00B36003"/>
    <w:rsid w:val="00B363AC"/>
    <w:rsid w:val="00B36492"/>
    <w:rsid w:val="00B36555"/>
    <w:rsid w:val="00B36997"/>
    <w:rsid w:val="00B36DAC"/>
    <w:rsid w:val="00B36F5B"/>
    <w:rsid w:val="00B374FD"/>
    <w:rsid w:val="00B3752A"/>
    <w:rsid w:val="00B37662"/>
    <w:rsid w:val="00B37871"/>
    <w:rsid w:val="00B37C5D"/>
    <w:rsid w:val="00B37DE9"/>
    <w:rsid w:val="00B37F73"/>
    <w:rsid w:val="00B40433"/>
    <w:rsid w:val="00B4062A"/>
    <w:rsid w:val="00B40A26"/>
    <w:rsid w:val="00B40DD9"/>
    <w:rsid w:val="00B413B2"/>
    <w:rsid w:val="00B416C9"/>
    <w:rsid w:val="00B417FC"/>
    <w:rsid w:val="00B418DF"/>
    <w:rsid w:val="00B41C33"/>
    <w:rsid w:val="00B41C7E"/>
    <w:rsid w:val="00B425CC"/>
    <w:rsid w:val="00B429FE"/>
    <w:rsid w:val="00B42EDA"/>
    <w:rsid w:val="00B430F9"/>
    <w:rsid w:val="00B432B8"/>
    <w:rsid w:val="00B433C3"/>
    <w:rsid w:val="00B4365F"/>
    <w:rsid w:val="00B436DD"/>
    <w:rsid w:val="00B4378B"/>
    <w:rsid w:val="00B4378D"/>
    <w:rsid w:val="00B43883"/>
    <w:rsid w:val="00B43B1C"/>
    <w:rsid w:val="00B44776"/>
    <w:rsid w:val="00B44973"/>
    <w:rsid w:val="00B44A02"/>
    <w:rsid w:val="00B44C56"/>
    <w:rsid w:val="00B44C81"/>
    <w:rsid w:val="00B44E6D"/>
    <w:rsid w:val="00B4509D"/>
    <w:rsid w:val="00B45209"/>
    <w:rsid w:val="00B45728"/>
    <w:rsid w:val="00B458AD"/>
    <w:rsid w:val="00B45F72"/>
    <w:rsid w:val="00B45FF4"/>
    <w:rsid w:val="00B461E5"/>
    <w:rsid w:val="00B46366"/>
    <w:rsid w:val="00B465F5"/>
    <w:rsid w:val="00B466B0"/>
    <w:rsid w:val="00B46A15"/>
    <w:rsid w:val="00B46D88"/>
    <w:rsid w:val="00B46E19"/>
    <w:rsid w:val="00B46F9C"/>
    <w:rsid w:val="00B4701C"/>
    <w:rsid w:val="00B47B38"/>
    <w:rsid w:val="00B47C08"/>
    <w:rsid w:val="00B47D05"/>
    <w:rsid w:val="00B47D77"/>
    <w:rsid w:val="00B47DD6"/>
    <w:rsid w:val="00B502D9"/>
    <w:rsid w:val="00B504CC"/>
    <w:rsid w:val="00B505CC"/>
    <w:rsid w:val="00B50AE6"/>
    <w:rsid w:val="00B50E68"/>
    <w:rsid w:val="00B50EA0"/>
    <w:rsid w:val="00B51489"/>
    <w:rsid w:val="00B51693"/>
    <w:rsid w:val="00B51929"/>
    <w:rsid w:val="00B51ADD"/>
    <w:rsid w:val="00B522CD"/>
    <w:rsid w:val="00B5251C"/>
    <w:rsid w:val="00B52549"/>
    <w:rsid w:val="00B52747"/>
    <w:rsid w:val="00B52ACA"/>
    <w:rsid w:val="00B52B02"/>
    <w:rsid w:val="00B5320E"/>
    <w:rsid w:val="00B5336A"/>
    <w:rsid w:val="00B53A14"/>
    <w:rsid w:val="00B53E00"/>
    <w:rsid w:val="00B54118"/>
    <w:rsid w:val="00B54526"/>
    <w:rsid w:val="00B546C3"/>
    <w:rsid w:val="00B54759"/>
    <w:rsid w:val="00B547C9"/>
    <w:rsid w:val="00B5483B"/>
    <w:rsid w:val="00B54913"/>
    <w:rsid w:val="00B54D73"/>
    <w:rsid w:val="00B55159"/>
    <w:rsid w:val="00B55400"/>
    <w:rsid w:val="00B556F8"/>
    <w:rsid w:val="00B5578A"/>
    <w:rsid w:val="00B557EA"/>
    <w:rsid w:val="00B55848"/>
    <w:rsid w:val="00B5597B"/>
    <w:rsid w:val="00B55AB5"/>
    <w:rsid w:val="00B55B35"/>
    <w:rsid w:val="00B55D4A"/>
    <w:rsid w:val="00B5680A"/>
    <w:rsid w:val="00B56A98"/>
    <w:rsid w:val="00B56CD8"/>
    <w:rsid w:val="00B56D6D"/>
    <w:rsid w:val="00B56D7F"/>
    <w:rsid w:val="00B56F47"/>
    <w:rsid w:val="00B5711B"/>
    <w:rsid w:val="00B5711F"/>
    <w:rsid w:val="00B576C3"/>
    <w:rsid w:val="00B6014B"/>
    <w:rsid w:val="00B604CC"/>
    <w:rsid w:val="00B60597"/>
    <w:rsid w:val="00B60AB9"/>
    <w:rsid w:val="00B60BE5"/>
    <w:rsid w:val="00B6117E"/>
    <w:rsid w:val="00B61558"/>
    <w:rsid w:val="00B6157A"/>
    <w:rsid w:val="00B61BE0"/>
    <w:rsid w:val="00B61DA1"/>
    <w:rsid w:val="00B61EB3"/>
    <w:rsid w:val="00B61ED6"/>
    <w:rsid w:val="00B622E0"/>
    <w:rsid w:val="00B62523"/>
    <w:rsid w:val="00B6281B"/>
    <w:rsid w:val="00B62D28"/>
    <w:rsid w:val="00B6312F"/>
    <w:rsid w:val="00B633C7"/>
    <w:rsid w:val="00B63594"/>
    <w:rsid w:val="00B63942"/>
    <w:rsid w:val="00B63B3C"/>
    <w:rsid w:val="00B63BD8"/>
    <w:rsid w:val="00B63C0D"/>
    <w:rsid w:val="00B642D8"/>
    <w:rsid w:val="00B64320"/>
    <w:rsid w:val="00B647DD"/>
    <w:rsid w:val="00B6504B"/>
    <w:rsid w:val="00B6553B"/>
    <w:rsid w:val="00B6563E"/>
    <w:rsid w:val="00B65C80"/>
    <w:rsid w:val="00B65CEA"/>
    <w:rsid w:val="00B661CB"/>
    <w:rsid w:val="00B6623B"/>
    <w:rsid w:val="00B66512"/>
    <w:rsid w:val="00B66602"/>
    <w:rsid w:val="00B66801"/>
    <w:rsid w:val="00B66B9C"/>
    <w:rsid w:val="00B6754D"/>
    <w:rsid w:val="00B676A2"/>
    <w:rsid w:val="00B6771F"/>
    <w:rsid w:val="00B677B8"/>
    <w:rsid w:val="00B67DFF"/>
    <w:rsid w:val="00B67EDF"/>
    <w:rsid w:val="00B67F05"/>
    <w:rsid w:val="00B7018C"/>
    <w:rsid w:val="00B70342"/>
    <w:rsid w:val="00B70647"/>
    <w:rsid w:val="00B70656"/>
    <w:rsid w:val="00B70A00"/>
    <w:rsid w:val="00B70D6C"/>
    <w:rsid w:val="00B70E86"/>
    <w:rsid w:val="00B70F0B"/>
    <w:rsid w:val="00B70F8D"/>
    <w:rsid w:val="00B71018"/>
    <w:rsid w:val="00B71125"/>
    <w:rsid w:val="00B711D5"/>
    <w:rsid w:val="00B71485"/>
    <w:rsid w:val="00B714E2"/>
    <w:rsid w:val="00B717AC"/>
    <w:rsid w:val="00B71989"/>
    <w:rsid w:val="00B7198C"/>
    <w:rsid w:val="00B71E1B"/>
    <w:rsid w:val="00B7258C"/>
    <w:rsid w:val="00B7294F"/>
    <w:rsid w:val="00B72EE1"/>
    <w:rsid w:val="00B72F26"/>
    <w:rsid w:val="00B72FC0"/>
    <w:rsid w:val="00B73099"/>
    <w:rsid w:val="00B73240"/>
    <w:rsid w:val="00B732B9"/>
    <w:rsid w:val="00B73329"/>
    <w:rsid w:val="00B7344B"/>
    <w:rsid w:val="00B7371D"/>
    <w:rsid w:val="00B7373F"/>
    <w:rsid w:val="00B73774"/>
    <w:rsid w:val="00B737CB"/>
    <w:rsid w:val="00B73966"/>
    <w:rsid w:val="00B739FC"/>
    <w:rsid w:val="00B73CE5"/>
    <w:rsid w:val="00B73EA6"/>
    <w:rsid w:val="00B740F4"/>
    <w:rsid w:val="00B7411B"/>
    <w:rsid w:val="00B7422B"/>
    <w:rsid w:val="00B744F8"/>
    <w:rsid w:val="00B74C88"/>
    <w:rsid w:val="00B74E84"/>
    <w:rsid w:val="00B74EBF"/>
    <w:rsid w:val="00B751B0"/>
    <w:rsid w:val="00B752FE"/>
    <w:rsid w:val="00B7541F"/>
    <w:rsid w:val="00B756EA"/>
    <w:rsid w:val="00B756FA"/>
    <w:rsid w:val="00B75A4B"/>
    <w:rsid w:val="00B75AAB"/>
    <w:rsid w:val="00B76BD9"/>
    <w:rsid w:val="00B76CD1"/>
    <w:rsid w:val="00B76F14"/>
    <w:rsid w:val="00B77118"/>
    <w:rsid w:val="00B77263"/>
    <w:rsid w:val="00B77271"/>
    <w:rsid w:val="00B775F6"/>
    <w:rsid w:val="00B77B2E"/>
    <w:rsid w:val="00B77B8F"/>
    <w:rsid w:val="00B77ED4"/>
    <w:rsid w:val="00B77F8D"/>
    <w:rsid w:val="00B8002B"/>
    <w:rsid w:val="00B80240"/>
    <w:rsid w:val="00B80251"/>
    <w:rsid w:val="00B8043E"/>
    <w:rsid w:val="00B80581"/>
    <w:rsid w:val="00B805FC"/>
    <w:rsid w:val="00B8071A"/>
    <w:rsid w:val="00B80A58"/>
    <w:rsid w:val="00B80B97"/>
    <w:rsid w:val="00B80C41"/>
    <w:rsid w:val="00B80D90"/>
    <w:rsid w:val="00B80F15"/>
    <w:rsid w:val="00B8106E"/>
    <w:rsid w:val="00B816E3"/>
    <w:rsid w:val="00B81702"/>
    <w:rsid w:val="00B819BE"/>
    <w:rsid w:val="00B81A86"/>
    <w:rsid w:val="00B81C62"/>
    <w:rsid w:val="00B82991"/>
    <w:rsid w:val="00B82BB6"/>
    <w:rsid w:val="00B82BBA"/>
    <w:rsid w:val="00B82C2C"/>
    <w:rsid w:val="00B83022"/>
    <w:rsid w:val="00B83760"/>
    <w:rsid w:val="00B83802"/>
    <w:rsid w:val="00B83814"/>
    <w:rsid w:val="00B83E2B"/>
    <w:rsid w:val="00B844C4"/>
    <w:rsid w:val="00B84605"/>
    <w:rsid w:val="00B8468D"/>
    <w:rsid w:val="00B848BB"/>
    <w:rsid w:val="00B84A76"/>
    <w:rsid w:val="00B85057"/>
    <w:rsid w:val="00B85103"/>
    <w:rsid w:val="00B851B5"/>
    <w:rsid w:val="00B85666"/>
    <w:rsid w:val="00B8570B"/>
    <w:rsid w:val="00B85A49"/>
    <w:rsid w:val="00B85AC5"/>
    <w:rsid w:val="00B8620D"/>
    <w:rsid w:val="00B86277"/>
    <w:rsid w:val="00B862F3"/>
    <w:rsid w:val="00B866E0"/>
    <w:rsid w:val="00B86997"/>
    <w:rsid w:val="00B86A84"/>
    <w:rsid w:val="00B86F8D"/>
    <w:rsid w:val="00B8726B"/>
    <w:rsid w:val="00B872E4"/>
    <w:rsid w:val="00B87749"/>
    <w:rsid w:val="00B87B14"/>
    <w:rsid w:val="00B87BC7"/>
    <w:rsid w:val="00B87D73"/>
    <w:rsid w:val="00B87E9E"/>
    <w:rsid w:val="00B9003E"/>
    <w:rsid w:val="00B90449"/>
    <w:rsid w:val="00B906D0"/>
    <w:rsid w:val="00B908AD"/>
    <w:rsid w:val="00B90B81"/>
    <w:rsid w:val="00B90FB4"/>
    <w:rsid w:val="00B91047"/>
    <w:rsid w:val="00B91061"/>
    <w:rsid w:val="00B911C5"/>
    <w:rsid w:val="00B91258"/>
    <w:rsid w:val="00B91306"/>
    <w:rsid w:val="00B914AD"/>
    <w:rsid w:val="00B915FB"/>
    <w:rsid w:val="00B91788"/>
    <w:rsid w:val="00B91926"/>
    <w:rsid w:val="00B91E23"/>
    <w:rsid w:val="00B91E61"/>
    <w:rsid w:val="00B9221E"/>
    <w:rsid w:val="00B925FD"/>
    <w:rsid w:val="00B9264C"/>
    <w:rsid w:val="00B92804"/>
    <w:rsid w:val="00B92854"/>
    <w:rsid w:val="00B929DF"/>
    <w:rsid w:val="00B92A89"/>
    <w:rsid w:val="00B92CC8"/>
    <w:rsid w:val="00B936AB"/>
    <w:rsid w:val="00B938F6"/>
    <w:rsid w:val="00B93B32"/>
    <w:rsid w:val="00B93FAD"/>
    <w:rsid w:val="00B94114"/>
    <w:rsid w:val="00B944BD"/>
    <w:rsid w:val="00B944D2"/>
    <w:rsid w:val="00B94634"/>
    <w:rsid w:val="00B94722"/>
    <w:rsid w:val="00B94A6A"/>
    <w:rsid w:val="00B94D05"/>
    <w:rsid w:val="00B94DCF"/>
    <w:rsid w:val="00B951C0"/>
    <w:rsid w:val="00B9521A"/>
    <w:rsid w:val="00B953B2"/>
    <w:rsid w:val="00B95498"/>
    <w:rsid w:val="00B95BD2"/>
    <w:rsid w:val="00B960AE"/>
    <w:rsid w:val="00B962AE"/>
    <w:rsid w:val="00B962F4"/>
    <w:rsid w:val="00B96C7C"/>
    <w:rsid w:val="00B96D13"/>
    <w:rsid w:val="00B970CD"/>
    <w:rsid w:val="00B971B5"/>
    <w:rsid w:val="00B972B5"/>
    <w:rsid w:val="00B975AD"/>
    <w:rsid w:val="00B977E4"/>
    <w:rsid w:val="00B978C6"/>
    <w:rsid w:val="00B97CCE"/>
    <w:rsid w:val="00BA0306"/>
    <w:rsid w:val="00BA0469"/>
    <w:rsid w:val="00BA08F7"/>
    <w:rsid w:val="00BA0AB6"/>
    <w:rsid w:val="00BA0BAF"/>
    <w:rsid w:val="00BA0D17"/>
    <w:rsid w:val="00BA0D83"/>
    <w:rsid w:val="00BA0DB0"/>
    <w:rsid w:val="00BA1231"/>
    <w:rsid w:val="00BA153B"/>
    <w:rsid w:val="00BA1763"/>
    <w:rsid w:val="00BA19C9"/>
    <w:rsid w:val="00BA1C6A"/>
    <w:rsid w:val="00BA1CA7"/>
    <w:rsid w:val="00BA1D43"/>
    <w:rsid w:val="00BA20A4"/>
    <w:rsid w:val="00BA210A"/>
    <w:rsid w:val="00BA2114"/>
    <w:rsid w:val="00BA211F"/>
    <w:rsid w:val="00BA227D"/>
    <w:rsid w:val="00BA28A7"/>
    <w:rsid w:val="00BA2D17"/>
    <w:rsid w:val="00BA3480"/>
    <w:rsid w:val="00BA35FC"/>
    <w:rsid w:val="00BA39EF"/>
    <w:rsid w:val="00BA3EF1"/>
    <w:rsid w:val="00BA3F3B"/>
    <w:rsid w:val="00BA403B"/>
    <w:rsid w:val="00BA451F"/>
    <w:rsid w:val="00BA4AC5"/>
    <w:rsid w:val="00BA4F2B"/>
    <w:rsid w:val="00BA4FF8"/>
    <w:rsid w:val="00BA52E8"/>
    <w:rsid w:val="00BA5554"/>
    <w:rsid w:val="00BA55DD"/>
    <w:rsid w:val="00BA5985"/>
    <w:rsid w:val="00BA5E7B"/>
    <w:rsid w:val="00BA642F"/>
    <w:rsid w:val="00BA65AA"/>
    <w:rsid w:val="00BA65B1"/>
    <w:rsid w:val="00BA661C"/>
    <w:rsid w:val="00BA69C8"/>
    <w:rsid w:val="00BA6CEA"/>
    <w:rsid w:val="00BA6E93"/>
    <w:rsid w:val="00BA7598"/>
    <w:rsid w:val="00BA7A77"/>
    <w:rsid w:val="00BA7ED2"/>
    <w:rsid w:val="00BB0115"/>
    <w:rsid w:val="00BB0375"/>
    <w:rsid w:val="00BB03AA"/>
    <w:rsid w:val="00BB0856"/>
    <w:rsid w:val="00BB08D8"/>
    <w:rsid w:val="00BB0983"/>
    <w:rsid w:val="00BB0B24"/>
    <w:rsid w:val="00BB102B"/>
    <w:rsid w:val="00BB1468"/>
    <w:rsid w:val="00BB163C"/>
    <w:rsid w:val="00BB1761"/>
    <w:rsid w:val="00BB1B41"/>
    <w:rsid w:val="00BB1CF1"/>
    <w:rsid w:val="00BB1E38"/>
    <w:rsid w:val="00BB20B3"/>
    <w:rsid w:val="00BB27AE"/>
    <w:rsid w:val="00BB27DD"/>
    <w:rsid w:val="00BB2894"/>
    <w:rsid w:val="00BB290B"/>
    <w:rsid w:val="00BB2B09"/>
    <w:rsid w:val="00BB2C8B"/>
    <w:rsid w:val="00BB2DE8"/>
    <w:rsid w:val="00BB307B"/>
    <w:rsid w:val="00BB30B3"/>
    <w:rsid w:val="00BB3328"/>
    <w:rsid w:val="00BB33B8"/>
    <w:rsid w:val="00BB3547"/>
    <w:rsid w:val="00BB3550"/>
    <w:rsid w:val="00BB3A5F"/>
    <w:rsid w:val="00BB3C78"/>
    <w:rsid w:val="00BB3C9E"/>
    <w:rsid w:val="00BB3D4F"/>
    <w:rsid w:val="00BB42AF"/>
    <w:rsid w:val="00BB473F"/>
    <w:rsid w:val="00BB4789"/>
    <w:rsid w:val="00BB496D"/>
    <w:rsid w:val="00BB4A3A"/>
    <w:rsid w:val="00BB4B7E"/>
    <w:rsid w:val="00BB4F7A"/>
    <w:rsid w:val="00BB5273"/>
    <w:rsid w:val="00BB5675"/>
    <w:rsid w:val="00BB5F23"/>
    <w:rsid w:val="00BB5FBA"/>
    <w:rsid w:val="00BB62E7"/>
    <w:rsid w:val="00BB6367"/>
    <w:rsid w:val="00BB64C7"/>
    <w:rsid w:val="00BB655D"/>
    <w:rsid w:val="00BB67A5"/>
    <w:rsid w:val="00BB67BF"/>
    <w:rsid w:val="00BB6D29"/>
    <w:rsid w:val="00BB6F23"/>
    <w:rsid w:val="00BB7066"/>
    <w:rsid w:val="00BB74B1"/>
    <w:rsid w:val="00BB74EA"/>
    <w:rsid w:val="00BB79F6"/>
    <w:rsid w:val="00BB7A6D"/>
    <w:rsid w:val="00BB7F30"/>
    <w:rsid w:val="00BC003A"/>
    <w:rsid w:val="00BC01C7"/>
    <w:rsid w:val="00BC01FC"/>
    <w:rsid w:val="00BC08EC"/>
    <w:rsid w:val="00BC0952"/>
    <w:rsid w:val="00BC0A4B"/>
    <w:rsid w:val="00BC0C05"/>
    <w:rsid w:val="00BC0E57"/>
    <w:rsid w:val="00BC0E60"/>
    <w:rsid w:val="00BC0F0D"/>
    <w:rsid w:val="00BC0F5B"/>
    <w:rsid w:val="00BC10CE"/>
    <w:rsid w:val="00BC1846"/>
    <w:rsid w:val="00BC19F3"/>
    <w:rsid w:val="00BC1D90"/>
    <w:rsid w:val="00BC1F50"/>
    <w:rsid w:val="00BC2475"/>
    <w:rsid w:val="00BC265D"/>
    <w:rsid w:val="00BC2742"/>
    <w:rsid w:val="00BC2B20"/>
    <w:rsid w:val="00BC2D98"/>
    <w:rsid w:val="00BC31D5"/>
    <w:rsid w:val="00BC336B"/>
    <w:rsid w:val="00BC339B"/>
    <w:rsid w:val="00BC3E53"/>
    <w:rsid w:val="00BC4080"/>
    <w:rsid w:val="00BC42CE"/>
    <w:rsid w:val="00BC440A"/>
    <w:rsid w:val="00BC4416"/>
    <w:rsid w:val="00BC466F"/>
    <w:rsid w:val="00BC4850"/>
    <w:rsid w:val="00BC49B0"/>
    <w:rsid w:val="00BC4E31"/>
    <w:rsid w:val="00BC506E"/>
    <w:rsid w:val="00BC5166"/>
    <w:rsid w:val="00BC5361"/>
    <w:rsid w:val="00BC56FA"/>
    <w:rsid w:val="00BC5706"/>
    <w:rsid w:val="00BC5B08"/>
    <w:rsid w:val="00BC6114"/>
    <w:rsid w:val="00BC6377"/>
    <w:rsid w:val="00BC6D42"/>
    <w:rsid w:val="00BC70A6"/>
    <w:rsid w:val="00BC71F6"/>
    <w:rsid w:val="00BC7235"/>
    <w:rsid w:val="00BC72E9"/>
    <w:rsid w:val="00BC7771"/>
    <w:rsid w:val="00BC7CA8"/>
    <w:rsid w:val="00BD0227"/>
    <w:rsid w:val="00BD02E6"/>
    <w:rsid w:val="00BD05F6"/>
    <w:rsid w:val="00BD081C"/>
    <w:rsid w:val="00BD0A9D"/>
    <w:rsid w:val="00BD0BDC"/>
    <w:rsid w:val="00BD0DD9"/>
    <w:rsid w:val="00BD0E64"/>
    <w:rsid w:val="00BD14C2"/>
    <w:rsid w:val="00BD1625"/>
    <w:rsid w:val="00BD1648"/>
    <w:rsid w:val="00BD165E"/>
    <w:rsid w:val="00BD171D"/>
    <w:rsid w:val="00BD1844"/>
    <w:rsid w:val="00BD1AAE"/>
    <w:rsid w:val="00BD1D4B"/>
    <w:rsid w:val="00BD2090"/>
    <w:rsid w:val="00BD21C9"/>
    <w:rsid w:val="00BD223B"/>
    <w:rsid w:val="00BD2424"/>
    <w:rsid w:val="00BD25F9"/>
    <w:rsid w:val="00BD27A5"/>
    <w:rsid w:val="00BD286E"/>
    <w:rsid w:val="00BD2B44"/>
    <w:rsid w:val="00BD2B93"/>
    <w:rsid w:val="00BD3438"/>
    <w:rsid w:val="00BD36BB"/>
    <w:rsid w:val="00BD36EC"/>
    <w:rsid w:val="00BD37A0"/>
    <w:rsid w:val="00BD3814"/>
    <w:rsid w:val="00BD39E3"/>
    <w:rsid w:val="00BD39F4"/>
    <w:rsid w:val="00BD3BA9"/>
    <w:rsid w:val="00BD3D05"/>
    <w:rsid w:val="00BD3E27"/>
    <w:rsid w:val="00BD44A8"/>
    <w:rsid w:val="00BD44CC"/>
    <w:rsid w:val="00BD451B"/>
    <w:rsid w:val="00BD45AA"/>
    <w:rsid w:val="00BD4761"/>
    <w:rsid w:val="00BD47A0"/>
    <w:rsid w:val="00BD4D8C"/>
    <w:rsid w:val="00BD4DFC"/>
    <w:rsid w:val="00BD4FE8"/>
    <w:rsid w:val="00BD528E"/>
    <w:rsid w:val="00BD54E3"/>
    <w:rsid w:val="00BD55DE"/>
    <w:rsid w:val="00BD571D"/>
    <w:rsid w:val="00BD5E31"/>
    <w:rsid w:val="00BD5E37"/>
    <w:rsid w:val="00BD5F97"/>
    <w:rsid w:val="00BD610C"/>
    <w:rsid w:val="00BD6125"/>
    <w:rsid w:val="00BD6454"/>
    <w:rsid w:val="00BD687B"/>
    <w:rsid w:val="00BD6885"/>
    <w:rsid w:val="00BD68DA"/>
    <w:rsid w:val="00BD699E"/>
    <w:rsid w:val="00BD69EE"/>
    <w:rsid w:val="00BD6BC6"/>
    <w:rsid w:val="00BD71F0"/>
    <w:rsid w:val="00BD723C"/>
    <w:rsid w:val="00BD7254"/>
    <w:rsid w:val="00BD7452"/>
    <w:rsid w:val="00BD7545"/>
    <w:rsid w:val="00BD76CA"/>
    <w:rsid w:val="00BD77A6"/>
    <w:rsid w:val="00BD7993"/>
    <w:rsid w:val="00BD7EE8"/>
    <w:rsid w:val="00BE0255"/>
    <w:rsid w:val="00BE05BC"/>
    <w:rsid w:val="00BE07DD"/>
    <w:rsid w:val="00BE0846"/>
    <w:rsid w:val="00BE0B7A"/>
    <w:rsid w:val="00BE0BE1"/>
    <w:rsid w:val="00BE0CA1"/>
    <w:rsid w:val="00BE0CB5"/>
    <w:rsid w:val="00BE1029"/>
    <w:rsid w:val="00BE10BE"/>
    <w:rsid w:val="00BE10DF"/>
    <w:rsid w:val="00BE13E8"/>
    <w:rsid w:val="00BE148F"/>
    <w:rsid w:val="00BE15CC"/>
    <w:rsid w:val="00BE17BF"/>
    <w:rsid w:val="00BE1BBF"/>
    <w:rsid w:val="00BE1CDC"/>
    <w:rsid w:val="00BE1EA4"/>
    <w:rsid w:val="00BE1F04"/>
    <w:rsid w:val="00BE25BF"/>
    <w:rsid w:val="00BE2624"/>
    <w:rsid w:val="00BE27D6"/>
    <w:rsid w:val="00BE291A"/>
    <w:rsid w:val="00BE29B3"/>
    <w:rsid w:val="00BE2BB4"/>
    <w:rsid w:val="00BE2FEA"/>
    <w:rsid w:val="00BE320A"/>
    <w:rsid w:val="00BE364A"/>
    <w:rsid w:val="00BE38E7"/>
    <w:rsid w:val="00BE39F8"/>
    <w:rsid w:val="00BE3A89"/>
    <w:rsid w:val="00BE4014"/>
    <w:rsid w:val="00BE41B8"/>
    <w:rsid w:val="00BE4676"/>
    <w:rsid w:val="00BE4DB1"/>
    <w:rsid w:val="00BE4F9B"/>
    <w:rsid w:val="00BE5100"/>
    <w:rsid w:val="00BE513D"/>
    <w:rsid w:val="00BE51D6"/>
    <w:rsid w:val="00BE52BB"/>
    <w:rsid w:val="00BE567E"/>
    <w:rsid w:val="00BE59DA"/>
    <w:rsid w:val="00BE5AC6"/>
    <w:rsid w:val="00BE5E12"/>
    <w:rsid w:val="00BE6120"/>
    <w:rsid w:val="00BE6193"/>
    <w:rsid w:val="00BE6912"/>
    <w:rsid w:val="00BE6AFC"/>
    <w:rsid w:val="00BE6B03"/>
    <w:rsid w:val="00BE6C2C"/>
    <w:rsid w:val="00BE6D23"/>
    <w:rsid w:val="00BE7078"/>
    <w:rsid w:val="00BE73A3"/>
    <w:rsid w:val="00BE73C7"/>
    <w:rsid w:val="00BE7770"/>
    <w:rsid w:val="00BE78BF"/>
    <w:rsid w:val="00BE7C58"/>
    <w:rsid w:val="00BE7C8D"/>
    <w:rsid w:val="00BF00D8"/>
    <w:rsid w:val="00BF024A"/>
    <w:rsid w:val="00BF033A"/>
    <w:rsid w:val="00BF088B"/>
    <w:rsid w:val="00BF0BDC"/>
    <w:rsid w:val="00BF0C63"/>
    <w:rsid w:val="00BF0CB1"/>
    <w:rsid w:val="00BF0E19"/>
    <w:rsid w:val="00BF1A34"/>
    <w:rsid w:val="00BF1B73"/>
    <w:rsid w:val="00BF1C7B"/>
    <w:rsid w:val="00BF1D7F"/>
    <w:rsid w:val="00BF1F7B"/>
    <w:rsid w:val="00BF2594"/>
    <w:rsid w:val="00BF25CC"/>
    <w:rsid w:val="00BF2635"/>
    <w:rsid w:val="00BF265D"/>
    <w:rsid w:val="00BF2A3C"/>
    <w:rsid w:val="00BF2B5D"/>
    <w:rsid w:val="00BF302A"/>
    <w:rsid w:val="00BF3349"/>
    <w:rsid w:val="00BF33CF"/>
    <w:rsid w:val="00BF383D"/>
    <w:rsid w:val="00BF38B4"/>
    <w:rsid w:val="00BF39DB"/>
    <w:rsid w:val="00BF39DC"/>
    <w:rsid w:val="00BF44CF"/>
    <w:rsid w:val="00BF468C"/>
    <w:rsid w:val="00BF47CA"/>
    <w:rsid w:val="00BF4887"/>
    <w:rsid w:val="00BF4900"/>
    <w:rsid w:val="00BF492B"/>
    <w:rsid w:val="00BF4C22"/>
    <w:rsid w:val="00BF4E23"/>
    <w:rsid w:val="00BF4F1B"/>
    <w:rsid w:val="00BF5142"/>
    <w:rsid w:val="00BF5172"/>
    <w:rsid w:val="00BF57D2"/>
    <w:rsid w:val="00BF609D"/>
    <w:rsid w:val="00BF6345"/>
    <w:rsid w:val="00BF642D"/>
    <w:rsid w:val="00BF6693"/>
    <w:rsid w:val="00BF6947"/>
    <w:rsid w:val="00BF6ABB"/>
    <w:rsid w:val="00BF6FEF"/>
    <w:rsid w:val="00BF723D"/>
    <w:rsid w:val="00BF752F"/>
    <w:rsid w:val="00BF7681"/>
    <w:rsid w:val="00BF79F3"/>
    <w:rsid w:val="00BF7DEE"/>
    <w:rsid w:val="00BF7E22"/>
    <w:rsid w:val="00BF7E91"/>
    <w:rsid w:val="00C003EC"/>
    <w:rsid w:val="00C00431"/>
    <w:rsid w:val="00C009A3"/>
    <w:rsid w:val="00C00C7A"/>
    <w:rsid w:val="00C00F50"/>
    <w:rsid w:val="00C00FD6"/>
    <w:rsid w:val="00C0104D"/>
    <w:rsid w:val="00C01361"/>
    <w:rsid w:val="00C015BB"/>
    <w:rsid w:val="00C01C8B"/>
    <w:rsid w:val="00C01F67"/>
    <w:rsid w:val="00C02072"/>
    <w:rsid w:val="00C024BE"/>
    <w:rsid w:val="00C027B6"/>
    <w:rsid w:val="00C02BDB"/>
    <w:rsid w:val="00C02D15"/>
    <w:rsid w:val="00C031AB"/>
    <w:rsid w:val="00C031C6"/>
    <w:rsid w:val="00C0323D"/>
    <w:rsid w:val="00C036AC"/>
    <w:rsid w:val="00C0373D"/>
    <w:rsid w:val="00C0394C"/>
    <w:rsid w:val="00C03B12"/>
    <w:rsid w:val="00C041C0"/>
    <w:rsid w:val="00C043BF"/>
    <w:rsid w:val="00C044D3"/>
    <w:rsid w:val="00C046A1"/>
    <w:rsid w:val="00C046DE"/>
    <w:rsid w:val="00C04766"/>
    <w:rsid w:val="00C047DD"/>
    <w:rsid w:val="00C04B24"/>
    <w:rsid w:val="00C04C3B"/>
    <w:rsid w:val="00C04CF9"/>
    <w:rsid w:val="00C05286"/>
    <w:rsid w:val="00C05DC6"/>
    <w:rsid w:val="00C05FE1"/>
    <w:rsid w:val="00C06297"/>
    <w:rsid w:val="00C0674E"/>
    <w:rsid w:val="00C06859"/>
    <w:rsid w:val="00C06A67"/>
    <w:rsid w:val="00C06D37"/>
    <w:rsid w:val="00C0724A"/>
    <w:rsid w:val="00C072DB"/>
    <w:rsid w:val="00C07A0A"/>
    <w:rsid w:val="00C07A52"/>
    <w:rsid w:val="00C07B45"/>
    <w:rsid w:val="00C07BE9"/>
    <w:rsid w:val="00C100EC"/>
    <w:rsid w:val="00C101E7"/>
    <w:rsid w:val="00C108A8"/>
    <w:rsid w:val="00C10E53"/>
    <w:rsid w:val="00C1118D"/>
    <w:rsid w:val="00C11251"/>
    <w:rsid w:val="00C11534"/>
    <w:rsid w:val="00C1155F"/>
    <w:rsid w:val="00C1170A"/>
    <w:rsid w:val="00C11DB3"/>
    <w:rsid w:val="00C11F70"/>
    <w:rsid w:val="00C12327"/>
    <w:rsid w:val="00C127C6"/>
    <w:rsid w:val="00C128A4"/>
    <w:rsid w:val="00C12F46"/>
    <w:rsid w:val="00C13138"/>
    <w:rsid w:val="00C132A9"/>
    <w:rsid w:val="00C135E4"/>
    <w:rsid w:val="00C139B6"/>
    <w:rsid w:val="00C13B4B"/>
    <w:rsid w:val="00C140BC"/>
    <w:rsid w:val="00C1456E"/>
    <w:rsid w:val="00C146D3"/>
    <w:rsid w:val="00C14BBA"/>
    <w:rsid w:val="00C14BF8"/>
    <w:rsid w:val="00C14CC9"/>
    <w:rsid w:val="00C151F0"/>
    <w:rsid w:val="00C15931"/>
    <w:rsid w:val="00C15AD9"/>
    <w:rsid w:val="00C1610A"/>
    <w:rsid w:val="00C16321"/>
    <w:rsid w:val="00C16C12"/>
    <w:rsid w:val="00C16DD3"/>
    <w:rsid w:val="00C17115"/>
    <w:rsid w:val="00C1718F"/>
    <w:rsid w:val="00C171F9"/>
    <w:rsid w:val="00C171FB"/>
    <w:rsid w:val="00C1746F"/>
    <w:rsid w:val="00C17B25"/>
    <w:rsid w:val="00C17D4F"/>
    <w:rsid w:val="00C17DB4"/>
    <w:rsid w:val="00C17F60"/>
    <w:rsid w:val="00C20110"/>
    <w:rsid w:val="00C201FD"/>
    <w:rsid w:val="00C2023D"/>
    <w:rsid w:val="00C202DB"/>
    <w:rsid w:val="00C20362"/>
    <w:rsid w:val="00C20368"/>
    <w:rsid w:val="00C20751"/>
    <w:rsid w:val="00C20794"/>
    <w:rsid w:val="00C207D5"/>
    <w:rsid w:val="00C20C26"/>
    <w:rsid w:val="00C20C39"/>
    <w:rsid w:val="00C210DA"/>
    <w:rsid w:val="00C214B7"/>
    <w:rsid w:val="00C21D0C"/>
    <w:rsid w:val="00C220FD"/>
    <w:rsid w:val="00C2241C"/>
    <w:rsid w:val="00C225C8"/>
    <w:rsid w:val="00C228EA"/>
    <w:rsid w:val="00C22A2F"/>
    <w:rsid w:val="00C22AEB"/>
    <w:rsid w:val="00C22E58"/>
    <w:rsid w:val="00C231BA"/>
    <w:rsid w:val="00C23386"/>
    <w:rsid w:val="00C23448"/>
    <w:rsid w:val="00C236CB"/>
    <w:rsid w:val="00C237C3"/>
    <w:rsid w:val="00C238EB"/>
    <w:rsid w:val="00C23C3E"/>
    <w:rsid w:val="00C23D39"/>
    <w:rsid w:val="00C2413C"/>
    <w:rsid w:val="00C247E3"/>
    <w:rsid w:val="00C24814"/>
    <w:rsid w:val="00C249A5"/>
    <w:rsid w:val="00C24DD2"/>
    <w:rsid w:val="00C25403"/>
    <w:rsid w:val="00C2553F"/>
    <w:rsid w:val="00C255BD"/>
    <w:rsid w:val="00C255C2"/>
    <w:rsid w:val="00C25740"/>
    <w:rsid w:val="00C25DB7"/>
    <w:rsid w:val="00C26305"/>
    <w:rsid w:val="00C26309"/>
    <w:rsid w:val="00C265C5"/>
    <w:rsid w:val="00C26839"/>
    <w:rsid w:val="00C26D68"/>
    <w:rsid w:val="00C2711B"/>
    <w:rsid w:val="00C272E8"/>
    <w:rsid w:val="00C2737C"/>
    <w:rsid w:val="00C2737F"/>
    <w:rsid w:val="00C27612"/>
    <w:rsid w:val="00C2799A"/>
    <w:rsid w:val="00C27A84"/>
    <w:rsid w:val="00C27CAC"/>
    <w:rsid w:val="00C27D24"/>
    <w:rsid w:val="00C303C7"/>
    <w:rsid w:val="00C308C7"/>
    <w:rsid w:val="00C308F0"/>
    <w:rsid w:val="00C30940"/>
    <w:rsid w:val="00C30A62"/>
    <w:rsid w:val="00C30A7F"/>
    <w:rsid w:val="00C30C4F"/>
    <w:rsid w:val="00C30D97"/>
    <w:rsid w:val="00C30EBE"/>
    <w:rsid w:val="00C31176"/>
    <w:rsid w:val="00C311C8"/>
    <w:rsid w:val="00C31542"/>
    <w:rsid w:val="00C32629"/>
    <w:rsid w:val="00C328F1"/>
    <w:rsid w:val="00C32EFE"/>
    <w:rsid w:val="00C32F65"/>
    <w:rsid w:val="00C32F86"/>
    <w:rsid w:val="00C32FB9"/>
    <w:rsid w:val="00C33142"/>
    <w:rsid w:val="00C3355D"/>
    <w:rsid w:val="00C3361D"/>
    <w:rsid w:val="00C33A80"/>
    <w:rsid w:val="00C33CCD"/>
    <w:rsid w:val="00C33F26"/>
    <w:rsid w:val="00C3439D"/>
    <w:rsid w:val="00C34803"/>
    <w:rsid w:val="00C34944"/>
    <w:rsid w:val="00C34A07"/>
    <w:rsid w:val="00C34D58"/>
    <w:rsid w:val="00C34DD3"/>
    <w:rsid w:val="00C34E70"/>
    <w:rsid w:val="00C34F70"/>
    <w:rsid w:val="00C35185"/>
    <w:rsid w:val="00C3519B"/>
    <w:rsid w:val="00C351BA"/>
    <w:rsid w:val="00C35562"/>
    <w:rsid w:val="00C357E8"/>
    <w:rsid w:val="00C35A2B"/>
    <w:rsid w:val="00C36110"/>
    <w:rsid w:val="00C3650E"/>
    <w:rsid w:val="00C36874"/>
    <w:rsid w:val="00C36F1F"/>
    <w:rsid w:val="00C3703A"/>
    <w:rsid w:val="00C372EF"/>
    <w:rsid w:val="00C3777F"/>
    <w:rsid w:val="00C377D2"/>
    <w:rsid w:val="00C37B2E"/>
    <w:rsid w:val="00C37E9F"/>
    <w:rsid w:val="00C405A8"/>
    <w:rsid w:val="00C406B1"/>
    <w:rsid w:val="00C407FF"/>
    <w:rsid w:val="00C4097D"/>
    <w:rsid w:val="00C40C27"/>
    <w:rsid w:val="00C40C53"/>
    <w:rsid w:val="00C40DCE"/>
    <w:rsid w:val="00C41119"/>
    <w:rsid w:val="00C411FC"/>
    <w:rsid w:val="00C4131D"/>
    <w:rsid w:val="00C41427"/>
    <w:rsid w:val="00C41677"/>
    <w:rsid w:val="00C417F3"/>
    <w:rsid w:val="00C41A39"/>
    <w:rsid w:val="00C41C42"/>
    <w:rsid w:val="00C41F11"/>
    <w:rsid w:val="00C4244D"/>
    <w:rsid w:val="00C42773"/>
    <w:rsid w:val="00C4278A"/>
    <w:rsid w:val="00C427B0"/>
    <w:rsid w:val="00C4347C"/>
    <w:rsid w:val="00C436AB"/>
    <w:rsid w:val="00C43D6F"/>
    <w:rsid w:val="00C44249"/>
    <w:rsid w:val="00C44515"/>
    <w:rsid w:val="00C4457B"/>
    <w:rsid w:val="00C448B0"/>
    <w:rsid w:val="00C44D3C"/>
    <w:rsid w:val="00C45149"/>
    <w:rsid w:val="00C45806"/>
    <w:rsid w:val="00C4585D"/>
    <w:rsid w:val="00C45903"/>
    <w:rsid w:val="00C45AF7"/>
    <w:rsid w:val="00C46194"/>
    <w:rsid w:val="00C461DE"/>
    <w:rsid w:val="00C46BFC"/>
    <w:rsid w:val="00C46CB9"/>
    <w:rsid w:val="00C46EAF"/>
    <w:rsid w:val="00C46F94"/>
    <w:rsid w:val="00C47128"/>
    <w:rsid w:val="00C47466"/>
    <w:rsid w:val="00C474B0"/>
    <w:rsid w:val="00C4752E"/>
    <w:rsid w:val="00C4752F"/>
    <w:rsid w:val="00C475C3"/>
    <w:rsid w:val="00C47730"/>
    <w:rsid w:val="00C47A14"/>
    <w:rsid w:val="00C47A42"/>
    <w:rsid w:val="00C47B2D"/>
    <w:rsid w:val="00C47B9F"/>
    <w:rsid w:val="00C47C58"/>
    <w:rsid w:val="00C47C9F"/>
    <w:rsid w:val="00C47CD8"/>
    <w:rsid w:val="00C47D11"/>
    <w:rsid w:val="00C47F89"/>
    <w:rsid w:val="00C5005F"/>
    <w:rsid w:val="00C50153"/>
    <w:rsid w:val="00C501C6"/>
    <w:rsid w:val="00C50317"/>
    <w:rsid w:val="00C50523"/>
    <w:rsid w:val="00C505F3"/>
    <w:rsid w:val="00C507E1"/>
    <w:rsid w:val="00C50800"/>
    <w:rsid w:val="00C508F7"/>
    <w:rsid w:val="00C50AFD"/>
    <w:rsid w:val="00C50EB5"/>
    <w:rsid w:val="00C51023"/>
    <w:rsid w:val="00C5115F"/>
    <w:rsid w:val="00C511A7"/>
    <w:rsid w:val="00C51515"/>
    <w:rsid w:val="00C518B9"/>
    <w:rsid w:val="00C51C03"/>
    <w:rsid w:val="00C51D5E"/>
    <w:rsid w:val="00C52295"/>
    <w:rsid w:val="00C52325"/>
    <w:rsid w:val="00C528E2"/>
    <w:rsid w:val="00C52B41"/>
    <w:rsid w:val="00C52C0C"/>
    <w:rsid w:val="00C52C1F"/>
    <w:rsid w:val="00C52D67"/>
    <w:rsid w:val="00C53823"/>
    <w:rsid w:val="00C53954"/>
    <w:rsid w:val="00C53B5B"/>
    <w:rsid w:val="00C53B97"/>
    <w:rsid w:val="00C53C3B"/>
    <w:rsid w:val="00C53C62"/>
    <w:rsid w:val="00C53DA6"/>
    <w:rsid w:val="00C53FFD"/>
    <w:rsid w:val="00C54269"/>
    <w:rsid w:val="00C5451C"/>
    <w:rsid w:val="00C546CF"/>
    <w:rsid w:val="00C5472C"/>
    <w:rsid w:val="00C54912"/>
    <w:rsid w:val="00C549DA"/>
    <w:rsid w:val="00C54C37"/>
    <w:rsid w:val="00C54E12"/>
    <w:rsid w:val="00C5504F"/>
    <w:rsid w:val="00C55276"/>
    <w:rsid w:val="00C556EE"/>
    <w:rsid w:val="00C55754"/>
    <w:rsid w:val="00C557CC"/>
    <w:rsid w:val="00C55BE3"/>
    <w:rsid w:val="00C55F0D"/>
    <w:rsid w:val="00C56020"/>
    <w:rsid w:val="00C562FE"/>
    <w:rsid w:val="00C56381"/>
    <w:rsid w:val="00C56383"/>
    <w:rsid w:val="00C5660E"/>
    <w:rsid w:val="00C567C3"/>
    <w:rsid w:val="00C5687E"/>
    <w:rsid w:val="00C56A54"/>
    <w:rsid w:val="00C56F8F"/>
    <w:rsid w:val="00C570F9"/>
    <w:rsid w:val="00C57104"/>
    <w:rsid w:val="00C57198"/>
    <w:rsid w:val="00C5762D"/>
    <w:rsid w:val="00C576F6"/>
    <w:rsid w:val="00C57B9E"/>
    <w:rsid w:val="00C57CD7"/>
    <w:rsid w:val="00C57DBD"/>
    <w:rsid w:val="00C6031E"/>
    <w:rsid w:val="00C604FE"/>
    <w:rsid w:val="00C606C1"/>
    <w:rsid w:val="00C6096D"/>
    <w:rsid w:val="00C61007"/>
    <w:rsid w:val="00C61206"/>
    <w:rsid w:val="00C6129E"/>
    <w:rsid w:val="00C61477"/>
    <w:rsid w:val="00C61758"/>
    <w:rsid w:val="00C61808"/>
    <w:rsid w:val="00C61A6D"/>
    <w:rsid w:val="00C61C6B"/>
    <w:rsid w:val="00C61DFE"/>
    <w:rsid w:val="00C62007"/>
    <w:rsid w:val="00C625F8"/>
    <w:rsid w:val="00C628D7"/>
    <w:rsid w:val="00C62CB4"/>
    <w:rsid w:val="00C62DA0"/>
    <w:rsid w:val="00C635D0"/>
    <w:rsid w:val="00C639E6"/>
    <w:rsid w:val="00C63B15"/>
    <w:rsid w:val="00C63B3E"/>
    <w:rsid w:val="00C63C0E"/>
    <w:rsid w:val="00C63D06"/>
    <w:rsid w:val="00C63F81"/>
    <w:rsid w:val="00C641E0"/>
    <w:rsid w:val="00C64501"/>
    <w:rsid w:val="00C649AB"/>
    <w:rsid w:val="00C64D00"/>
    <w:rsid w:val="00C65672"/>
    <w:rsid w:val="00C657BB"/>
    <w:rsid w:val="00C65DB3"/>
    <w:rsid w:val="00C65F81"/>
    <w:rsid w:val="00C66205"/>
    <w:rsid w:val="00C66260"/>
    <w:rsid w:val="00C66317"/>
    <w:rsid w:val="00C663E4"/>
    <w:rsid w:val="00C66704"/>
    <w:rsid w:val="00C66D00"/>
    <w:rsid w:val="00C676FF"/>
    <w:rsid w:val="00C67950"/>
    <w:rsid w:val="00C67BFE"/>
    <w:rsid w:val="00C67C25"/>
    <w:rsid w:val="00C67CF9"/>
    <w:rsid w:val="00C700D1"/>
    <w:rsid w:val="00C705CC"/>
    <w:rsid w:val="00C708E9"/>
    <w:rsid w:val="00C70E1A"/>
    <w:rsid w:val="00C70F77"/>
    <w:rsid w:val="00C71042"/>
    <w:rsid w:val="00C71137"/>
    <w:rsid w:val="00C71253"/>
    <w:rsid w:val="00C716D1"/>
    <w:rsid w:val="00C7175E"/>
    <w:rsid w:val="00C71B0A"/>
    <w:rsid w:val="00C71E79"/>
    <w:rsid w:val="00C71F29"/>
    <w:rsid w:val="00C7204E"/>
    <w:rsid w:val="00C729EA"/>
    <w:rsid w:val="00C7334A"/>
    <w:rsid w:val="00C7352E"/>
    <w:rsid w:val="00C73935"/>
    <w:rsid w:val="00C739F9"/>
    <w:rsid w:val="00C73D26"/>
    <w:rsid w:val="00C73D76"/>
    <w:rsid w:val="00C73E8B"/>
    <w:rsid w:val="00C73EA3"/>
    <w:rsid w:val="00C7415B"/>
    <w:rsid w:val="00C7455A"/>
    <w:rsid w:val="00C74625"/>
    <w:rsid w:val="00C74836"/>
    <w:rsid w:val="00C74D31"/>
    <w:rsid w:val="00C75053"/>
    <w:rsid w:val="00C7512F"/>
    <w:rsid w:val="00C75189"/>
    <w:rsid w:val="00C75404"/>
    <w:rsid w:val="00C7587D"/>
    <w:rsid w:val="00C75926"/>
    <w:rsid w:val="00C75D6B"/>
    <w:rsid w:val="00C75F79"/>
    <w:rsid w:val="00C762D7"/>
    <w:rsid w:val="00C76539"/>
    <w:rsid w:val="00C767E8"/>
    <w:rsid w:val="00C7684A"/>
    <w:rsid w:val="00C7697B"/>
    <w:rsid w:val="00C76BA1"/>
    <w:rsid w:val="00C76D81"/>
    <w:rsid w:val="00C7714E"/>
    <w:rsid w:val="00C771B7"/>
    <w:rsid w:val="00C772A7"/>
    <w:rsid w:val="00C77A2A"/>
    <w:rsid w:val="00C800EC"/>
    <w:rsid w:val="00C80754"/>
    <w:rsid w:val="00C80791"/>
    <w:rsid w:val="00C807C0"/>
    <w:rsid w:val="00C80A01"/>
    <w:rsid w:val="00C80A41"/>
    <w:rsid w:val="00C80A9A"/>
    <w:rsid w:val="00C80C95"/>
    <w:rsid w:val="00C80D23"/>
    <w:rsid w:val="00C80D2C"/>
    <w:rsid w:val="00C812BD"/>
    <w:rsid w:val="00C816DA"/>
    <w:rsid w:val="00C81AB7"/>
    <w:rsid w:val="00C81AE6"/>
    <w:rsid w:val="00C81CE9"/>
    <w:rsid w:val="00C820AF"/>
    <w:rsid w:val="00C821B6"/>
    <w:rsid w:val="00C8230A"/>
    <w:rsid w:val="00C825EE"/>
    <w:rsid w:val="00C82769"/>
    <w:rsid w:val="00C828E7"/>
    <w:rsid w:val="00C8299A"/>
    <w:rsid w:val="00C830DF"/>
    <w:rsid w:val="00C8364D"/>
    <w:rsid w:val="00C83CEB"/>
    <w:rsid w:val="00C83E00"/>
    <w:rsid w:val="00C83E43"/>
    <w:rsid w:val="00C83F6E"/>
    <w:rsid w:val="00C8489D"/>
    <w:rsid w:val="00C84B13"/>
    <w:rsid w:val="00C84CC6"/>
    <w:rsid w:val="00C84DB7"/>
    <w:rsid w:val="00C84F58"/>
    <w:rsid w:val="00C84FED"/>
    <w:rsid w:val="00C84FF6"/>
    <w:rsid w:val="00C852B0"/>
    <w:rsid w:val="00C857EF"/>
    <w:rsid w:val="00C8599E"/>
    <w:rsid w:val="00C85B1B"/>
    <w:rsid w:val="00C86271"/>
    <w:rsid w:val="00C86552"/>
    <w:rsid w:val="00C86589"/>
    <w:rsid w:val="00C86634"/>
    <w:rsid w:val="00C8670F"/>
    <w:rsid w:val="00C8684A"/>
    <w:rsid w:val="00C869FB"/>
    <w:rsid w:val="00C86AAD"/>
    <w:rsid w:val="00C86AC4"/>
    <w:rsid w:val="00C87980"/>
    <w:rsid w:val="00C87B64"/>
    <w:rsid w:val="00C90012"/>
    <w:rsid w:val="00C902CF"/>
    <w:rsid w:val="00C9059A"/>
    <w:rsid w:val="00C9174D"/>
    <w:rsid w:val="00C9189B"/>
    <w:rsid w:val="00C91994"/>
    <w:rsid w:val="00C91B2C"/>
    <w:rsid w:val="00C91B77"/>
    <w:rsid w:val="00C91D02"/>
    <w:rsid w:val="00C91E8E"/>
    <w:rsid w:val="00C9202A"/>
    <w:rsid w:val="00C923D7"/>
    <w:rsid w:val="00C92A21"/>
    <w:rsid w:val="00C92EBF"/>
    <w:rsid w:val="00C93069"/>
    <w:rsid w:val="00C931D1"/>
    <w:rsid w:val="00C93318"/>
    <w:rsid w:val="00C933A6"/>
    <w:rsid w:val="00C93467"/>
    <w:rsid w:val="00C934D7"/>
    <w:rsid w:val="00C9357E"/>
    <w:rsid w:val="00C935E3"/>
    <w:rsid w:val="00C93DB2"/>
    <w:rsid w:val="00C94306"/>
    <w:rsid w:val="00C94339"/>
    <w:rsid w:val="00C945A8"/>
    <w:rsid w:val="00C9469A"/>
    <w:rsid w:val="00C94785"/>
    <w:rsid w:val="00C94961"/>
    <w:rsid w:val="00C94E87"/>
    <w:rsid w:val="00C95272"/>
    <w:rsid w:val="00C952B0"/>
    <w:rsid w:val="00C9566E"/>
    <w:rsid w:val="00C959AD"/>
    <w:rsid w:val="00C95ADC"/>
    <w:rsid w:val="00C95BCE"/>
    <w:rsid w:val="00C95DA7"/>
    <w:rsid w:val="00C95DDC"/>
    <w:rsid w:val="00C95F61"/>
    <w:rsid w:val="00C962D3"/>
    <w:rsid w:val="00C962D5"/>
    <w:rsid w:val="00C9635D"/>
    <w:rsid w:val="00C963EC"/>
    <w:rsid w:val="00C964AE"/>
    <w:rsid w:val="00C96507"/>
    <w:rsid w:val="00C96564"/>
    <w:rsid w:val="00C96654"/>
    <w:rsid w:val="00C96A79"/>
    <w:rsid w:val="00C96F3D"/>
    <w:rsid w:val="00C97124"/>
    <w:rsid w:val="00C9735F"/>
    <w:rsid w:val="00C97547"/>
    <w:rsid w:val="00C975D9"/>
    <w:rsid w:val="00C979A6"/>
    <w:rsid w:val="00CA0960"/>
    <w:rsid w:val="00CA09F7"/>
    <w:rsid w:val="00CA0A31"/>
    <w:rsid w:val="00CA0C6D"/>
    <w:rsid w:val="00CA1128"/>
    <w:rsid w:val="00CA1171"/>
    <w:rsid w:val="00CA145B"/>
    <w:rsid w:val="00CA147D"/>
    <w:rsid w:val="00CA164E"/>
    <w:rsid w:val="00CA1E5C"/>
    <w:rsid w:val="00CA214E"/>
    <w:rsid w:val="00CA23D5"/>
    <w:rsid w:val="00CA2430"/>
    <w:rsid w:val="00CA280C"/>
    <w:rsid w:val="00CA2AD6"/>
    <w:rsid w:val="00CA2E41"/>
    <w:rsid w:val="00CA31F3"/>
    <w:rsid w:val="00CA32C7"/>
    <w:rsid w:val="00CA3320"/>
    <w:rsid w:val="00CA34CB"/>
    <w:rsid w:val="00CA373A"/>
    <w:rsid w:val="00CA3AC3"/>
    <w:rsid w:val="00CA3D0C"/>
    <w:rsid w:val="00CA3EE2"/>
    <w:rsid w:val="00CA3EF1"/>
    <w:rsid w:val="00CA423E"/>
    <w:rsid w:val="00CA4357"/>
    <w:rsid w:val="00CA436D"/>
    <w:rsid w:val="00CA44F0"/>
    <w:rsid w:val="00CA471C"/>
    <w:rsid w:val="00CA49C1"/>
    <w:rsid w:val="00CA4E52"/>
    <w:rsid w:val="00CA4F17"/>
    <w:rsid w:val="00CA505E"/>
    <w:rsid w:val="00CA53D1"/>
    <w:rsid w:val="00CA5A07"/>
    <w:rsid w:val="00CA60AF"/>
    <w:rsid w:val="00CA6137"/>
    <w:rsid w:val="00CA63B9"/>
    <w:rsid w:val="00CA65F5"/>
    <w:rsid w:val="00CA665B"/>
    <w:rsid w:val="00CA66D3"/>
    <w:rsid w:val="00CA6793"/>
    <w:rsid w:val="00CA67ED"/>
    <w:rsid w:val="00CA690C"/>
    <w:rsid w:val="00CA6B30"/>
    <w:rsid w:val="00CA6CFA"/>
    <w:rsid w:val="00CA6F58"/>
    <w:rsid w:val="00CA6FE5"/>
    <w:rsid w:val="00CA701D"/>
    <w:rsid w:val="00CA70DB"/>
    <w:rsid w:val="00CA70ED"/>
    <w:rsid w:val="00CA7105"/>
    <w:rsid w:val="00CA7AB8"/>
    <w:rsid w:val="00CA7E32"/>
    <w:rsid w:val="00CA7FA8"/>
    <w:rsid w:val="00CB05D5"/>
    <w:rsid w:val="00CB06ED"/>
    <w:rsid w:val="00CB07A6"/>
    <w:rsid w:val="00CB0ABB"/>
    <w:rsid w:val="00CB0BF0"/>
    <w:rsid w:val="00CB0C1D"/>
    <w:rsid w:val="00CB0FB2"/>
    <w:rsid w:val="00CB166C"/>
    <w:rsid w:val="00CB1969"/>
    <w:rsid w:val="00CB1E17"/>
    <w:rsid w:val="00CB23D3"/>
    <w:rsid w:val="00CB24BF"/>
    <w:rsid w:val="00CB24ED"/>
    <w:rsid w:val="00CB258C"/>
    <w:rsid w:val="00CB284F"/>
    <w:rsid w:val="00CB2ECA"/>
    <w:rsid w:val="00CB2F35"/>
    <w:rsid w:val="00CB3110"/>
    <w:rsid w:val="00CB3139"/>
    <w:rsid w:val="00CB31C7"/>
    <w:rsid w:val="00CB32A9"/>
    <w:rsid w:val="00CB3795"/>
    <w:rsid w:val="00CB39CE"/>
    <w:rsid w:val="00CB39E8"/>
    <w:rsid w:val="00CB3A99"/>
    <w:rsid w:val="00CB3D32"/>
    <w:rsid w:val="00CB3EE6"/>
    <w:rsid w:val="00CB4138"/>
    <w:rsid w:val="00CB4219"/>
    <w:rsid w:val="00CB42D7"/>
    <w:rsid w:val="00CB4384"/>
    <w:rsid w:val="00CB49F0"/>
    <w:rsid w:val="00CB4CC7"/>
    <w:rsid w:val="00CB4E54"/>
    <w:rsid w:val="00CB4F14"/>
    <w:rsid w:val="00CB4FF5"/>
    <w:rsid w:val="00CB531E"/>
    <w:rsid w:val="00CB57B7"/>
    <w:rsid w:val="00CB5A1C"/>
    <w:rsid w:val="00CB5DB8"/>
    <w:rsid w:val="00CB5FB4"/>
    <w:rsid w:val="00CB606C"/>
    <w:rsid w:val="00CB63C7"/>
    <w:rsid w:val="00CB65E2"/>
    <w:rsid w:val="00CB663F"/>
    <w:rsid w:val="00CB66BA"/>
    <w:rsid w:val="00CB6945"/>
    <w:rsid w:val="00CB6A25"/>
    <w:rsid w:val="00CB6FEB"/>
    <w:rsid w:val="00CB702B"/>
    <w:rsid w:val="00CB7368"/>
    <w:rsid w:val="00CB7597"/>
    <w:rsid w:val="00CB7626"/>
    <w:rsid w:val="00CB792D"/>
    <w:rsid w:val="00CB7AF3"/>
    <w:rsid w:val="00CB7B0F"/>
    <w:rsid w:val="00CB7B2D"/>
    <w:rsid w:val="00CB7D3B"/>
    <w:rsid w:val="00CB7D9D"/>
    <w:rsid w:val="00CB7EE8"/>
    <w:rsid w:val="00CB7FF2"/>
    <w:rsid w:val="00CC0069"/>
    <w:rsid w:val="00CC02A1"/>
    <w:rsid w:val="00CC037E"/>
    <w:rsid w:val="00CC0750"/>
    <w:rsid w:val="00CC0A26"/>
    <w:rsid w:val="00CC10B2"/>
    <w:rsid w:val="00CC1937"/>
    <w:rsid w:val="00CC1952"/>
    <w:rsid w:val="00CC19EE"/>
    <w:rsid w:val="00CC1C6B"/>
    <w:rsid w:val="00CC1CDA"/>
    <w:rsid w:val="00CC2109"/>
    <w:rsid w:val="00CC22C9"/>
    <w:rsid w:val="00CC22DB"/>
    <w:rsid w:val="00CC251A"/>
    <w:rsid w:val="00CC2555"/>
    <w:rsid w:val="00CC29E9"/>
    <w:rsid w:val="00CC2A3E"/>
    <w:rsid w:val="00CC2C40"/>
    <w:rsid w:val="00CC2CBB"/>
    <w:rsid w:val="00CC2CDF"/>
    <w:rsid w:val="00CC2DF0"/>
    <w:rsid w:val="00CC2F56"/>
    <w:rsid w:val="00CC316E"/>
    <w:rsid w:val="00CC353C"/>
    <w:rsid w:val="00CC3A37"/>
    <w:rsid w:val="00CC3E97"/>
    <w:rsid w:val="00CC421B"/>
    <w:rsid w:val="00CC4367"/>
    <w:rsid w:val="00CC4433"/>
    <w:rsid w:val="00CC4629"/>
    <w:rsid w:val="00CC46DB"/>
    <w:rsid w:val="00CC4A6B"/>
    <w:rsid w:val="00CC4F52"/>
    <w:rsid w:val="00CC4FD8"/>
    <w:rsid w:val="00CC51E1"/>
    <w:rsid w:val="00CC5435"/>
    <w:rsid w:val="00CC54D5"/>
    <w:rsid w:val="00CC5565"/>
    <w:rsid w:val="00CC5594"/>
    <w:rsid w:val="00CC58C8"/>
    <w:rsid w:val="00CC5934"/>
    <w:rsid w:val="00CC5CB6"/>
    <w:rsid w:val="00CC6B61"/>
    <w:rsid w:val="00CC6D89"/>
    <w:rsid w:val="00CC6E7B"/>
    <w:rsid w:val="00CC6EE0"/>
    <w:rsid w:val="00CC6EFF"/>
    <w:rsid w:val="00CC78FA"/>
    <w:rsid w:val="00CC7AB1"/>
    <w:rsid w:val="00CC7DB3"/>
    <w:rsid w:val="00CC7FDA"/>
    <w:rsid w:val="00CD0374"/>
    <w:rsid w:val="00CD0426"/>
    <w:rsid w:val="00CD04F5"/>
    <w:rsid w:val="00CD056D"/>
    <w:rsid w:val="00CD075A"/>
    <w:rsid w:val="00CD0840"/>
    <w:rsid w:val="00CD093B"/>
    <w:rsid w:val="00CD0A06"/>
    <w:rsid w:val="00CD0BE1"/>
    <w:rsid w:val="00CD0C89"/>
    <w:rsid w:val="00CD0DB4"/>
    <w:rsid w:val="00CD0E4E"/>
    <w:rsid w:val="00CD1333"/>
    <w:rsid w:val="00CD16F8"/>
    <w:rsid w:val="00CD1919"/>
    <w:rsid w:val="00CD1956"/>
    <w:rsid w:val="00CD1983"/>
    <w:rsid w:val="00CD1BF2"/>
    <w:rsid w:val="00CD1D04"/>
    <w:rsid w:val="00CD1DB3"/>
    <w:rsid w:val="00CD2014"/>
    <w:rsid w:val="00CD2364"/>
    <w:rsid w:val="00CD238A"/>
    <w:rsid w:val="00CD24CE"/>
    <w:rsid w:val="00CD28DE"/>
    <w:rsid w:val="00CD29D7"/>
    <w:rsid w:val="00CD2B9A"/>
    <w:rsid w:val="00CD2CF7"/>
    <w:rsid w:val="00CD2E12"/>
    <w:rsid w:val="00CD2E4D"/>
    <w:rsid w:val="00CD2E96"/>
    <w:rsid w:val="00CD2FEC"/>
    <w:rsid w:val="00CD3125"/>
    <w:rsid w:val="00CD37CA"/>
    <w:rsid w:val="00CD3883"/>
    <w:rsid w:val="00CD3A83"/>
    <w:rsid w:val="00CD3B33"/>
    <w:rsid w:val="00CD3CFA"/>
    <w:rsid w:val="00CD3E21"/>
    <w:rsid w:val="00CD3FC3"/>
    <w:rsid w:val="00CD3FE5"/>
    <w:rsid w:val="00CD4142"/>
    <w:rsid w:val="00CD4392"/>
    <w:rsid w:val="00CD4571"/>
    <w:rsid w:val="00CD48F0"/>
    <w:rsid w:val="00CD4EC1"/>
    <w:rsid w:val="00CD5357"/>
    <w:rsid w:val="00CD53C6"/>
    <w:rsid w:val="00CD5B73"/>
    <w:rsid w:val="00CD5EE9"/>
    <w:rsid w:val="00CD6015"/>
    <w:rsid w:val="00CD642A"/>
    <w:rsid w:val="00CD64AE"/>
    <w:rsid w:val="00CD65D2"/>
    <w:rsid w:val="00CD68B8"/>
    <w:rsid w:val="00CD6AC6"/>
    <w:rsid w:val="00CD6B56"/>
    <w:rsid w:val="00CD6E31"/>
    <w:rsid w:val="00CD6FDF"/>
    <w:rsid w:val="00CD719D"/>
    <w:rsid w:val="00CD72F7"/>
    <w:rsid w:val="00CD734A"/>
    <w:rsid w:val="00CD738C"/>
    <w:rsid w:val="00CD7406"/>
    <w:rsid w:val="00CD7559"/>
    <w:rsid w:val="00CD7650"/>
    <w:rsid w:val="00CD766C"/>
    <w:rsid w:val="00CD77AD"/>
    <w:rsid w:val="00CD7BA5"/>
    <w:rsid w:val="00CD7C08"/>
    <w:rsid w:val="00CD7FF9"/>
    <w:rsid w:val="00CE032B"/>
    <w:rsid w:val="00CE0529"/>
    <w:rsid w:val="00CE0590"/>
    <w:rsid w:val="00CE05CD"/>
    <w:rsid w:val="00CE06E9"/>
    <w:rsid w:val="00CE08D0"/>
    <w:rsid w:val="00CE0D73"/>
    <w:rsid w:val="00CE0FCB"/>
    <w:rsid w:val="00CE102D"/>
    <w:rsid w:val="00CE10AD"/>
    <w:rsid w:val="00CE1316"/>
    <w:rsid w:val="00CE1394"/>
    <w:rsid w:val="00CE1447"/>
    <w:rsid w:val="00CE1941"/>
    <w:rsid w:val="00CE1B3D"/>
    <w:rsid w:val="00CE1D55"/>
    <w:rsid w:val="00CE256D"/>
    <w:rsid w:val="00CE2890"/>
    <w:rsid w:val="00CE2B41"/>
    <w:rsid w:val="00CE2D58"/>
    <w:rsid w:val="00CE2E21"/>
    <w:rsid w:val="00CE30D9"/>
    <w:rsid w:val="00CE31EE"/>
    <w:rsid w:val="00CE3820"/>
    <w:rsid w:val="00CE3D81"/>
    <w:rsid w:val="00CE3F9F"/>
    <w:rsid w:val="00CE42B9"/>
    <w:rsid w:val="00CE4404"/>
    <w:rsid w:val="00CE4516"/>
    <w:rsid w:val="00CE498F"/>
    <w:rsid w:val="00CE4C86"/>
    <w:rsid w:val="00CE501F"/>
    <w:rsid w:val="00CE51CA"/>
    <w:rsid w:val="00CE52F0"/>
    <w:rsid w:val="00CE5400"/>
    <w:rsid w:val="00CE55ED"/>
    <w:rsid w:val="00CE55FD"/>
    <w:rsid w:val="00CE5835"/>
    <w:rsid w:val="00CE5D54"/>
    <w:rsid w:val="00CE6219"/>
    <w:rsid w:val="00CE62D3"/>
    <w:rsid w:val="00CE6483"/>
    <w:rsid w:val="00CE6772"/>
    <w:rsid w:val="00CE6822"/>
    <w:rsid w:val="00CE6C07"/>
    <w:rsid w:val="00CE6F47"/>
    <w:rsid w:val="00CE7168"/>
    <w:rsid w:val="00CE717B"/>
    <w:rsid w:val="00CE720C"/>
    <w:rsid w:val="00CE781B"/>
    <w:rsid w:val="00CE78D3"/>
    <w:rsid w:val="00CE7AD8"/>
    <w:rsid w:val="00CE7B13"/>
    <w:rsid w:val="00CE7FC4"/>
    <w:rsid w:val="00CF09B5"/>
    <w:rsid w:val="00CF0CE9"/>
    <w:rsid w:val="00CF0F47"/>
    <w:rsid w:val="00CF1039"/>
    <w:rsid w:val="00CF1246"/>
    <w:rsid w:val="00CF13CC"/>
    <w:rsid w:val="00CF17B7"/>
    <w:rsid w:val="00CF1B07"/>
    <w:rsid w:val="00CF1C42"/>
    <w:rsid w:val="00CF1CAC"/>
    <w:rsid w:val="00CF1FCB"/>
    <w:rsid w:val="00CF20AE"/>
    <w:rsid w:val="00CF23A6"/>
    <w:rsid w:val="00CF2413"/>
    <w:rsid w:val="00CF2BE5"/>
    <w:rsid w:val="00CF37CC"/>
    <w:rsid w:val="00CF3A92"/>
    <w:rsid w:val="00CF4729"/>
    <w:rsid w:val="00CF4772"/>
    <w:rsid w:val="00CF4BF5"/>
    <w:rsid w:val="00CF4E10"/>
    <w:rsid w:val="00CF50F0"/>
    <w:rsid w:val="00CF5361"/>
    <w:rsid w:val="00CF5566"/>
    <w:rsid w:val="00CF55C9"/>
    <w:rsid w:val="00CF5E95"/>
    <w:rsid w:val="00CF5FF4"/>
    <w:rsid w:val="00CF610F"/>
    <w:rsid w:val="00CF6F74"/>
    <w:rsid w:val="00CF6FAA"/>
    <w:rsid w:val="00CF7894"/>
    <w:rsid w:val="00CF7896"/>
    <w:rsid w:val="00CF7956"/>
    <w:rsid w:val="00CF7AF4"/>
    <w:rsid w:val="00CF7B27"/>
    <w:rsid w:val="00CF7BC4"/>
    <w:rsid w:val="00CF7C3E"/>
    <w:rsid w:val="00CF7D5A"/>
    <w:rsid w:val="00CF7F98"/>
    <w:rsid w:val="00D0060C"/>
    <w:rsid w:val="00D0084B"/>
    <w:rsid w:val="00D00FED"/>
    <w:rsid w:val="00D0127F"/>
    <w:rsid w:val="00D01655"/>
    <w:rsid w:val="00D01703"/>
    <w:rsid w:val="00D017E2"/>
    <w:rsid w:val="00D01903"/>
    <w:rsid w:val="00D01A72"/>
    <w:rsid w:val="00D01D3B"/>
    <w:rsid w:val="00D01F11"/>
    <w:rsid w:val="00D01F76"/>
    <w:rsid w:val="00D023A8"/>
    <w:rsid w:val="00D02431"/>
    <w:rsid w:val="00D02586"/>
    <w:rsid w:val="00D029BD"/>
    <w:rsid w:val="00D02A04"/>
    <w:rsid w:val="00D02ADA"/>
    <w:rsid w:val="00D02E1D"/>
    <w:rsid w:val="00D02E97"/>
    <w:rsid w:val="00D02F60"/>
    <w:rsid w:val="00D0309A"/>
    <w:rsid w:val="00D032A8"/>
    <w:rsid w:val="00D034E3"/>
    <w:rsid w:val="00D03785"/>
    <w:rsid w:val="00D03E5C"/>
    <w:rsid w:val="00D0422A"/>
    <w:rsid w:val="00D0423E"/>
    <w:rsid w:val="00D042FE"/>
    <w:rsid w:val="00D0454C"/>
    <w:rsid w:val="00D0476D"/>
    <w:rsid w:val="00D048E6"/>
    <w:rsid w:val="00D048F5"/>
    <w:rsid w:val="00D049E5"/>
    <w:rsid w:val="00D0508B"/>
    <w:rsid w:val="00D05120"/>
    <w:rsid w:val="00D051BF"/>
    <w:rsid w:val="00D05363"/>
    <w:rsid w:val="00D05518"/>
    <w:rsid w:val="00D0576C"/>
    <w:rsid w:val="00D057DB"/>
    <w:rsid w:val="00D05853"/>
    <w:rsid w:val="00D059DC"/>
    <w:rsid w:val="00D05C01"/>
    <w:rsid w:val="00D05CD6"/>
    <w:rsid w:val="00D060AE"/>
    <w:rsid w:val="00D06E4D"/>
    <w:rsid w:val="00D07022"/>
    <w:rsid w:val="00D07077"/>
    <w:rsid w:val="00D0715B"/>
    <w:rsid w:val="00D07172"/>
    <w:rsid w:val="00D07669"/>
    <w:rsid w:val="00D076EF"/>
    <w:rsid w:val="00D07AA7"/>
    <w:rsid w:val="00D07FEF"/>
    <w:rsid w:val="00D10215"/>
    <w:rsid w:val="00D10366"/>
    <w:rsid w:val="00D1056B"/>
    <w:rsid w:val="00D107E9"/>
    <w:rsid w:val="00D11362"/>
    <w:rsid w:val="00D113C6"/>
    <w:rsid w:val="00D1215A"/>
    <w:rsid w:val="00D121EC"/>
    <w:rsid w:val="00D12707"/>
    <w:rsid w:val="00D12827"/>
    <w:rsid w:val="00D12995"/>
    <w:rsid w:val="00D12A4B"/>
    <w:rsid w:val="00D12AE7"/>
    <w:rsid w:val="00D12E05"/>
    <w:rsid w:val="00D132B1"/>
    <w:rsid w:val="00D13302"/>
    <w:rsid w:val="00D1334D"/>
    <w:rsid w:val="00D135C5"/>
    <w:rsid w:val="00D135E2"/>
    <w:rsid w:val="00D135E8"/>
    <w:rsid w:val="00D13637"/>
    <w:rsid w:val="00D136EA"/>
    <w:rsid w:val="00D13D90"/>
    <w:rsid w:val="00D142AB"/>
    <w:rsid w:val="00D145A0"/>
    <w:rsid w:val="00D147F8"/>
    <w:rsid w:val="00D14CE4"/>
    <w:rsid w:val="00D14E37"/>
    <w:rsid w:val="00D151E0"/>
    <w:rsid w:val="00D15409"/>
    <w:rsid w:val="00D155F5"/>
    <w:rsid w:val="00D155FE"/>
    <w:rsid w:val="00D1564E"/>
    <w:rsid w:val="00D157BD"/>
    <w:rsid w:val="00D15F14"/>
    <w:rsid w:val="00D16349"/>
    <w:rsid w:val="00D16354"/>
    <w:rsid w:val="00D16D24"/>
    <w:rsid w:val="00D16E75"/>
    <w:rsid w:val="00D16EFD"/>
    <w:rsid w:val="00D16F98"/>
    <w:rsid w:val="00D17045"/>
    <w:rsid w:val="00D17067"/>
    <w:rsid w:val="00D17420"/>
    <w:rsid w:val="00D17428"/>
    <w:rsid w:val="00D17A27"/>
    <w:rsid w:val="00D17F22"/>
    <w:rsid w:val="00D2014C"/>
    <w:rsid w:val="00D20415"/>
    <w:rsid w:val="00D20915"/>
    <w:rsid w:val="00D20A6E"/>
    <w:rsid w:val="00D20D39"/>
    <w:rsid w:val="00D20D5F"/>
    <w:rsid w:val="00D2103E"/>
    <w:rsid w:val="00D213E0"/>
    <w:rsid w:val="00D219E9"/>
    <w:rsid w:val="00D21B20"/>
    <w:rsid w:val="00D22488"/>
    <w:rsid w:val="00D22507"/>
    <w:rsid w:val="00D22650"/>
    <w:rsid w:val="00D22D5D"/>
    <w:rsid w:val="00D22D5F"/>
    <w:rsid w:val="00D22DEA"/>
    <w:rsid w:val="00D23296"/>
    <w:rsid w:val="00D236DA"/>
    <w:rsid w:val="00D23849"/>
    <w:rsid w:val="00D23BD0"/>
    <w:rsid w:val="00D23D91"/>
    <w:rsid w:val="00D24182"/>
    <w:rsid w:val="00D24C73"/>
    <w:rsid w:val="00D24C85"/>
    <w:rsid w:val="00D25120"/>
    <w:rsid w:val="00D2552D"/>
    <w:rsid w:val="00D258C5"/>
    <w:rsid w:val="00D25A6F"/>
    <w:rsid w:val="00D26010"/>
    <w:rsid w:val="00D26011"/>
    <w:rsid w:val="00D262B6"/>
    <w:rsid w:val="00D26308"/>
    <w:rsid w:val="00D265D8"/>
    <w:rsid w:val="00D266DD"/>
    <w:rsid w:val="00D26833"/>
    <w:rsid w:val="00D27109"/>
    <w:rsid w:val="00D27136"/>
    <w:rsid w:val="00D27183"/>
    <w:rsid w:val="00D2759C"/>
    <w:rsid w:val="00D27644"/>
    <w:rsid w:val="00D2775D"/>
    <w:rsid w:val="00D2779B"/>
    <w:rsid w:val="00D27B17"/>
    <w:rsid w:val="00D27E01"/>
    <w:rsid w:val="00D27F09"/>
    <w:rsid w:val="00D30216"/>
    <w:rsid w:val="00D306BB"/>
    <w:rsid w:val="00D30826"/>
    <w:rsid w:val="00D3084B"/>
    <w:rsid w:val="00D30D36"/>
    <w:rsid w:val="00D30D8E"/>
    <w:rsid w:val="00D30FEF"/>
    <w:rsid w:val="00D31821"/>
    <w:rsid w:val="00D3194D"/>
    <w:rsid w:val="00D31EAB"/>
    <w:rsid w:val="00D322D6"/>
    <w:rsid w:val="00D32456"/>
    <w:rsid w:val="00D3269A"/>
    <w:rsid w:val="00D32A4C"/>
    <w:rsid w:val="00D32FF5"/>
    <w:rsid w:val="00D332B2"/>
    <w:rsid w:val="00D334E1"/>
    <w:rsid w:val="00D33531"/>
    <w:rsid w:val="00D33632"/>
    <w:rsid w:val="00D33CC9"/>
    <w:rsid w:val="00D33DB5"/>
    <w:rsid w:val="00D34022"/>
    <w:rsid w:val="00D34024"/>
    <w:rsid w:val="00D340C0"/>
    <w:rsid w:val="00D34213"/>
    <w:rsid w:val="00D34687"/>
    <w:rsid w:val="00D34836"/>
    <w:rsid w:val="00D348E6"/>
    <w:rsid w:val="00D34B6B"/>
    <w:rsid w:val="00D34F79"/>
    <w:rsid w:val="00D354A2"/>
    <w:rsid w:val="00D35805"/>
    <w:rsid w:val="00D35872"/>
    <w:rsid w:val="00D366C3"/>
    <w:rsid w:val="00D3684E"/>
    <w:rsid w:val="00D369DF"/>
    <w:rsid w:val="00D36A10"/>
    <w:rsid w:val="00D371C1"/>
    <w:rsid w:val="00D37312"/>
    <w:rsid w:val="00D373A4"/>
    <w:rsid w:val="00D37DA7"/>
    <w:rsid w:val="00D37FF9"/>
    <w:rsid w:val="00D401DC"/>
    <w:rsid w:val="00D404F7"/>
    <w:rsid w:val="00D4089E"/>
    <w:rsid w:val="00D408EC"/>
    <w:rsid w:val="00D40AC1"/>
    <w:rsid w:val="00D40E6E"/>
    <w:rsid w:val="00D40EFC"/>
    <w:rsid w:val="00D40F67"/>
    <w:rsid w:val="00D412E7"/>
    <w:rsid w:val="00D4152A"/>
    <w:rsid w:val="00D41A18"/>
    <w:rsid w:val="00D41ACF"/>
    <w:rsid w:val="00D41E2D"/>
    <w:rsid w:val="00D41E64"/>
    <w:rsid w:val="00D41E7A"/>
    <w:rsid w:val="00D422AC"/>
    <w:rsid w:val="00D425ED"/>
    <w:rsid w:val="00D4264A"/>
    <w:rsid w:val="00D426A2"/>
    <w:rsid w:val="00D42705"/>
    <w:rsid w:val="00D42735"/>
    <w:rsid w:val="00D42BCD"/>
    <w:rsid w:val="00D42C0A"/>
    <w:rsid w:val="00D42DE7"/>
    <w:rsid w:val="00D42E96"/>
    <w:rsid w:val="00D43393"/>
    <w:rsid w:val="00D433E0"/>
    <w:rsid w:val="00D4349F"/>
    <w:rsid w:val="00D438AD"/>
    <w:rsid w:val="00D43959"/>
    <w:rsid w:val="00D4399B"/>
    <w:rsid w:val="00D43CB8"/>
    <w:rsid w:val="00D4463F"/>
    <w:rsid w:val="00D446AB"/>
    <w:rsid w:val="00D446FE"/>
    <w:rsid w:val="00D44813"/>
    <w:rsid w:val="00D448A8"/>
    <w:rsid w:val="00D44A92"/>
    <w:rsid w:val="00D44BB4"/>
    <w:rsid w:val="00D44C01"/>
    <w:rsid w:val="00D45031"/>
    <w:rsid w:val="00D45715"/>
    <w:rsid w:val="00D45C95"/>
    <w:rsid w:val="00D46634"/>
    <w:rsid w:val="00D46BBB"/>
    <w:rsid w:val="00D47162"/>
    <w:rsid w:val="00D47233"/>
    <w:rsid w:val="00D47248"/>
    <w:rsid w:val="00D47271"/>
    <w:rsid w:val="00D47461"/>
    <w:rsid w:val="00D47C02"/>
    <w:rsid w:val="00D47C5D"/>
    <w:rsid w:val="00D47F7B"/>
    <w:rsid w:val="00D5002D"/>
    <w:rsid w:val="00D5006E"/>
    <w:rsid w:val="00D502CA"/>
    <w:rsid w:val="00D505F4"/>
    <w:rsid w:val="00D506B7"/>
    <w:rsid w:val="00D50B9D"/>
    <w:rsid w:val="00D50E95"/>
    <w:rsid w:val="00D5113E"/>
    <w:rsid w:val="00D51174"/>
    <w:rsid w:val="00D513AA"/>
    <w:rsid w:val="00D51494"/>
    <w:rsid w:val="00D515CF"/>
    <w:rsid w:val="00D5163B"/>
    <w:rsid w:val="00D5169B"/>
    <w:rsid w:val="00D5173C"/>
    <w:rsid w:val="00D51832"/>
    <w:rsid w:val="00D51A30"/>
    <w:rsid w:val="00D51ABE"/>
    <w:rsid w:val="00D5203E"/>
    <w:rsid w:val="00D5223A"/>
    <w:rsid w:val="00D522C0"/>
    <w:rsid w:val="00D52360"/>
    <w:rsid w:val="00D525D6"/>
    <w:rsid w:val="00D52A61"/>
    <w:rsid w:val="00D52B7D"/>
    <w:rsid w:val="00D53060"/>
    <w:rsid w:val="00D5309C"/>
    <w:rsid w:val="00D53333"/>
    <w:rsid w:val="00D533A2"/>
    <w:rsid w:val="00D53469"/>
    <w:rsid w:val="00D536E8"/>
    <w:rsid w:val="00D5394D"/>
    <w:rsid w:val="00D53973"/>
    <w:rsid w:val="00D53B93"/>
    <w:rsid w:val="00D53E66"/>
    <w:rsid w:val="00D5408B"/>
    <w:rsid w:val="00D54164"/>
    <w:rsid w:val="00D5454B"/>
    <w:rsid w:val="00D54A62"/>
    <w:rsid w:val="00D54CC7"/>
    <w:rsid w:val="00D54D3D"/>
    <w:rsid w:val="00D555AE"/>
    <w:rsid w:val="00D55726"/>
    <w:rsid w:val="00D5572C"/>
    <w:rsid w:val="00D557E9"/>
    <w:rsid w:val="00D55CEE"/>
    <w:rsid w:val="00D56275"/>
    <w:rsid w:val="00D562C3"/>
    <w:rsid w:val="00D56541"/>
    <w:rsid w:val="00D565FE"/>
    <w:rsid w:val="00D5688B"/>
    <w:rsid w:val="00D56905"/>
    <w:rsid w:val="00D570F8"/>
    <w:rsid w:val="00D57295"/>
    <w:rsid w:val="00D572B5"/>
    <w:rsid w:val="00D572C2"/>
    <w:rsid w:val="00D5734A"/>
    <w:rsid w:val="00D573C5"/>
    <w:rsid w:val="00D5749E"/>
    <w:rsid w:val="00D574B5"/>
    <w:rsid w:val="00D57768"/>
    <w:rsid w:val="00D57F26"/>
    <w:rsid w:val="00D57F4B"/>
    <w:rsid w:val="00D60007"/>
    <w:rsid w:val="00D60185"/>
    <w:rsid w:val="00D605E8"/>
    <w:rsid w:val="00D60A07"/>
    <w:rsid w:val="00D60B4E"/>
    <w:rsid w:val="00D60D03"/>
    <w:rsid w:val="00D60F07"/>
    <w:rsid w:val="00D61118"/>
    <w:rsid w:val="00D615EA"/>
    <w:rsid w:val="00D61743"/>
    <w:rsid w:val="00D6185E"/>
    <w:rsid w:val="00D618CF"/>
    <w:rsid w:val="00D61A97"/>
    <w:rsid w:val="00D61BA2"/>
    <w:rsid w:val="00D61BD0"/>
    <w:rsid w:val="00D61CE9"/>
    <w:rsid w:val="00D61D19"/>
    <w:rsid w:val="00D62486"/>
    <w:rsid w:val="00D6256C"/>
    <w:rsid w:val="00D6270C"/>
    <w:rsid w:val="00D6280B"/>
    <w:rsid w:val="00D629B5"/>
    <w:rsid w:val="00D62BE0"/>
    <w:rsid w:val="00D62DE2"/>
    <w:rsid w:val="00D62FD2"/>
    <w:rsid w:val="00D63406"/>
    <w:rsid w:val="00D63502"/>
    <w:rsid w:val="00D63759"/>
    <w:rsid w:val="00D63A1A"/>
    <w:rsid w:val="00D63CCF"/>
    <w:rsid w:val="00D63ED7"/>
    <w:rsid w:val="00D641A9"/>
    <w:rsid w:val="00D643A0"/>
    <w:rsid w:val="00D647B1"/>
    <w:rsid w:val="00D64A85"/>
    <w:rsid w:val="00D65457"/>
    <w:rsid w:val="00D65482"/>
    <w:rsid w:val="00D656A6"/>
    <w:rsid w:val="00D656D8"/>
    <w:rsid w:val="00D65772"/>
    <w:rsid w:val="00D66161"/>
    <w:rsid w:val="00D6644F"/>
    <w:rsid w:val="00D66452"/>
    <w:rsid w:val="00D665DE"/>
    <w:rsid w:val="00D66788"/>
    <w:rsid w:val="00D66A81"/>
    <w:rsid w:val="00D66C85"/>
    <w:rsid w:val="00D66E40"/>
    <w:rsid w:val="00D66EAB"/>
    <w:rsid w:val="00D66F5E"/>
    <w:rsid w:val="00D67D83"/>
    <w:rsid w:val="00D70436"/>
    <w:rsid w:val="00D70636"/>
    <w:rsid w:val="00D70913"/>
    <w:rsid w:val="00D709B7"/>
    <w:rsid w:val="00D709E4"/>
    <w:rsid w:val="00D70BB7"/>
    <w:rsid w:val="00D71056"/>
    <w:rsid w:val="00D71059"/>
    <w:rsid w:val="00D71422"/>
    <w:rsid w:val="00D7157A"/>
    <w:rsid w:val="00D71626"/>
    <w:rsid w:val="00D718F7"/>
    <w:rsid w:val="00D719BE"/>
    <w:rsid w:val="00D71AB3"/>
    <w:rsid w:val="00D71ADA"/>
    <w:rsid w:val="00D71C07"/>
    <w:rsid w:val="00D71FBF"/>
    <w:rsid w:val="00D7207E"/>
    <w:rsid w:val="00D72413"/>
    <w:rsid w:val="00D726D8"/>
    <w:rsid w:val="00D727B0"/>
    <w:rsid w:val="00D72A03"/>
    <w:rsid w:val="00D72D17"/>
    <w:rsid w:val="00D72DC7"/>
    <w:rsid w:val="00D73499"/>
    <w:rsid w:val="00D737CB"/>
    <w:rsid w:val="00D73848"/>
    <w:rsid w:val="00D738F5"/>
    <w:rsid w:val="00D73B5D"/>
    <w:rsid w:val="00D73E01"/>
    <w:rsid w:val="00D74556"/>
    <w:rsid w:val="00D7458E"/>
    <w:rsid w:val="00D7496F"/>
    <w:rsid w:val="00D74B9C"/>
    <w:rsid w:val="00D74D77"/>
    <w:rsid w:val="00D74DF8"/>
    <w:rsid w:val="00D7523B"/>
    <w:rsid w:val="00D7562F"/>
    <w:rsid w:val="00D75780"/>
    <w:rsid w:val="00D75A1E"/>
    <w:rsid w:val="00D75AEA"/>
    <w:rsid w:val="00D75B42"/>
    <w:rsid w:val="00D75C7E"/>
    <w:rsid w:val="00D75E22"/>
    <w:rsid w:val="00D76006"/>
    <w:rsid w:val="00D7613C"/>
    <w:rsid w:val="00D761BB"/>
    <w:rsid w:val="00D761E6"/>
    <w:rsid w:val="00D7683C"/>
    <w:rsid w:val="00D768A4"/>
    <w:rsid w:val="00D77747"/>
    <w:rsid w:val="00D804C5"/>
    <w:rsid w:val="00D806C3"/>
    <w:rsid w:val="00D80CDE"/>
    <w:rsid w:val="00D80E2E"/>
    <w:rsid w:val="00D8116B"/>
    <w:rsid w:val="00D8118E"/>
    <w:rsid w:val="00D8148A"/>
    <w:rsid w:val="00D8173E"/>
    <w:rsid w:val="00D81EB4"/>
    <w:rsid w:val="00D82237"/>
    <w:rsid w:val="00D82462"/>
    <w:rsid w:val="00D82634"/>
    <w:rsid w:val="00D829DB"/>
    <w:rsid w:val="00D82AB8"/>
    <w:rsid w:val="00D82C82"/>
    <w:rsid w:val="00D82D78"/>
    <w:rsid w:val="00D82F2B"/>
    <w:rsid w:val="00D830A6"/>
    <w:rsid w:val="00D835DB"/>
    <w:rsid w:val="00D8385F"/>
    <w:rsid w:val="00D83896"/>
    <w:rsid w:val="00D839DB"/>
    <w:rsid w:val="00D83D17"/>
    <w:rsid w:val="00D83D87"/>
    <w:rsid w:val="00D83E82"/>
    <w:rsid w:val="00D83F65"/>
    <w:rsid w:val="00D841E5"/>
    <w:rsid w:val="00D8422D"/>
    <w:rsid w:val="00D8475A"/>
    <w:rsid w:val="00D847B0"/>
    <w:rsid w:val="00D84AE5"/>
    <w:rsid w:val="00D84C3D"/>
    <w:rsid w:val="00D84C82"/>
    <w:rsid w:val="00D84CE4"/>
    <w:rsid w:val="00D84DC0"/>
    <w:rsid w:val="00D84FF5"/>
    <w:rsid w:val="00D85289"/>
    <w:rsid w:val="00D85357"/>
    <w:rsid w:val="00D85B5F"/>
    <w:rsid w:val="00D86C9C"/>
    <w:rsid w:val="00D86CB7"/>
    <w:rsid w:val="00D86CBC"/>
    <w:rsid w:val="00D87133"/>
    <w:rsid w:val="00D87246"/>
    <w:rsid w:val="00D87757"/>
    <w:rsid w:val="00D877A7"/>
    <w:rsid w:val="00D8796F"/>
    <w:rsid w:val="00D879F8"/>
    <w:rsid w:val="00D87AF8"/>
    <w:rsid w:val="00D900B0"/>
    <w:rsid w:val="00D9012D"/>
    <w:rsid w:val="00D90632"/>
    <w:rsid w:val="00D906AD"/>
    <w:rsid w:val="00D907A5"/>
    <w:rsid w:val="00D90817"/>
    <w:rsid w:val="00D90929"/>
    <w:rsid w:val="00D90D70"/>
    <w:rsid w:val="00D90E47"/>
    <w:rsid w:val="00D90EEC"/>
    <w:rsid w:val="00D91010"/>
    <w:rsid w:val="00D910DF"/>
    <w:rsid w:val="00D91ADD"/>
    <w:rsid w:val="00D91BD2"/>
    <w:rsid w:val="00D91C05"/>
    <w:rsid w:val="00D922A2"/>
    <w:rsid w:val="00D922AF"/>
    <w:rsid w:val="00D92334"/>
    <w:rsid w:val="00D926AA"/>
    <w:rsid w:val="00D92A27"/>
    <w:rsid w:val="00D92CF0"/>
    <w:rsid w:val="00D92D48"/>
    <w:rsid w:val="00D92EC1"/>
    <w:rsid w:val="00D9304C"/>
    <w:rsid w:val="00D931BF"/>
    <w:rsid w:val="00D9327D"/>
    <w:rsid w:val="00D935EA"/>
    <w:rsid w:val="00D936A1"/>
    <w:rsid w:val="00D93C3A"/>
    <w:rsid w:val="00D93D1A"/>
    <w:rsid w:val="00D942E1"/>
    <w:rsid w:val="00D943CA"/>
    <w:rsid w:val="00D9456C"/>
    <w:rsid w:val="00D9456D"/>
    <w:rsid w:val="00D947AB"/>
    <w:rsid w:val="00D94B14"/>
    <w:rsid w:val="00D94B63"/>
    <w:rsid w:val="00D952FB"/>
    <w:rsid w:val="00D95819"/>
    <w:rsid w:val="00D95858"/>
    <w:rsid w:val="00D95F69"/>
    <w:rsid w:val="00D96042"/>
    <w:rsid w:val="00D96046"/>
    <w:rsid w:val="00D961A4"/>
    <w:rsid w:val="00D96673"/>
    <w:rsid w:val="00D968EB"/>
    <w:rsid w:val="00D96A98"/>
    <w:rsid w:val="00D96B8E"/>
    <w:rsid w:val="00D9702A"/>
    <w:rsid w:val="00D9713C"/>
    <w:rsid w:val="00D97200"/>
    <w:rsid w:val="00D97377"/>
    <w:rsid w:val="00D97871"/>
    <w:rsid w:val="00D97890"/>
    <w:rsid w:val="00D978F5"/>
    <w:rsid w:val="00D97922"/>
    <w:rsid w:val="00D97B8A"/>
    <w:rsid w:val="00D97C42"/>
    <w:rsid w:val="00D97E73"/>
    <w:rsid w:val="00D97F92"/>
    <w:rsid w:val="00DA01AC"/>
    <w:rsid w:val="00DA01E2"/>
    <w:rsid w:val="00DA07D3"/>
    <w:rsid w:val="00DA0CAE"/>
    <w:rsid w:val="00DA1144"/>
    <w:rsid w:val="00DA1763"/>
    <w:rsid w:val="00DA1877"/>
    <w:rsid w:val="00DA18A2"/>
    <w:rsid w:val="00DA1962"/>
    <w:rsid w:val="00DA1E24"/>
    <w:rsid w:val="00DA2207"/>
    <w:rsid w:val="00DA2268"/>
    <w:rsid w:val="00DA22B2"/>
    <w:rsid w:val="00DA26F8"/>
    <w:rsid w:val="00DA2BA5"/>
    <w:rsid w:val="00DA2F92"/>
    <w:rsid w:val="00DA325F"/>
    <w:rsid w:val="00DA39FF"/>
    <w:rsid w:val="00DA3EA5"/>
    <w:rsid w:val="00DA4075"/>
    <w:rsid w:val="00DA48A0"/>
    <w:rsid w:val="00DA49C7"/>
    <w:rsid w:val="00DA4CBB"/>
    <w:rsid w:val="00DA4CBD"/>
    <w:rsid w:val="00DA524D"/>
    <w:rsid w:val="00DA5626"/>
    <w:rsid w:val="00DA58E0"/>
    <w:rsid w:val="00DA5C27"/>
    <w:rsid w:val="00DA5D11"/>
    <w:rsid w:val="00DA64FC"/>
    <w:rsid w:val="00DA6605"/>
    <w:rsid w:val="00DA70EA"/>
    <w:rsid w:val="00DA724F"/>
    <w:rsid w:val="00DA729F"/>
    <w:rsid w:val="00DA74DF"/>
    <w:rsid w:val="00DA766D"/>
    <w:rsid w:val="00DA7853"/>
    <w:rsid w:val="00DA7C20"/>
    <w:rsid w:val="00DA7D65"/>
    <w:rsid w:val="00DA7E94"/>
    <w:rsid w:val="00DA7F85"/>
    <w:rsid w:val="00DB0269"/>
    <w:rsid w:val="00DB0291"/>
    <w:rsid w:val="00DB0309"/>
    <w:rsid w:val="00DB055C"/>
    <w:rsid w:val="00DB093F"/>
    <w:rsid w:val="00DB0A20"/>
    <w:rsid w:val="00DB0F25"/>
    <w:rsid w:val="00DB1376"/>
    <w:rsid w:val="00DB137D"/>
    <w:rsid w:val="00DB143F"/>
    <w:rsid w:val="00DB1533"/>
    <w:rsid w:val="00DB15EE"/>
    <w:rsid w:val="00DB1905"/>
    <w:rsid w:val="00DB1911"/>
    <w:rsid w:val="00DB1B26"/>
    <w:rsid w:val="00DB1FF9"/>
    <w:rsid w:val="00DB2467"/>
    <w:rsid w:val="00DB2640"/>
    <w:rsid w:val="00DB273B"/>
    <w:rsid w:val="00DB2B81"/>
    <w:rsid w:val="00DB2C8B"/>
    <w:rsid w:val="00DB2E6F"/>
    <w:rsid w:val="00DB2F1B"/>
    <w:rsid w:val="00DB3106"/>
    <w:rsid w:val="00DB3284"/>
    <w:rsid w:val="00DB3563"/>
    <w:rsid w:val="00DB3577"/>
    <w:rsid w:val="00DB36F9"/>
    <w:rsid w:val="00DB375A"/>
    <w:rsid w:val="00DB389E"/>
    <w:rsid w:val="00DB39FF"/>
    <w:rsid w:val="00DB3DBD"/>
    <w:rsid w:val="00DB3F9D"/>
    <w:rsid w:val="00DB3FC9"/>
    <w:rsid w:val="00DB427C"/>
    <w:rsid w:val="00DB42FB"/>
    <w:rsid w:val="00DB4674"/>
    <w:rsid w:val="00DB478E"/>
    <w:rsid w:val="00DB4800"/>
    <w:rsid w:val="00DB4AA8"/>
    <w:rsid w:val="00DB4C95"/>
    <w:rsid w:val="00DB4F71"/>
    <w:rsid w:val="00DB53B3"/>
    <w:rsid w:val="00DB53B5"/>
    <w:rsid w:val="00DB5569"/>
    <w:rsid w:val="00DB577A"/>
    <w:rsid w:val="00DB583A"/>
    <w:rsid w:val="00DB5CAD"/>
    <w:rsid w:val="00DB63A5"/>
    <w:rsid w:val="00DB643D"/>
    <w:rsid w:val="00DB65AA"/>
    <w:rsid w:val="00DB6606"/>
    <w:rsid w:val="00DB68D5"/>
    <w:rsid w:val="00DB6A99"/>
    <w:rsid w:val="00DB6CF4"/>
    <w:rsid w:val="00DB6F3F"/>
    <w:rsid w:val="00DB749B"/>
    <w:rsid w:val="00DB77FB"/>
    <w:rsid w:val="00DB78C0"/>
    <w:rsid w:val="00DB7BF7"/>
    <w:rsid w:val="00DC02ED"/>
    <w:rsid w:val="00DC0393"/>
    <w:rsid w:val="00DC0468"/>
    <w:rsid w:val="00DC04E0"/>
    <w:rsid w:val="00DC0AA5"/>
    <w:rsid w:val="00DC0AEC"/>
    <w:rsid w:val="00DC0B14"/>
    <w:rsid w:val="00DC0BCD"/>
    <w:rsid w:val="00DC0C88"/>
    <w:rsid w:val="00DC0EE2"/>
    <w:rsid w:val="00DC1033"/>
    <w:rsid w:val="00DC142C"/>
    <w:rsid w:val="00DC165D"/>
    <w:rsid w:val="00DC18CC"/>
    <w:rsid w:val="00DC1CE7"/>
    <w:rsid w:val="00DC1D69"/>
    <w:rsid w:val="00DC1E12"/>
    <w:rsid w:val="00DC1F1C"/>
    <w:rsid w:val="00DC1F3C"/>
    <w:rsid w:val="00DC1FAA"/>
    <w:rsid w:val="00DC2131"/>
    <w:rsid w:val="00DC21EA"/>
    <w:rsid w:val="00DC2315"/>
    <w:rsid w:val="00DC245B"/>
    <w:rsid w:val="00DC28E4"/>
    <w:rsid w:val="00DC2A1A"/>
    <w:rsid w:val="00DC2BB2"/>
    <w:rsid w:val="00DC2CEA"/>
    <w:rsid w:val="00DC2DB7"/>
    <w:rsid w:val="00DC2F19"/>
    <w:rsid w:val="00DC308F"/>
    <w:rsid w:val="00DC37D1"/>
    <w:rsid w:val="00DC3935"/>
    <w:rsid w:val="00DC3A2B"/>
    <w:rsid w:val="00DC3B2D"/>
    <w:rsid w:val="00DC3DBB"/>
    <w:rsid w:val="00DC40A7"/>
    <w:rsid w:val="00DC412A"/>
    <w:rsid w:val="00DC4744"/>
    <w:rsid w:val="00DC4A1E"/>
    <w:rsid w:val="00DC4B08"/>
    <w:rsid w:val="00DC53A0"/>
    <w:rsid w:val="00DC563A"/>
    <w:rsid w:val="00DC5A19"/>
    <w:rsid w:val="00DC641F"/>
    <w:rsid w:val="00DC6479"/>
    <w:rsid w:val="00DC67EC"/>
    <w:rsid w:val="00DC6970"/>
    <w:rsid w:val="00DC69C5"/>
    <w:rsid w:val="00DC6C0E"/>
    <w:rsid w:val="00DC72F4"/>
    <w:rsid w:val="00DC761C"/>
    <w:rsid w:val="00DC769F"/>
    <w:rsid w:val="00DC76F6"/>
    <w:rsid w:val="00DC7F24"/>
    <w:rsid w:val="00DD060C"/>
    <w:rsid w:val="00DD0631"/>
    <w:rsid w:val="00DD0650"/>
    <w:rsid w:val="00DD07BB"/>
    <w:rsid w:val="00DD0814"/>
    <w:rsid w:val="00DD0B6F"/>
    <w:rsid w:val="00DD0F76"/>
    <w:rsid w:val="00DD0FD5"/>
    <w:rsid w:val="00DD150D"/>
    <w:rsid w:val="00DD1BA3"/>
    <w:rsid w:val="00DD2018"/>
    <w:rsid w:val="00DD2382"/>
    <w:rsid w:val="00DD261C"/>
    <w:rsid w:val="00DD265B"/>
    <w:rsid w:val="00DD283B"/>
    <w:rsid w:val="00DD2860"/>
    <w:rsid w:val="00DD2AAD"/>
    <w:rsid w:val="00DD2CCC"/>
    <w:rsid w:val="00DD2DEF"/>
    <w:rsid w:val="00DD2EFF"/>
    <w:rsid w:val="00DD3198"/>
    <w:rsid w:val="00DD33EB"/>
    <w:rsid w:val="00DD3459"/>
    <w:rsid w:val="00DD358B"/>
    <w:rsid w:val="00DD3626"/>
    <w:rsid w:val="00DD3861"/>
    <w:rsid w:val="00DD394E"/>
    <w:rsid w:val="00DD3D27"/>
    <w:rsid w:val="00DD40A3"/>
    <w:rsid w:val="00DD414D"/>
    <w:rsid w:val="00DD43F3"/>
    <w:rsid w:val="00DD47DD"/>
    <w:rsid w:val="00DD4889"/>
    <w:rsid w:val="00DD49C9"/>
    <w:rsid w:val="00DD4A83"/>
    <w:rsid w:val="00DD4B27"/>
    <w:rsid w:val="00DD4C06"/>
    <w:rsid w:val="00DD4D92"/>
    <w:rsid w:val="00DD54CB"/>
    <w:rsid w:val="00DD556F"/>
    <w:rsid w:val="00DD583F"/>
    <w:rsid w:val="00DD5ADC"/>
    <w:rsid w:val="00DD5CBA"/>
    <w:rsid w:val="00DD5D48"/>
    <w:rsid w:val="00DD5F70"/>
    <w:rsid w:val="00DD64D9"/>
    <w:rsid w:val="00DD6A32"/>
    <w:rsid w:val="00DD6A55"/>
    <w:rsid w:val="00DD6A96"/>
    <w:rsid w:val="00DD6B7C"/>
    <w:rsid w:val="00DD6B93"/>
    <w:rsid w:val="00DD6F71"/>
    <w:rsid w:val="00DD7627"/>
    <w:rsid w:val="00DD762C"/>
    <w:rsid w:val="00DD7A20"/>
    <w:rsid w:val="00DD7AAE"/>
    <w:rsid w:val="00DD7E42"/>
    <w:rsid w:val="00DE0338"/>
    <w:rsid w:val="00DE0AEE"/>
    <w:rsid w:val="00DE10F7"/>
    <w:rsid w:val="00DE1362"/>
    <w:rsid w:val="00DE1596"/>
    <w:rsid w:val="00DE17B6"/>
    <w:rsid w:val="00DE18E7"/>
    <w:rsid w:val="00DE1AB5"/>
    <w:rsid w:val="00DE1B5E"/>
    <w:rsid w:val="00DE1B6E"/>
    <w:rsid w:val="00DE1DAF"/>
    <w:rsid w:val="00DE1E4A"/>
    <w:rsid w:val="00DE21E4"/>
    <w:rsid w:val="00DE236F"/>
    <w:rsid w:val="00DE2BF1"/>
    <w:rsid w:val="00DE2D25"/>
    <w:rsid w:val="00DE2D5B"/>
    <w:rsid w:val="00DE3211"/>
    <w:rsid w:val="00DE36A6"/>
    <w:rsid w:val="00DE3BC5"/>
    <w:rsid w:val="00DE3C8A"/>
    <w:rsid w:val="00DE40FD"/>
    <w:rsid w:val="00DE4116"/>
    <w:rsid w:val="00DE482D"/>
    <w:rsid w:val="00DE4A65"/>
    <w:rsid w:val="00DE4B9D"/>
    <w:rsid w:val="00DE50E0"/>
    <w:rsid w:val="00DE5347"/>
    <w:rsid w:val="00DE536C"/>
    <w:rsid w:val="00DE5438"/>
    <w:rsid w:val="00DE54B9"/>
    <w:rsid w:val="00DE580B"/>
    <w:rsid w:val="00DE5886"/>
    <w:rsid w:val="00DE593A"/>
    <w:rsid w:val="00DE5B28"/>
    <w:rsid w:val="00DE5C5F"/>
    <w:rsid w:val="00DE5CA8"/>
    <w:rsid w:val="00DE5CA9"/>
    <w:rsid w:val="00DE5E54"/>
    <w:rsid w:val="00DE5EE1"/>
    <w:rsid w:val="00DE63B2"/>
    <w:rsid w:val="00DE64FA"/>
    <w:rsid w:val="00DE670A"/>
    <w:rsid w:val="00DE6932"/>
    <w:rsid w:val="00DE694E"/>
    <w:rsid w:val="00DE6962"/>
    <w:rsid w:val="00DE6A54"/>
    <w:rsid w:val="00DE6B7F"/>
    <w:rsid w:val="00DE6D16"/>
    <w:rsid w:val="00DE6E3A"/>
    <w:rsid w:val="00DE7138"/>
    <w:rsid w:val="00DE7461"/>
    <w:rsid w:val="00DE753F"/>
    <w:rsid w:val="00DE7825"/>
    <w:rsid w:val="00DE7BD1"/>
    <w:rsid w:val="00DF0574"/>
    <w:rsid w:val="00DF0AC6"/>
    <w:rsid w:val="00DF1060"/>
    <w:rsid w:val="00DF11E2"/>
    <w:rsid w:val="00DF13D4"/>
    <w:rsid w:val="00DF1CA1"/>
    <w:rsid w:val="00DF1E9A"/>
    <w:rsid w:val="00DF1ED5"/>
    <w:rsid w:val="00DF203A"/>
    <w:rsid w:val="00DF20E0"/>
    <w:rsid w:val="00DF22F9"/>
    <w:rsid w:val="00DF2537"/>
    <w:rsid w:val="00DF27A5"/>
    <w:rsid w:val="00DF2C6C"/>
    <w:rsid w:val="00DF2D8B"/>
    <w:rsid w:val="00DF2E8A"/>
    <w:rsid w:val="00DF3437"/>
    <w:rsid w:val="00DF3761"/>
    <w:rsid w:val="00DF3BBC"/>
    <w:rsid w:val="00DF3C88"/>
    <w:rsid w:val="00DF4137"/>
    <w:rsid w:val="00DF4280"/>
    <w:rsid w:val="00DF4517"/>
    <w:rsid w:val="00DF4AB0"/>
    <w:rsid w:val="00DF4E13"/>
    <w:rsid w:val="00DF4F23"/>
    <w:rsid w:val="00DF515F"/>
    <w:rsid w:val="00DF52B6"/>
    <w:rsid w:val="00DF52E0"/>
    <w:rsid w:val="00DF530C"/>
    <w:rsid w:val="00DF53BB"/>
    <w:rsid w:val="00DF5494"/>
    <w:rsid w:val="00DF5810"/>
    <w:rsid w:val="00DF5978"/>
    <w:rsid w:val="00DF5A00"/>
    <w:rsid w:val="00DF5F2B"/>
    <w:rsid w:val="00DF645E"/>
    <w:rsid w:val="00DF6498"/>
    <w:rsid w:val="00DF67F9"/>
    <w:rsid w:val="00DF689D"/>
    <w:rsid w:val="00DF69B4"/>
    <w:rsid w:val="00DF6AAA"/>
    <w:rsid w:val="00DF6F8A"/>
    <w:rsid w:val="00DF7194"/>
    <w:rsid w:val="00DF7505"/>
    <w:rsid w:val="00DF7564"/>
    <w:rsid w:val="00DF7681"/>
    <w:rsid w:val="00DF76D6"/>
    <w:rsid w:val="00DF78CD"/>
    <w:rsid w:val="00DF7C4D"/>
    <w:rsid w:val="00DF7DA4"/>
    <w:rsid w:val="00E00264"/>
    <w:rsid w:val="00E005B3"/>
    <w:rsid w:val="00E0067A"/>
    <w:rsid w:val="00E0094B"/>
    <w:rsid w:val="00E00B64"/>
    <w:rsid w:val="00E00C49"/>
    <w:rsid w:val="00E00E28"/>
    <w:rsid w:val="00E013D1"/>
    <w:rsid w:val="00E013FB"/>
    <w:rsid w:val="00E0145A"/>
    <w:rsid w:val="00E01511"/>
    <w:rsid w:val="00E01638"/>
    <w:rsid w:val="00E017A2"/>
    <w:rsid w:val="00E017DC"/>
    <w:rsid w:val="00E01CB0"/>
    <w:rsid w:val="00E01CB2"/>
    <w:rsid w:val="00E01F01"/>
    <w:rsid w:val="00E027BE"/>
    <w:rsid w:val="00E02D78"/>
    <w:rsid w:val="00E02DD0"/>
    <w:rsid w:val="00E03190"/>
    <w:rsid w:val="00E031E9"/>
    <w:rsid w:val="00E03267"/>
    <w:rsid w:val="00E032D7"/>
    <w:rsid w:val="00E034D6"/>
    <w:rsid w:val="00E03515"/>
    <w:rsid w:val="00E03A8D"/>
    <w:rsid w:val="00E03E4E"/>
    <w:rsid w:val="00E03F82"/>
    <w:rsid w:val="00E041D7"/>
    <w:rsid w:val="00E045C1"/>
    <w:rsid w:val="00E049B7"/>
    <w:rsid w:val="00E04AB4"/>
    <w:rsid w:val="00E04DFD"/>
    <w:rsid w:val="00E05037"/>
    <w:rsid w:val="00E053BD"/>
    <w:rsid w:val="00E05434"/>
    <w:rsid w:val="00E056E8"/>
    <w:rsid w:val="00E05A7A"/>
    <w:rsid w:val="00E05E21"/>
    <w:rsid w:val="00E06167"/>
    <w:rsid w:val="00E06797"/>
    <w:rsid w:val="00E0685B"/>
    <w:rsid w:val="00E06876"/>
    <w:rsid w:val="00E06BE1"/>
    <w:rsid w:val="00E06F14"/>
    <w:rsid w:val="00E070EB"/>
    <w:rsid w:val="00E07235"/>
    <w:rsid w:val="00E0752B"/>
    <w:rsid w:val="00E075C5"/>
    <w:rsid w:val="00E07715"/>
    <w:rsid w:val="00E078A8"/>
    <w:rsid w:val="00E07A21"/>
    <w:rsid w:val="00E07BAF"/>
    <w:rsid w:val="00E07CEC"/>
    <w:rsid w:val="00E100EA"/>
    <w:rsid w:val="00E10383"/>
    <w:rsid w:val="00E10595"/>
    <w:rsid w:val="00E10661"/>
    <w:rsid w:val="00E106ED"/>
    <w:rsid w:val="00E10964"/>
    <w:rsid w:val="00E110E9"/>
    <w:rsid w:val="00E111E8"/>
    <w:rsid w:val="00E11341"/>
    <w:rsid w:val="00E11592"/>
    <w:rsid w:val="00E117F6"/>
    <w:rsid w:val="00E11840"/>
    <w:rsid w:val="00E11875"/>
    <w:rsid w:val="00E118EB"/>
    <w:rsid w:val="00E11BD2"/>
    <w:rsid w:val="00E11BF4"/>
    <w:rsid w:val="00E120DE"/>
    <w:rsid w:val="00E1218C"/>
    <w:rsid w:val="00E121EE"/>
    <w:rsid w:val="00E12413"/>
    <w:rsid w:val="00E12481"/>
    <w:rsid w:val="00E12A21"/>
    <w:rsid w:val="00E12D36"/>
    <w:rsid w:val="00E12EAF"/>
    <w:rsid w:val="00E13040"/>
    <w:rsid w:val="00E134CC"/>
    <w:rsid w:val="00E137B9"/>
    <w:rsid w:val="00E137CA"/>
    <w:rsid w:val="00E1386F"/>
    <w:rsid w:val="00E13983"/>
    <w:rsid w:val="00E13ABE"/>
    <w:rsid w:val="00E13CF3"/>
    <w:rsid w:val="00E13DDE"/>
    <w:rsid w:val="00E13EC1"/>
    <w:rsid w:val="00E14213"/>
    <w:rsid w:val="00E144FE"/>
    <w:rsid w:val="00E14D1C"/>
    <w:rsid w:val="00E15175"/>
    <w:rsid w:val="00E153CD"/>
    <w:rsid w:val="00E15571"/>
    <w:rsid w:val="00E160F0"/>
    <w:rsid w:val="00E163DB"/>
    <w:rsid w:val="00E16645"/>
    <w:rsid w:val="00E167AB"/>
    <w:rsid w:val="00E169D6"/>
    <w:rsid w:val="00E16C54"/>
    <w:rsid w:val="00E16D48"/>
    <w:rsid w:val="00E16E16"/>
    <w:rsid w:val="00E17195"/>
    <w:rsid w:val="00E1745C"/>
    <w:rsid w:val="00E1749D"/>
    <w:rsid w:val="00E1752C"/>
    <w:rsid w:val="00E17A38"/>
    <w:rsid w:val="00E17F70"/>
    <w:rsid w:val="00E17F9D"/>
    <w:rsid w:val="00E20049"/>
    <w:rsid w:val="00E200D4"/>
    <w:rsid w:val="00E20211"/>
    <w:rsid w:val="00E205BB"/>
    <w:rsid w:val="00E2076F"/>
    <w:rsid w:val="00E209DB"/>
    <w:rsid w:val="00E20A2B"/>
    <w:rsid w:val="00E20EC1"/>
    <w:rsid w:val="00E212D8"/>
    <w:rsid w:val="00E21880"/>
    <w:rsid w:val="00E21BB4"/>
    <w:rsid w:val="00E21BC1"/>
    <w:rsid w:val="00E21D2A"/>
    <w:rsid w:val="00E21D38"/>
    <w:rsid w:val="00E21F28"/>
    <w:rsid w:val="00E2205A"/>
    <w:rsid w:val="00E22262"/>
    <w:rsid w:val="00E2238F"/>
    <w:rsid w:val="00E22434"/>
    <w:rsid w:val="00E2293B"/>
    <w:rsid w:val="00E22F64"/>
    <w:rsid w:val="00E23127"/>
    <w:rsid w:val="00E231EA"/>
    <w:rsid w:val="00E23203"/>
    <w:rsid w:val="00E23265"/>
    <w:rsid w:val="00E232E9"/>
    <w:rsid w:val="00E2333F"/>
    <w:rsid w:val="00E2351C"/>
    <w:rsid w:val="00E23631"/>
    <w:rsid w:val="00E246D0"/>
    <w:rsid w:val="00E2480B"/>
    <w:rsid w:val="00E2484B"/>
    <w:rsid w:val="00E248C2"/>
    <w:rsid w:val="00E24B90"/>
    <w:rsid w:val="00E24D0E"/>
    <w:rsid w:val="00E250B3"/>
    <w:rsid w:val="00E254BB"/>
    <w:rsid w:val="00E2560A"/>
    <w:rsid w:val="00E2564A"/>
    <w:rsid w:val="00E258F6"/>
    <w:rsid w:val="00E25B4E"/>
    <w:rsid w:val="00E2623B"/>
    <w:rsid w:val="00E2647E"/>
    <w:rsid w:val="00E26684"/>
    <w:rsid w:val="00E26B26"/>
    <w:rsid w:val="00E26C74"/>
    <w:rsid w:val="00E26C8C"/>
    <w:rsid w:val="00E2741A"/>
    <w:rsid w:val="00E2747E"/>
    <w:rsid w:val="00E279B2"/>
    <w:rsid w:val="00E27A08"/>
    <w:rsid w:val="00E27C9A"/>
    <w:rsid w:val="00E3018F"/>
    <w:rsid w:val="00E30E1C"/>
    <w:rsid w:val="00E30E3B"/>
    <w:rsid w:val="00E30F7E"/>
    <w:rsid w:val="00E31116"/>
    <w:rsid w:val="00E3147C"/>
    <w:rsid w:val="00E31602"/>
    <w:rsid w:val="00E317C8"/>
    <w:rsid w:val="00E31964"/>
    <w:rsid w:val="00E31BAF"/>
    <w:rsid w:val="00E31C40"/>
    <w:rsid w:val="00E31CC3"/>
    <w:rsid w:val="00E31CC7"/>
    <w:rsid w:val="00E31D83"/>
    <w:rsid w:val="00E31F8E"/>
    <w:rsid w:val="00E31FDD"/>
    <w:rsid w:val="00E3206D"/>
    <w:rsid w:val="00E32197"/>
    <w:rsid w:val="00E321A8"/>
    <w:rsid w:val="00E32265"/>
    <w:rsid w:val="00E323D1"/>
    <w:rsid w:val="00E32691"/>
    <w:rsid w:val="00E326AD"/>
    <w:rsid w:val="00E3273D"/>
    <w:rsid w:val="00E32D97"/>
    <w:rsid w:val="00E335E7"/>
    <w:rsid w:val="00E33939"/>
    <w:rsid w:val="00E33B85"/>
    <w:rsid w:val="00E34156"/>
    <w:rsid w:val="00E344C8"/>
    <w:rsid w:val="00E34609"/>
    <w:rsid w:val="00E34DCC"/>
    <w:rsid w:val="00E35B7D"/>
    <w:rsid w:val="00E35C9F"/>
    <w:rsid w:val="00E35E3A"/>
    <w:rsid w:val="00E35E3D"/>
    <w:rsid w:val="00E35F3A"/>
    <w:rsid w:val="00E36007"/>
    <w:rsid w:val="00E361D8"/>
    <w:rsid w:val="00E36213"/>
    <w:rsid w:val="00E363B7"/>
    <w:rsid w:val="00E3681C"/>
    <w:rsid w:val="00E36BBB"/>
    <w:rsid w:val="00E36BFB"/>
    <w:rsid w:val="00E37179"/>
    <w:rsid w:val="00E37CE4"/>
    <w:rsid w:val="00E4033E"/>
    <w:rsid w:val="00E405A4"/>
    <w:rsid w:val="00E4072B"/>
    <w:rsid w:val="00E40AD0"/>
    <w:rsid w:val="00E40B3B"/>
    <w:rsid w:val="00E40D12"/>
    <w:rsid w:val="00E40D2E"/>
    <w:rsid w:val="00E40E2E"/>
    <w:rsid w:val="00E4138E"/>
    <w:rsid w:val="00E41863"/>
    <w:rsid w:val="00E41A1B"/>
    <w:rsid w:val="00E41AF3"/>
    <w:rsid w:val="00E41B90"/>
    <w:rsid w:val="00E41D72"/>
    <w:rsid w:val="00E41F1D"/>
    <w:rsid w:val="00E420A5"/>
    <w:rsid w:val="00E42453"/>
    <w:rsid w:val="00E42620"/>
    <w:rsid w:val="00E426C6"/>
    <w:rsid w:val="00E4281E"/>
    <w:rsid w:val="00E42C5E"/>
    <w:rsid w:val="00E42FC2"/>
    <w:rsid w:val="00E43452"/>
    <w:rsid w:val="00E4364E"/>
    <w:rsid w:val="00E43736"/>
    <w:rsid w:val="00E43807"/>
    <w:rsid w:val="00E43A79"/>
    <w:rsid w:val="00E4409C"/>
    <w:rsid w:val="00E4484E"/>
    <w:rsid w:val="00E44BA0"/>
    <w:rsid w:val="00E45375"/>
    <w:rsid w:val="00E45424"/>
    <w:rsid w:val="00E45463"/>
    <w:rsid w:val="00E45624"/>
    <w:rsid w:val="00E4577B"/>
    <w:rsid w:val="00E45C31"/>
    <w:rsid w:val="00E45D70"/>
    <w:rsid w:val="00E45D71"/>
    <w:rsid w:val="00E45EBE"/>
    <w:rsid w:val="00E45F86"/>
    <w:rsid w:val="00E46157"/>
    <w:rsid w:val="00E46944"/>
    <w:rsid w:val="00E46BB7"/>
    <w:rsid w:val="00E46BEF"/>
    <w:rsid w:val="00E46FA4"/>
    <w:rsid w:val="00E47096"/>
    <w:rsid w:val="00E47185"/>
    <w:rsid w:val="00E47219"/>
    <w:rsid w:val="00E47289"/>
    <w:rsid w:val="00E473D5"/>
    <w:rsid w:val="00E47511"/>
    <w:rsid w:val="00E479AF"/>
    <w:rsid w:val="00E47FAD"/>
    <w:rsid w:val="00E501ED"/>
    <w:rsid w:val="00E5078B"/>
    <w:rsid w:val="00E5107A"/>
    <w:rsid w:val="00E51C32"/>
    <w:rsid w:val="00E51EF4"/>
    <w:rsid w:val="00E520BC"/>
    <w:rsid w:val="00E52548"/>
    <w:rsid w:val="00E5271D"/>
    <w:rsid w:val="00E529EF"/>
    <w:rsid w:val="00E52EBA"/>
    <w:rsid w:val="00E530EA"/>
    <w:rsid w:val="00E53189"/>
    <w:rsid w:val="00E53241"/>
    <w:rsid w:val="00E532FA"/>
    <w:rsid w:val="00E53420"/>
    <w:rsid w:val="00E534D1"/>
    <w:rsid w:val="00E53705"/>
    <w:rsid w:val="00E53752"/>
    <w:rsid w:val="00E5378E"/>
    <w:rsid w:val="00E5390D"/>
    <w:rsid w:val="00E53CF9"/>
    <w:rsid w:val="00E53D7F"/>
    <w:rsid w:val="00E53DA1"/>
    <w:rsid w:val="00E53EA8"/>
    <w:rsid w:val="00E54530"/>
    <w:rsid w:val="00E545A1"/>
    <w:rsid w:val="00E54AC9"/>
    <w:rsid w:val="00E54ACD"/>
    <w:rsid w:val="00E55159"/>
    <w:rsid w:val="00E55427"/>
    <w:rsid w:val="00E558E1"/>
    <w:rsid w:val="00E55FF5"/>
    <w:rsid w:val="00E5635A"/>
    <w:rsid w:val="00E5676E"/>
    <w:rsid w:val="00E56805"/>
    <w:rsid w:val="00E573F5"/>
    <w:rsid w:val="00E574AD"/>
    <w:rsid w:val="00E57661"/>
    <w:rsid w:val="00E57788"/>
    <w:rsid w:val="00E57BD0"/>
    <w:rsid w:val="00E60313"/>
    <w:rsid w:val="00E60578"/>
    <w:rsid w:val="00E6061C"/>
    <w:rsid w:val="00E60850"/>
    <w:rsid w:val="00E60923"/>
    <w:rsid w:val="00E60DD1"/>
    <w:rsid w:val="00E60EAE"/>
    <w:rsid w:val="00E612F8"/>
    <w:rsid w:val="00E613A5"/>
    <w:rsid w:val="00E61441"/>
    <w:rsid w:val="00E61533"/>
    <w:rsid w:val="00E619E4"/>
    <w:rsid w:val="00E61A38"/>
    <w:rsid w:val="00E6208D"/>
    <w:rsid w:val="00E622A8"/>
    <w:rsid w:val="00E62405"/>
    <w:rsid w:val="00E62622"/>
    <w:rsid w:val="00E62732"/>
    <w:rsid w:val="00E62A7B"/>
    <w:rsid w:val="00E62B1B"/>
    <w:rsid w:val="00E62C1C"/>
    <w:rsid w:val="00E62C23"/>
    <w:rsid w:val="00E62E04"/>
    <w:rsid w:val="00E636E1"/>
    <w:rsid w:val="00E63E6D"/>
    <w:rsid w:val="00E641E6"/>
    <w:rsid w:val="00E643CC"/>
    <w:rsid w:val="00E64E2C"/>
    <w:rsid w:val="00E64E8D"/>
    <w:rsid w:val="00E64FB5"/>
    <w:rsid w:val="00E65072"/>
    <w:rsid w:val="00E650D2"/>
    <w:rsid w:val="00E65244"/>
    <w:rsid w:val="00E6550D"/>
    <w:rsid w:val="00E6563E"/>
    <w:rsid w:val="00E656F0"/>
    <w:rsid w:val="00E659E8"/>
    <w:rsid w:val="00E65A24"/>
    <w:rsid w:val="00E65A59"/>
    <w:rsid w:val="00E65A9C"/>
    <w:rsid w:val="00E66214"/>
    <w:rsid w:val="00E662C8"/>
    <w:rsid w:val="00E66996"/>
    <w:rsid w:val="00E669F1"/>
    <w:rsid w:val="00E66C37"/>
    <w:rsid w:val="00E66D50"/>
    <w:rsid w:val="00E66FC9"/>
    <w:rsid w:val="00E66FFD"/>
    <w:rsid w:val="00E67448"/>
    <w:rsid w:val="00E674C8"/>
    <w:rsid w:val="00E674E8"/>
    <w:rsid w:val="00E67683"/>
    <w:rsid w:val="00E67943"/>
    <w:rsid w:val="00E67CDD"/>
    <w:rsid w:val="00E67D7B"/>
    <w:rsid w:val="00E67F1E"/>
    <w:rsid w:val="00E7004A"/>
    <w:rsid w:val="00E7027C"/>
    <w:rsid w:val="00E706A6"/>
    <w:rsid w:val="00E70A7A"/>
    <w:rsid w:val="00E70AEF"/>
    <w:rsid w:val="00E70B3B"/>
    <w:rsid w:val="00E70B6F"/>
    <w:rsid w:val="00E70C10"/>
    <w:rsid w:val="00E70E9E"/>
    <w:rsid w:val="00E70F8D"/>
    <w:rsid w:val="00E70FD3"/>
    <w:rsid w:val="00E714A4"/>
    <w:rsid w:val="00E71624"/>
    <w:rsid w:val="00E71C39"/>
    <w:rsid w:val="00E71D98"/>
    <w:rsid w:val="00E72046"/>
    <w:rsid w:val="00E721DE"/>
    <w:rsid w:val="00E7224A"/>
    <w:rsid w:val="00E72495"/>
    <w:rsid w:val="00E7256C"/>
    <w:rsid w:val="00E72A9D"/>
    <w:rsid w:val="00E72DDE"/>
    <w:rsid w:val="00E7311E"/>
    <w:rsid w:val="00E732E7"/>
    <w:rsid w:val="00E733CF"/>
    <w:rsid w:val="00E7342F"/>
    <w:rsid w:val="00E73550"/>
    <w:rsid w:val="00E737B2"/>
    <w:rsid w:val="00E73939"/>
    <w:rsid w:val="00E739FB"/>
    <w:rsid w:val="00E73E29"/>
    <w:rsid w:val="00E74298"/>
    <w:rsid w:val="00E748E3"/>
    <w:rsid w:val="00E7509F"/>
    <w:rsid w:val="00E7547E"/>
    <w:rsid w:val="00E75615"/>
    <w:rsid w:val="00E7561F"/>
    <w:rsid w:val="00E75861"/>
    <w:rsid w:val="00E75D1F"/>
    <w:rsid w:val="00E75F06"/>
    <w:rsid w:val="00E75F7A"/>
    <w:rsid w:val="00E75FF9"/>
    <w:rsid w:val="00E76093"/>
    <w:rsid w:val="00E7618C"/>
    <w:rsid w:val="00E76230"/>
    <w:rsid w:val="00E7674B"/>
    <w:rsid w:val="00E7676B"/>
    <w:rsid w:val="00E76AEC"/>
    <w:rsid w:val="00E76B88"/>
    <w:rsid w:val="00E76F31"/>
    <w:rsid w:val="00E77113"/>
    <w:rsid w:val="00E7752F"/>
    <w:rsid w:val="00E7772B"/>
    <w:rsid w:val="00E77A92"/>
    <w:rsid w:val="00E77D90"/>
    <w:rsid w:val="00E80819"/>
    <w:rsid w:val="00E80832"/>
    <w:rsid w:val="00E809C0"/>
    <w:rsid w:val="00E80A5C"/>
    <w:rsid w:val="00E80F93"/>
    <w:rsid w:val="00E8120C"/>
    <w:rsid w:val="00E81272"/>
    <w:rsid w:val="00E81388"/>
    <w:rsid w:val="00E817FA"/>
    <w:rsid w:val="00E81A88"/>
    <w:rsid w:val="00E81B7A"/>
    <w:rsid w:val="00E81DDB"/>
    <w:rsid w:val="00E81EB9"/>
    <w:rsid w:val="00E81F2A"/>
    <w:rsid w:val="00E8218E"/>
    <w:rsid w:val="00E8247B"/>
    <w:rsid w:val="00E826DE"/>
    <w:rsid w:val="00E826E4"/>
    <w:rsid w:val="00E83021"/>
    <w:rsid w:val="00E83536"/>
    <w:rsid w:val="00E83733"/>
    <w:rsid w:val="00E83768"/>
    <w:rsid w:val="00E83B3B"/>
    <w:rsid w:val="00E83DC2"/>
    <w:rsid w:val="00E83DCE"/>
    <w:rsid w:val="00E83F29"/>
    <w:rsid w:val="00E84075"/>
    <w:rsid w:val="00E8449D"/>
    <w:rsid w:val="00E84601"/>
    <w:rsid w:val="00E84760"/>
    <w:rsid w:val="00E84B24"/>
    <w:rsid w:val="00E84F0E"/>
    <w:rsid w:val="00E84FCB"/>
    <w:rsid w:val="00E851BB"/>
    <w:rsid w:val="00E85240"/>
    <w:rsid w:val="00E852BD"/>
    <w:rsid w:val="00E854B4"/>
    <w:rsid w:val="00E85853"/>
    <w:rsid w:val="00E85E68"/>
    <w:rsid w:val="00E860EF"/>
    <w:rsid w:val="00E862C5"/>
    <w:rsid w:val="00E863A8"/>
    <w:rsid w:val="00E863C3"/>
    <w:rsid w:val="00E86696"/>
    <w:rsid w:val="00E868D4"/>
    <w:rsid w:val="00E86911"/>
    <w:rsid w:val="00E86BDE"/>
    <w:rsid w:val="00E86EE4"/>
    <w:rsid w:val="00E871C7"/>
    <w:rsid w:val="00E873CF"/>
    <w:rsid w:val="00E8742E"/>
    <w:rsid w:val="00E87714"/>
    <w:rsid w:val="00E87A0A"/>
    <w:rsid w:val="00E87FDA"/>
    <w:rsid w:val="00E900A9"/>
    <w:rsid w:val="00E905B5"/>
    <w:rsid w:val="00E905D2"/>
    <w:rsid w:val="00E908A4"/>
    <w:rsid w:val="00E90D39"/>
    <w:rsid w:val="00E90E9D"/>
    <w:rsid w:val="00E90F2D"/>
    <w:rsid w:val="00E91A43"/>
    <w:rsid w:val="00E91D65"/>
    <w:rsid w:val="00E91DA3"/>
    <w:rsid w:val="00E91E96"/>
    <w:rsid w:val="00E92147"/>
    <w:rsid w:val="00E92778"/>
    <w:rsid w:val="00E92A5F"/>
    <w:rsid w:val="00E934DF"/>
    <w:rsid w:val="00E93927"/>
    <w:rsid w:val="00E93D1F"/>
    <w:rsid w:val="00E93EE4"/>
    <w:rsid w:val="00E940F1"/>
    <w:rsid w:val="00E946E8"/>
    <w:rsid w:val="00E94ABD"/>
    <w:rsid w:val="00E94F25"/>
    <w:rsid w:val="00E94F46"/>
    <w:rsid w:val="00E950C5"/>
    <w:rsid w:val="00E9544F"/>
    <w:rsid w:val="00E954AE"/>
    <w:rsid w:val="00E95A94"/>
    <w:rsid w:val="00E95BDD"/>
    <w:rsid w:val="00E95CE6"/>
    <w:rsid w:val="00E95DD1"/>
    <w:rsid w:val="00E95DD6"/>
    <w:rsid w:val="00E96593"/>
    <w:rsid w:val="00E96A09"/>
    <w:rsid w:val="00E96A63"/>
    <w:rsid w:val="00E96CE4"/>
    <w:rsid w:val="00E9705E"/>
    <w:rsid w:val="00E970F3"/>
    <w:rsid w:val="00E97135"/>
    <w:rsid w:val="00E971DA"/>
    <w:rsid w:val="00E97B59"/>
    <w:rsid w:val="00E97D79"/>
    <w:rsid w:val="00EA01A1"/>
    <w:rsid w:val="00EA01BE"/>
    <w:rsid w:val="00EA02FB"/>
    <w:rsid w:val="00EA0438"/>
    <w:rsid w:val="00EA0678"/>
    <w:rsid w:val="00EA0714"/>
    <w:rsid w:val="00EA081F"/>
    <w:rsid w:val="00EA0930"/>
    <w:rsid w:val="00EA0B23"/>
    <w:rsid w:val="00EA0BD7"/>
    <w:rsid w:val="00EA0EA0"/>
    <w:rsid w:val="00EA1155"/>
    <w:rsid w:val="00EA1420"/>
    <w:rsid w:val="00EA15F9"/>
    <w:rsid w:val="00EA197F"/>
    <w:rsid w:val="00EA1996"/>
    <w:rsid w:val="00EA1D4C"/>
    <w:rsid w:val="00EA1DAF"/>
    <w:rsid w:val="00EA1FF4"/>
    <w:rsid w:val="00EA217D"/>
    <w:rsid w:val="00EA2357"/>
    <w:rsid w:val="00EA260D"/>
    <w:rsid w:val="00EA285C"/>
    <w:rsid w:val="00EA2A7D"/>
    <w:rsid w:val="00EA30DB"/>
    <w:rsid w:val="00EA3587"/>
    <w:rsid w:val="00EA382F"/>
    <w:rsid w:val="00EA3BAB"/>
    <w:rsid w:val="00EA3EA6"/>
    <w:rsid w:val="00EA42EC"/>
    <w:rsid w:val="00EA43D5"/>
    <w:rsid w:val="00EA44B6"/>
    <w:rsid w:val="00EA4572"/>
    <w:rsid w:val="00EA4677"/>
    <w:rsid w:val="00EA4C70"/>
    <w:rsid w:val="00EA4E75"/>
    <w:rsid w:val="00EA50BE"/>
    <w:rsid w:val="00EA5341"/>
    <w:rsid w:val="00EA5744"/>
    <w:rsid w:val="00EA5817"/>
    <w:rsid w:val="00EA596A"/>
    <w:rsid w:val="00EA59AB"/>
    <w:rsid w:val="00EA5A38"/>
    <w:rsid w:val="00EA5A99"/>
    <w:rsid w:val="00EA5E9E"/>
    <w:rsid w:val="00EA5F3A"/>
    <w:rsid w:val="00EA62B8"/>
    <w:rsid w:val="00EA66DA"/>
    <w:rsid w:val="00EA67B6"/>
    <w:rsid w:val="00EA68A2"/>
    <w:rsid w:val="00EA69A7"/>
    <w:rsid w:val="00EA6C4D"/>
    <w:rsid w:val="00EA6D3E"/>
    <w:rsid w:val="00EA6EC8"/>
    <w:rsid w:val="00EA6F5C"/>
    <w:rsid w:val="00EA75EC"/>
    <w:rsid w:val="00EA7A55"/>
    <w:rsid w:val="00EB0213"/>
    <w:rsid w:val="00EB05D0"/>
    <w:rsid w:val="00EB08C8"/>
    <w:rsid w:val="00EB097C"/>
    <w:rsid w:val="00EB0A2A"/>
    <w:rsid w:val="00EB0D28"/>
    <w:rsid w:val="00EB118F"/>
    <w:rsid w:val="00EB12F8"/>
    <w:rsid w:val="00EB166E"/>
    <w:rsid w:val="00EB1879"/>
    <w:rsid w:val="00EB1EA7"/>
    <w:rsid w:val="00EB1F9D"/>
    <w:rsid w:val="00EB2234"/>
    <w:rsid w:val="00EB2332"/>
    <w:rsid w:val="00EB2889"/>
    <w:rsid w:val="00EB29AD"/>
    <w:rsid w:val="00EB2A71"/>
    <w:rsid w:val="00EB2C1B"/>
    <w:rsid w:val="00EB2DF6"/>
    <w:rsid w:val="00EB3478"/>
    <w:rsid w:val="00EB3626"/>
    <w:rsid w:val="00EB37C5"/>
    <w:rsid w:val="00EB3FC6"/>
    <w:rsid w:val="00EB4106"/>
    <w:rsid w:val="00EB43DC"/>
    <w:rsid w:val="00EB4477"/>
    <w:rsid w:val="00EB4593"/>
    <w:rsid w:val="00EB45A6"/>
    <w:rsid w:val="00EB45C7"/>
    <w:rsid w:val="00EB4AD6"/>
    <w:rsid w:val="00EB4CCC"/>
    <w:rsid w:val="00EB4DDE"/>
    <w:rsid w:val="00EB4EA5"/>
    <w:rsid w:val="00EB5197"/>
    <w:rsid w:val="00EB5460"/>
    <w:rsid w:val="00EB55EF"/>
    <w:rsid w:val="00EB5608"/>
    <w:rsid w:val="00EB5669"/>
    <w:rsid w:val="00EB5738"/>
    <w:rsid w:val="00EB5995"/>
    <w:rsid w:val="00EB6089"/>
    <w:rsid w:val="00EB6096"/>
    <w:rsid w:val="00EB6277"/>
    <w:rsid w:val="00EB6798"/>
    <w:rsid w:val="00EB686F"/>
    <w:rsid w:val="00EB6BEE"/>
    <w:rsid w:val="00EB6F2E"/>
    <w:rsid w:val="00EB6FF9"/>
    <w:rsid w:val="00EB701D"/>
    <w:rsid w:val="00EB70A3"/>
    <w:rsid w:val="00EB70CC"/>
    <w:rsid w:val="00EB74A4"/>
    <w:rsid w:val="00EB758F"/>
    <w:rsid w:val="00EB76CB"/>
    <w:rsid w:val="00EB772C"/>
    <w:rsid w:val="00EB7D40"/>
    <w:rsid w:val="00EB7E97"/>
    <w:rsid w:val="00EC01DD"/>
    <w:rsid w:val="00EC0207"/>
    <w:rsid w:val="00EC0F95"/>
    <w:rsid w:val="00EC1039"/>
    <w:rsid w:val="00EC13C0"/>
    <w:rsid w:val="00EC17FA"/>
    <w:rsid w:val="00EC1B9A"/>
    <w:rsid w:val="00EC2376"/>
    <w:rsid w:val="00EC2413"/>
    <w:rsid w:val="00EC24E9"/>
    <w:rsid w:val="00EC252F"/>
    <w:rsid w:val="00EC2598"/>
    <w:rsid w:val="00EC2844"/>
    <w:rsid w:val="00EC2BAA"/>
    <w:rsid w:val="00EC3271"/>
    <w:rsid w:val="00EC34FD"/>
    <w:rsid w:val="00EC3D87"/>
    <w:rsid w:val="00EC3EBA"/>
    <w:rsid w:val="00EC40C3"/>
    <w:rsid w:val="00EC4294"/>
    <w:rsid w:val="00EC42A4"/>
    <w:rsid w:val="00EC435A"/>
    <w:rsid w:val="00EC4457"/>
    <w:rsid w:val="00EC454C"/>
    <w:rsid w:val="00EC4ABF"/>
    <w:rsid w:val="00EC4BEF"/>
    <w:rsid w:val="00EC4DF2"/>
    <w:rsid w:val="00EC53E6"/>
    <w:rsid w:val="00EC559B"/>
    <w:rsid w:val="00EC56EB"/>
    <w:rsid w:val="00EC58B2"/>
    <w:rsid w:val="00EC601D"/>
    <w:rsid w:val="00EC624E"/>
    <w:rsid w:val="00EC6271"/>
    <w:rsid w:val="00EC628C"/>
    <w:rsid w:val="00EC644F"/>
    <w:rsid w:val="00EC6583"/>
    <w:rsid w:val="00EC6993"/>
    <w:rsid w:val="00EC69AD"/>
    <w:rsid w:val="00EC6B76"/>
    <w:rsid w:val="00EC6E78"/>
    <w:rsid w:val="00EC6FCA"/>
    <w:rsid w:val="00EC7430"/>
    <w:rsid w:val="00EC743C"/>
    <w:rsid w:val="00EC786F"/>
    <w:rsid w:val="00EC7B40"/>
    <w:rsid w:val="00EC7B77"/>
    <w:rsid w:val="00ED0006"/>
    <w:rsid w:val="00ED00C9"/>
    <w:rsid w:val="00ED01AF"/>
    <w:rsid w:val="00ED046E"/>
    <w:rsid w:val="00ED066B"/>
    <w:rsid w:val="00ED0905"/>
    <w:rsid w:val="00ED0A66"/>
    <w:rsid w:val="00ED0BCC"/>
    <w:rsid w:val="00ED0C14"/>
    <w:rsid w:val="00ED0DF0"/>
    <w:rsid w:val="00ED0F23"/>
    <w:rsid w:val="00ED0F26"/>
    <w:rsid w:val="00ED12FC"/>
    <w:rsid w:val="00ED13A2"/>
    <w:rsid w:val="00ED160B"/>
    <w:rsid w:val="00ED161B"/>
    <w:rsid w:val="00ED1D5B"/>
    <w:rsid w:val="00ED2034"/>
    <w:rsid w:val="00ED2140"/>
    <w:rsid w:val="00ED21EF"/>
    <w:rsid w:val="00ED26E4"/>
    <w:rsid w:val="00ED2A19"/>
    <w:rsid w:val="00ED2A51"/>
    <w:rsid w:val="00ED2D1A"/>
    <w:rsid w:val="00ED2F14"/>
    <w:rsid w:val="00ED31FB"/>
    <w:rsid w:val="00ED34C5"/>
    <w:rsid w:val="00ED3AA6"/>
    <w:rsid w:val="00ED3AC8"/>
    <w:rsid w:val="00ED3EEA"/>
    <w:rsid w:val="00ED423A"/>
    <w:rsid w:val="00ED48A2"/>
    <w:rsid w:val="00ED4919"/>
    <w:rsid w:val="00ED4C53"/>
    <w:rsid w:val="00ED4F8C"/>
    <w:rsid w:val="00ED55C3"/>
    <w:rsid w:val="00ED581A"/>
    <w:rsid w:val="00ED5AE4"/>
    <w:rsid w:val="00ED5B89"/>
    <w:rsid w:val="00ED5C09"/>
    <w:rsid w:val="00ED6174"/>
    <w:rsid w:val="00ED619D"/>
    <w:rsid w:val="00ED61A0"/>
    <w:rsid w:val="00ED655B"/>
    <w:rsid w:val="00ED6D4F"/>
    <w:rsid w:val="00ED70B8"/>
    <w:rsid w:val="00ED718D"/>
    <w:rsid w:val="00ED723B"/>
    <w:rsid w:val="00ED73A7"/>
    <w:rsid w:val="00ED7447"/>
    <w:rsid w:val="00ED754E"/>
    <w:rsid w:val="00ED7782"/>
    <w:rsid w:val="00ED79C8"/>
    <w:rsid w:val="00ED7AFC"/>
    <w:rsid w:val="00EE04F6"/>
    <w:rsid w:val="00EE0700"/>
    <w:rsid w:val="00EE0BBB"/>
    <w:rsid w:val="00EE0F1F"/>
    <w:rsid w:val="00EE0FD6"/>
    <w:rsid w:val="00EE10C3"/>
    <w:rsid w:val="00EE15B9"/>
    <w:rsid w:val="00EE15C8"/>
    <w:rsid w:val="00EE165F"/>
    <w:rsid w:val="00EE16BC"/>
    <w:rsid w:val="00EE1786"/>
    <w:rsid w:val="00EE1935"/>
    <w:rsid w:val="00EE1A11"/>
    <w:rsid w:val="00EE1E27"/>
    <w:rsid w:val="00EE1E33"/>
    <w:rsid w:val="00EE1F33"/>
    <w:rsid w:val="00EE1FD3"/>
    <w:rsid w:val="00EE2C3E"/>
    <w:rsid w:val="00EE2E2D"/>
    <w:rsid w:val="00EE3288"/>
    <w:rsid w:val="00EE3454"/>
    <w:rsid w:val="00EE3851"/>
    <w:rsid w:val="00EE3952"/>
    <w:rsid w:val="00EE4873"/>
    <w:rsid w:val="00EE49EB"/>
    <w:rsid w:val="00EE4DE9"/>
    <w:rsid w:val="00EE5179"/>
    <w:rsid w:val="00EE5298"/>
    <w:rsid w:val="00EE536E"/>
    <w:rsid w:val="00EE53A6"/>
    <w:rsid w:val="00EE55B0"/>
    <w:rsid w:val="00EE5744"/>
    <w:rsid w:val="00EE5863"/>
    <w:rsid w:val="00EE58B7"/>
    <w:rsid w:val="00EE5B0F"/>
    <w:rsid w:val="00EE5DD7"/>
    <w:rsid w:val="00EE5E45"/>
    <w:rsid w:val="00EE61B0"/>
    <w:rsid w:val="00EE6292"/>
    <w:rsid w:val="00EE6674"/>
    <w:rsid w:val="00EE6858"/>
    <w:rsid w:val="00EE688F"/>
    <w:rsid w:val="00EE6AF4"/>
    <w:rsid w:val="00EE6B51"/>
    <w:rsid w:val="00EE6B68"/>
    <w:rsid w:val="00EE7142"/>
    <w:rsid w:val="00EE7630"/>
    <w:rsid w:val="00EE79A3"/>
    <w:rsid w:val="00EE7A42"/>
    <w:rsid w:val="00EE7C0E"/>
    <w:rsid w:val="00EE7CAA"/>
    <w:rsid w:val="00EE7D1D"/>
    <w:rsid w:val="00EF0325"/>
    <w:rsid w:val="00EF03F1"/>
    <w:rsid w:val="00EF04EC"/>
    <w:rsid w:val="00EF086E"/>
    <w:rsid w:val="00EF08CA"/>
    <w:rsid w:val="00EF15F6"/>
    <w:rsid w:val="00EF176C"/>
    <w:rsid w:val="00EF1808"/>
    <w:rsid w:val="00EF1997"/>
    <w:rsid w:val="00EF1BB5"/>
    <w:rsid w:val="00EF20FA"/>
    <w:rsid w:val="00EF2294"/>
    <w:rsid w:val="00EF2504"/>
    <w:rsid w:val="00EF26E5"/>
    <w:rsid w:val="00EF2F4B"/>
    <w:rsid w:val="00EF3DAF"/>
    <w:rsid w:val="00EF3DFD"/>
    <w:rsid w:val="00EF3EC6"/>
    <w:rsid w:val="00EF3EE8"/>
    <w:rsid w:val="00EF44A8"/>
    <w:rsid w:val="00EF4507"/>
    <w:rsid w:val="00EF4740"/>
    <w:rsid w:val="00EF4900"/>
    <w:rsid w:val="00EF4B0F"/>
    <w:rsid w:val="00EF4BA5"/>
    <w:rsid w:val="00EF4D0B"/>
    <w:rsid w:val="00EF4E77"/>
    <w:rsid w:val="00EF5015"/>
    <w:rsid w:val="00EF51AF"/>
    <w:rsid w:val="00EF52DE"/>
    <w:rsid w:val="00EF539A"/>
    <w:rsid w:val="00EF5422"/>
    <w:rsid w:val="00EF558D"/>
    <w:rsid w:val="00EF577A"/>
    <w:rsid w:val="00EF5B76"/>
    <w:rsid w:val="00EF5CDE"/>
    <w:rsid w:val="00EF625D"/>
    <w:rsid w:val="00EF6583"/>
    <w:rsid w:val="00EF6C5F"/>
    <w:rsid w:val="00EF6C84"/>
    <w:rsid w:val="00EF72D3"/>
    <w:rsid w:val="00EF7497"/>
    <w:rsid w:val="00EF74A9"/>
    <w:rsid w:val="00EF74D6"/>
    <w:rsid w:val="00EF7727"/>
    <w:rsid w:val="00EF7844"/>
    <w:rsid w:val="00EF7897"/>
    <w:rsid w:val="00EF7C98"/>
    <w:rsid w:val="00F00615"/>
    <w:rsid w:val="00F0084F"/>
    <w:rsid w:val="00F0091E"/>
    <w:rsid w:val="00F00DEC"/>
    <w:rsid w:val="00F00EE8"/>
    <w:rsid w:val="00F010DF"/>
    <w:rsid w:val="00F012C5"/>
    <w:rsid w:val="00F01615"/>
    <w:rsid w:val="00F01B9C"/>
    <w:rsid w:val="00F023E4"/>
    <w:rsid w:val="00F0259C"/>
    <w:rsid w:val="00F02943"/>
    <w:rsid w:val="00F0295E"/>
    <w:rsid w:val="00F02969"/>
    <w:rsid w:val="00F02B5D"/>
    <w:rsid w:val="00F02E6D"/>
    <w:rsid w:val="00F02E7C"/>
    <w:rsid w:val="00F02E84"/>
    <w:rsid w:val="00F03097"/>
    <w:rsid w:val="00F030CF"/>
    <w:rsid w:val="00F031C0"/>
    <w:rsid w:val="00F036F4"/>
    <w:rsid w:val="00F039CB"/>
    <w:rsid w:val="00F03A3C"/>
    <w:rsid w:val="00F03CD5"/>
    <w:rsid w:val="00F03D35"/>
    <w:rsid w:val="00F0445A"/>
    <w:rsid w:val="00F04765"/>
    <w:rsid w:val="00F04C0B"/>
    <w:rsid w:val="00F0506D"/>
    <w:rsid w:val="00F055A8"/>
    <w:rsid w:val="00F057A2"/>
    <w:rsid w:val="00F058A8"/>
    <w:rsid w:val="00F058E8"/>
    <w:rsid w:val="00F05AE0"/>
    <w:rsid w:val="00F06252"/>
    <w:rsid w:val="00F0636D"/>
    <w:rsid w:val="00F06558"/>
    <w:rsid w:val="00F06A48"/>
    <w:rsid w:val="00F06C98"/>
    <w:rsid w:val="00F06F4A"/>
    <w:rsid w:val="00F06FB3"/>
    <w:rsid w:val="00F07E15"/>
    <w:rsid w:val="00F07F00"/>
    <w:rsid w:val="00F102E1"/>
    <w:rsid w:val="00F10350"/>
    <w:rsid w:val="00F10AF2"/>
    <w:rsid w:val="00F10B8D"/>
    <w:rsid w:val="00F10C4A"/>
    <w:rsid w:val="00F11228"/>
    <w:rsid w:val="00F11F84"/>
    <w:rsid w:val="00F12141"/>
    <w:rsid w:val="00F1235D"/>
    <w:rsid w:val="00F12444"/>
    <w:rsid w:val="00F12529"/>
    <w:rsid w:val="00F125FD"/>
    <w:rsid w:val="00F12752"/>
    <w:rsid w:val="00F129DA"/>
    <w:rsid w:val="00F12BAF"/>
    <w:rsid w:val="00F12E20"/>
    <w:rsid w:val="00F12EDC"/>
    <w:rsid w:val="00F13036"/>
    <w:rsid w:val="00F131ED"/>
    <w:rsid w:val="00F13380"/>
    <w:rsid w:val="00F13487"/>
    <w:rsid w:val="00F13551"/>
    <w:rsid w:val="00F1368B"/>
    <w:rsid w:val="00F13701"/>
    <w:rsid w:val="00F1397D"/>
    <w:rsid w:val="00F13C42"/>
    <w:rsid w:val="00F13D4B"/>
    <w:rsid w:val="00F14034"/>
    <w:rsid w:val="00F141E9"/>
    <w:rsid w:val="00F14655"/>
    <w:rsid w:val="00F14996"/>
    <w:rsid w:val="00F14A05"/>
    <w:rsid w:val="00F14AE3"/>
    <w:rsid w:val="00F14D13"/>
    <w:rsid w:val="00F15376"/>
    <w:rsid w:val="00F157B3"/>
    <w:rsid w:val="00F157E4"/>
    <w:rsid w:val="00F15A20"/>
    <w:rsid w:val="00F15D5F"/>
    <w:rsid w:val="00F15DD8"/>
    <w:rsid w:val="00F16666"/>
    <w:rsid w:val="00F1684C"/>
    <w:rsid w:val="00F16D77"/>
    <w:rsid w:val="00F16D91"/>
    <w:rsid w:val="00F16E32"/>
    <w:rsid w:val="00F16EC2"/>
    <w:rsid w:val="00F16FB4"/>
    <w:rsid w:val="00F171AD"/>
    <w:rsid w:val="00F1729D"/>
    <w:rsid w:val="00F177A4"/>
    <w:rsid w:val="00F17CCA"/>
    <w:rsid w:val="00F17D13"/>
    <w:rsid w:val="00F17DB7"/>
    <w:rsid w:val="00F20562"/>
    <w:rsid w:val="00F2056D"/>
    <w:rsid w:val="00F20A47"/>
    <w:rsid w:val="00F20C8C"/>
    <w:rsid w:val="00F20E1D"/>
    <w:rsid w:val="00F212FE"/>
    <w:rsid w:val="00F21DD1"/>
    <w:rsid w:val="00F2216E"/>
    <w:rsid w:val="00F222C9"/>
    <w:rsid w:val="00F2244A"/>
    <w:rsid w:val="00F22C17"/>
    <w:rsid w:val="00F22D89"/>
    <w:rsid w:val="00F23468"/>
    <w:rsid w:val="00F2358A"/>
    <w:rsid w:val="00F23BA6"/>
    <w:rsid w:val="00F23E34"/>
    <w:rsid w:val="00F23F5B"/>
    <w:rsid w:val="00F2423F"/>
    <w:rsid w:val="00F2445D"/>
    <w:rsid w:val="00F2448C"/>
    <w:rsid w:val="00F2459F"/>
    <w:rsid w:val="00F247EE"/>
    <w:rsid w:val="00F2492C"/>
    <w:rsid w:val="00F24A78"/>
    <w:rsid w:val="00F24ADF"/>
    <w:rsid w:val="00F24BA4"/>
    <w:rsid w:val="00F24FB9"/>
    <w:rsid w:val="00F2538B"/>
    <w:rsid w:val="00F254EB"/>
    <w:rsid w:val="00F257A9"/>
    <w:rsid w:val="00F25925"/>
    <w:rsid w:val="00F25A0B"/>
    <w:rsid w:val="00F25ABA"/>
    <w:rsid w:val="00F25CB3"/>
    <w:rsid w:val="00F25F12"/>
    <w:rsid w:val="00F25FDC"/>
    <w:rsid w:val="00F25FEA"/>
    <w:rsid w:val="00F26049"/>
    <w:rsid w:val="00F26090"/>
    <w:rsid w:val="00F260E2"/>
    <w:rsid w:val="00F260FF"/>
    <w:rsid w:val="00F264EA"/>
    <w:rsid w:val="00F2678D"/>
    <w:rsid w:val="00F26A3C"/>
    <w:rsid w:val="00F26B02"/>
    <w:rsid w:val="00F26C67"/>
    <w:rsid w:val="00F26EAD"/>
    <w:rsid w:val="00F27801"/>
    <w:rsid w:val="00F2781F"/>
    <w:rsid w:val="00F27F87"/>
    <w:rsid w:val="00F27FC2"/>
    <w:rsid w:val="00F3049B"/>
    <w:rsid w:val="00F3075A"/>
    <w:rsid w:val="00F307AA"/>
    <w:rsid w:val="00F307FD"/>
    <w:rsid w:val="00F3081E"/>
    <w:rsid w:val="00F309AA"/>
    <w:rsid w:val="00F309EE"/>
    <w:rsid w:val="00F30B51"/>
    <w:rsid w:val="00F30C68"/>
    <w:rsid w:val="00F3135D"/>
    <w:rsid w:val="00F313BF"/>
    <w:rsid w:val="00F31640"/>
    <w:rsid w:val="00F31A92"/>
    <w:rsid w:val="00F31BBE"/>
    <w:rsid w:val="00F31BC2"/>
    <w:rsid w:val="00F321EF"/>
    <w:rsid w:val="00F3235D"/>
    <w:rsid w:val="00F323A4"/>
    <w:rsid w:val="00F3246D"/>
    <w:rsid w:val="00F327A8"/>
    <w:rsid w:val="00F3292E"/>
    <w:rsid w:val="00F32DD5"/>
    <w:rsid w:val="00F33635"/>
    <w:rsid w:val="00F33776"/>
    <w:rsid w:val="00F337B2"/>
    <w:rsid w:val="00F33847"/>
    <w:rsid w:val="00F33912"/>
    <w:rsid w:val="00F33D38"/>
    <w:rsid w:val="00F33D60"/>
    <w:rsid w:val="00F33DA6"/>
    <w:rsid w:val="00F346F3"/>
    <w:rsid w:val="00F347A2"/>
    <w:rsid w:val="00F34810"/>
    <w:rsid w:val="00F34BCB"/>
    <w:rsid w:val="00F34D1E"/>
    <w:rsid w:val="00F35726"/>
    <w:rsid w:val="00F35C85"/>
    <w:rsid w:val="00F36652"/>
    <w:rsid w:val="00F36C1E"/>
    <w:rsid w:val="00F36C28"/>
    <w:rsid w:val="00F36DF4"/>
    <w:rsid w:val="00F36E65"/>
    <w:rsid w:val="00F36EA0"/>
    <w:rsid w:val="00F370A8"/>
    <w:rsid w:val="00F371BC"/>
    <w:rsid w:val="00F37BA3"/>
    <w:rsid w:val="00F37E17"/>
    <w:rsid w:val="00F37FA8"/>
    <w:rsid w:val="00F4017F"/>
    <w:rsid w:val="00F4056F"/>
    <w:rsid w:val="00F40809"/>
    <w:rsid w:val="00F40AE3"/>
    <w:rsid w:val="00F40AEB"/>
    <w:rsid w:val="00F40D08"/>
    <w:rsid w:val="00F40E48"/>
    <w:rsid w:val="00F40FE5"/>
    <w:rsid w:val="00F41216"/>
    <w:rsid w:val="00F4123F"/>
    <w:rsid w:val="00F41418"/>
    <w:rsid w:val="00F417F9"/>
    <w:rsid w:val="00F41A59"/>
    <w:rsid w:val="00F41C62"/>
    <w:rsid w:val="00F41CEB"/>
    <w:rsid w:val="00F42265"/>
    <w:rsid w:val="00F42454"/>
    <w:rsid w:val="00F42744"/>
    <w:rsid w:val="00F42D6E"/>
    <w:rsid w:val="00F42DC1"/>
    <w:rsid w:val="00F42E80"/>
    <w:rsid w:val="00F43067"/>
    <w:rsid w:val="00F430DE"/>
    <w:rsid w:val="00F43635"/>
    <w:rsid w:val="00F438F1"/>
    <w:rsid w:val="00F43B01"/>
    <w:rsid w:val="00F43D36"/>
    <w:rsid w:val="00F43F92"/>
    <w:rsid w:val="00F44152"/>
    <w:rsid w:val="00F4464E"/>
    <w:rsid w:val="00F4473A"/>
    <w:rsid w:val="00F44768"/>
    <w:rsid w:val="00F44C0C"/>
    <w:rsid w:val="00F45061"/>
    <w:rsid w:val="00F45548"/>
    <w:rsid w:val="00F45688"/>
    <w:rsid w:val="00F45780"/>
    <w:rsid w:val="00F45A54"/>
    <w:rsid w:val="00F45B7A"/>
    <w:rsid w:val="00F45CB5"/>
    <w:rsid w:val="00F46788"/>
    <w:rsid w:val="00F4687F"/>
    <w:rsid w:val="00F46BF6"/>
    <w:rsid w:val="00F46C77"/>
    <w:rsid w:val="00F46D81"/>
    <w:rsid w:val="00F46E56"/>
    <w:rsid w:val="00F46ECD"/>
    <w:rsid w:val="00F47002"/>
    <w:rsid w:val="00F47043"/>
    <w:rsid w:val="00F47559"/>
    <w:rsid w:val="00F47565"/>
    <w:rsid w:val="00F478AC"/>
    <w:rsid w:val="00F47ABF"/>
    <w:rsid w:val="00F500C6"/>
    <w:rsid w:val="00F50369"/>
    <w:rsid w:val="00F5064B"/>
    <w:rsid w:val="00F50862"/>
    <w:rsid w:val="00F508E9"/>
    <w:rsid w:val="00F50A9D"/>
    <w:rsid w:val="00F50B9A"/>
    <w:rsid w:val="00F50D65"/>
    <w:rsid w:val="00F515C6"/>
    <w:rsid w:val="00F51706"/>
    <w:rsid w:val="00F51931"/>
    <w:rsid w:val="00F5197E"/>
    <w:rsid w:val="00F519E3"/>
    <w:rsid w:val="00F51E1D"/>
    <w:rsid w:val="00F5208F"/>
    <w:rsid w:val="00F525E0"/>
    <w:rsid w:val="00F529CB"/>
    <w:rsid w:val="00F52A03"/>
    <w:rsid w:val="00F52CB3"/>
    <w:rsid w:val="00F535E1"/>
    <w:rsid w:val="00F53601"/>
    <w:rsid w:val="00F53BD3"/>
    <w:rsid w:val="00F541A6"/>
    <w:rsid w:val="00F544A1"/>
    <w:rsid w:val="00F54551"/>
    <w:rsid w:val="00F54693"/>
    <w:rsid w:val="00F54A29"/>
    <w:rsid w:val="00F54A7A"/>
    <w:rsid w:val="00F54C82"/>
    <w:rsid w:val="00F54E94"/>
    <w:rsid w:val="00F54ECE"/>
    <w:rsid w:val="00F55174"/>
    <w:rsid w:val="00F559B3"/>
    <w:rsid w:val="00F55B9A"/>
    <w:rsid w:val="00F55EDC"/>
    <w:rsid w:val="00F56322"/>
    <w:rsid w:val="00F5684E"/>
    <w:rsid w:val="00F56991"/>
    <w:rsid w:val="00F56A7A"/>
    <w:rsid w:val="00F56B5C"/>
    <w:rsid w:val="00F56B78"/>
    <w:rsid w:val="00F56C8E"/>
    <w:rsid w:val="00F56CEB"/>
    <w:rsid w:val="00F56F7B"/>
    <w:rsid w:val="00F5720D"/>
    <w:rsid w:val="00F57216"/>
    <w:rsid w:val="00F57787"/>
    <w:rsid w:val="00F57A2F"/>
    <w:rsid w:val="00F57A35"/>
    <w:rsid w:val="00F57ED0"/>
    <w:rsid w:val="00F6010C"/>
    <w:rsid w:val="00F61040"/>
    <w:rsid w:val="00F611AF"/>
    <w:rsid w:val="00F61211"/>
    <w:rsid w:val="00F613F7"/>
    <w:rsid w:val="00F61773"/>
    <w:rsid w:val="00F61D2F"/>
    <w:rsid w:val="00F624B1"/>
    <w:rsid w:val="00F626BD"/>
    <w:rsid w:val="00F626D8"/>
    <w:rsid w:val="00F62809"/>
    <w:rsid w:val="00F62AE3"/>
    <w:rsid w:val="00F62D70"/>
    <w:rsid w:val="00F6330F"/>
    <w:rsid w:val="00F63375"/>
    <w:rsid w:val="00F63448"/>
    <w:rsid w:val="00F63595"/>
    <w:rsid w:val="00F6374D"/>
    <w:rsid w:val="00F63800"/>
    <w:rsid w:val="00F63EAD"/>
    <w:rsid w:val="00F64054"/>
    <w:rsid w:val="00F64055"/>
    <w:rsid w:val="00F64504"/>
    <w:rsid w:val="00F649B1"/>
    <w:rsid w:val="00F64BBD"/>
    <w:rsid w:val="00F64C2F"/>
    <w:rsid w:val="00F64C8F"/>
    <w:rsid w:val="00F65228"/>
    <w:rsid w:val="00F65419"/>
    <w:rsid w:val="00F6575C"/>
    <w:rsid w:val="00F659E4"/>
    <w:rsid w:val="00F65B22"/>
    <w:rsid w:val="00F65D9B"/>
    <w:rsid w:val="00F65EC8"/>
    <w:rsid w:val="00F65ED2"/>
    <w:rsid w:val="00F65FFC"/>
    <w:rsid w:val="00F663D4"/>
    <w:rsid w:val="00F663EA"/>
    <w:rsid w:val="00F66582"/>
    <w:rsid w:val="00F66CE9"/>
    <w:rsid w:val="00F67350"/>
    <w:rsid w:val="00F673AC"/>
    <w:rsid w:val="00F677F5"/>
    <w:rsid w:val="00F6782A"/>
    <w:rsid w:val="00F678D1"/>
    <w:rsid w:val="00F678D5"/>
    <w:rsid w:val="00F67D1E"/>
    <w:rsid w:val="00F67D22"/>
    <w:rsid w:val="00F702B6"/>
    <w:rsid w:val="00F702E3"/>
    <w:rsid w:val="00F7067F"/>
    <w:rsid w:val="00F71027"/>
    <w:rsid w:val="00F7123B"/>
    <w:rsid w:val="00F7148A"/>
    <w:rsid w:val="00F71AE4"/>
    <w:rsid w:val="00F71BB1"/>
    <w:rsid w:val="00F71C0B"/>
    <w:rsid w:val="00F71CB4"/>
    <w:rsid w:val="00F71E17"/>
    <w:rsid w:val="00F71F76"/>
    <w:rsid w:val="00F720C2"/>
    <w:rsid w:val="00F7233A"/>
    <w:rsid w:val="00F72976"/>
    <w:rsid w:val="00F72A92"/>
    <w:rsid w:val="00F72CA1"/>
    <w:rsid w:val="00F72D74"/>
    <w:rsid w:val="00F72EB1"/>
    <w:rsid w:val="00F732FF"/>
    <w:rsid w:val="00F73412"/>
    <w:rsid w:val="00F73583"/>
    <w:rsid w:val="00F73619"/>
    <w:rsid w:val="00F73637"/>
    <w:rsid w:val="00F736A1"/>
    <w:rsid w:val="00F737BE"/>
    <w:rsid w:val="00F73A7A"/>
    <w:rsid w:val="00F73B75"/>
    <w:rsid w:val="00F73BC5"/>
    <w:rsid w:val="00F73F1E"/>
    <w:rsid w:val="00F741B7"/>
    <w:rsid w:val="00F745C0"/>
    <w:rsid w:val="00F746DE"/>
    <w:rsid w:val="00F74AE4"/>
    <w:rsid w:val="00F74D6B"/>
    <w:rsid w:val="00F751A7"/>
    <w:rsid w:val="00F7524C"/>
    <w:rsid w:val="00F753C3"/>
    <w:rsid w:val="00F7547F"/>
    <w:rsid w:val="00F75504"/>
    <w:rsid w:val="00F75872"/>
    <w:rsid w:val="00F75C78"/>
    <w:rsid w:val="00F75F81"/>
    <w:rsid w:val="00F76055"/>
    <w:rsid w:val="00F76355"/>
    <w:rsid w:val="00F7636D"/>
    <w:rsid w:val="00F7662D"/>
    <w:rsid w:val="00F77302"/>
    <w:rsid w:val="00F77323"/>
    <w:rsid w:val="00F776DB"/>
    <w:rsid w:val="00F7788F"/>
    <w:rsid w:val="00F77A62"/>
    <w:rsid w:val="00F77DE3"/>
    <w:rsid w:val="00F77F78"/>
    <w:rsid w:val="00F80230"/>
    <w:rsid w:val="00F80415"/>
    <w:rsid w:val="00F80834"/>
    <w:rsid w:val="00F80BF4"/>
    <w:rsid w:val="00F80D54"/>
    <w:rsid w:val="00F80DF0"/>
    <w:rsid w:val="00F8160D"/>
    <w:rsid w:val="00F81799"/>
    <w:rsid w:val="00F81B97"/>
    <w:rsid w:val="00F82378"/>
    <w:rsid w:val="00F82726"/>
    <w:rsid w:val="00F828C3"/>
    <w:rsid w:val="00F82A33"/>
    <w:rsid w:val="00F82C06"/>
    <w:rsid w:val="00F831F7"/>
    <w:rsid w:val="00F83244"/>
    <w:rsid w:val="00F833A5"/>
    <w:rsid w:val="00F833DD"/>
    <w:rsid w:val="00F834DE"/>
    <w:rsid w:val="00F835A2"/>
    <w:rsid w:val="00F836D8"/>
    <w:rsid w:val="00F83879"/>
    <w:rsid w:val="00F838BE"/>
    <w:rsid w:val="00F83C63"/>
    <w:rsid w:val="00F83D8B"/>
    <w:rsid w:val="00F83DD2"/>
    <w:rsid w:val="00F83DFC"/>
    <w:rsid w:val="00F83E5F"/>
    <w:rsid w:val="00F844AF"/>
    <w:rsid w:val="00F844E1"/>
    <w:rsid w:val="00F845B4"/>
    <w:rsid w:val="00F846C8"/>
    <w:rsid w:val="00F848E8"/>
    <w:rsid w:val="00F84903"/>
    <w:rsid w:val="00F849A2"/>
    <w:rsid w:val="00F84A59"/>
    <w:rsid w:val="00F84CFC"/>
    <w:rsid w:val="00F84D9B"/>
    <w:rsid w:val="00F84DF3"/>
    <w:rsid w:val="00F84F8E"/>
    <w:rsid w:val="00F852F1"/>
    <w:rsid w:val="00F85334"/>
    <w:rsid w:val="00F85458"/>
    <w:rsid w:val="00F85AC1"/>
    <w:rsid w:val="00F85CF8"/>
    <w:rsid w:val="00F85E0B"/>
    <w:rsid w:val="00F86137"/>
    <w:rsid w:val="00F866EF"/>
    <w:rsid w:val="00F86DD3"/>
    <w:rsid w:val="00F872F2"/>
    <w:rsid w:val="00F876F4"/>
    <w:rsid w:val="00F87766"/>
    <w:rsid w:val="00F87CCA"/>
    <w:rsid w:val="00F90062"/>
    <w:rsid w:val="00F90066"/>
    <w:rsid w:val="00F902F5"/>
    <w:rsid w:val="00F90398"/>
    <w:rsid w:val="00F90602"/>
    <w:rsid w:val="00F908A6"/>
    <w:rsid w:val="00F908E1"/>
    <w:rsid w:val="00F90D08"/>
    <w:rsid w:val="00F90E42"/>
    <w:rsid w:val="00F90F16"/>
    <w:rsid w:val="00F90FF4"/>
    <w:rsid w:val="00F910D0"/>
    <w:rsid w:val="00F9137B"/>
    <w:rsid w:val="00F91485"/>
    <w:rsid w:val="00F919DB"/>
    <w:rsid w:val="00F91AA5"/>
    <w:rsid w:val="00F91F0C"/>
    <w:rsid w:val="00F92C98"/>
    <w:rsid w:val="00F92E6E"/>
    <w:rsid w:val="00F932DC"/>
    <w:rsid w:val="00F93C34"/>
    <w:rsid w:val="00F93D1D"/>
    <w:rsid w:val="00F93D1F"/>
    <w:rsid w:val="00F93EAD"/>
    <w:rsid w:val="00F93F5B"/>
    <w:rsid w:val="00F9405C"/>
    <w:rsid w:val="00F94381"/>
    <w:rsid w:val="00F944F3"/>
    <w:rsid w:val="00F948CF"/>
    <w:rsid w:val="00F95195"/>
    <w:rsid w:val="00F951E4"/>
    <w:rsid w:val="00F95313"/>
    <w:rsid w:val="00F953CD"/>
    <w:rsid w:val="00F9544A"/>
    <w:rsid w:val="00F9559D"/>
    <w:rsid w:val="00F95939"/>
    <w:rsid w:val="00F95C42"/>
    <w:rsid w:val="00F96258"/>
    <w:rsid w:val="00F963B6"/>
    <w:rsid w:val="00F963BB"/>
    <w:rsid w:val="00F965BF"/>
    <w:rsid w:val="00F9667F"/>
    <w:rsid w:val="00F968F8"/>
    <w:rsid w:val="00F96CAE"/>
    <w:rsid w:val="00F96F26"/>
    <w:rsid w:val="00F97562"/>
    <w:rsid w:val="00F975F7"/>
    <w:rsid w:val="00F97620"/>
    <w:rsid w:val="00F97BBA"/>
    <w:rsid w:val="00F97C75"/>
    <w:rsid w:val="00F97D45"/>
    <w:rsid w:val="00FA0222"/>
    <w:rsid w:val="00FA0465"/>
    <w:rsid w:val="00FA05BA"/>
    <w:rsid w:val="00FA07F1"/>
    <w:rsid w:val="00FA123C"/>
    <w:rsid w:val="00FA1507"/>
    <w:rsid w:val="00FA1510"/>
    <w:rsid w:val="00FA18B5"/>
    <w:rsid w:val="00FA1909"/>
    <w:rsid w:val="00FA191A"/>
    <w:rsid w:val="00FA1ABA"/>
    <w:rsid w:val="00FA1CB3"/>
    <w:rsid w:val="00FA1EBA"/>
    <w:rsid w:val="00FA1FBC"/>
    <w:rsid w:val="00FA20A2"/>
    <w:rsid w:val="00FA2324"/>
    <w:rsid w:val="00FA2540"/>
    <w:rsid w:val="00FA25B8"/>
    <w:rsid w:val="00FA2696"/>
    <w:rsid w:val="00FA2813"/>
    <w:rsid w:val="00FA281A"/>
    <w:rsid w:val="00FA296D"/>
    <w:rsid w:val="00FA2C28"/>
    <w:rsid w:val="00FA2CF0"/>
    <w:rsid w:val="00FA2F5A"/>
    <w:rsid w:val="00FA30DC"/>
    <w:rsid w:val="00FA31BC"/>
    <w:rsid w:val="00FA3258"/>
    <w:rsid w:val="00FA38E7"/>
    <w:rsid w:val="00FA41A1"/>
    <w:rsid w:val="00FA4228"/>
    <w:rsid w:val="00FA443A"/>
    <w:rsid w:val="00FA452C"/>
    <w:rsid w:val="00FA4B8B"/>
    <w:rsid w:val="00FA4F39"/>
    <w:rsid w:val="00FA50BF"/>
    <w:rsid w:val="00FA51A2"/>
    <w:rsid w:val="00FA53F1"/>
    <w:rsid w:val="00FA5529"/>
    <w:rsid w:val="00FA56D0"/>
    <w:rsid w:val="00FA5BED"/>
    <w:rsid w:val="00FA5F72"/>
    <w:rsid w:val="00FA60CC"/>
    <w:rsid w:val="00FA6184"/>
    <w:rsid w:val="00FA649E"/>
    <w:rsid w:val="00FA6859"/>
    <w:rsid w:val="00FA6944"/>
    <w:rsid w:val="00FA6ACC"/>
    <w:rsid w:val="00FA6B74"/>
    <w:rsid w:val="00FA6C9A"/>
    <w:rsid w:val="00FA71F2"/>
    <w:rsid w:val="00FA7580"/>
    <w:rsid w:val="00FA7921"/>
    <w:rsid w:val="00FA7E24"/>
    <w:rsid w:val="00FA7FEC"/>
    <w:rsid w:val="00FB008C"/>
    <w:rsid w:val="00FB0250"/>
    <w:rsid w:val="00FB0282"/>
    <w:rsid w:val="00FB0377"/>
    <w:rsid w:val="00FB069B"/>
    <w:rsid w:val="00FB0ACC"/>
    <w:rsid w:val="00FB0B65"/>
    <w:rsid w:val="00FB0E1C"/>
    <w:rsid w:val="00FB0F40"/>
    <w:rsid w:val="00FB120A"/>
    <w:rsid w:val="00FB1284"/>
    <w:rsid w:val="00FB14F7"/>
    <w:rsid w:val="00FB1655"/>
    <w:rsid w:val="00FB1685"/>
    <w:rsid w:val="00FB1856"/>
    <w:rsid w:val="00FB188A"/>
    <w:rsid w:val="00FB18E8"/>
    <w:rsid w:val="00FB1ABA"/>
    <w:rsid w:val="00FB1C40"/>
    <w:rsid w:val="00FB1EB0"/>
    <w:rsid w:val="00FB2121"/>
    <w:rsid w:val="00FB2663"/>
    <w:rsid w:val="00FB274D"/>
    <w:rsid w:val="00FB2898"/>
    <w:rsid w:val="00FB3235"/>
    <w:rsid w:val="00FB33D8"/>
    <w:rsid w:val="00FB3D70"/>
    <w:rsid w:val="00FB3DA1"/>
    <w:rsid w:val="00FB461C"/>
    <w:rsid w:val="00FB4803"/>
    <w:rsid w:val="00FB4916"/>
    <w:rsid w:val="00FB4A71"/>
    <w:rsid w:val="00FB4AC6"/>
    <w:rsid w:val="00FB53C4"/>
    <w:rsid w:val="00FB5606"/>
    <w:rsid w:val="00FB594B"/>
    <w:rsid w:val="00FB5BCB"/>
    <w:rsid w:val="00FB5C1E"/>
    <w:rsid w:val="00FB6058"/>
    <w:rsid w:val="00FB63D1"/>
    <w:rsid w:val="00FB6DC6"/>
    <w:rsid w:val="00FB6F04"/>
    <w:rsid w:val="00FB6F59"/>
    <w:rsid w:val="00FB774F"/>
    <w:rsid w:val="00FB775D"/>
    <w:rsid w:val="00FB7C58"/>
    <w:rsid w:val="00FC0014"/>
    <w:rsid w:val="00FC056C"/>
    <w:rsid w:val="00FC06E0"/>
    <w:rsid w:val="00FC07A1"/>
    <w:rsid w:val="00FC0C6A"/>
    <w:rsid w:val="00FC0D7C"/>
    <w:rsid w:val="00FC0D7F"/>
    <w:rsid w:val="00FC0E69"/>
    <w:rsid w:val="00FC12B6"/>
    <w:rsid w:val="00FC1621"/>
    <w:rsid w:val="00FC1704"/>
    <w:rsid w:val="00FC1AE6"/>
    <w:rsid w:val="00FC1C12"/>
    <w:rsid w:val="00FC1D81"/>
    <w:rsid w:val="00FC1F8A"/>
    <w:rsid w:val="00FC1FE0"/>
    <w:rsid w:val="00FC225C"/>
    <w:rsid w:val="00FC22EC"/>
    <w:rsid w:val="00FC265B"/>
    <w:rsid w:val="00FC293C"/>
    <w:rsid w:val="00FC2948"/>
    <w:rsid w:val="00FC2A71"/>
    <w:rsid w:val="00FC2AA5"/>
    <w:rsid w:val="00FC2BE7"/>
    <w:rsid w:val="00FC2BFC"/>
    <w:rsid w:val="00FC2C9A"/>
    <w:rsid w:val="00FC2D20"/>
    <w:rsid w:val="00FC2EE7"/>
    <w:rsid w:val="00FC2F27"/>
    <w:rsid w:val="00FC3222"/>
    <w:rsid w:val="00FC3337"/>
    <w:rsid w:val="00FC3740"/>
    <w:rsid w:val="00FC39E4"/>
    <w:rsid w:val="00FC3D75"/>
    <w:rsid w:val="00FC3D9E"/>
    <w:rsid w:val="00FC3E98"/>
    <w:rsid w:val="00FC42F5"/>
    <w:rsid w:val="00FC436E"/>
    <w:rsid w:val="00FC444E"/>
    <w:rsid w:val="00FC448C"/>
    <w:rsid w:val="00FC4970"/>
    <w:rsid w:val="00FC49FF"/>
    <w:rsid w:val="00FC4AA7"/>
    <w:rsid w:val="00FC4B35"/>
    <w:rsid w:val="00FC4CDA"/>
    <w:rsid w:val="00FC4DEE"/>
    <w:rsid w:val="00FC4F44"/>
    <w:rsid w:val="00FC5643"/>
    <w:rsid w:val="00FC56E9"/>
    <w:rsid w:val="00FC57E2"/>
    <w:rsid w:val="00FC5DF8"/>
    <w:rsid w:val="00FC5F30"/>
    <w:rsid w:val="00FC66E4"/>
    <w:rsid w:val="00FC6996"/>
    <w:rsid w:val="00FC6A66"/>
    <w:rsid w:val="00FC7056"/>
    <w:rsid w:val="00FC7179"/>
    <w:rsid w:val="00FC738F"/>
    <w:rsid w:val="00FC77C5"/>
    <w:rsid w:val="00FC7806"/>
    <w:rsid w:val="00FC7EF9"/>
    <w:rsid w:val="00FD01E9"/>
    <w:rsid w:val="00FD01F9"/>
    <w:rsid w:val="00FD03CA"/>
    <w:rsid w:val="00FD04CC"/>
    <w:rsid w:val="00FD09D8"/>
    <w:rsid w:val="00FD0CEE"/>
    <w:rsid w:val="00FD0F8D"/>
    <w:rsid w:val="00FD0FDD"/>
    <w:rsid w:val="00FD1090"/>
    <w:rsid w:val="00FD1167"/>
    <w:rsid w:val="00FD11FB"/>
    <w:rsid w:val="00FD188A"/>
    <w:rsid w:val="00FD1A2B"/>
    <w:rsid w:val="00FD207D"/>
    <w:rsid w:val="00FD2704"/>
    <w:rsid w:val="00FD287B"/>
    <w:rsid w:val="00FD2B53"/>
    <w:rsid w:val="00FD2C85"/>
    <w:rsid w:val="00FD2DF4"/>
    <w:rsid w:val="00FD351E"/>
    <w:rsid w:val="00FD3624"/>
    <w:rsid w:val="00FD3BB8"/>
    <w:rsid w:val="00FD3D75"/>
    <w:rsid w:val="00FD418C"/>
    <w:rsid w:val="00FD4550"/>
    <w:rsid w:val="00FD45C7"/>
    <w:rsid w:val="00FD4D75"/>
    <w:rsid w:val="00FD4DDE"/>
    <w:rsid w:val="00FD4E36"/>
    <w:rsid w:val="00FD4F7F"/>
    <w:rsid w:val="00FD504B"/>
    <w:rsid w:val="00FD51B1"/>
    <w:rsid w:val="00FD5212"/>
    <w:rsid w:val="00FD5C8C"/>
    <w:rsid w:val="00FD6384"/>
    <w:rsid w:val="00FD647F"/>
    <w:rsid w:val="00FD6562"/>
    <w:rsid w:val="00FD671A"/>
    <w:rsid w:val="00FD67E5"/>
    <w:rsid w:val="00FD70AE"/>
    <w:rsid w:val="00FD70D3"/>
    <w:rsid w:val="00FD7194"/>
    <w:rsid w:val="00FD7520"/>
    <w:rsid w:val="00FD76F5"/>
    <w:rsid w:val="00FD7B55"/>
    <w:rsid w:val="00FD7D2A"/>
    <w:rsid w:val="00FE012C"/>
    <w:rsid w:val="00FE0167"/>
    <w:rsid w:val="00FE0380"/>
    <w:rsid w:val="00FE05F6"/>
    <w:rsid w:val="00FE06F9"/>
    <w:rsid w:val="00FE0BE5"/>
    <w:rsid w:val="00FE0E6B"/>
    <w:rsid w:val="00FE0F2E"/>
    <w:rsid w:val="00FE110B"/>
    <w:rsid w:val="00FE157F"/>
    <w:rsid w:val="00FE158D"/>
    <w:rsid w:val="00FE15CB"/>
    <w:rsid w:val="00FE1D2E"/>
    <w:rsid w:val="00FE2145"/>
    <w:rsid w:val="00FE2216"/>
    <w:rsid w:val="00FE2540"/>
    <w:rsid w:val="00FE27B2"/>
    <w:rsid w:val="00FE27FA"/>
    <w:rsid w:val="00FE304D"/>
    <w:rsid w:val="00FE3076"/>
    <w:rsid w:val="00FE31BC"/>
    <w:rsid w:val="00FE34D9"/>
    <w:rsid w:val="00FE3931"/>
    <w:rsid w:val="00FE3A91"/>
    <w:rsid w:val="00FE3C35"/>
    <w:rsid w:val="00FE3DB1"/>
    <w:rsid w:val="00FE3E90"/>
    <w:rsid w:val="00FE3F18"/>
    <w:rsid w:val="00FE444B"/>
    <w:rsid w:val="00FE44CB"/>
    <w:rsid w:val="00FE489B"/>
    <w:rsid w:val="00FE49F1"/>
    <w:rsid w:val="00FE4B64"/>
    <w:rsid w:val="00FE4DB4"/>
    <w:rsid w:val="00FE4E28"/>
    <w:rsid w:val="00FE4E91"/>
    <w:rsid w:val="00FE5088"/>
    <w:rsid w:val="00FE5260"/>
    <w:rsid w:val="00FE5556"/>
    <w:rsid w:val="00FE58FC"/>
    <w:rsid w:val="00FE5C67"/>
    <w:rsid w:val="00FE5FDD"/>
    <w:rsid w:val="00FE6477"/>
    <w:rsid w:val="00FE698A"/>
    <w:rsid w:val="00FE6C4B"/>
    <w:rsid w:val="00FE6EF2"/>
    <w:rsid w:val="00FE6FF8"/>
    <w:rsid w:val="00FE7229"/>
    <w:rsid w:val="00FE7269"/>
    <w:rsid w:val="00FE7904"/>
    <w:rsid w:val="00FE7B44"/>
    <w:rsid w:val="00FE7CA6"/>
    <w:rsid w:val="00FE7CC2"/>
    <w:rsid w:val="00FE7E1A"/>
    <w:rsid w:val="00FE7FC1"/>
    <w:rsid w:val="00FE7FF5"/>
    <w:rsid w:val="00FF008C"/>
    <w:rsid w:val="00FF0103"/>
    <w:rsid w:val="00FF1064"/>
    <w:rsid w:val="00FF1348"/>
    <w:rsid w:val="00FF1799"/>
    <w:rsid w:val="00FF189E"/>
    <w:rsid w:val="00FF1DA0"/>
    <w:rsid w:val="00FF1E27"/>
    <w:rsid w:val="00FF1EA4"/>
    <w:rsid w:val="00FF1EDF"/>
    <w:rsid w:val="00FF1F6A"/>
    <w:rsid w:val="00FF1FEE"/>
    <w:rsid w:val="00FF2653"/>
    <w:rsid w:val="00FF2AF8"/>
    <w:rsid w:val="00FF2B41"/>
    <w:rsid w:val="00FF2DDD"/>
    <w:rsid w:val="00FF3085"/>
    <w:rsid w:val="00FF315A"/>
    <w:rsid w:val="00FF3160"/>
    <w:rsid w:val="00FF3283"/>
    <w:rsid w:val="00FF33F8"/>
    <w:rsid w:val="00FF38BB"/>
    <w:rsid w:val="00FF3985"/>
    <w:rsid w:val="00FF3B5C"/>
    <w:rsid w:val="00FF3CF6"/>
    <w:rsid w:val="00FF4217"/>
    <w:rsid w:val="00FF52D1"/>
    <w:rsid w:val="00FF57C0"/>
    <w:rsid w:val="00FF5B43"/>
    <w:rsid w:val="00FF656C"/>
    <w:rsid w:val="00FF66B0"/>
    <w:rsid w:val="00FF690F"/>
    <w:rsid w:val="00FF699F"/>
    <w:rsid w:val="00FF6E94"/>
    <w:rsid w:val="00FF6E95"/>
    <w:rsid w:val="00FF6EA9"/>
    <w:rsid w:val="00FF73F7"/>
    <w:rsid w:val="00FF741C"/>
    <w:rsid w:val="00FF7491"/>
    <w:rsid w:val="00FF75B5"/>
    <w:rsid w:val="00FF76C9"/>
    <w:rsid w:val="00FF7953"/>
    <w:rsid w:val="00FF7AE3"/>
    <w:rsid w:val="00FF7D2F"/>
    <w:rsid w:val="0100597E"/>
    <w:rsid w:val="01025687"/>
    <w:rsid w:val="01043F46"/>
    <w:rsid w:val="01081126"/>
    <w:rsid w:val="010A244B"/>
    <w:rsid w:val="010B328B"/>
    <w:rsid w:val="010C251D"/>
    <w:rsid w:val="010D1308"/>
    <w:rsid w:val="010D50FB"/>
    <w:rsid w:val="010E5ED4"/>
    <w:rsid w:val="010F474D"/>
    <w:rsid w:val="01133798"/>
    <w:rsid w:val="01153E8E"/>
    <w:rsid w:val="01167A89"/>
    <w:rsid w:val="01170C55"/>
    <w:rsid w:val="01181FCD"/>
    <w:rsid w:val="011B62C9"/>
    <w:rsid w:val="011E1FE4"/>
    <w:rsid w:val="011E3D92"/>
    <w:rsid w:val="011F6E0B"/>
    <w:rsid w:val="01203FAE"/>
    <w:rsid w:val="01205B29"/>
    <w:rsid w:val="01206AC0"/>
    <w:rsid w:val="01226F60"/>
    <w:rsid w:val="012375FA"/>
    <w:rsid w:val="012658DE"/>
    <w:rsid w:val="01265B29"/>
    <w:rsid w:val="012C0D93"/>
    <w:rsid w:val="013246BC"/>
    <w:rsid w:val="01352824"/>
    <w:rsid w:val="01393FF7"/>
    <w:rsid w:val="013A023F"/>
    <w:rsid w:val="013B7063"/>
    <w:rsid w:val="013C4DA6"/>
    <w:rsid w:val="013C50D5"/>
    <w:rsid w:val="013C71FE"/>
    <w:rsid w:val="013D4D98"/>
    <w:rsid w:val="013D7A9C"/>
    <w:rsid w:val="013E4D99"/>
    <w:rsid w:val="013E6BFD"/>
    <w:rsid w:val="013F06B8"/>
    <w:rsid w:val="01417766"/>
    <w:rsid w:val="01417951"/>
    <w:rsid w:val="01474E21"/>
    <w:rsid w:val="014D5D5E"/>
    <w:rsid w:val="014E4AEF"/>
    <w:rsid w:val="015170D2"/>
    <w:rsid w:val="0152227D"/>
    <w:rsid w:val="01527AD7"/>
    <w:rsid w:val="015A400F"/>
    <w:rsid w:val="015C71F0"/>
    <w:rsid w:val="015F7FEF"/>
    <w:rsid w:val="016075F1"/>
    <w:rsid w:val="01623114"/>
    <w:rsid w:val="01637E47"/>
    <w:rsid w:val="016450F5"/>
    <w:rsid w:val="016544C9"/>
    <w:rsid w:val="01655E65"/>
    <w:rsid w:val="01677E92"/>
    <w:rsid w:val="0169049A"/>
    <w:rsid w:val="016A1F60"/>
    <w:rsid w:val="016A3BB1"/>
    <w:rsid w:val="016A5DA8"/>
    <w:rsid w:val="016A7047"/>
    <w:rsid w:val="016C6351"/>
    <w:rsid w:val="016C758D"/>
    <w:rsid w:val="017221C1"/>
    <w:rsid w:val="0173033D"/>
    <w:rsid w:val="01756775"/>
    <w:rsid w:val="0176160E"/>
    <w:rsid w:val="017C6989"/>
    <w:rsid w:val="018104CB"/>
    <w:rsid w:val="01825227"/>
    <w:rsid w:val="018571E2"/>
    <w:rsid w:val="018726B3"/>
    <w:rsid w:val="018913EA"/>
    <w:rsid w:val="01894906"/>
    <w:rsid w:val="018A58CB"/>
    <w:rsid w:val="018D2510"/>
    <w:rsid w:val="019020AF"/>
    <w:rsid w:val="019155D8"/>
    <w:rsid w:val="0192652E"/>
    <w:rsid w:val="01933495"/>
    <w:rsid w:val="019635D1"/>
    <w:rsid w:val="01971850"/>
    <w:rsid w:val="01981779"/>
    <w:rsid w:val="01981D96"/>
    <w:rsid w:val="01986B51"/>
    <w:rsid w:val="01993CD1"/>
    <w:rsid w:val="019978BC"/>
    <w:rsid w:val="019A657B"/>
    <w:rsid w:val="019B5E1A"/>
    <w:rsid w:val="019E110A"/>
    <w:rsid w:val="019F1427"/>
    <w:rsid w:val="01A22019"/>
    <w:rsid w:val="01A2379D"/>
    <w:rsid w:val="01A40437"/>
    <w:rsid w:val="01A5298A"/>
    <w:rsid w:val="01A5722B"/>
    <w:rsid w:val="01A61067"/>
    <w:rsid w:val="01A71449"/>
    <w:rsid w:val="01A7647D"/>
    <w:rsid w:val="01A8449D"/>
    <w:rsid w:val="01A94063"/>
    <w:rsid w:val="01A97E5E"/>
    <w:rsid w:val="01AB2EBC"/>
    <w:rsid w:val="01AB4A41"/>
    <w:rsid w:val="01AC6971"/>
    <w:rsid w:val="01AF4391"/>
    <w:rsid w:val="01AF5966"/>
    <w:rsid w:val="01B001EE"/>
    <w:rsid w:val="01B111FE"/>
    <w:rsid w:val="01B252F0"/>
    <w:rsid w:val="01BA1962"/>
    <w:rsid w:val="01BB7C2B"/>
    <w:rsid w:val="01BC07F0"/>
    <w:rsid w:val="01BD2462"/>
    <w:rsid w:val="01BD6CBE"/>
    <w:rsid w:val="01BD7FDF"/>
    <w:rsid w:val="01C116D5"/>
    <w:rsid w:val="01C20BC1"/>
    <w:rsid w:val="01C374DA"/>
    <w:rsid w:val="01C557F5"/>
    <w:rsid w:val="01CC609A"/>
    <w:rsid w:val="01D5747B"/>
    <w:rsid w:val="01D578B9"/>
    <w:rsid w:val="01D672D2"/>
    <w:rsid w:val="01DD12BD"/>
    <w:rsid w:val="01E10FF9"/>
    <w:rsid w:val="01E300E5"/>
    <w:rsid w:val="01E52B01"/>
    <w:rsid w:val="01E53454"/>
    <w:rsid w:val="01E66D5E"/>
    <w:rsid w:val="01E71A33"/>
    <w:rsid w:val="01EB3C3F"/>
    <w:rsid w:val="01EC04C3"/>
    <w:rsid w:val="01EC109E"/>
    <w:rsid w:val="01EC2055"/>
    <w:rsid w:val="01ED07C8"/>
    <w:rsid w:val="01F21D9D"/>
    <w:rsid w:val="01F64D0F"/>
    <w:rsid w:val="01F728C6"/>
    <w:rsid w:val="01F80A87"/>
    <w:rsid w:val="01F91824"/>
    <w:rsid w:val="01FA24F5"/>
    <w:rsid w:val="01FA3F77"/>
    <w:rsid w:val="01FB0093"/>
    <w:rsid w:val="01FF492B"/>
    <w:rsid w:val="0200793B"/>
    <w:rsid w:val="02024C5D"/>
    <w:rsid w:val="020250A8"/>
    <w:rsid w:val="02041FDD"/>
    <w:rsid w:val="0204607A"/>
    <w:rsid w:val="0207463F"/>
    <w:rsid w:val="020A2568"/>
    <w:rsid w:val="020C5B61"/>
    <w:rsid w:val="020D6B38"/>
    <w:rsid w:val="020E6C76"/>
    <w:rsid w:val="02132A60"/>
    <w:rsid w:val="021376EB"/>
    <w:rsid w:val="02141312"/>
    <w:rsid w:val="0215010F"/>
    <w:rsid w:val="02160041"/>
    <w:rsid w:val="02173D4B"/>
    <w:rsid w:val="02185228"/>
    <w:rsid w:val="021C3ECC"/>
    <w:rsid w:val="021F04AF"/>
    <w:rsid w:val="021F1EBB"/>
    <w:rsid w:val="021F4824"/>
    <w:rsid w:val="0220050C"/>
    <w:rsid w:val="0220151D"/>
    <w:rsid w:val="02223D75"/>
    <w:rsid w:val="0222440D"/>
    <w:rsid w:val="02243228"/>
    <w:rsid w:val="02244042"/>
    <w:rsid w:val="02256104"/>
    <w:rsid w:val="02296691"/>
    <w:rsid w:val="022D26D8"/>
    <w:rsid w:val="02301FCF"/>
    <w:rsid w:val="023158FD"/>
    <w:rsid w:val="02353A89"/>
    <w:rsid w:val="0236312F"/>
    <w:rsid w:val="02377621"/>
    <w:rsid w:val="023B36DE"/>
    <w:rsid w:val="02437910"/>
    <w:rsid w:val="024506A0"/>
    <w:rsid w:val="02464A52"/>
    <w:rsid w:val="024810BE"/>
    <w:rsid w:val="024B6082"/>
    <w:rsid w:val="0250725A"/>
    <w:rsid w:val="02520507"/>
    <w:rsid w:val="02532161"/>
    <w:rsid w:val="02545262"/>
    <w:rsid w:val="025C0E6B"/>
    <w:rsid w:val="025C3B85"/>
    <w:rsid w:val="02641258"/>
    <w:rsid w:val="0266030B"/>
    <w:rsid w:val="026B1685"/>
    <w:rsid w:val="026B2B20"/>
    <w:rsid w:val="026C26F6"/>
    <w:rsid w:val="026E0A64"/>
    <w:rsid w:val="026F466D"/>
    <w:rsid w:val="026F750A"/>
    <w:rsid w:val="02717F56"/>
    <w:rsid w:val="02720E91"/>
    <w:rsid w:val="02761490"/>
    <w:rsid w:val="027712EB"/>
    <w:rsid w:val="02795711"/>
    <w:rsid w:val="027C2241"/>
    <w:rsid w:val="02810D92"/>
    <w:rsid w:val="0281394B"/>
    <w:rsid w:val="0284237D"/>
    <w:rsid w:val="028555F9"/>
    <w:rsid w:val="028649DF"/>
    <w:rsid w:val="02865848"/>
    <w:rsid w:val="02891937"/>
    <w:rsid w:val="028B4C5D"/>
    <w:rsid w:val="02914784"/>
    <w:rsid w:val="02916E32"/>
    <w:rsid w:val="029414CA"/>
    <w:rsid w:val="02945637"/>
    <w:rsid w:val="029501C3"/>
    <w:rsid w:val="029562D6"/>
    <w:rsid w:val="02967DD4"/>
    <w:rsid w:val="02982697"/>
    <w:rsid w:val="02996377"/>
    <w:rsid w:val="029B6FCF"/>
    <w:rsid w:val="02A22764"/>
    <w:rsid w:val="02A460F5"/>
    <w:rsid w:val="02A8339F"/>
    <w:rsid w:val="02AE0606"/>
    <w:rsid w:val="02AF6B7D"/>
    <w:rsid w:val="02B00985"/>
    <w:rsid w:val="02B20860"/>
    <w:rsid w:val="02B20C36"/>
    <w:rsid w:val="02B27201"/>
    <w:rsid w:val="02B534EC"/>
    <w:rsid w:val="02B726F0"/>
    <w:rsid w:val="02B8136F"/>
    <w:rsid w:val="02BD6990"/>
    <w:rsid w:val="02C007CF"/>
    <w:rsid w:val="02C45638"/>
    <w:rsid w:val="02C6330A"/>
    <w:rsid w:val="02C6606B"/>
    <w:rsid w:val="02CE3729"/>
    <w:rsid w:val="02D11619"/>
    <w:rsid w:val="02D25F45"/>
    <w:rsid w:val="02D31843"/>
    <w:rsid w:val="02D43241"/>
    <w:rsid w:val="02D45050"/>
    <w:rsid w:val="02D65DEE"/>
    <w:rsid w:val="02DA1F3A"/>
    <w:rsid w:val="02DB20F8"/>
    <w:rsid w:val="02DE7C7D"/>
    <w:rsid w:val="02E04CDE"/>
    <w:rsid w:val="02E104EF"/>
    <w:rsid w:val="02E1051A"/>
    <w:rsid w:val="02E15CF4"/>
    <w:rsid w:val="02E4100B"/>
    <w:rsid w:val="02E44225"/>
    <w:rsid w:val="02E45CCB"/>
    <w:rsid w:val="02E62387"/>
    <w:rsid w:val="02E82AFF"/>
    <w:rsid w:val="02E865BB"/>
    <w:rsid w:val="02EC7932"/>
    <w:rsid w:val="02EE4C35"/>
    <w:rsid w:val="02EF5F6B"/>
    <w:rsid w:val="02F14346"/>
    <w:rsid w:val="02F201C9"/>
    <w:rsid w:val="02F73BE3"/>
    <w:rsid w:val="02F922A2"/>
    <w:rsid w:val="02FA25DD"/>
    <w:rsid w:val="02FA6823"/>
    <w:rsid w:val="02FC3CDC"/>
    <w:rsid w:val="02FF5E45"/>
    <w:rsid w:val="03003B79"/>
    <w:rsid w:val="03050C55"/>
    <w:rsid w:val="0308077D"/>
    <w:rsid w:val="03090844"/>
    <w:rsid w:val="03095250"/>
    <w:rsid w:val="030D4D70"/>
    <w:rsid w:val="030D78EE"/>
    <w:rsid w:val="030E53A7"/>
    <w:rsid w:val="03100052"/>
    <w:rsid w:val="03105392"/>
    <w:rsid w:val="0311381D"/>
    <w:rsid w:val="0311549D"/>
    <w:rsid w:val="03127E13"/>
    <w:rsid w:val="03166D2D"/>
    <w:rsid w:val="03175295"/>
    <w:rsid w:val="031C0EAE"/>
    <w:rsid w:val="032150BE"/>
    <w:rsid w:val="03222B12"/>
    <w:rsid w:val="03226534"/>
    <w:rsid w:val="03231B33"/>
    <w:rsid w:val="03251EB3"/>
    <w:rsid w:val="0326079C"/>
    <w:rsid w:val="03267792"/>
    <w:rsid w:val="0328539C"/>
    <w:rsid w:val="032A2EC2"/>
    <w:rsid w:val="032B4C54"/>
    <w:rsid w:val="032B541B"/>
    <w:rsid w:val="032D28E0"/>
    <w:rsid w:val="032E58D3"/>
    <w:rsid w:val="032E73A0"/>
    <w:rsid w:val="032F1821"/>
    <w:rsid w:val="032F2286"/>
    <w:rsid w:val="033164C2"/>
    <w:rsid w:val="033357B1"/>
    <w:rsid w:val="0335705B"/>
    <w:rsid w:val="033577FF"/>
    <w:rsid w:val="03364E56"/>
    <w:rsid w:val="033755DF"/>
    <w:rsid w:val="033766EA"/>
    <w:rsid w:val="0338475F"/>
    <w:rsid w:val="033D258E"/>
    <w:rsid w:val="033D75E2"/>
    <w:rsid w:val="033E1F62"/>
    <w:rsid w:val="033E60BE"/>
    <w:rsid w:val="034048ED"/>
    <w:rsid w:val="0341645D"/>
    <w:rsid w:val="03431481"/>
    <w:rsid w:val="03441A01"/>
    <w:rsid w:val="034873F7"/>
    <w:rsid w:val="03493CDC"/>
    <w:rsid w:val="034A6BB3"/>
    <w:rsid w:val="034B55AE"/>
    <w:rsid w:val="034C06AD"/>
    <w:rsid w:val="034C30A5"/>
    <w:rsid w:val="034C413D"/>
    <w:rsid w:val="034D26A8"/>
    <w:rsid w:val="034F7278"/>
    <w:rsid w:val="03502A9C"/>
    <w:rsid w:val="03522F44"/>
    <w:rsid w:val="035258E2"/>
    <w:rsid w:val="0353322A"/>
    <w:rsid w:val="03554766"/>
    <w:rsid w:val="03557A2E"/>
    <w:rsid w:val="035647FF"/>
    <w:rsid w:val="03567926"/>
    <w:rsid w:val="03574C6A"/>
    <w:rsid w:val="03595555"/>
    <w:rsid w:val="035A12B7"/>
    <w:rsid w:val="035C31DC"/>
    <w:rsid w:val="035D1BE7"/>
    <w:rsid w:val="035D606A"/>
    <w:rsid w:val="035E2049"/>
    <w:rsid w:val="035F7C24"/>
    <w:rsid w:val="03621D89"/>
    <w:rsid w:val="03626AF7"/>
    <w:rsid w:val="03674D82"/>
    <w:rsid w:val="03683312"/>
    <w:rsid w:val="0368705F"/>
    <w:rsid w:val="036A1713"/>
    <w:rsid w:val="036A207A"/>
    <w:rsid w:val="036A7752"/>
    <w:rsid w:val="036C484C"/>
    <w:rsid w:val="036D0EC9"/>
    <w:rsid w:val="036D69FD"/>
    <w:rsid w:val="036E328B"/>
    <w:rsid w:val="03716D43"/>
    <w:rsid w:val="03723417"/>
    <w:rsid w:val="03730A60"/>
    <w:rsid w:val="03751233"/>
    <w:rsid w:val="03766107"/>
    <w:rsid w:val="037737B1"/>
    <w:rsid w:val="03791FD5"/>
    <w:rsid w:val="037B1314"/>
    <w:rsid w:val="037C1874"/>
    <w:rsid w:val="037C7DD4"/>
    <w:rsid w:val="037D6DC1"/>
    <w:rsid w:val="037E5A5A"/>
    <w:rsid w:val="037E6C47"/>
    <w:rsid w:val="03846754"/>
    <w:rsid w:val="038D35CB"/>
    <w:rsid w:val="038D4A0C"/>
    <w:rsid w:val="03924B3B"/>
    <w:rsid w:val="03926B9F"/>
    <w:rsid w:val="039601D6"/>
    <w:rsid w:val="039651BD"/>
    <w:rsid w:val="03984BFD"/>
    <w:rsid w:val="039B16D6"/>
    <w:rsid w:val="039C3694"/>
    <w:rsid w:val="039D7A21"/>
    <w:rsid w:val="039E11BA"/>
    <w:rsid w:val="039E5157"/>
    <w:rsid w:val="039F029E"/>
    <w:rsid w:val="03A118B0"/>
    <w:rsid w:val="03A23860"/>
    <w:rsid w:val="03A367D0"/>
    <w:rsid w:val="03A52BAB"/>
    <w:rsid w:val="03A77DDC"/>
    <w:rsid w:val="03A803B8"/>
    <w:rsid w:val="03A83F28"/>
    <w:rsid w:val="03AA322F"/>
    <w:rsid w:val="03AE4964"/>
    <w:rsid w:val="03AF1268"/>
    <w:rsid w:val="03B12BF8"/>
    <w:rsid w:val="03B5759B"/>
    <w:rsid w:val="03B66115"/>
    <w:rsid w:val="03B86720"/>
    <w:rsid w:val="03B91ECD"/>
    <w:rsid w:val="03BB24EF"/>
    <w:rsid w:val="03BC30EA"/>
    <w:rsid w:val="03C04FBE"/>
    <w:rsid w:val="03C273EB"/>
    <w:rsid w:val="03C3741B"/>
    <w:rsid w:val="03C54285"/>
    <w:rsid w:val="03C65FAC"/>
    <w:rsid w:val="03C7568A"/>
    <w:rsid w:val="03C77F80"/>
    <w:rsid w:val="03C82B10"/>
    <w:rsid w:val="03CA2A7E"/>
    <w:rsid w:val="03CC71AA"/>
    <w:rsid w:val="03CD18F7"/>
    <w:rsid w:val="03D3322D"/>
    <w:rsid w:val="03D37A7A"/>
    <w:rsid w:val="03D56678"/>
    <w:rsid w:val="03D9461E"/>
    <w:rsid w:val="03DD67EE"/>
    <w:rsid w:val="03DE50DD"/>
    <w:rsid w:val="03DE5A5A"/>
    <w:rsid w:val="03DF3ED9"/>
    <w:rsid w:val="03E05EDB"/>
    <w:rsid w:val="03E17527"/>
    <w:rsid w:val="03E32923"/>
    <w:rsid w:val="03E45624"/>
    <w:rsid w:val="03E54C36"/>
    <w:rsid w:val="03E64A0F"/>
    <w:rsid w:val="03E651FD"/>
    <w:rsid w:val="03E8789B"/>
    <w:rsid w:val="03EB664B"/>
    <w:rsid w:val="03ED3124"/>
    <w:rsid w:val="03F014FB"/>
    <w:rsid w:val="03F46735"/>
    <w:rsid w:val="03F63AD4"/>
    <w:rsid w:val="03FA5636"/>
    <w:rsid w:val="03FB04B2"/>
    <w:rsid w:val="03FB1CE8"/>
    <w:rsid w:val="03FB4746"/>
    <w:rsid w:val="03FB7CB5"/>
    <w:rsid w:val="03FC7FAE"/>
    <w:rsid w:val="03FD5057"/>
    <w:rsid w:val="03FF434E"/>
    <w:rsid w:val="04045115"/>
    <w:rsid w:val="040502E3"/>
    <w:rsid w:val="040639F2"/>
    <w:rsid w:val="0407596D"/>
    <w:rsid w:val="0408161D"/>
    <w:rsid w:val="04090B51"/>
    <w:rsid w:val="040A79E3"/>
    <w:rsid w:val="040F157C"/>
    <w:rsid w:val="041074D8"/>
    <w:rsid w:val="041235F6"/>
    <w:rsid w:val="041460F9"/>
    <w:rsid w:val="041A5501"/>
    <w:rsid w:val="04207E21"/>
    <w:rsid w:val="0421172A"/>
    <w:rsid w:val="042432ED"/>
    <w:rsid w:val="04264D1F"/>
    <w:rsid w:val="04293B45"/>
    <w:rsid w:val="042E1E42"/>
    <w:rsid w:val="04307C58"/>
    <w:rsid w:val="043170E0"/>
    <w:rsid w:val="04320A7F"/>
    <w:rsid w:val="04326E74"/>
    <w:rsid w:val="043356A1"/>
    <w:rsid w:val="0435484E"/>
    <w:rsid w:val="04360644"/>
    <w:rsid w:val="043907E4"/>
    <w:rsid w:val="043955F9"/>
    <w:rsid w:val="04395C52"/>
    <w:rsid w:val="043E34C3"/>
    <w:rsid w:val="04421DA8"/>
    <w:rsid w:val="044566B7"/>
    <w:rsid w:val="044577FE"/>
    <w:rsid w:val="04492C40"/>
    <w:rsid w:val="044A4DDE"/>
    <w:rsid w:val="044C38A6"/>
    <w:rsid w:val="044C6E68"/>
    <w:rsid w:val="044D7042"/>
    <w:rsid w:val="044F7214"/>
    <w:rsid w:val="04530DDD"/>
    <w:rsid w:val="04587D1C"/>
    <w:rsid w:val="045A25A9"/>
    <w:rsid w:val="045E69C2"/>
    <w:rsid w:val="046118BE"/>
    <w:rsid w:val="04616C74"/>
    <w:rsid w:val="0464410F"/>
    <w:rsid w:val="046530D5"/>
    <w:rsid w:val="04691A88"/>
    <w:rsid w:val="04696854"/>
    <w:rsid w:val="046B61CD"/>
    <w:rsid w:val="04703DD6"/>
    <w:rsid w:val="047130CF"/>
    <w:rsid w:val="04754BC0"/>
    <w:rsid w:val="04765449"/>
    <w:rsid w:val="04785EAF"/>
    <w:rsid w:val="047B04CB"/>
    <w:rsid w:val="047B1719"/>
    <w:rsid w:val="047C73CF"/>
    <w:rsid w:val="047E1D12"/>
    <w:rsid w:val="047F0D48"/>
    <w:rsid w:val="047F7CE1"/>
    <w:rsid w:val="0485099C"/>
    <w:rsid w:val="0485432C"/>
    <w:rsid w:val="04876F3D"/>
    <w:rsid w:val="04883507"/>
    <w:rsid w:val="04894EC1"/>
    <w:rsid w:val="048A56AD"/>
    <w:rsid w:val="048B61B7"/>
    <w:rsid w:val="048D5660"/>
    <w:rsid w:val="048F0DB7"/>
    <w:rsid w:val="048F1137"/>
    <w:rsid w:val="04910D1F"/>
    <w:rsid w:val="0494392F"/>
    <w:rsid w:val="04955DEE"/>
    <w:rsid w:val="04981C06"/>
    <w:rsid w:val="04991D14"/>
    <w:rsid w:val="049A1B02"/>
    <w:rsid w:val="049A6291"/>
    <w:rsid w:val="049C1624"/>
    <w:rsid w:val="049D6854"/>
    <w:rsid w:val="04A00CB3"/>
    <w:rsid w:val="04A06EC0"/>
    <w:rsid w:val="04A108F1"/>
    <w:rsid w:val="04A24CDA"/>
    <w:rsid w:val="04A323D4"/>
    <w:rsid w:val="04A46CA4"/>
    <w:rsid w:val="04A478CD"/>
    <w:rsid w:val="04A57FAD"/>
    <w:rsid w:val="04A63BF4"/>
    <w:rsid w:val="04A72D0D"/>
    <w:rsid w:val="04A807C3"/>
    <w:rsid w:val="04AD075F"/>
    <w:rsid w:val="04AE367F"/>
    <w:rsid w:val="04AF2DF1"/>
    <w:rsid w:val="04AF54CE"/>
    <w:rsid w:val="04B362D6"/>
    <w:rsid w:val="04B36EE7"/>
    <w:rsid w:val="04B5308F"/>
    <w:rsid w:val="04B65309"/>
    <w:rsid w:val="04B66999"/>
    <w:rsid w:val="04B732F4"/>
    <w:rsid w:val="04BB7149"/>
    <w:rsid w:val="04BE04FB"/>
    <w:rsid w:val="04C10174"/>
    <w:rsid w:val="04C3243C"/>
    <w:rsid w:val="04C37DBF"/>
    <w:rsid w:val="04C7350F"/>
    <w:rsid w:val="04CA30E9"/>
    <w:rsid w:val="04D062F0"/>
    <w:rsid w:val="04D073DD"/>
    <w:rsid w:val="04D305B9"/>
    <w:rsid w:val="04DA0918"/>
    <w:rsid w:val="04DD3F64"/>
    <w:rsid w:val="04DD575B"/>
    <w:rsid w:val="04DE7712"/>
    <w:rsid w:val="04DF2490"/>
    <w:rsid w:val="04DF399A"/>
    <w:rsid w:val="04E03DA1"/>
    <w:rsid w:val="04E314A3"/>
    <w:rsid w:val="04E470A0"/>
    <w:rsid w:val="04E80EFE"/>
    <w:rsid w:val="04E82D2B"/>
    <w:rsid w:val="04E95B83"/>
    <w:rsid w:val="04EC79B9"/>
    <w:rsid w:val="04ED1D7F"/>
    <w:rsid w:val="04F04B5A"/>
    <w:rsid w:val="04F104DF"/>
    <w:rsid w:val="04F33A1A"/>
    <w:rsid w:val="04F366AD"/>
    <w:rsid w:val="04F574FF"/>
    <w:rsid w:val="04F63680"/>
    <w:rsid w:val="04F6438F"/>
    <w:rsid w:val="04F87A24"/>
    <w:rsid w:val="04FA066E"/>
    <w:rsid w:val="05014C30"/>
    <w:rsid w:val="05022BEA"/>
    <w:rsid w:val="05052362"/>
    <w:rsid w:val="05092FAB"/>
    <w:rsid w:val="050B0E8C"/>
    <w:rsid w:val="050C0092"/>
    <w:rsid w:val="050C64F9"/>
    <w:rsid w:val="050D0BB3"/>
    <w:rsid w:val="050E2B4F"/>
    <w:rsid w:val="050F05C1"/>
    <w:rsid w:val="05101C62"/>
    <w:rsid w:val="05113E48"/>
    <w:rsid w:val="05120551"/>
    <w:rsid w:val="0513747D"/>
    <w:rsid w:val="05137986"/>
    <w:rsid w:val="05185BFC"/>
    <w:rsid w:val="051C11EC"/>
    <w:rsid w:val="051C5C1B"/>
    <w:rsid w:val="05235E1B"/>
    <w:rsid w:val="052461F6"/>
    <w:rsid w:val="052562CC"/>
    <w:rsid w:val="05277968"/>
    <w:rsid w:val="05281683"/>
    <w:rsid w:val="052B2F21"/>
    <w:rsid w:val="052B5CCF"/>
    <w:rsid w:val="052D3376"/>
    <w:rsid w:val="052E5D62"/>
    <w:rsid w:val="05322D45"/>
    <w:rsid w:val="05353148"/>
    <w:rsid w:val="05373674"/>
    <w:rsid w:val="05391951"/>
    <w:rsid w:val="05396F25"/>
    <w:rsid w:val="053A0E8D"/>
    <w:rsid w:val="053E4A03"/>
    <w:rsid w:val="05426D2A"/>
    <w:rsid w:val="054504E8"/>
    <w:rsid w:val="0545759B"/>
    <w:rsid w:val="05465FAD"/>
    <w:rsid w:val="05493D92"/>
    <w:rsid w:val="054A18AF"/>
    <w:rsid w:val="054C3C9E"/>
    <w:rsid w:val="054E3E62"/>
    <w:rsid w:val="0551527A"/>
    <w:rsid w:val="055225A9"/>
    <w:rsid w:val="055360FD"/>
    <w:rsid w:val="05536A09"/>
    <w:rsid w:val="0554500A"/>
    <w:rsid w:val="05556E66"/>
    <w:rsid w:val="055C381E"/>
    <w:rsid w:val="055D018C"/>
    <w:rsid w:val="055E21EC"/>
    <w:rsid w:val="055F787E"/>
    <w:rsid w:val="056777AA"/>
    <w:rsid w:val="056B40EC"/>
    <w:rsid w:val="056C4B00"/>
    <w:rsid w:val="05741869"/>
    <w:rsid w:val="057552DF"/>
    <w:rsid w:val="05760862"/>
    <w:rsid w:val="057669A3"/>
    <w:rsid w:val="057905AA"/>
    <w:rsid w:val="057B7A05"/>
    <w:rsid w:val="057C377D"/>
    <w:rsid w:val="057D46B1"/>
    <w:rsid w:val="058329A7"/>
    <w:rsid w:val="058376DD"/>
    <w:rsid w:val="05867843"/>
    <w:rsid w:val="058B047D"/>
    <w:rsid w:val="058B7B17"/>
    <w:rsid w:val="059037B8"/>
    <w:rsid w:val="059512C8"/>
    <w:rsid w:val="05961C79"/>
    <w:rsid w:val="0597351C"/>
    <w:rsid w:val="059D08BF"/>
    <w:rsid w:val="059D449C"/>
    <w:rsid w:val="059E7F08"/>
    <w:rsid w:val="05A10D8F"/>
    <w:rsid w:val="05A8156B"/>
    <w:rsid w:val="05A842F0"/>
    <w:rsid w:val="05A97FD5"/>
    <w:rsid w:val="05AB5E10"/>
    <w:rsid w:val="05AC0A6A"/>
    <w:rsid w:val="05AE0A7A"/>
    <w:rsid w:val="05B23DB9"/>
    <w:rsid w:val="05B251AE"/>
    <w:rsid w:val="05B435B4"/>
    <w:rsid w:val="05B538F1"/>
    <w:rsid w:val="05B670BC"/>
    <w:rsid w:val="05B7314F"/>
    <w:rsid w:val="05B76875"/>
    <w:rsid w:val="05B80897"/>
    <w:rsid w:val="05B84FCD"/>
    <w:rsid w:val="05B85F60"/>
    <w:rsid w:val="05BA4096"/>
    <w:rsid w:val="05BB4A07"/>
    <w:rsid w:val="05BC1761"/>
    <w:rsid w:val="05BF6420"/>
    <w:rsid w:val="05C158B2"/>
    <w:rsid w:val="05C4336A"/>
    <w:rsid w:val="05C9337C"/>
    <w:rsid w:val="05CB200E"/>
    <w:rsid w:val="05CB44CA"/>
    <w:rsid w:val="05CD222A"/>
    <w:rsid w:val="05CE75D6"/>
    <w:rsid w:val="05D05A0E"/>
    <w:rsid w:val="05D2043B"/>
    <w:rsid w:val="05D31EDE"/>
    <w:rsid w:val="05D646B4"/>
    <w:rsid w:val="05D80006"/>
    <w:rsid w:val="05D830A9"/>
    <w:rsid w:val="05D97E79"/>
    <w:rsid w:val="05DB585B"/>
    <w:rsid w:val="05DE33C7"/>
    <w:rsid w:val="05DF4C73"/>
    <w:rsid w:val="05E134D1"/>
    <w:rsid w:val="05E135B1"/>
    <w:rsid w:val="05E25A29"/>
    <w:rsid w:val="05E351AB"/>
    <w:rsid w:val="05E51322"/>
    <w:rsid w:val="05E660EC"/>
    <w:rsid w:val="05E847FA"/>
    <w:rsid w:val="05EA4A12"/>
    <w:rsid w:val="05EB1E2F"/>
    <w:rsid w:val="05EF4C17"/>
    <w:rsid w:val="05F06672"/>
    <w:rsid w:val="05F24DAB"/>
    <w:rsid w:val="05F72AB2"/>
    <w:rsid w:val="05FB35B9"/>
    <w:rsid w:val="05FC4EA3"/>
    <w:rsid w:val="05FD36D5"/>
    <w:rsid w:val="05FF18A2"/>
    <w:rsid w:val="06016965"/>
    <w:rsid w:val="06020D60"/>
    <w:rsid w:val="06053C7E"/>
    <w:rsid w:val="0607293F"/>
    <w:rsid w:val="06073BB9"/>
    <w:rsid w:val="060A62A0"/>
    <w:rsid w:val="060C1DE4"/>
    <w:rsid w:val="060E1FE9"/>
    <w:rsid w:val="06131463"/>
    <w:rsid w:val="06137352"/>
    <w:rsid w:val="061439B5"/>
    <w:rsid w:val="061477A7"/>
    <w:rsid w:val="06160026"/>
    <w:rsid w:val="06177146"/>
    <w:rsid w:val="061850A5"/>
    <w:rsid w:val="061A008E"/>
    <w:rsid w:val="061B4DDA"/>
    <w:rsid w:val="061C60F8"/>
    <w:rsid w:val="061D750F"/>
    <w:rsid w:val="061F16BF"/>
    <w:rsid w:val="061F224A"/>
    <w:rsid w:val="062205AD"/>
    <w:rsid w:val="0625137B"/>
    <w:rsid w:val="062705CE"/>
    <w:rsid w:val="0628480D"/>
    <w:rsid w:val="062A31D9"/>
    <w:rsid w:val="062D05D7"/>
    <w:rsid w:val="062D50D1"/>
    <w:rsid w:val="06305AAB"/>
    <w:rsid w:val="0633463D"/>
    <w:rsid w:val="063571AE"/>
    <w:rsid w:val="063900CA"/>
    <w:rsid w:val="063A694A"/>
    <w:rsid w:val="063B3E5D"/>
    <w:rsid w:val="063D115E"/>
    <w:rsid w:val="063D39C0"/>
    <w:rsid w:val="063E13A5"/>
    <w:rsid w:val="063E5987"/>
    <w:rsid w:val="063F1646"/>
    <w:rsid w:val="06422C4E"/>
    <w:rsid w:val="06424A90"/>
    <w:rsid w:val="0643057B"/>
    <w:rsid w:val="06433E5A"/>
    <w:rsid w:val="0645137E"/>
    <w:rsid w:val="06477DDE"/>
    <w:rsid w:val="0648781F"/>
    <w:rsid w:val="064C46BB"/>
    <w:rsid w:val="06500722"/>
    <w:rsid w:val="06523C7B"/>
    <w:rsid w:val="06525728"/>
    <w:rsid w:val="06531D5C"/>
    <w:rsid w:val="065A35C8"/>
    <w:rsid w:val="065A6FAA"/>
    <w:rsid w:val="065D6732"/>
    <w:rsid w:val="065F7CC8"/>
    <w:rsid w:val="06626C7A"/>
    <w:rsid w:val="066834B8"/>
    <w:rsid w:val="06685387"/>
    <w:rsid w:val="06690305"/>
    <w:rsid w:val="06691810"/>
    <w:rsid w:val="06693DDD"/>
    <w:rsid w:val="066D58DF"/>
    <w:rsid w:val="066D5E12"/>
    <w:rsid w:val="066E4748"/>
    <w:rsid w:val="066E676D"/>
    <w:rsid w:val="066E7569"/>
    <w:rsid w:val="066F28EA"/>
    <w:rsid w:val="06730C9F"/>
    <w:rsid w:val="0676488D"/>
    <w:rsid w:val="06785744"/>
    <w:rsid w:val="067B29C9"/>
    <w:rsid w:val="067D3568"/>
    <w:rsid w:val="06806F4B"/>
    <w:rsid w:val="06820457"/>
    <w:rsid w:val="06831477"/>
    <w:rsid w:val="06834E24"/>
    <w:rsid w:val="06835BA2"/>
    <w:rsid w:val="06861948"/>
    <w:rsid w:val="0686586A"/>
    <w:rsid w:val="06874187"/>
    <w:rsid w:val="068C548D"/>
    <w:rsid w:val="068C65AB"/>
    <w:rsid w:val="068E3768"/>
    <w:rsid w:val="068E42F5"/>
    <w:rsid w:val="0692096B"/>
    <w:rsid w:val="06926016"/>
    <w:rsid w:val="06942821"/>
    <w:rsid w:val="069B36D8"/>
    <w:rsid w:val="069C2C5E"/>
    <w:rsid w:val="069C672C"/>
    <w:rsid w:val="06A00FBB"/>
    <w:rsid w:val="06A42F8B"/>
    <w:rsid w:val="06A71238"/>
    <w:rsid w:val="06AA181D"/>
    <w:rsid w:val="06AC1E40"/>
    <w:rsid w:val="06AE35DF"/>
    <w:rsid w:val="06B036DE"/>
    <w:rsid w:val="06B32370"/>
    <w:rsid w:val="06B50CF4"/>
    <w:rsid w:val="06B7023E"/>
    <w:rsid w:val="06B70BDE"/>
    <w:rsid w:val="06B7303F"/>
    <w:rsid w:val="06B836F0"/>
    <w:rsid w:val="06B83898"/>
    <w:rsid w:val="06B86C3D"/>
    <w:rsid w:val="06BB7BDA"/>
    <w:rsid w:val="06BD1491"/>
    <w:rsid w:val="06BD28BF"/>
    <w:rsid w:val="06BE3960"/>
    <w:rsid w:val="06BF6D58"/>
    <w:rsid w:val="06C21663"/>
    <w:rsid w:val="06C25B64"/>
    <w:rsid w:val="06C26280"/>
    <w:rsid w:val="06C476C8"/>
    <w:rsid w:val="06C64B3D"/>
    <w:rsid w:val="06C64F30"/>
    <w:rsid w:val="06C73B1C"/>
    <w:rsid w:val="06C753E5"/>
    <w:rsid w:val="06CB20FB"/>
    <w:rsid w:val="06CC7323"/>
    <w:rsid w:val="06CD6AA2"/>
    <w:rsid w:val="06CE224A"/>
    <w:rsid w:val="06D01516"/>
    <w:rsid w:val="06D15F58"/>
    <w:rsid w:val="06D737DA"/>
    <w:rsid w:val="06DF34FC"/>
    <w:rsid w:val="06E133D1"/>
    <w:rsid w:val="06E2382E"/>
    <w:rsid w:val="06E25BDD"/>
    <w:rsid w:val="06E61F44"/>
    <w:rsid w:val="06E65B60"/>
    <w:rsid w:val="06E76764"/>
    <w:rsid w:val="06EA5B7E"/>
    <w:rsid w:val="06EC164F"/>
    <w:rsid w:val="06EC35DA"/>
    <w:rsid w:val="06EC3DC8"/>
    <w:rsid w:val="06ED283C"/>
    <w:rsid w:val="06ED68DF"/>
    <w:rsid w:val="06F01936"/>
    <w:rsid w:val="06F47BF8"/>
    <w:rsid w:val="06F7752C"/>
    <w:rsid w:val="06F82204"/>
    <w:rsid w:val="06F87355"/>
    <w:rsid w:val="06F903AE"/>
    <w:rsid w:val="06F95A3E"/>
    <w:rsid w:val="06FD102C"/>
    <w:rsid w:val="06FE3EB6"/>
    <w:rsid w:val="06FE62E6"/>
    <w:rsid w:val="070258C8"/>
    <w:rsid w:val="07043A2A"/>
    <w:rsid w:val="07054FC2"/>
    <w:rsid w:val="07056F5B"/>
    <w:rsid w:val="07066C78"/>
    <w:rsid w:val="070A5BC2"/>
    <w:rsid w:val="070D1C45"/>
    <w:rsid w:val="070D6D82"/>
    <w:rsid w:val="070E5AC3"/>
    <w:rsid w:val="070F3EC4"/>
    <w:rsid w:val="07112558"/>
    <w:rsid w:val="071141AD"/>
    <w:rsid w:val="07124399"/>
    <w:rsid w:val="071814D8"/>
    <w:rsid w:val="07183F7B"/>
    <w:rsid w:val="071B115E"/>
    <w:rsid w:val="071B161C"/>
    <w:rsid w:val="071D033E"/>
    <w:rsid w:val="071E343F"/>
    <w:rsid w:val="071F68D9"/>
    <w:rsid w:val="07216087"/>
    <w:rsid w:val="07235551"/>
    <w:rsid w:val="07241C30"/>
    <w:rsid w:val="072916E2"/>
    <w:rsid w:val="072A7AD4"/>
    <w:rsid w:val="072D4D2F"/>
    <w:rsid w:val="072E0E66"/>
    <w:rsid w:val="072E7C83"/>
    <w:rsid w:val="07333F32"/>
    <w:rsid w:val="073342E3"/>
    <w:rsid w:val="073453FB"/>
    <w:rsid w:val="07347FFB"/>
    <w:rsid w:val="073527C4"/>
    <w:rsid w:val="073563B7"/>
    <w:rsid w:val="0735779B"/>
    <w:rsid w:val="07396D94"/>
    <w:rsid w:val="073A08BB"/>
    <w:rsid w:val="073B525B"/>
    <w:rsid w:val="073B7C30"/>
    <w:rsid w:val="073D0464"/>
    <w:rsid w:val="07414C7E"/>
    <w:rsid w:val="07422638"/>
    <w:rsid w:val="074228E2"/>
    <w:rsid w:val="074C03E3"/>
    <w:rsid w:val="074C3223"/>
    <w:rsid w:val="074F0914"/>
    <w:rsid w:val="074F4D9D"/>
    <w:rsid w:val="07514D9F"/>
    <w:rsid w:val="07520FF6"/>
    <w:rsid w:val="07541994"/>
    <w:rsid w:val="075722C4"/>
    <w:rsid w:val="075847CD"/>
    <w:rsid w:val="07593CA9"/>
    <w:rsid w:val="075C0948"/>
    <w:rsid w:val="075E2CF4"/>
    <w:rsid w:val="075F273E"/>
    <w:rsid w:val="075F4A0A"/>
    <w:rsid w:val="07617ECF"/>
    <w:rsid w:val="076516FE"/>
    <w:rsid w:val="07694DD9"/>
    <w:rsid w:val="076D1317"/>
    <w:rsid w:val="076D5338"/>
    <w:rsid w:val="076E3146"/>
    <w:rsid w:val="07747974"/>
    <w:rsid w:val="0776134C"/>
    <w:rsid w:val="07762B7A"/>
    <w:rsid w:val="07763FC5"/>
    <w:rsid w:val="07767240"/>
    <w:rsid w:val="077965BE"/>
    <w:rsid w:val="077C5F20"/>
    <w:rsid w:val="077D7C33"/>
    <w:rsid w:val="077E0EA1"/>
    <w:rsid w:val="077E1919"/>
    <w:rsid w:val="077E2CEB"/>
    <w:rsid w:val="077E37DC"/>
    <w:rsid w:val="078B31CE"/>
    <w:rsid w:val="078E2929"/>
    <w:rsid w:val="079324AF"/>
    <w:rsid w:val="07946C51"/>
    <w:rsid w:val="07957004"/>
    <w:rsid w:val="07971F69"/>
    <w:rsid w:val="07977AA4"/>
    <w:rsid w:val="079961DA"/>
    <w:rsid w:val="079A50F0"/>
    <w:rsid w:val="079B2F4B"/>
    <w:rsid w:val="079B681D"/>
    <w:rsid w:val="079D06C9"/>
    <w:rsid w:val="079D28B6"/>
    <w:rsid w:val="079D5B76"/>
    <w:rsid w:val="07A1082D"/>
    <w:rsid w:val="07A32547"/>
    <w:rsid w:val="07A426A3"/>
    <w:rsid w:val="07A5125B"/>
    <w:rsid w:val="07A52788"/>
    <w:rsid w:val="07A63BB2"/>
    <w:rsid w:val="07A740CF"/>
    <w:rsid w:val="07B06211"/>
    <w:rsid w:val="07B24D6D"/>
    <w:rsid w:val="07B47429"/>
    <w:rsid w:val="07BA7AC2"/>
    <w:rsid w:val="07BC7B1F"/>
    <w:rsid w:val="07BE615F"/>
    <w:rsid w:val="07C07701"/>
    <w:rsid w:val="07C5272C"/>
    <w:rsid w:val="07C66C50"/>
    <w:rsid w:val="07CA7E22"/>
    <w:rsid w:val="07CB62B0"/>
    <w:rsid w:val="07CC754E"/>
    <w:rsid w:val="07D55EFD"/>
    <w:rsid w:val="07D84EAE"/>
    <w:rsid w:val="07DB006E"/>
    <w:rsid w:val="07DB6CE9"/>
    <w:rsid w:val="07DC41AC"/>
    <w:rsid w:val="07E05B9D"/>
    <w:rsid w:val="07E23E73"/>
    <w:rsid w:val="07E37C8F"/>
    <w:rsid w:val="07E37DF0"/>
    <w:rsid w:val="07E40560"/>
    <w:rsid w:val="07E5268A"/>
    <w:rsid w:val="07E56903"/>
    <w:rsid w:val="07E73B5F"/>
    <w:rsid w:val="07EA7C12"/>
    <w:rsid w:val="07EB5A42"/>
    <w:rsid w:val="07EC013A"/>
    <w:rsid w:val="07EF167B"/>
    <w:rsid w:val="07F03A99"/>
    <w:rsid w:val="07F13FAE"/>
    <w:rsid w:val="07F210D8"/>
    <w:rsid w:val="07F22E76"/>
    <w:rsid w:val="07F22F7E"/>
    <w:rsid w:val="07F24029"/>
    <w:rsid w:val="07F2499C"/>
    <w:rsid w:val="07F33B31"/>
    <w:rsid w:val="07F34244"/>
    <w:rsid w:val="07FC5F99"/>
    <w:rsid w:val="07FD6DF7"/>
    <w:rsid w:val="07FF521F"/>
    <w:rsid w:val="08004E69"/>
    <w:rsid w:val="08021D84"/>
    <w:rsid w:val="080261BB"/>
    <w:rsid w:val="080423E7"/>
    <w:rsid w:val="08073BA5"/>
    <w:rsid w:val="080946EA"/>
    <w:rsid w:val="080B77E6"/>
    <w:rsid w:val="080E7FF0"/>
    <w:rsid w:val="08107453"/>
    <w:rsid w:val="081128E9"/>
    <w:rsid w:val="08113598"/>
    <w:rsid w:val="08115DC2"/>
    <w:rsid w:val="081223A8"/>
    <w:rsid w:val="08136C45"/>
    <w:rsid w:val="0814640B"/>
    <w:rsid w:val="081553CF"/>
    <w:rsid w:val="08167E3D"/>
    <w:rsid w:val="08193505"/>
    <w:rsid w:val="081A5E93"/>
    <w:rsid w:val="081C2566"/>
    <w:rsid w:val="081D3DD4"/>
    <w:rsid w:val="081D4DEA"/>
    <w:rsid w:val="081E4FBF"/>
    <w:rsid w:val="08214411"/>
    <w:rsid w:val="08217282"/>
    <w:rsid w:val="0823388D"/>
    <w:rsid w:val="082471A0"/>
    <w:rsid w:val="0826023B"/>
    <w:rsid w:val="08261CE9"/>
    <w:rsid w:val="08273E74"/>
    <w:rsid w:val="082810D7"/>
    <w:rsid w:val="08290F8E"/>
    <w:rsid w:val="08295FF1"/>
    <w:rsid w:val="082B0F03"/>
    <w:rsid w:val="082B6983"/>
    <w:rsid w:val="08314F8C"/>
    <w:rsid w:val="083153D7"/>
    <w:rsid w:val="083224E6"/>
    <w:rsid w:val="08332819"/>
    <w:rsid w:val="083451F8"/>
    <w:rsid w:val="08352011"/>
    <w:rsid w:val="08371DE4"/>
    <w:rsid w:val="083841D3"/>
    <w:rsid w:val="08393BA7"/>
    <w:rsid w:val="083D15B4"/>
    <w:rsid w:val="084157E9"/>
    <w:rsid w:val="0844155A"/>
    <w:rsid w:val="084955C1"/>
    <w:rsid w:val="084A7B62"/>
    <w:rsid w:val="084C4408"/>
    <w:rsid w:val="084F5179"/>
    <w:rsid w:val="084F6F27"/>
    <w:rsid w:val="08510920"/>
    <w:rsid w:val="08511A71"/>
    <w:rsid w:val="085442CC"/>
    <w:rsid w:val="08544B97"/>
    <w:rsid w:val="085A06A2"/>
    <w:rsid w:val="085A650F"/>
    <w:rsid w:val="085B12D2"/>
    <w:rsid w:val="086017FB"/>
    <w:rsid w:val="08603C2C"/>
    <w:rsid w:val="08612A7D"/>
    <w:rsid w:val="08616063"/>
    <w:rsid w:val="0863169C"/>
    <w:rsid w:val="0865572D"/>
    <w:rsid w:val="08673B4E"/>
    <w:rsid w:val="08684007"/>
    <w:rsid w:val="086A1FB2"/>
    <w:rsid w:val="086E00FE"/>
    <w:rsid w:val="086E58A3"/>
    <w:rsid w:val="08726929"/>
    <w:rsid w:val="0873495C"/>
    <w:rsid w:val="0876005A"/>
    <w:rsid w:val="08775F87"/>
    <w:rsid w:val="087B2261"/>
    <w:rsid w:val="087F0D99"/>
    <w:rsid w:val="087F780C"/>
    <w:rsid w:val="08825497"/>
    <w:rsid w:val="088506FD"/>
    <w:rsid w:val="088968AD"/>
    <w:rsid w:val="088E48C2"/>
    <w:rsid w:val="088E7A4F"/>
    <w:rsid w:val="088F37C7"/>
    <w:rsid w:val="0891331A"/>
    <w:rsid w:val="08933998"/>
    <w:rsid w:val="08962E41"/>
    <w:rsid w:val="089B4094"/>
    <w:rsid w:val="089B43F4"/>
    <w:rsid w:val="089B5859"/>
    <w:rsid w:val="089C787C"/>
    <w:rsid w:val="089D5FB2"/>
    <w:rsid w:val="08A0011D"/>
    <w:rsid w:val="08A24781"/>
    <w:rsid w:val="08A249FE"/>
    <w:rsid w:val="08A42B00"/>
    <w:rsid w:val="08A52A85"/>
    <w:rsid w:val="08A74933"/>
    <w:rsid w:val="08A779F3"/>
    <w:rsid w:val="08A87E00"/>
    <w:rsid w:val="08AD405E"/>
    <w:rsid w:val="08AE02E0"/>
    <w:rsid w:val="08B01C79"/>
    <w:rsid w:val="08B05928"/>
    <w:rsid w:val="08B31481"/>
    <w:rsid w:val="08B373BA"/>
    <w:rsid w:val="08B446B7"/>
    <w:rsid w:val="08B44B6E"/>
    <w:rsid w:val="08B5046B"/>
    <w:rsid w:val="08B525E1"/>
    <w:rsid w:val="08B90DF7"/>
    <w:rsid w:val="08B915A1"/>
    <w:rsid w:val="08BA0E0D"/>
    <w:rsid w:val="08BA1901"/>
    <w:rsid w:val="08BA1B8C"/>
    <w:rsid w:val="08BC3D65"/>
    <w:rsid w:val="08BD5A58"/>
    <w:rsid w:val="08C00F14"/>
    <w:rsid w:val="08C34C31"/>
    <w:rsid w:val="08C71830"/>
    <w:rsid w:val="08C832CD"/>
    <w:rsid w:val="08C95DFB"/>
    <w:rsid w:val="08D15911"/>
    <w:rsid w:val="08D24C80"/>
    <w:rsid w:val="08D57263"/>
    <w:rsid w:val="08D8516E"/>
    <w:rsid w:val="08DB44FD"/>
    <w:rsid w:val="08DB4E55"/>
    <w:rsid w:val="08DC5B9D"/>
    <w:rsid w:val="08DD56A6"/>
    <w:rsid w:val="08DF3DF6"/>
    <w:rsid w:val="08E0391A"/>
    <w:rsid w:val="08E25577"/>
    <w:rsid w:val="08E26C00"/>
    <w:rsid w:val="08E471EB"/>
    <w:rsid w:val="08EC0C19"/>
    <w:rsid w:val="08F41B4A"/>
    <w:rsid w:val="08F4337F"/>
    <w:rsid w:val="08F46EAC"/>
    <w:rsid w:val="08F502FB"/>
    <w:rsid w:val="08F521E8"/>
    <w:rsid w:val="08F655F4"/>
    <w:rsid w:val="08F65F90"/>
    <w:rsid w:val="08F66003"/>
    <w:rsid w:val="08F739D8"/>
    <w:rsid w:val="08FA1BB9"/>
    <w:rsid w:val="08FA50E4"/>
    <w:rsid w:val="08FC70AE"/>
    <w:rsid w:val="09013654"/>
    <w:rsid w:val="090258C5"/>
    <w:rsid w:val="09041313"/>
    <w:rsid w:val="0904765E"/>
    <w:rsid w:val="090479C2"/>
    <w:rsid w:val="09054AAA"/>
    <w:rsid w:val="090659C1"/>
    <w:rsid w:val="09093C4B"/>
    <w:rsid w:val="090975B2"/>
    <w:rsid w:val="090B7949"/>
    <w:rsid w:val="090C4E18"/>
    <w:rsid w:val="090E0B90"/>
    <w:rsid w:val="090F60D8"/>
    <w:rsid w:val="091333D8"/>
    <w:rsid w:val="09157F72"/>
    <w:rsid w:val="09161ECD"/>
    <w:rsid w:val="091671BC"/>
    <w:rsid w:val="091837BC"/>
    <w:rsid w:val="091A56A6"/>
    <w:rsid w:val="092108C3"/>
    <w:rsid w:val="09220EC8"/>
    <w:rsid w:val="09235D03"/>
    <w:rsid w:val="092379E4"/>
    <w:rsid w:val="092927AE"/>
    <w:rsid w:val="092D0762"/>
    <w:rsid w:val="09307D9E"/>
    <w:rsid w:val="09376DEF"/>
    <w:rsid w:val="09397283"/>
    <w:rsid w:val="093C6FFB"/>
    <w:rsid w:val="093D1496"/>
    <w:rsid w:val="093E6F6B"/>
    <w:rsid w:val="09412443"/>
    <w:rsid w:val="09412D13"/>
    <w:rsid w:val="094214B6"/>
    <w:rsid w:val="09427B47"/>
    <w:rsid w:val="094503DA"/>
    <w:rsid w:val="09461EE5"/>
    <w:rsid w:val="094620D8"/>
    <w:rsid w:val="09490F79"/>
    <w:rsid w:val="094C0A00"/>
    <w:rsid w:val="0950589A"/>
    <w:rsid w:val="09505BF4"/>
    <w:rsid w:val="095078F8"/>
    <w:rsid w:val="095277B2"/>
    <w:rsid w:val="09554A11"/>
    <w:rsid w:val="09587FD9"/>
    <w:rsid w:val="0959123A"/>
    <w:rsid w:val="09596188"/>
    <w:rsid w:val="095A6680"/>
    <w:rsid w:val="095D1DBE"/>
    <w:rsid w:val="095D6ACD"/>
    <w:rsid w:val="095F763D"/>
    <w:rsid w:val="09613860"/>
    <w:rsid w:val="09622C8A"/>
    <w:rsid w:val="096452E6"/>
    <w:rsid w:val="09673FA4"/>
    <w:rsid w:val="096863ED"/>
    <w:rsid w:val="096C4FDC"/>
    <w:rsid w:val="096D2A2E"/>
    <w:rsid w:val="096D688E"/>
    <w:rsid w:val="09704EE7"/>
    <w:rsid w:val="09722ECD"/>
    <w:rsid w:val="09723EBB"/>
    <w:rsid w:val="09761528"/>
    <w:rsid w:val="09767CE0"/>
    <w:rsid w:val="09776735"/>
    <w:rsid w:val="09793046"/>
    <w:rsid w:val="097B599F"/>
    <w:rsid w:val="09811362"/>
    <w:rsid w:val="09816AC1"/>
    <w:rsid w:val="0983157E"/>
    <w:rsid w:val="09841258"/>
    <w:rsid w:val="09887819"/>
    <w:rsid w:val="098A7B3F"/>
    <w:rsid w:val="098E10D1"/>
    <w:rsid w:val="098F24E3"/>
    <w:rsid w:val="09916ED8"/>
    <w:rsid w:val="09924182"/>
    <w:rsid w:val="09925696"/>
    <w:rsid w:val="09932DE2"/>
    <w:rsid w:val="09945539"/>
    <w:rsid w:val="09970D90"/>
    <w:rsid w:val="09983894"/>
    <w:rsid w:val="099843BF"/>
    <w:rsid w:val="099B68C7"/>
    <w:rsid w:val="099C44B8"/>
    <w:rsid w:val="099D0846"/>
    <w:rsid w:val="099D6F8A"/>
    <w:rsid w:val="099E7A4A"/>
    <w:rsid w:val="09A067FC"/>
    <w:rsid w:val="09A260FB"/>
    <w:rsid w:val="09A67894"/>
    <w:rsid w:val="09A80DC1"/>
    <w:rsid w:val="09A84D69"/>
    <w:rsid w:val="09AA6328"/>
    <w:rsid w:val="09AC4568"/>
    <w:rsid w:val="09AD4435"/>
    <w:rsid w:val="09B014C3"/>
    <w:rsid w:val="09B04205"/>
    <w:rsid w:val="09B075D0"/>
    <w:rsid w:val="09B17C18"/>
    <w:rsid w:val="09B20901"/>
    <w:rsid w:val="09B2451B"/>
    <w:rsid w:val="09B5725D"/>
    <w:rsid w:val="09B57498"/>
    <w:rsid w:val="09B76E90"/>
    <w:rsid w:val="09B96D4E"/>
    <w:rsid w:val="09BA19C3"/>
    <w:rsid w:val="09BB55D9"/>
    <w:rsid w:val="09BC683E"/>
    <w:rsid w:val="09BD7B95"/>
    <w:rsid w:val="09BF5D9C"/>
    <w:rsid w:val="09BF693B"/>
    <w:rsid w:val="09C65177"/>
    <w:rsid w:val="09C65D5D"/>
    <w:rsid w:val="09C676BC"/>
    <w:rsid w:val="09C824EA"/>
    <w:rsid w:val="09C91894"/>
    <w:rsid w:val="09CA0D6F"/>
    <w:rsid w:val="09CC7BBB"/>
    <w:rsid w:val="09D02588"/>
    <w:rsid w:val="09D122E9"/>
    <w:rsid w:val="09D26061"/>
    <w:rsid w:val="09D51BB4"/>
    <w:rsid w:val="09D61B4E"/>
    <w:rsid w:val="09D857E2"/>
    <w:rsid w:val="09DA6112"/>
    <w:rsid w:val="09DC2A3C"/>
    <w:rsid w:val="09DE2994"/>
    <w:rsid w:val="09DE5B11"/>
    <w:rsid w:val="09DF2C2E"/>
    <w:rsid w:val="09DF6297"/>
    <w:rsid w:val="09E02DF6"/>
    <w:rsid w:val="09E03832"/>
    <w:rsid w:val="09E1399F"/>
    <w:rsid w:val="09E27DB9"/>
    <w:rsid w:val="09E4519B"/>
    <w:rsid w:val="09E55A7B"/>
    <w:rsid w:val="09E71B0D"/>
    <w:rsid w:val="09E76CD2"/>
    <w:rsid w:val="09E902BD"/>
    <w:rsid w:val="09EC0E6E"/>
    <w:rsid w:val="09EC4763"/>
    <w:rsid w:val="09EE385A"/>
    <w:rsid w:val="09EF6D70"/>
    <w:rsid w:val="09F24833"/>
    <w:rsid w:val="09F47AC3"/>
    <w:rsid w:val="09F47C27"/>
    <w:rsid w:val="09F51222"/>
    <w:rsid w:val="09F63AFE"/>
    <w:rsid w:val="09FB3127"/>
    <w:rsid w:val="09FB4390"/>
    <w:rsid w:val="09FE306E"/>
    <w:rsid w:val="0A0125B3"/>
    <w:rsid w:val="0A047776"/>
    <w:rsid w:val="0A055D9F"/>
    <w:rsid w:val="0A055F65"/>
    <w:rsid w:val="0A081A83"/>
    <w:rsid w:val="0A0B6941"/>
    <w:rsid w:val="0A0F47F9"/>
    <w:rsid w:val="0A0F74D8"/>
    <w:rsid w:val="0A1017D7"/>
    <w:rsid w:val="0A1026E6"/>
    <w:rsid w:val="0A130426"/>
    <w:rsid w:val="0A1335CA"/>
    <w:rsid w:val="0A173721"/>
    <w:rsid w:val="0A17501F"/>
    <w:rsid w:val="0A181BFD"/>
    <w:rsid w:val="0A1A4547"/>
    <w:rsid w:val="0A1A55FA"/>
    <w:rsid w:val="0A1B5312"/>
    <w:rsid w:val="0A1B633E"/>
    <w:rsid w:val="0A1D037E"/>
    <w:rsid w:val="0A1D3F62"/>
    <w:rsid w:val="0A1E3DC4"/>
    <w:rsid w:val="0A1E5D1C"/>
    <w:rsid w:val="0A205FFA"/>
    <w:rsid w:val="0A2166A1"/>
    <w:rsid w:val="0A263EDF"/>
    <w:rsid w:val="0A26610B"/>
    <w:rsid w:val="0A2759BD"/>
    <w:rsid w:val="0A29525D"/>
    <w:rsid w:val="0A2D6CD9"/>
    <w:rsid w:val="0A2D7709"/>
    <w:rsid w:val="0A2E1A6A"/>
    <w:rsid w:val="0A321322"/>
    <w:rsid w:val="0A323708"/>
    <w:rsid w:val="0A324F02"/>
    <w:rsid w:val="0A326888"/>
    <w:rsid w:val="0A387044"/>
    <w:rsid w:val="0A3923D4"/>
    <w:rsid w:val="0A395735"/>
    <w:rsid w:val="0A3C797E"/>
    <w:rsid w:val="0A3E5F22"/>
    <w:rsid w:val="0A3F354A"/>
    <w:rsid w:val="0A3F6373"/>
    <w:rsid w:val="0A3F649F"/>
    <w:rsid w:val="0A3F6672"/>
    <w:rsid w:val="0A407D4B"/>
    <w:rsid w:val="0A4919E6"/>
    <w:rsid w:val="0A4940E6"/>
    <w:rsid w:val="0A494625"/>
    <w:rsid w:val="0A4A1905"/>
    <w:rsid w:val="0A4B249C"/>
    <w:rsid w:val="0A4D0B42"/>
    <w:rsid w:val="0A503A1D"/>
    <w:rsid w:val="0A515A57"/>
    <w:rsid w:val="0A534FF5"/>
    <w:rsid w:val="0A546F4C"/>
    <w:rsid w:val="0A581096"/>
    <w:rsid w:val="0A590392"/>
    <w:rsid w:val="0A5A7427"/>
    <w:rsid w:val="0A5B172A"/>
    <w:rsid w:val="0A5B1EF2"/>
    <w:rsid w:val="0A5B38A0"/>
    <w:rsid w:val="0A5B4343"/>
    <w:rsid w:val="0A5C6DF5"/>
    <w:rsid w:val="0A5D6446"/>
    <w:rsid w:val="0A5E4BB7"/>
    <w:rsid w:val="0A601C48"/>
    <w:rsid w:val="0A612AB8"/>
    <w:rsid w:val="0A636CB9"/>
    <w:rsid w:val="0A64222D"/>
    <w:rsid w:val="0A673284"/>
    <w:rsid w:val="0A68755B"/>
    <w:rsid w:val="0A692D9D"/>
    <w:rsid w:val="0A695264"/>
    <w:rsid w:val="0A6C3823"/>
    <w:rsid w:val="0A6E045E"/>
    <w:rsid w:val="0A6E12B4"/>
    <w:rsid w:val="0A6E264C"/>
    <w:rsid w:val="0A6F320D"/>
    <w:rsid w:val="0A70044B"/>
    <w:rsid w:val="0A700E37"/>
    <w:rsid w:val="0A7513C2"/>
    <w:rsid w:val="0A772F71"/>
    <w:rsid w:val="0A78732D"/>
    <w:rsid w:val="0A7B496C"/>
    <w:rsid w:val="0A7E6800"/>
    <w:rsid w:val="0A7F3E74"/>
    <w:rsid w:val="0A80183B"/>
    <w:rsid w:val="0A823442"/>
    <w:rsid w:val="0A835D6E"/>
    <w:rsid w:val="0A85237C"/>
    <w:rsid w:val="0A872BAD"/>
    <w:rsid w:val="0A890E3C"/>
    <w:rsid w:val="0A8A2498"/>
    <w:rsid w:val="0A8B39D4"/>
    <w:rsid w:val="0A8E06C7"/>
    <w:rsid w:val="0A8E4FB8"/>
    <w:rsid w:val="0A925837"/>
    <w:rsid w:val="0A934CA4"/>
    <w:rsid w:val="0A97351A"/>
    <w:rsid w:val="0A9848C4"/>
    <w:rsid w:val="0A9912CD"/>
    <w:rsid w:val="0A995447"/>
    <w:rsid w:val="0A9A1D20"/>
    <w:rsid w:val="0A9C12BB"/>
    <w:rsid w:val="0A9C36B0"/>
    <w:rsid w:val="0A9F0DAC"/>
    <w:rsid w:val="0A9F1972"/>
    <w:rsid w:val="0A9F74C7"/>
    <w:rsid w:val="0A9F7C56"/>
    <w:rsid w:val="0AA1772E"/>
    <w:rsid w:val="0AA24562"/>
    <w:rsid w:val="0AA36E3C"/>
    <w:rsid w:val="0AAA1B43"/>
    <w:rsid w:val="0AAC1563"/>
    <w:rsid w:val="0AAC2F63"/>
    <w:rsid w:val="0AAE185D"/>
    <w:rsid w:val="0AB13EC9"/>
    <w:rsid w:val="0AB41264"/>
    <w:rsid w:val="0AB71C71"/>
    <w:rsid w:val="0AB97924"/>
    <w:rsid w:val="0ABF5871"/>
    <w:rsid w:val="0AC07B5C"/>
    <w:rsid w:val="0AC211F4"/>
    <w:rsid w:val="0AC21C32"/>
    <w:rsid w:val="0AC34C4C"/>
    <w:rsid w:val="0AC70642"/>
    <w:rsid w:val="0AC925D2"/>
    <w:rsid w:val="0ACB4F8A"/>
    <w:rsid w:val="0ACB638B"/>
    <w:rsid w:val="0ACD22E9"/>
    <w:rsid w:val="0ACE3CB4"/>
    <w:rsid w:val="0AD23151"/>
    <w:rsid w:val="0AD267BA"/>
    <w:rsid w:val="0AD27436"/>
    <w:rsid w:val="0AD30239"/>
    <w:rsid w:val="0AD42F2B"/>
    <w:rsid w:val="0AD66942"/>
    <w:rsid w:val="0AD80987"/>
    <w:rsid w:val="0AD944F3"/>
    <w:rsid w:val="0AD95B67"/>
    <w:rsid w:val="0ADA61AA"/>
    <w:rsid w:val="0ADA764E"/>
    <w:rsid w:val="0ADD4038"/>
    <w:rsid w:val="0ADE02F3"/>
    <w:rsid w:val="0ADE6A3B"/>
    <w:rsid w:val="0ADF0A36"/>
    <w:rsid w:val="0AE17341"/>
    <w:rsid w:val="0AE23DD2"/>
    <w:rsid w:val="0AE61606"/>
    <w:rsid w:val="0AE64E53"/>
    <w:rsid w:val="0AE91DB6"/>
    <w:rsid w:val="0AE9425E"/>
    <w:rsid w:val="0AEC156F"/>
    <w:rsid w:val="0AED5F70"/>
    <w:rsid w:val="0AF0102C"/>
    <w:rsid w:val="0AF0679F"/>
    <w:rsid w:val="0AF17FE8"/>
    <w:rsid w:val="0AF258D9"/>
    <w:rsid w:val="0AF70747"/>
    <w:rsid w:val="0AFA4F00"/>
    <w:rsid w:val="0AFC2D9F"/>
    <w:rsid w:val="0AFD07E6"/>
    <w:rsid w:val="0AFD229E"/>
    <w:rsid w:val="0B01743C"/>
    <w:rsid w:val="0B04439B"/>
    <w:rsid w:val="0B07049D"/>
    <w:rsid w:val="0B0841C3"/>
    <w:rsid w:val="0B0B2AB2"/>
    <w:rsid w:val="0B0B50A6"/>
    <w:rsid w:val="0B0D607B"/>
    <w:rsid w:val="0B0D6CE2"/>
    <w:rsid w:val="0B0E6D4D"/>
    <w:rsid w:val="0B100C83"/>
    <w:rsid w:val="0B1044CE"/>
    <w:rsid w:val="0B124DDA"/>
    <w:rsid w:val="0B124E2D"/>
    <w:rsid w:val="0B12667F"/>
    <w:rsid w:val="0B137104"/>
    <w:rsid w:val="0B154457"/>
    <w:rsid w:val="0B19173E"/>
    <w:rsid w:val="0B1956BA"/>
    <w:rsid w:val="0B1967EC"/>
    <w:rsid w:val="0B1A6B7B"/>
    <w:rsid w:val="0B1C1D07"/>
    <w:rsid w:val="0B1D0CAA"/>
    <w:rsid w:val="0B1F52D6"/>
    <w:rsid w:val="0B21104E"/>
    <w:rsid w:val="0B23528E"/>
    <w:rsid w:val="0B240273"/>
    <w:rsid w:val="0B27418B"/>
    <w:rsid w:val="0B293D06"/>
    <w:rsid w:val="0B2D3FF8"/>
    <w:rsid w:val="0B2E6D90"/>
    <w:rsid w:val="0B320C2C"/>
    <w:rsid w:val="0B362DD2"/>
    <w:rsid w:val="0B397CEA"/>
    <w:rsid w:val="0B3A3EBE"/>
    <w:rsid w:val="0B3C2F2C"/>
    <w:rsid w:val="0B3D42FF"/>
    <w:rsid w:val="0B3E3DC0"/>
    <w:rsid w:val="0B411CAF"/>
    <w:rsid w:val="0B436C81"/>
    <w:rsid w:val="0B4623B2"/>
    <w:rsid w:val="0B49159B"/>
    <w:rsid w:val="0B4A32E5"/>
    <w:rsid w:val="0B4B39F3"/>
    <w:rsid w:val="0B4F5F4D"/>
    <w:rsid w:val="0B573F15"/>
    <w:rsid w:val="0B5B23F0"/>
    <w:rsid w:val="0B603C15"/>
    <w:rsid w:val="0B60595F"/>
    <w:rsid w:val="0B606A75"/>
    <w:rsid w:val="0B640637"/>
    <w:rsid w:val="0B65759C"/>
    <w:rsid w:val="0B664E97"/>
    <w:rsid w:val="0B6716BE"/>
    <w:rsid w:val="0B6C2F02"/>
    <w:rsid w:val="0B6E5207"/>
    <w:rsid w:val="0B6E6DBF"/>
    <w:rsid w:val="0B6F3F20"/>
    <w:rsid w:val="0B6F4D1A"/>
    <w:rsid w:val="0B717D59"/>
    <w:rsid w:val="0B721812"/>
    <w:rsid w:val="0B7273CF"/>
    <w:rsid w:val="0B761494"/>
    <w:rsid w:val="0B7671A6"/>
    <w:rsid w:val="0B7C2254"/>
    <w:rsid w:val="0B7D3378"/>
    <w:rsid w:val="0B7D49C9"/>
    <w:rsid w:val="0B7E0E2D"/>
    <w:rsid w:val="0B847F40"/>
    <w:rsid w:val="0B873ABA"/>
    <w:rsid w:val="0B881056"/>
    <w:rsid w:val="0B882CA6"/>
    <w:rsid w:val="0B8907C9"/>
    <w:rsid w:val="0B896A9C"/>
    <w:rsid w:val="0B8D4545"/>
    <w:rsid w:val="0B8E57A5"/>
    <w:rsid w:val="0B907FC0"/>
    <w:rsid w:val="0B914209"/>
    <w:rsid w:val="0B943733"/>
    <w:rsid w:val="0B966523"/>
    <w:rsid w:val="0B982EBF"/>
    <w:rsid w:val="0B9B68BF"/>
    <w:rsid w:val="0B9F01C5"/>
    <w:rsid w:val="0B9F4422"/>
    <w:rsid w:val="0B9F6417"/>
    <w:rsid w:val="0BA5159D"/>
    <w:rsid w:val="0BA5291A"/>
    <w:rsid w:val="0BA630DA"/>
    <w:rsid w:val="0BA6413B"/>
    <w:rsid w:val="0BA73AE4"/>
    <w:rsid w:val="0BAA3D01"/>
    <w:rsid w:val="0BAC564B"/>
    <w:rsid w:val="0BAD28E2"/>
    <w:rsid w:val="0BB0308A"/>
    <w:rsid w:val="0BB208F6"/>
    <w:rsid w:val="0BB20B05"/>
    <w:rsid w:val="0BB23A9F"/>
    <w:rsid w:val="0BB575AF"/>
    <w:rsid w:val="0BB772BD"/>
    <w:rsid w:val="0BB851A5"/>
    <w:rsid w:val="0BB91287"/>
    <w:rsid w:val="0BBD55B7"/>
    <w:rsid w:val="0BBE5550"/>
    <w:rsid w:val="0BC04B4D"/>
    <w:rsid w:val="0BC34F74"/>
    <w:rsid w:val="0BC378CF"/>
    <w:rsid w:val="0BC66E1B"/>
    <w:rsid w:val="0BC678E6"/>
    <w:rsid w:val="0BC74FAF"/>
    <w:rsid w:val="0BC8164D"/>
    <w:rsid w:val="0BC840E1"/>
    <w:rsid w:val="0BC86A0B"/>
    <w:rsid w:val="0BC94701"/>
    <w:rsid w:val="0BCA4EFE"/>
    <w:rsid w:val="0BCB45A9"/>
    <w:rsid w:val="0BCB5512"/>
    <w:rsid w:val="0BCD6B39"/>
    <w:rsid w:val="0BD05577"/>
    <w:rsid w:val="0BD26275"/>
    <w:rsid w:val="0BD27BCE"/>
    <w:rsid w:val="0BD44594"/>
    <w:rsid w:val="0BD460C1"/>
    <w:rsid w:val="0BD52ECF"/>
    <w:rsid w:val="0BD64597"/>
    <w:rsid w:val="0BD80C46"/>
    <w:rsid w:val="0BD941BF"/>
    <w:rsid w:val="0BDA11FD"/>
    <w:rsid w:val="0BDC5870"/>
    <w:rsid w:val="0BDE0CED"/>
    <w:rsid w:val="0BDE45C8"/>
    <w:rsid w:val="0BE23FC0"/>
    <w:rsid w:val="0BE349FC"/>
    <w:rsid w:val="0BE41A69"/>
    <w:rsid w:val="0BE85707"/>
    <w:rsid w:val="0BEA2D7B"/>
    <w:rsid w:val="0BEA69E4"/>
    <w:rsid w:val="0BEB03E0"/>
    <w:rsid w:val="0BEB34E3"/>
    <w:rsid w:val="0BEB5130"/>
    <w:rsid w:val="0BF03535"/>
    <w:rsid w:val="0BF17C3D"/>
    <w:rsid w:val="0BF32E89"/>
    <w:rsid w:val="0BF4406D"/>
    <w:rsid w:val="0BF74EED"/>
    <w:rsid w:val="0BF87A87"/>
    <w:rsid w:val="0BFC6234"/>
    <w:rsid w:val="0BFE1B45"/>
    <w:rsid w:val="0C004C5B"/>
    <w:rsid w:val="0C007E74"/>
    <w:rsid w:val="0C014A00"/>
    <w:rsid w:val="0C016635"/>
    <w:rsid w:val="0C03706C"/>
    <w:rsid w:val="0C0459BA"/>
    <w:rsid w:val="0C045B81"/>
    <w:rsid w:val="0C0854AB"/>
    <w:rsid w:val="0C0B705F"/>
    <w:rsid w:val="0C0C4793"/>
    <w:rsid w:val="0C0D636C"/>
    <w:rsid w:val="0C0E46A4"/>
    <w:rsid w:val="0C104437"/>
    <w:rsid w:val="0C1054F7"/>
    <w:rsid w:val="0C10643B"/>
    <w:rsid w:val="0C110971"/>
    <w:rsid w:val="0C123A63"/>
    <w:rsid w:val="0C125C82"/>
    <w:rsid w:val="0C156351"/>
    <w:rsid w:val="0C173C00"/>
    <w:rsid w:val="0C175B8C"/>
    <w:rsid w:val="0C185B3F"/>
    <w:rsid w:val="0C1B5A9E"/>
    <w:rsid w:val="0C1C23FF"/>
    <w:rsid w:val="0C1E074E"/>
    <w:rsid w:val="0C1E1F3A"/>
    <w:rsid w:val="0C1E5EE2"/>
    <w:rsid w:val="0C1F0AC1"/>
    <w:rsid w:val="0C2034E2"/>
    <w:rsid w:val="0C216A50"/>
    <w:rsid w:val="0C233D7D"/>
    <w:rsid w:val="0C285B18"/>
    <w:rsid w:val="0C2A7A8F"/>
    <w:rsid w:val="0C2B1F0F"/>
    <w:rsid w:val="0C2D757F"/>
    <w:rsid w:val="0C2F4055"/>
    <w:rsid w:val="0C313607"/>
    <w:rsid w:val="0C3240F2"/>
    <w:rsid w:val="0C330E85"/>
    <w:rsid w:val="0C336713"/>
    <w:rsid w:val="0C365B82"/>
    <w:rsid w:val="0C3721D6"/>
    <w:rsid w:val="0C396DB4"/>
    <w:rsid w:val="0C3A2189"/>
    <w:rsid w:val="0C3C5E77"/>
    <w:rsid w:val="0C3D608B"/>
    <w:rsid w:val="0C3F0CF3"/>
    <w:rsid w:val="0C48260B"/>
    <w:rsid w:val="0C487032"/>
    <w:rsid w:val="0C4905DA"/>
    <w:rsid w:val="0C4930E3"/>
    <w:rsid w:val="0C4A2F33"/>
    <w:rsid w:val="0C4A5728"/>
    <w:rsid w:val="0C4A6383"/>
    <w:rsid w:val="0C4B5C57"/>
    <w:rsid w:val="0C4B673B"/>
    <w:rsid w:val="0C4D4D2C"/>
    <w:rsid w:val="0C4E4603"/>
    <w:rsid w:val="0C5120A8"/>
    <w:rsid w:val="0C532877"/>
    <w:rsid w:val="0C533F81"/>
    <w:rsid w:val="0C536584"/>
    <w:rsid w:val="0C592153"/>
    <w:rsid w:val="0C5A5FD3"/>
    <w:rsid w:val="0C5B6117"/>
    <w:rsid w:val="0C5D3E0E"/>
    <w:rsid w:val="0C5D5659"/>
    <w:rsid w:val="0C602CD0"/>
    <w:rsid w:val="0C617DF1"/>
    <w:rsid w:val="0C6505AE"/>
    <w:rsid w:val="0C6531BD"/>
    <w:rsid w:val="0C65576F"/>
    <w:rsid w:val="0C664AFA"/>
    <w:rsid w:val="0C66583A"/>
    <w:rsid w:val="0C683744"/>
    <w:rsid w:val="0C7160E5"/>
    <w:rsid w:val="0C716CE8"/>
    <w:rsid w:val="0C7A5B07"/>
    <w:rsid w:val="0C7B3555"/>
    <w:rsid w:val="0C7C46AD"/>
    <w:rsid w:val="0C7D35A0"/>
    <w:rsid w:val="0C7E427E"/>
    <w:rsid w:val="0C804AC6"/>
    <w:rsid w:val="0C812C5A"/>
    <w:rsid w:val="0C865557"/>
    <w:rsid w:val="0C88548B"/>
    <w:rsid w:val="0C89503C"/>
    <w:rsid w:val="0C8A7C6A"/>
    <w:rsid w:val="0C8B0136"/>
    <w:rsid w:val="0C8C0749"/>
    <w:rsid w:val="0C8C1CC5"/>
    <w:rsid w:val="0C8F2E68"/>
    <w:rsid w:val="0C9133D3"/>
    <w:rsid w:val="0C923B9B"/>
    <w:rsid w:val="0C95008F"/>
    <w:rsid w:val="0C9757F1"/>
    <w:rsid w:val="0C9927F8"/>
    <w:rsid w:val="0C996DED"/>
    <w:rsid w:val="0C9C20C2"/>
    <w:rsid w:val="0C9E11A2"/>
    <w:rsid w:val="0CA13588"/>
    <w:rsid w:val="0CA43CE5"/>
    <w:rsid w:val="0CA533E0"/>
    <w:rsid w:val="0CA5777C"/>
    <w:rsid w:val="0CA763C6"/>
    <w:rsid w:val="0CA814E0"/>
    <w:rsid w:val="0CA86A2C"/>
    <w:rsid w:val="0CA90F98"/>
    <w:rsid w:val="0CA93A2A"/>
    <w:rsid w:val="0CAA3679"/>
    <w:rsid w:val="0CAB628F"/>
    <w:rsid w:val="0CAC519D"/>
    <w:rsid w:val="0CAD6324"/>
    <w:rsid w:val="0CAD7CF3"/>
    <w:rsid w:val="0CAF268A"/>
    <w:rsid w:val="0CAF2A62"/>
    <w:rsid w:val="0CB31EC1"/>
    <w:rsid w:val="0CB36970"/>
    <w:rsid w:val="0CB401EF"/>
    <w:rsid w:val="0CB40884"/>
    <w:rsid w:val="0CB53657"/>
    <w:rsid w:val="0CBB0D75"/>
    <w:rsid w:val="0CBE7CDF"/>
    <w:rsid w:val="0CC0110A"/>
    <w:rsid w:val="0CC71781"/>
    <w:rsid w:val="0CC9212E"/>
    <w:rsid w:val="0CCD48BE"/>
    <w:rsid w:val="0CD06BCC"/>
    <w:rsid w:val="0CD07201"/>
    <w:rsid w:val="0CD12600"/>
    <w:rsid w:val="0CD51AFA"/>
    <w:rsid w:val="0CD527BE"/>
    <w:rsid w:val="0CD82435"/>
    <w:rsid w:val="0CD87897"/>
    <w:rsid w:val="0CD96006"/>
    <w:rsid w:val="0CDE127B"/>
    <w:rsid w:val="0CDE33AE"/>
    <w:rsid w:val="0CE2522B"/>
    <w:rsid w:val="0CE360B2"/>
    <w:rsid w:val="0CE44EFD"/>
    <w:rsid w:val="0CE539BC"/>
    <w:rsid w:val="0CE62A84"/>
    <w:rsid w:val="0CEA03F2"/>
    <w:rsid w:val="0CEA2710"/>
    <w:rsid w:val="0CEA47B8"/>
    <w:rsid w:val="0CEA7A7A"/>
    <w:rsid w:val="0CEB2593"/>
    <w:rsid w:val="0CEC659F"/>
    <w:rsid w:val="0CEC743A"/>
    <w:rsid w:val="0CEF54DD"/>
    <w:rsid w:val="0CF01AD6"/>
    <w:rsid w:val="0CF24903"/>
    <w:rsid w:val="0CF43789"/>
    <w:rsid w:val="0CF534C5"/>
    <w:rsid w:val="0CF55810"/>
    <w:rsid w:val="0CF85702"/>
    <w:rsid w:val="0CF91271"/>
    <w:rsid w:val="0CF973DE"/>
    <w:rsid w:val="0CFB4ED8"/>
    <w:rsid w:val="0D03045A"/>
    <w:rsid w:val="0D0808DF"/>
    <w:rsid w:val="0D0B41B9"/>
    <w:rsid w:val="0D0D3389"/>
    <w:rsid w:val="0D1008FC"/>
    <w:rsid w:val="0D10137A"/>
    <w:rsid w:val="0D114BCD"/>
    <w:rsid w:val="0D1631BC"/>
    <w:rsid w:val="0D163660"/>
    <w:rsid w:val="0D186FCA"/>
    <w:rsid w:val="0D190DBB"/>
    <w:rsid w:val="0D19163B"/>
    <w:rsid w:val="0D1D51A0"/>
    <w:rsid w:val="0D1E3490"/>
    <w:rsid w:val="0D1F131F"/>
    <w:rsid w:val="0D1F6713"/>
    <w:rsid w:val="0D200E92"/>
    <w:rsid w:val="0D206729"/>
    <w:rsid w:val="0D2B42E2"/>
    <w:rsid w:val="0D2B506F"/>
    <w:rsid w:val="0D2D1BD0"/>
    <w:rsid w:val="0D2D237A"/>
    <w:rsid w:val="0D2E1801"/>
    <w:rsid w:val="0D30659F"/>
    <w:rsid w:val="0D3102DA"/>
    <w:rsid w:val="0D3112F1"/>
    <w:rsid w:val="0D311EA1"/>
    <w:rsid w:val="0D322DBA"/>
    <w:rsid w:val="0D333200"/>
    <w:rsid w:val="0D341471"/>
    <w:rsid w:val="0D360242"/>
    <w:rsid w:val="0D37081F"/>
    <w:rsid w:val="0D37485F"/>
    <w:rsid w:val="0D376A35"/>
    <w:rsid w:val="0D3A08FB"/>
    <w:rsid w:val="0D3A408B"/>
    <w:rsid w:val="0D3B3F1D"/>
    <w:rsid w:val="0D3C738C"/>
    <w:rsid w:val="0D3F5009"/>
    <w:rsid w:val="0D411534"/>
    <w:rsid w:val="0D4538CE"/>
    <w:rsid w:val="0D454BD2"/>
    <w:rsid w:val="0D461EFC"/>
    <w:rsid w:val="0D481E75"/>
    <w:rsid w:val="0D4A4AA3"/>
    <w:rsid w:val="0D4B2102"/>
    <w:rsid w:val="0D4B223C"/>
    <w:rsid w:val="0D4D3F4C"/>
    <w:rsid w:val="0D4D6682"/>
    <w:rsid w:val="0D4E111F"/>
    <w:rsid w:val="0D544953"/>
    <w:rsid w:val="0D576FA9"/>
    <w:rsid w:val="0D583D5B"/>
    <w:rsid w:val="0D585694"/>
    <w:rsid w:val="0D594C01"/>
    <w:rsid w:val="0D596B0B"/>
    <w:rsid w:val="0D5B53DE"/>
    <w:rsid w:val="0D5C45C0"/>
    <w:rsid w:val="0D5C5D9D"/>
    <w:rsid w:val="0D5E1830"/>
    <w:rsid w:val="0D5F447D"/>
    <w:rsid w:val="0D605519"/>
    <w:rsid w:val="0D612F91"/>
    <w:rsid w:val="0D6276FC"/>
    <w:rsid w:val="0D6375DA"/>
    <w:rsid w:val="0D66564D"/>
    <w:rsid w:val="0D67187C"/>
    <w:rsid w:val="0D675ECC"/>
    <w:rsid w:val="0D6841FB"/>
    <w:rsid w:val="0D713D48"/>
    <w:rsid w:val="0D765C45"/>
    <w:rsid w:val="0D7731A8"/>
    <w:rsid w:val="0D786F20"/>
    <w:rsid w:val="0D7A01DE"/>
    <w:rsid w:val="0D7A1779"/>
    <w:rsid w:val="0D7B289B"/>
    <w:rsid w:val="0D7D0A43"/>
    <w:rsid w:val="0D802452"/>
    <w:rsid w:val="0D814C6C"/>
    <w:rsid w:val="0D834F02"/>
    <w:rsid w:val="0D84208E"/>
    <w:rsid w:val="0D8525FE"/>
    <w:rsid w:val="0D853592"/>
    <w:rsid w:val="0D875385"/>
    <w:rsid w:val="0D896A37"/>
    <w:rsid w:val="0D8B3A9D"/>
    <w:rsid w:val="0D8C2952"/>
    <w:rsid w:val="0D8E08B7"/>
    <w:rsid w:val="0D8F7084"/>
    <w:rsid w:val="0D906017"/>
    <w:rsid w:val="0D9149EC"/>
    <w:rsid w:val="0D91580A"/>
    <w:rsid w:val="0D944A50"/>
    <w:rsid w:val="0D96746F"/>
    <w:rsid w:val="0D9D24E2"/>
    <w:rsid w:val="0D9D3CF3"/>
    <w:rsid w:val="0D9D5102"/>
    <w:rsid w:val="0D9E1ACC"/>
    <w:rsid w:val="0DA0597C"/>
    <w:rsid w:val="0DA11C9E"/>
    <w:rsid w:val="0DA148EE"/>
    <w:rsid w:val="0DA47D15"/>
    <w:rsid w:val="0DA55110"/>
    <w:rsid w:val="0DA9764F"/>
    <w:rsid w:val="0DAB2C80"/>
    <w:rsid w:val="0DAB3725"/>
    <w:rsid w:val="0DAF1561"/>
    <w:rsid w:val="0DAF7704"/>
    <w:rsid w:val="0DB22AED"/>
    <w:rsid w:val="0DB278A2"/>
    <w:rsid w:val="0DB63188"/>
    <w:rsid w:val="0DB71FB4"/>
    <w:rsid w:val="0DB73D9E"/>
    <w:rsid w:val="0DB867A7"/>
    <w:rsid w:val="0DB97C68"/>
    <w:rsid w:val="0DBE6C4C"/>
    <w:rsid w:val="0DC00121"/>
    <w:rsid w:val="0DC52BE4"/>
    <w:rsid w:val="0DC576BD"/>
    <w:rsid w:val="0DC77776"/>
    <w:rsid w:val="0DC857B1"/>
    <w:rsid w:val="0DCB1465"/>
    <w:rsid w:val="0DD0485C"/>
    <w:rsid w:val="0DD14899"/>
    <w:rsid w:val="0DD54A89"/>
    <w:rsid w:val="0DD55527"/>
    <w:rsid w:val="0DD82B46"/>
    <w:rsid w:val="0DD90263"/>
    <w:rsid w:val="0DDA119A"/>
    <w:rsid w:val="0DDE212F"/>
    <w:rsid w:val="0DDF5AB6"/>
    <w:rsid w:val="0DDF6EDC"/>
    <w:rsid w:val="0DE17E70"/>
    <w:rsid w:val="0DE26AEC"/>
    <w:rsid w:val="0DE3083D"/>
    <w:rsid w:val="0DE6407C"/>
    <w:rsid w:val="0DE64A41"/>
    <w:rsid w:val="0DE71C08"/>
    <w:rsid w:val="0DEB5944"/>
    <w:rsid w:val="0DEC18E2"/>
    <w:rsid w:val="0DED2807"/>
    <w:rsid w:val="0DEF49C0"/>
    <w:rsid w:val="0DEF60B6"/>
    <w:rsid w:val="0DF14F33"/>
    <w:rsid w:val="0DF2157E"/>
    <w:rsid w:val="0DF30354"/>
    <w:rsid w:val="0DF313B1"/>
    <w:rsid w:val="0DF32447"/>
    <w:rsid w:val="0DF85B4A"/>
    <w:rsid w:val="0DF92735"/>
    <w:rsid w:val="0DFE467B"/>
    <w:rsid w:val="0DFF3339"/>
    <w:rsid w:val="0E0537EF"/>
    <w:rsid w:val="0E0A4D01"/>
    <w:rsid w:val="0E0B19F5"/>
    <w:rsid w:val="0E0B7D94"/>
    <w:rsid w:val="0E0C0788"/>
    <w:rsid w:val="0E0D74EB"/>
    <w:rsid w:val="0E0F519C"/>
    <w:rsid w:val="0E1013B9"/>
    <w:rsid w:val="0E101FA6"/>
    <w:rsid w:val="0E102514"/>
    <w:rsid w:val="0E1045F7"/>
    <w:rsid w:val="0E11313C"/>
    <w:rsid w:val="0E133366"/>
    <w:rsid w:val="0E1409F6"/>
    <w:rsid w:val="0E140D82"/>
    <w:rsid w:val="0E140E27"/>
    <w:rsid w:val="0E1602A2"/>
    <w:rsid w:val="0E16283F"/>
    <w:rsid w:val="0E185C65"/>
    <w:rsid w:val="0E19600D"/>
    <w:rsid w:val="0E1A49BF"/>
    <w:rsid w:val="0E1D1A86"/>
    <w:rsid w:val="0E1F28EB"/>
    <w:rsid w:val="0E1F7171"/>
    <w:rsid w:val="0E20417C"/>
    <w:rsid w:val="0E252798"/>
    <w:rsid w:val="0E285407"/>
    <w:rsid w:val="0E2A646C"/>
    <w:rsid w:val="0E2C0C02"/>
    <w:rsid w:val="0E2C297E"/>
    <w:rsid w:val="0E2D5D6E"/>
    <w:rsid w:val="0E2E00F5"/>
    <w:rsid w:val="0E30286F"/>
    <w:rsid w:val="0E302ADE"/>
    <w:rsid w:val="0E340560"/>
    <w:rsid w:val="0E3421BD"/>
    <w:rsid w:val="0E362EF4"/>
    <w:rsid w:val="0E3818B5"/>
    <w:rsid w:val="0E384C7A"/>
    <w:rsid w:val="0E3A0F99"/>
    <w:rsid w:val="0E3F6EC6"/>
    <w:rsid w:val="0E41301E"/>
    <w:rsid w:val="0E437742"/>
    <w:rsid w:val="0E462ECC"/>
    <w:rsid w:val="0E4B4AA1"/>
    <w:rsid w:val="0E4C637A"/>
    <w:rsid w:val="0E4E0F97"/>
    <w:rsid w:val="0E4E65F0"/>
    <w:rsid w:val="0E511C4A"/>
    <w:rsid w:val="0E52151F"/>
    <w:rsid w:val="0E53700D"/>
    <w:rsid w:val="0E551014"/>
    <w:rsid w:val="0E563BFD"/>
    <w:rsid w:val="0E5928AD"/>
    <w:rsid w:val="0E5C239D"/>
    <w:rsid w:val="0E5C5FC6"/>
    <w:rsid w:val="0E5D4BE5"/>
    <w:rsid w:val="0E5E1C72"/>
    <w:rsid w:val="0E5F3AB6"/>
    <w:rsid w:val="0E613588"/>
    <w:rsid w:val="0E6352E8"/>
    <w:rsid w:val="0E683D24"/>
    <w:rsid w:val="0E6A2DEA"/>
    <w:rsid w:val="0E6C0832"/>
    <w:rsid w:val="0E6F6A8A"/>
    <w:rsid w:val="0E720FA7"/>
    <w:rsid w:val="0E721BC1"/>
    <w:rsid w:val="0E797E54"/>
    <w:rsid w:val="0E7B3621"/>
    <w:rsid w:val="0E7B621A"/>
    <w:rsid w:val="0E7B6CC7"/>
    <w:rsid w:val="0E7C47EE"/>
    <w:rsid w:val="0E7D397A"/>
    <w:rsid w:val="0E7D6F66"/>
    <w:rsid w:val="0E7E2314"/>
    <w:rsid w:val="0E7E46A2"/>
    <w:rsid w:val="0E7F0808"/>
    <w:rsid w:val="0E81086D"/>
    <w:rsid w:val="0E81587E"/>
    <w:rsid w:val="0E87244F"/>
    <w:rsid w:val="0E876D05"/>
    <w:rsid w:val="0E883192"/>
    <w:rsid w:val="0E891E68"/>
    <w:rsid w:val="0E8B497A"/>
    <w:rsid w:val="0E8C4A31"/>
    <w:rsid w:val="0E8F1346"/>
    <w:rsid w:val="0E8F4410"/>
    <w:rsid w:val="0E9058EE"/>
    <w:rsid w:val="0E92494C"/>
    <w:rsid w:val="0E957D61"/>
    <w:rsid w:val="0E963446"/>
    <w:rsid w:val="0E987D02"/>
    <w:rsid w:val="0E9C05A8"/>
    <w:rsid w:val="0E9D4A60"/>
    <w:rsid w:val="0E9E1BF3"/>
    <w:rsid w:val="0EA004DC"/>
    <w:rsid w:val="0EA00820"/>
    <w:rsid w:val="0EA16427"/>
    <w:rsid w:val="0EA20D0C"/>
    <w:rsid w:val="0EA42A78"/>
    <w:rsid w:val="0EA524F6"/>
    <w:rsid w:val="0EA5279A"/>
    <w:rsid w:val="0EA72A82"/>
    <w:rsid w:val="0EA91031"/>
    <w:rsid w:val="0EAB45E9"/>
    <w:rsid w:val="0EAB6E9F"/>
    <w:rsid w:val="0EAE595E"/>
    <w:rsid w:val="0EAF071F"/>
    <w:rsid w:val="0EB309CB"/>
    <w:rsid w:val="0EB775D4"/>
    <w:rsid w:val="0EBC6A7E"/>
    <w:rsid w:val="0EC01F84"/>
    <w:rsid w:val="0EC114CD"/>
    <w:rsid w:val="0EC17E25"/>
    <w:rsid w:val="0EC538B1"/>
    <w:rsid w:val="0EC806BC"/>
    <w:rsid w:val="0ECB60B7"/>
    <w:rsid w:val="0ECC03CB"/>
    <w:rsid w:val="0ECE60E7"/>
    <w:rsid w:val="0ED10A99"/>
    <w:rsid w:val="0ED32660"/>
    <w:rsid w:val="0ED41C89"/>
    <w:rsid w:val="0ED452F1"/>
    <w:rsid w:val="0ED50990"/>
    <w:rsid w:val="0ED63EFE"/>
    <w:rsid w:val="0ED66788"/>
    <w:rsid w:val="0ED74D14"/>
    <w:rsid w:val="0ED9194D"/>
    <w:rsid w:val="0EDA4065"/>
    <w:rsid w:val="0EDA4F77"/>
    <w:rsid w:val="0EDD56BB"/>
    <w:rsid w:val="0EDE2E47"/>
    <w:rsid w:val="0EDF5DB7"/>
    <w:rsid w:val="0EE43F5B"/>
    <w:rsid w:val="0EE54BCB"/>
    <w:rsid w:val="0EE72F9E"/>
    <w:rsid w:val="0EEA6773"/>
    <w:rsid w:val="0EEA7916"/>
    <w:rsid w:val="0EEE3A87"/>
    <w:rsid w:val="0EF00640"/>
    <w:rsid w:val="0EF13F37"/>
    <w:rsid w:val="0EF24AD4"/>
    <w:rsid w:val="0EF44E01"/>
    <w:rsid w:val="0EF52AA3"/>
    <w:rsid w:val="0EF54495"/>
    <w:rsid w:val="0EF60280"/>
    <w:rsid w:val="0EF642DF"/>
    <w:rsid w:val="0EF67EE4"/>
    <w:rsid w:val="0EF93C0C"/>
    <w:rsid w:val="0EF943EB"/>
    <w:rsid w:val="0EFB1319"/>
    <w:rsid w:val="0EFC4108"/>
    <w:rsid w:val="0EFC66D5"/>
    <w:rsid w:val="0EFC6C04"/>
    <w:rsid w:val="0EFD0E5B"/>
    <w:rsid w:val="0EFF3487"/>
    <w:rsid w:val="0F000561"/>
    <w:rsid w:val="0F006472"/>
    <w:rsid w:val="0F011721"/>
    <w:rsid w:val="0F024CF3"/>
    <w:rsid w:val="0F037BD4"/>
    <w:rsid w:val="0F063EFD"/>
    <w:rsid w:val="0F0712B6"/>
    <w:rsid w:val="0F093A03"/>
    <w:rsid w:val="0F0A5F00"/>
    <w:rsid w:val="0F0D539F"/>
    <w:rsid w:val="0F0E3656"/>
    <w:rsid w:val="0F1113DA"/>
    <w:rsid w:val="0F111982"/>
    <w:rsid w:val="0F121E1A"/>
    <w:rsid w:val="0F152C78"/>
    <w:rsid w:val="0F164FF8"/>
    <w:rsid w:val="0F166B89"/>
    <w:rsid w:val="0F1876FA"/>
    <w:rsid w:val="0F212126"/>
    <w:rsid w:val="0F2145AD"/>
    <w:rsid w:val="0F245E6D"/>
    <w:rsid w:val="0F282473"/>
    <w:rsid w:val="0F283D95"/>
    <w:rsid w:val="0F2C1717"/>
    <w:rsid w:val="0F2C1D70"/>
    <w:rsid w:val="0F2D0349"/>
    <w:rsid w:val="0F2F4820"/>
    <w:rsid w:val="0F334EAC"/>
    <w:rsid w:val="0F335D5B"/>
    <w:rsid w:val="0F345C91"/>
    <w:rsid w:val="0F397DC7"/>
    <w:rsid w:val="0F3B1FB3"/>
    <w:rsid w:val="0F3D2B94"/>
    <w:rsid w:val="0F40581B"/>
    <w:rsid w:val="0F417653"/>
    <w:rsid w:val="0F426017"/>
    <w:rsid w:val="0F4A273A"/>
    <w:rsid w:val="0F4B1100"/>
    <w:rsid w:val="0F4C3D42"/>
    <w:rsid w:val="0F4C6906"/>
    <w:rsid w:val="0F4D3EBD"/>
    <w:rsid w:val="0F4E741B"/>
    <w:rsid w:val="0F4E7F38"/>
    <w:rsid w:val="0F5005BA"/>
    <w:rsid w:val="0F505A2B"/>
    <w:rsid w:val="0F5117D6"/>
    <w:rsid w:val="0F5266FD"/>
    <w:rsid w:val="0F541BCB"/>
    <w:rsid w:val="0F553766"/>
    <w:rsid w:val="0F572521"/>
    <w:rsid w:val="0F58080F"/>
    <w:rsid w:val="0F5A4B2F"/>
    <w:rsid w:val="0F600C85"/>
    <w:rsid w:val="0F6239E3"/>
    <w:rsid w:val="0F63107E"/>
    <w:rsid w:val="0F686F30"/>
    <w:rsid w:val="0F697CBD"/>
    <w:rsid w:val="0F6A7AC6"/>
    <w:rsid w:val="0F6D70EC"/>
    <w:rsid w:val="0F6E03C3"/>
    <w:rsid w:val="0F6E55E2"/>
    <w:rsid w:val="0F6E572A"/>
    <w:rsid w:val="0F71588D"/>
    <w:rsid w:val="0F7321FF"/>
    <w:rsid w:val="0F7431D5"/>
    <w:rsid w:val="0F7727F0"/>
    <w:rsid w:val="0F782024"/>
    <w:rsid w:val="0F786D52"/>
    <w:rsid w:val="0F7C24F4"/>
    <w:rsid w:val="0F7E3E82"/>
    <w:rsid w:val="0F873F97"/>
    <w:rsid w:val="0F895E49"/>
    <w:rsid w:val="0F8A3D4B"/>
    <w:rsid w:val="0F8B4CE8"/>
    <w:rsid w:val="0F8B5ECA"/>
    <w:rsid w:val="0F9022FF"/>
    <w:rsid w:val="0F947EAB"/>
    <w:rsid w:val="0F9765DF"/>
    <w:rsid w:val="0F9843AB"/>
    <w:rsid w:val="0F9A53DE"/>
    <w:rsid w:val="0F9E1418"/>
    <w:rsid w:val="0FA3553D"/>
    <w:rsid w:val="0FA40081"/>
    <w:rsid w:val="0FA61B22"/>
    <w:rsid w:val="0FAA7B49"/>
    <w:rsid w:val="0FAB435C"/>
    <w:rsid w:val="0FAE4849"/>
    <w:rsid w:val="0FB029A1"/>
    <w:rsid w:val="0FB61408"/>
    <w:rsid w:val="0FB75ADD"/>
    <w:rsid w:val="0FBC109E"/>
    <w:rsid w:val="0FBC5B0F"/>
    <w:rsid w:val="0FBD4408"/>
    <w:rsid w:val="0FBF64FF"/>
    <w:rsid w:val="0FC12F35"/>
    <w:rsid w:val="0FC25092"/>
    <w:rsid w:val="0FC30926"/>
    <w:rsid w:val="0FC85AE9"/>
    <w:rsid w:val="0FCB1306"/>
    <w:rsid w:val="0FCB6E5C"/>
    <w:rsid w:val="0FD37863"/>
    <w:rsid w:val="0FD63171"/>
    <w:rsid w:val="0FD90F4E"/>
    <w:rsid w:val="0FDA17CC"/>
    <w:rsid w:val="0FDD4A69"/>
    <w:rsid w:val="0FDF3506"/>
    <w:rsid w:val="0FE20680"/>
    <w:rsid w:val="0FE25476"/>
    <w:rsid w:val="0FE40B00"/>
    <w:rsid w:val="0FE554D0"/>
    <w:rsid w:val="0FE618D0"/>
    <w:rsid w:val="0FE80389"/>
    <w:rsid w:val="0FE812B5"/>
    <w:rsid w:val="0FEA2102"/>
    <w:rsid w:val="0FEC1476"/>
    <w:rsid w:val="0FEC790F"/>
    <w:rsid w:val="0FED7751"/>
    <w:rsid w:val="0FF07BD9"/>
    <w:rsid w:val="0FF1349F"/>
    <w:rsid w:val="0FF24785"/>
    <w:rsid w:val="0FF24D67"/>
    <w:rsid w:val="0FF41BD2"/>
    <w:rsid w:val="0FF638BB"/>
    <w:rsid w:val="0FF70464"/>
    <w:rsid w:val="0FF769CE"/>
    <w:rsid w:val="0FF95E68"/>
    <w:rsid w:val="0FFA6CF7"/>
    <w:rsid w:val="0FFB0FF4"/>
    <w:rsid w:val="0FFC3664"/>
    <w:rsid w:val="0FFD125A"/>
    <w:rsid w:val="10016B73"/>
    <w:rsid w:val="10041471"/>
    <w:rsid w:val="100652A2"/>
    <w:rsid w:val="100741B6"/>
    <w:rsid w:val="100835FD"/>
    <w:rsid w:val="100A3F75"/>
    <w:rsid w:val="100C1724"/>
    <w:rsid w:val="100C6438"/>
    <w:rsid w:val="100D48FD"/>
    <w:rsid w:val="100D494A"/>
    <w:rsid w:val="100D7FFB"/>
    <w:rsid w:val="10122914"/>
    <w:rsid w:val="101234A4"/>
    <w:rsid w:val="101242AB"/>
    <w:rsid w:val="10125172"/>
    <w:rsid w:val="10135F74"/>
    <w:rsid w:val="10141182"/>
    <w:rsid w:val="10142F30"/>
    <w:rsid w:val="1014392A"/>
    <w:rsid w:val="101576C1"/>
    <w:rsid w:val="101822F4"/>
    <w:rsid w:val="101964C0"/>
    <w:rsid w:val="10222163"/>
    <w:rsid w:val="102851E8"/>
    <w:rsid w:val="102C6A9B"/>
    <w:rsid w:val="102F26E0"/>
    <w:rsid w:val="10312DA4"/>
    <w:rsid w:val="10314DEE"/>
    <w:rsid w:val="103332FE"/>
    <w:rsid w:val="103664A5"/>
    <w:rsid w:val="10367123"/>
    <w:rsid w:val="10384FA6"/>
    <w:rsid w:val="10390664"/>
    <w:rsid w:val="103B255E"/>
    <w:rsid w:val="103F3495"/>
    <w:rsid w:val="1047397E"/>
    <w:rsid w:val="10475830"/>
    <w:rsid w:val="10487C16"/>
    <w:rsid w:val="104B5159"/>
    <w:rsid w:val="104F4D87"/>
    <w:rsid w:val="10552638"/>
    <w:rsid w:val="10555146"/>
    <w:rsid w:val="10580A54"/>
    <w:rsid w:val="10583A7A"/>
    <w:rsid w:val="105974E9"/>
    <w:rsid w:val="105C340B"/>
    <w:rsid w:val="105E7510"/>
    <w:rsid w:val="105F326F"/>
    <w:rsid w:val="105F5E08"/>
    <w:rsid w:val="10621B9D"/>
    <w:rsid w:val="106372A9"/>
    <w:rsid w:val="1065378B"/>
    <w:rsid w:val="106772A1"/>
    <w:rsid w:val="106E2EA2"/>
    <w:rsid w:val="10702130"/>
    <w:rsid w:val="10760750"/>
    <w:rsid w:val="10767C95"/>
    <w:rsid w:val="10772854"/>
    <w:rsid w:val="107A704B"/>
    <w:rsid w:val="107B4D5D"/>
    <w:rsid w:val="107C17DF"/>
    <w:rsid w:val="107F1E80"/>
    <w:rsid w:val="107F4121"/>
    <w:rsid w:val="107F5487"/>
    <w:rsid w:val="108004BA"/>
    <w:rsid w:val="108300B5"/>
    <w:rsid w:val="10882806"/>
    <w:rsid w:val="108A3270"/>
    <w:rsid w:val="108A367B"/>
    <w:rsid w:val="108A4705"/>
    <w:rsid w:val="108A4962"/>
    <w:rsid w:val="108B0D18"/>
    <w:rsid w:val="108B49D6"/>
    <w:rsid w:val="108D1A3E"/>
    <w:rsid w:val="108D6E06"/>
    <w:rsid w:val="108E29C6"/>
    <w:rsid w:val="108F53FB"/>
    <w:rsid w:val="10990185"/>
    <w:rsid w:val="109B243E"/>
    <w:rsid w:val="109C29EC"/>
    <w:rsid w:val="109C3E24"/>
    <w:rsid w:val="10A078C8"/>
    <w:rsid w:val="10A515A8"/>
    <w:rsid w:val="10A55560"/>
    <w:rsid w:val="10A57139"/>
    <w:rsid w:val="10A714A3"/>
    <w:rsid w:val="10A91D15"/>
    <w:rsid w:val="10AC12FC"/>
    <w:rsid w:val="10AC5FB0"/>
    <w:rsid w:val="10AF345A"/>
    <w:rsid w:val="10AF6D7F"/>
    <w:rsid w:val="10B23CB6"/>
    <w:rsid w:val="10B244F7"/>
    <w:rsid w:val="10B25958"/>
    <w:rsid w:val="10B70BE1"/>
    <w:rsid w:val="10B71B0D"/>
    <w:rsid w:val="10B7717B"/>
    <w:rsid w:val="10B92C91"/>
    <w:rsid w:val="10BB2C28"/>
    <w:rsid w:val="10BD58DE"/>
    <w:rsid w:val="10C34A76"/>
    <w:rsid w:val="10C71C05"/>
    <w:rsid w:val="10C77B01"/>
    <w:rsid w:val="10C83D1A"/>
    <w:rsid w:val="10CD493C"/>
    <w:rsid w:val="10CD6CA1"/>
    <w:rsid w:val="10D01E04"/>
    <w:rsid w:val="10D221DF"/>
    <w:rsid w:val="10D33AFA"/>
    <w:rsid w:val="10D40D6D"/>
    <w:rsid w:val="10D470E9"/>
    <w:rsid w:val="10D872D0"/>
    <w:rsid w:val="10D9749F"/>
    <w:rsid w:val="10DC7CBA"/>
    <w:rsid w:val="10DE0E23"/>
    <w:rsid w:val="10E073C7"/>
    <w:rsid w:val="10E204FA"/>
    <w:rsid w:val="10E245FE"/>
    <w:rsid w:val="10E943BC"/>
    <w:rsid w:val="10EB3B91"/>
    <w:rsid w:val="10ED0938"/>
    <w:rsid w:val="10ED30BC"/>
    <w:rsid w:val="10ED71A3"/>
    <w:rsid w:val="10EE58DE"/>
    <w:rsid w:val="10F100FC"/>
    <w:rsid w:val="10F5017B"/>
    <w:rsid w:val="10F77DAE"/>
    <w:rsid w:val="10F87490"/>
    <w:rsid w:val="10FA2A72"/>
    <w:rsid w:val="10FF1253"/>
    <w:rsid w:val="110018B9"/>
    <w:rsid w:val="1106458E"/>
    <w:rsid w:val="110B1C30"/>
    <w:rsid w:val="110E3E23"/>
    <w:rsid w:val="110F36F7"/>
    <w:rsid w:val="111046C7"/>
    <w:rsid w:val="1111357A"/>
    <w:rsid w:val="11115AE5"/>
    <w:rsid w:val="111451B1"/>
    <w:rsid w:val="11146CBC"/>
    <w:rsid w:val="111623C6"/>
    <w:rsid w:val="11173F54"/>
    <w:rsid w:val="111D22CF"/>
    <w:rsid w:val="111D7B75"/>
    <w:rsid w:val="111F0D50"/>
    <w:rsid w:val="112065CE"/>
    <w:rsid w:val="1121704C"/>
    <w:rsid w:val="112324F5"/>
    <w:rsid w:val="11234247"/>
    <w:rsid w:val="11273B66"/>
    <w:rsid w:val="112776CB"/>
    <w:rsid w:val="11294EA6"/>
    <w:rsid w:val="112B3087"/>
    <w:rsid w:val="112B7A9D"/>
    <w:rsid w:val="112F5B47"/>
    <w:rsid w:val="11310EC8"/>
    <w:rsid w:val="11320BEE"/>
    <w:rsid w:val="11335637"/>
    <w:rsid w:val="11337766"/>
    <w:rsid w:val="11350E6B"/>
    <w:rsid w:val="113833B5"/>
    <w:rsid w:val="11386E7B"/>
    <w:rsid w:val="113B273E"/>
    <w:rsid w:val="113C1DE5"/>
    <w:rsid w:val="113C35EA"/>
    <w:rsid w:val="113C57F4"/>
    <w:rsid w:val="113C7162"/>
    <w:rsid w:val="113F2BD9"/>
    <w:rsid w:val="11443134"/>
    <w:rsid w:val="11446D1A"/>
    <w:rsid w:val="114525F6"/>
    <w:rsid w:val="1145316A"/>
    <w:rsid w:val="114D36A5"/>
    <w:rsid w:val="114E1764"/>
    <w:rsid w:val="114F61E9"/>
    <w:rsid w:val="1150700A"/>
    <w:rsid w:val="1151111E"/>
    <w:rsid w:val="11512E5F"/>
    <w:rsid w:val="11524194"/>
    <w:rsid w:val="1152549C"/>
    <w:rsid w:val="11525937"/>
    <w:rsid w:val="1157689F"/>
    <w:rsid w:val="11582CA7"/>
    <w:rsid w:val="115B5D08"/>
    <w:rsid w:val="115C1457"/>
    <w:rsid w:val="115E1453"/>
    <w:rsid w:val="115E525C"/>
    <w:rsid w:val="1164488C"/>
    <w:rsid w:val="116562DC"/>
    <w:rsid w:val="116772AE"/>
    <w:rsid w:val="116A1C1E"/>
    <w:rsid w:val="116A568E"/>
    <w:rsid w:val="1171144B"/>
    <w:rsid w:val="11740794"/>
    <w:rsid w:val="11744D93"/>
    <w:rsid w:val="117861A4"/>
    <w:rsid w:val="117A036C"/>
    <w:rsid w:val="117A48B2"/>
    <w:rsid w:val="117D137C"/>
    <w:rsid w:val="1180658A"/>
    <w:rsid w:val="1182428E"/>
    <w:rsid w:val="11856692"/>
    <w:rsid w:val="11875983"/>
    <w:rsid w:val="11877898"/>
    <w:rsid w:val="1188478A"/>
    <w:rsid w:val="118A7E6C"/>
    <w:rsid w:val="118C11EC"/>
    <w:rsid w:val="118F43C6"/>
    <w:rsid w:val="118F6A55"/>
    <w:rsid w:val="11943BA8"/>
    <w:rsid w:val="119540DB"/>
    <w:rsid w:val="11962F51"/>
    <w:rsid w:val="119A0E59"/>
    <w:rsid w:val="119C684A"/>
    <w:rsid w:val="119C70ED"/>
    <w:rsid w:val="119D0D03"/>
    <w:rsid w:val="11A007F3"/>
    <w:rsid w:val="11A627C5"/>
    <w:rsid w:val="11A64AE7"/>
    <w:rsid w:val="11AA613E"/>
    <w:rsid w:val="11AB472B"/>
    <w:rsid w:val="11AC0F46"/>
    <w:rsid w:val="11AC105E"/>
    <w:rsid w:val="11AD363C"/>
    <w:rsid w:val="11B16F2F"/>
    <w:rsid w:val="11B51881"/>
    <w:rsid w:val="11B5429E"/>
    <w:rsid w:val="11BA1CC0"/>
    <w:rsid w:val="11BB6436"/>
    <w:rsid w:val="11BF5A5C"/>
    <w:rsid w:val="11C72224"/>
    <w:rsid w:val="11C80C34"/>
    <w:rsid w:val="11CA34DB"/>
    <w:rsid w:val="11CD637D"/>
    <w:rsid w:val="11CE35E0"/>
    <w:rsid w:val="11D07CC8"/>
    <w:rsid w:val="11D21D40"/>
    <w:rsid w:val="11D81D3B"/>
    <w:rsid w:val="11DC43AF"/>
    <w:rsid w:val="11DE6A34"/>
    <w:rsid w:val="11E00349"/>
    <w:rsid w:val="11E02057"/>
    <w:rsid w:val="11E024DE"/>
    <w:rsid w:val="11E3645B"/>
    <w:rsid w:val="11E634FF"/>
    <w:rsid w:val="11E73E47"/>
    <w:rsid w:val="11E75D0E"/>
    <w:rsid w:val="11E86795"/>
    <w:rsid w:val="11EA681C"/>
    <w:rsid w:val="11EC7CCD"/>
    <w:rsid w:val="11F02B21"/>
    <w:rsid w:val="11F56D91"/>
    <w:rsid w:val="11F61D14"/>
    <w:rsid w:val="11F64F4C"/>
    <w:rsid w:val="11F73BCB"/>
    <w:rsid w:val="11F929FD"/>
    <w:rsid w:val="11FA5A78"/>
    <w:rsid w:val="11FF2099"/>
    <w:rsid w:val="11FF3A1B"/>
    <w:rsid w:val="11FF598E"/>
    <w:rsid w:val="120158F7"/>
    <w:rsid w:val="12054501"/>
    <w:rsid w:val="12086327"/>
    <w:rsid w:val="12086852"/>
    <w:rsid w:val="120A06CA"/>
    <w:rsid w:val="120D2CAC"/>
    <w:rsid w:val="120E075E"/>
    <w:rsid w:val="120F3A28"/>
    <w:rsid w:val="12111E95"/>
    <w:rsid w:val="1212506D"/>
    <w:rsid w:val="12154D3D"/>
    <w:rsid w:val="12157E07"/>
    <w:rsid w:val="12162DF9"/>
    <w:rsid w:val="12172B31"/>
    <w:rsid w:val="121865DB"/>
    <w:rsid w:val="121C2476"/>
    <w:rsid w:val="121C69FB"/>
    <w:rsid w:val="121E6872"/>
    <w:rsid w:val="122068B4"/>
    <w:rsid w:val="122262A9"/>
    <w:rsid w:val="12244F0B"/>
    <w:rsid w:val="12254E1E"/>
    <w:rsid w:val="1228669E"/>
    <w:rsid w:val="1228768B"/>
    <w:rsid w:val="122C405C"/>
    <w:rsid w:val="122F22A3"/>
    <w:rsid w:val="122F479B"/>
    <w:rsid w:val="12325281"/>
    <w:rsid w:val="12327D6B"/>
    <w:rsid w:val="12333415"/>
    <w:rsid w:val="12355915"/>
    <w:rsid w:val="12357214"/>
    <w:rsid w:val="123C1653"/>
    <w:rsid w:val="123C6336"/>
    <w:rsid w:val="123D11E7"/>
    <w:rsid w:val="123E2772"/>
    <w:rsid w:val="123E4553"/>
    <w:rsid w:val="123F3B2E"/>
    <w:rsid w:val="12422CF9"/>
    <w:rsid w:val="124269E8"/>
    <w:rsid w:val="124605B1"/>
    <w:rsid w:val="124743B4"/>
    <w:rsid w:val="12476512"/>
    <w:rsid w:val="1247756E"/>
    <w:rsid w:val="12484410"/>
    <w:rsid w:val="124949E7"/>
    <w:rsid w:val="124A6633"/>
    <w:rsid w:val="124A6637"/>
    <w:rsid w:val="124D598C"/>
    <w:rsid w:val="12500567"/>
    <w:rsid w:val="12511613"/>
    <w:rsid w:val="12513E2A"/>
    <w:rsid w:val="125174F3"/>
    <w:rsid w:val="12541629"/>
    <w:rsid w:val="12543AB7"/>
    <w:rsid w:val="125451CB"/>
    <w:rsid w:val="12555B56"/>
    <w:rsid w:val="12562EAF"/>
    <w:rsid w:val="125A4E46"/>
    <w:rsid w:val="125B181A"/>
    <w:rsid w:val="125E5A52"/>
    <w:rsid w:val="125F5A5C"/>
    <w:rsid w:val="1261397C"/>
    <w:rsid w:val="126227F4"/>
    <w:rsid w:val="12646AE4"/>
    <w:rsid w:val="126826E0"/>
    <w:rsid w:val="126857B5"/>
    <w:rsid w:val="12686C7D"/>
    <w:rsid w:val="126A2075"/>
    <w:rsid w:val="126B21DD"/>
    <w:rsid w:val="126B7047"/>
    <w:rsid w:val="126D3FB5"/>
    <w:rsid w:val="126F6B43"/>
    <w:rsid w:val="12703ED6"/>
    <w:rsid w:val="12704669"/>
    <w:rsid w:val="12745F08"/>
    <w:rsid w:val="1276192C"/>
    <w:rsid w:val="12811F4F"/>
    <w:rsid w:val="12844168"/>
    <w:rsid w:val="128564C6"/>
    <w:rsid w:val="128626DD"/>
    <w:rsid w:val="128B4341"/>
    <w:rsid w:val="128C36EA"/>
    <w:rsid w:val="128D1FDB"/>
    <w:rsid w:val="1291089C"/>
    <w:rsid w:val="12972511"/>
    <w:rsid w:val="1298031F"/>
    <w:rsid w:val="129844E7"/>
    <w:rsid w:val="129A3460"/>
    <w:rsid w:val="12A177EF"/>
    <w:rsid w:val="12A356FA"/>
    <w:rsid w:val="12A457C4"/>
    <w:rsid w:val="12A464EF"/>
    <w:rsid w:val="12A83716"/>
    <w:rsid w:val="12A9167C"/>
    <w:rsid w:val="12AA1DA1"/>
    <w:rsid w:val="12AC0046"/>
    <w:rsid w:val="12AF03CB"/>
    <w:rsid w:val="12B02929"/>
    <w:rsid w:val="12B058B1"/>
    <w:rsid w:val="12B31436"/>
    <w:rsid w:val="12B4672C"/>
    <w:rsid w:val="12B70E0B"/>
    <w:rsid w:val="12B71AEE"/>
    <w:rsid w:val="12B908B7"/>
    <w:rsid w:val="12B91101"/>
    <w:rsid w:val="12B9234E"/>
    <w:rsid w:val="12BA1A2E"/>
    <w:rsid w:val="12BA7110"/>
    <w:rsid w:val="12BB21D0"/>
    <w:rsid w:val="12BD0B1E"/>
    <w:rsid w:val="12BE3627"/>
    <w:rsid w:val="12BE5A40"/>
    <w:rsid w:val="12BE7896"/>
    <w:rsid w:val="12C27156"/>
    <w:rsid w:val="12C33E95"/>
    <w:rsid w:val="12CA06CE"/>
    <w:rsid w:val="12CE668C"/>
    <w:rsid w:val="12D04C70"/>
    <w:rsid w:val="12D26847"/>
    <w:rsid w:val="12D40608"/>
    <w:rsid w:val="12D40754"/>
    <w:rsid w:val="12D540AA"/>
    <w:rsid w:val="12D56E20"/>
    <w:rsid w:val="12D74EE5"/>
    <w:rsid w:val="12D90460"/>
    <w:rsid w:val="12DB4472"/>
    <w:rsid w:val="12DD4FDC"/>
    <w:rsid w:val="12DD7C1B"/>
    <w:rsid w:val="12DE6D47"/>
    <w:rsid w:val="12E12E71"/>
    <w:rsid w:val="12E235B3"/>
    <w:rsid w:val="12E2612E"/>
    <w:rsid w:val="12E52961"/>
    <w:rsid w:val="12E56E05"/>
    <w:rsid w:val="12E93353"/>
    <w:rsid w:val="12E93ABD"/>
    <w:rsid w:val="12EC093B"/>
    <w:rsid w:val="12ED3ED2"/>
    <w:rsid w:val="12F11528"/>
    <w:rsid w:val="12F20115"/>
    <w:rsid w:val="12F232D0"/>
    <w:rsid w:val="12F42BA4"/>
    <w:rsid w:val="12F524F6"/>
    <w:rsid w:val="12F5709B"/>
    <w:rsid w:val="12F71AD9"/>
    <w:rsid w:val="12F76655"/>
    <w:rsid w:val="12F91D6D"/>
    <w:rsid w:val="12F97E15"/>
    <w:rsid w:val="12FB2185"/>
    <w:rsid w:val="12FB5160"/>
    <w:rsid w:val="12FE0D23"/>
    <w:rsid w:val="12FE10D0"/>
    <w:rsid w:val="130214AC"/>
    <w:rsid w:val="13062096"/>
    <w:rsid w:val="130629E2"/>
    <w:rsid w:val="13065E21"/>
    <w:rsid w:val="13083484"/>
    <w:rsid w:val="1309268F"/>
    <w:rsid w:val="130A1F8C"/>
    <w:rsid w:val="130D2AFC"/>
    <w:rsid w:val="130D4B03"/>
    <w:rsid w:val="130D5B02"/>
    <w:rsid w:val="130E1A5A"/>
    <w:rsid w:val="131109DB"/>
    <w:rsid w:val="13117BFA"/>
    <w:rsid w:val="13143D64"/>
    <w:rsid w:val="13171610"/>
    <w:rsid w:val="13183251"/>
    <w:rsid w:val="13192B85"/>
    <w:rsid w:val="131A6F25"/>
    <w:rsid w:val="131A6F5A"/>
    <w:rsid w:val="131D074B"/>
    <w:rsid w:val="132070A5"/>
    <w:rsid w:val="13224518"/>
    <w:rsid w:val="1323619A"/>
    <w:rsid w:val="132408B8"/>
    <w:rsid w:val="13245E39"/>
    <w:rsid w:val="1325780C"/>
    <w:rsid w:val="132625EB"/>
    <w:rsid w:val="13265C83"/>
    <w:rsid w:val="132A5CDF"/>
    <w:rsid w:val="132C1BE4"/>
    <w:rsid w:val="132E4BFB"/>
    <w:rsid w:val="132F1E2E"/>
    <w:rsid w:val="132F28D0"/>
    <w:rsid w:val="133844D4"/>
    <w:rsid w:val="13391FCB"/>
    <w:rsid w:val="133B1B18"/>
    <w:rsid w:val="133F44E7"/>
    <w:rsid w:val="13431272"/>
    <w:rsid w:val="13433054"/>
    <w:rsid w:val="13433696"/>
    <w:rsid w:val="13470884"/>
    <w:rsid w:val="13481D2C"/>
    <w:rsid w:val="134A3C38"/>
    <w:rsid w:val="134A62D5"/>
    <w:rsid w:val="134B6E58"/>
    <w:rsid w:val="13501AA5"/>
    <w:rsid w:val="13502762"/>
    <w:rsid w:val="13505E71"/>
    <w:rsid w:val="135070B7"/>
    <w:rsid w:val="13521EB6"/>
    <w:rsid w:val="13525314"/>
    <w:rsid w:val="13566E1F"/>
    <w:rsid w:val="13570030"/>
    <w:rsid w:val="13572EEE"/>
    <w:rsid w:val="13594B1C"/>
    <w:rsid w:val="135B60D7"/>
    <w:rsid w:val="135D699C"/>
    <w:rsid w:val="136119D9"/>
    <w:rsid w:val="13636815"/>
    <w:rsid w:val="13654006"/>
    <w:rsid w:val="136572D8"/>
    <w:rsid w:val="136A6198"/>
    <w:rsid w:val="13712447"/>
    <w:rsid w:val="1372015D"/>
    <w:rsid w:val="13727EEE"/>
    <w:rsid w:val="1376180B"/>
    <w:rsid w:val="1376766A"/>
    <w:rsid w:val="13783159"/>
    <w:rsid w:val="137837D5"/>
    <w:rsid w:val="137902C6"/>
    <w:rsid w:val="13795200"/>
    <w:rsid w:val="137B2FB1"/>
    <w:rsid w:val="137D2B9A"/>
    <w:rsid w:val="137D5AF2"/>
    <w:rsid w:val="13814377"/>
    <w:rsid w:val="13853604"/>
    <w:rsid w:val="13872E45"/>
    <w:rsid w:val="13877EBC"/>
    <w:rsid w:val="138E59FD"/>
    <w:rsid w:val="13904F26"/>
    <w:rsid w:val="13981EE7"/>
    <w:rsid w:val="139A3665"/>
    <w:rsid w:val="139B5716"/>
    <w:rsid w:val="139C2C55"/>
    <w:rsid w:val="139C3B6C"/>
    <w:rsid w:val="139D01BA"/>
    <w:rsid w:val="139E47A7"/>
    <w:rsid w:val="139F42ED"/>
    <w:rsid w:val="13A500DF"/>
    <w:rsid w:val="13A520A5"/>
    <w:rsid w:val="13A82DED"/>
    <w:rsid w:val="13B24406"/>
    <w:rsid w:val="13B25202"/>
    <w:rsid w:val="13B371B8"/>
    <w:rsid w:val="13B52E0F"/>
    <w:rsid w:val="13B6726B"/>
    <w:rsid w:val="13B74042"/>
    <w:rsid w:val="13B74A66"/>
    <w:rsid w:val="13B90F4E"/>
    <w:rsid w:val="13BE6580"/>
    <w:rsid w:val="13BF7656"/>
    <w:rsid w:val="13C248FA"/>
    <w:rsid w:val="13C33EB3"/>
    <w:rsid w:val="13C44E04"/>
    <w:rsid w:val="13C51643"/>
    <w:rsid w:val="13C52FDD"/>
    <w:rsid w:val="13C62793"/>
    <w:rsid w:val="13C863CA"/>
    <w:rsid w:val="13C94031"/>
    <w:rsid w:val="13CB0BE2"/>
    <w:rsid w:val="13CC44BB"/>
    <w:rsid w:val="13CE2A59"/>
    <w:rsid w:val="13CE4500"/>
    <w:rsid w:val="13D11262"/>
    <w:rsid w:val="13D33102"/>
    <w:rsid w:val="13D367FD"/>
    <w:rsid w:val="13D36C5E"/>
    <w:rsid w:val="13D51CCE"/>
    <w:rsid w:val="13D51F0D"/>
    <w:rsid w:val="13D70D5E"/>
    <w:rsid w:val="13D73BA7"/>
    <w:rsid w:val="13DC6CFF"/>
    <w:rsid w:val="13DD2C48"/>
    <w:rsid w:val="13DD3C9D"/>
    <w:rsid w:val="13DF19AA"/>
    <w:rsid w:val="13DF448A"/>
    <w:rsid w:val="13E015ED"/>
    <w:rsid w:val="13E175CD"/>
    <w:rsid w:val="13E4332E"/>
    <w:rsid w:val="13E77716"/>
    <w:rsid w:val="13EB5AF8"/>
    <w:rsid w:val="13EC32E2"/>
    <w:rsid w:val="13EC7D20"/>
    <w:rsid w:val="13EE0ED3"/>
    <w:rsid w:val="13F34B60"/>
    <w:rsid w:val="13F54802"/>
    <w:rsid w:val="13F55759"/>
    <w:rsid w:val="13F719B8"/>
    <w:rsid w:val="13F73F68"/>
    <w:rsid w:val="13F944B2"/>
    <w:rsid w:val="13F96EB9"/>
    <w:rsid w:val="13FA5B8F"/>
    <w:rsid w:val="13FD6A0B"/>
    <w:rsid w:val="1400488E"/>
    <w:rsid w:val="1401283C"/>
    <w:rsid w:val="14012C08"/>
    <w:rsid w:val="140137CB"/>
    <w:rsid w:val="14037146"/>
    <w:rsid w:val="14060DE1"/>
    <w:rsid w:val="14067033"/>
    <w:rsid w:val="14085E14"/>
    <w:rsid w:val="140C03C2"/>
    <w:rsid w:val="140D3E0B"/>
    <w:rsid w:val="14150A66"/>
    <w:rsid w:val="14164E71"/>
    <w:rsid w:val="14174272"/>
    <w:rsid w:val="141811B9"/>
    <w:rsid w:val="1418274D"/>
    <w:rsid w:val="14185BED"/>
    <w:rsid w:val="141A00CD"/>
    <w:rsid w:val="141A4421"/>
    <w:rsid w:val="141B11CC"/>
    <w:rsid w:val="141B45F6"/>
    <w:rsid w:val="141D4F73"/>
    <w:rsid w:val="141E1C70"/>
    <w:rsid w:val="14220F65"/>
    <w:rsid w:val="14230586"/>
    <w:rsid w:val="14234FBD"/>
    <w:rsid w:val="14236387"/>
    <w:rsid w:val="14242C46"/>
    <w:rsid w:val="14260D4D"/>
    <w:rsid w:val="142C4D14"/>
    <w:rsid w:val="142D280B"/>
    <w:rsid w:val="142E16EB"/>
    <w:rsid w:val="1432606C"/>
    <w:rsid w:val="143560DB"/>
    <w:rsid w:val="143A140A"/>
    <w:rsid w:val="143B1380"/>
    <w:rsid w:val="143D03D9"/>
    <w:rsid w:val="143D057B"/>
    <w:rsid w:val="143F5663"/>
    <w:rsid w:val="14400F2D"/>
    <w:rsid w:val="14426633"/>
    <w:rsid w:val="14434766"/>
    <w:rsid w:val="144644FE"/>
    <w:rsid w:val="1446512C"/>
    <w:rsid w:val="144929D4"/>
    <w:rsid w:val="14494C63"/>
    <w:rsid w:val="144B3CAB"/>
    <w:rsid w:val="144B5563"/>
    <w:rsid w:val="144D66E0"/>
    <w:rsid w:val="144F5481"/>
    <w:rsid w:val="144F5A49"/>
    <w:rsid w:val="145119B9"/>
    <w:rsid w:val="145436A9"/>
    <w:rsid w:val="14544440"/>
    <w:rsid w:val="145469A0"/>
    <w:rsid w:val="145558C5"/>
    <w:rsid w:val="14580544"/>
    <w:rsid w:val="1459291A"/>
    <w:rsid w:val="145A704F"/>
    <w:rsid w:val="145B18A5"/>
    <w:rsid w:val="145B307A"/>
    <w:rsid w:val="145C068C"/>
    <w:rsid w:val="145D57B2"/>
    <w:rsid w:val="145F0933"/>
    <w:rsid w:val="1461368E"/>
    <w:rsid w:val="14644BBD"/>
    <w:rsid w:val="146811B5"/>
    <w:rsid w:val="1468671D"/>
    <w:rsid w:val="14694157"/>
    <w:rsid w:val="1469518A"/>
    <w:rsid w:val="146A7C78"/>
    <w:rsid w:val="146D70B2"/>
    <w:rsid w:val="146E1364"/>
    <w:rsid w:val="14700951"/>
    <w:rsid w:val="147343AE"/>
    <w:rsid w:val="14755F67"/>
    <w:rsid w:val="14763706"/>
    <w:rsid w:val="147639EC"/>
    <w:rsid w:val="14781A1C"/>
    <w:rsid w:val="14787805"/>
    <w:rsid w:val="147A0C11"/>
    <w:rsid w:val="147B3ED2"/>
    <w:rsid w:val="1480654B"/>
    <w:rsid w:val="1481416E"/>
    <w:rsid w:val="14814DDC"/>
    <w:rsid w:val="14851044"/>
    <w:rsid w:val="1487793F"/>
    <w:rsid w:val="14894489"/>
    <w:rsid w:val="148A5626"/>
    <w:rsid w:val="148C0B82"/>
    <w:rsid w:val="148E1B2D"/>
    <w:rsid w:val="149017C9"/>
    <w:rsid w:val="14912710"/>
    <w:rsid w:val="1492098B"/>
    <w:rsid w:val="14926B19"/>
    <w:rsid w:val="14931B19"/>
    <w:rsid w:val="14952F52"/>
    <w:rsid w:val="14962101"/>
    <w:rsid w:val="14962961"/>
    <w:rsid w:val="14964BCA"/>
    <w:rsid w:val="14974ACA"/>
    <w:rsid w:val="149905D3"/>
    <w:rsid w:val="1499144A"/>
    <w:rsid w:val="14993B3B"/>
    <w:rsid w:val="149C01FA"/>
    <w:rsid w:val="149C3F05"/>
    <w:rsid w:val="149D1493"/>
    <w:rsid w:val="149D17FF"/>
    <w:rsid w:val="14A02FE7"/>
    <w:rsid w:val="14A2531C"/>
    <w:rsid w:val="14A27F51"/>
    <w:rsid w:val="14A33CE6"/>
    <w:rsid w:val="14A34246"/>
    <w:rsid w:val="14A45078"/>
    <w:rsid w:val="14A47E3A"/>
    <w:rsid w:val="14A573B5"/>
    <w:rsid w:val="14A90E4B"/>
    <w:rsid w:val="14A94CB0"/>
    <w:rsid w:val="14A95B48"/>
    <w:rsid w:val="14AC36E0"/>
    <w:rsid w:val="14AD54ED"/>
    <w:rsid w:val="14AE0386"/>
    <w:rsid w:val="14AF3DB0"/>
    <w:rsid w:val="14B14A2D"/>
    <w:rsid w:val="14B36CA3"/>
    <w:rsid w:val="14B52807"/>
    <w:rsid w:val="14B628F2"/>
    <w:rsid w:val="14B940A6"/>
    <w:rsid w:val="14BA2CC1"/>
    <w:rsid w:val="14BA556B"/>
    <w:rsid w:val="14BD05C1"/>
    <w:rsid w:val="14C1085F"/>
    <w:rsid w:val="14C13C47"/>
    <w:rsid w:val="14C15892"/>
    <w:rsid w:val="14C17BD4"/>
    <w:rsid w:val="14C233CD"/>
    <w:rsid w:val="14C25096"/>
    <w:rsid w:val="14C25780"/>
    <w:rsid w:val="14C26EA8"/>
    <w:rsid w:val="14C42586"/>
    <w:rsid w:val="14C5596C"/>
    <w:rsid w:val="14C708F7"/>
    <w:rsid w:val="14C71480"/>
    <w:rsid w:val="14C72840"/>
    <w:rsid w:val="14C874F0"/>
    <w:rsid w:val="14CB0C92"/>
    <w:rsid w:val="14CB7509"/>
    <w:rsid w:val="14CC10BF"/>
    <w:rsid w:val="14CF0D1A"/>
    <w:rsid w:val="14CF66CF"/>
    <w:rsid w:val="14D1683B"/>
    <w:rsid w:val="14D26F15"/>
    <w:rsid w:val="14D6519A"/>
    <w:rsid w:val="14D902A4"/>
    <w:rsid w:val="14DD1152"/>
    <w:rsid w:val="14E00EF5"/>
    <w:rsid w:val="14E04C08"/>
    <w:rsid w:val="14E2694B"/>
    <w:rsid w:val="14E27A3A"/>
    <w:rsid w:val="14E43B3A"/>
    <w:rsid w:val="14E66484"/>
    <w:rsid w:val="14E804E7"/>
    <w:rsid w:val="14EB2477"/>
    <w:rsid w:val="14ED799E"/>
    <w:rsid w:val="14EE3850"/>
    <w:rsid w:val="14EF1875"/>
    <w:rsid w:val="14F32D6B"/>
    <w:rsid w:val="14F63ADC"/>
    <w:rsid w:val="14F87449"/>
    <w:rsid w:val="14F87D20"/>
    <w:rsid w:val="14FA79AC"/>
    <w:rsid w:val="14FB2199"/>
    <w:rsid w:val="14FB22D6"/>
    <w:rsid w:val="14FC3F92"/>
    <w:rsid w:val="14FD0CFE"/>
    <w:rsid w:val="14FD6C55"/>
    <w:rsid w:val="150037C7"/>
    <w:rsid w:val="15006631"/>
    <w:rsid w:val="150072D4"/>
    <w:rsid w:val="15007D43"/>
    <w:rsid w:val="150115A9"/>
    <w:rsid w:val="15023C81"/>
    <w:rsid w:val="15023C9F"/>
    <w:rsid w:val="15070E76"/>
    <w:rsid w:val="150771D6"/>
    <w:rsid w:val="15091CB9"/>
    <w:rsid w:val="15095263"/>
    <w:rsid w:val="150A3917"/>
    <w:rsid w:val="150C4B54"/>
    <w:rsid w:val="150D7555"/>
    <w:rsid w:val="150E330B"/>
    <w:rsid w:val="151026F0"/>
    <w:rsid w:val="15107A3E"/>
    <w:rsid w:val="15115C90"/>
    <w:rsid w:val="15125F9F"/>
    <w:rsid w:val="15136726"/>
    <w:rsid w:val="151622EC"/>
    <w:rsid w:val="15187863"/>
    <w:rsid w:val="151A08B2"/>
    <w:rsid w:val="151A2BE3"/>
    <w:rsid w:val="151C5A20"/>
    <w:rsid w:val="151C5F46"/>
    <w:rsid w:val="151D6748"/>
    <w:rsid w:val="151E0D88"/>
    <w:rsid w:val="152119F1"/>
    <w:rsid w:val="152320E7"/>
    <w:rsid w:val="15261CD5"/>
    <w:rsid w:val="15265EE3"/>
    <w:rsid w:val="1529356F"/>
    <w:rsid w:val="152A6D51"/>
    <w:rsid w:val="152C4B0B"/>
    <w:rsid w:val="152D7BAD"/>
    <w:rsid w:val="153016F7"/>
    <w:rsid w:val="15302A20"/>
    <w:rsid w:val="15302B75"/>
    <w:rsid w:val="15327E0F"/>
    <w:rsid w:val="1537278F"/>
    <w:rsid w:val="15393C34"/>
    <w:rsid w:val="153A070E"/>
    <w:rsid w:val="153A58A4"/>
    <w:rsid w:val="153C6A85"/>
    <w:rsid w:val="153C6B99"/>
    <w:rsid w:val="153D4CD7"/>
    <w:rsid w:val="154304A0"/>
    <w:rsid w:val="15436E45"/>
    <w:rsid w:val="15437032"/>
    <w:rsid w:val="1544161F"/>
    <w:rsid w:val="15441DE8"/>
    <w:rsid w:val="154458E1"/>
    <w:rsid w:val="15471063"/>
    <w:rsid w:val="154B3687"/>
    <w:rsid w:val="154D2A40"/>
    <w:rsid w:val="154D7A32"/>
    <w:rsid w:val="15541A8A"/>
    <w:rsid w:val="15567B46"/>
    <w:rsid w:val="15581B10"/>
    <w:rsid w:val="155A7151"/>
    <w:rsid w:val="155C4060"/>
    <w:rsid w:val="1564654F"/>
    <w:rsid w:val="156478E0"/>
    <w:rsid w:val="15651629"/>
    <w:rsid w:val="15653D7D"/>
    <w:rsid w:val="15673B02"/>
    <w:rsid w:val="15692C90"/>
    <w:rsid w:val="156A0BE3"/>
    <w:rsid w:val="156B51DC"/>
    <w:rsid w:val="156B7D24"/>
    <w:rsid w:val="156E72FA"/>
    <w:rsid w:val="15705121"/>
    <w:rsid w:val="157601E9"/>
    <w:rsid w:val="1577363C"/>
    <w:rsid w:val="15781416"/>
    <w:rsid w:val="15784E9C"/>
    <w:rsid w:val="15791136"/>
    <w:rsid w:val="157E2742"/>
    <w:rsid w:val="1581352C"/>
    <w:rsid w:val="15820DF2"/>
    <w:rsid w:val="158338CC"/>
    <w:rsid w:val="15856E05"/>
    <w:rsid w:val="158A7993"/>
    <w:rsid w:val="158D1BB0"/>
    <w:rsid w:val="158D376D"/>
    <w:rsid w:val="15910B7E"/>
    <w:rsid w:val="1597381B"/>
    <w:rsid w:val="15981F0D"/>
    <w:rsid w:val="15986948"/>
    <w:rsid w:val="15990B08"/>
    <w:rsid w:val="159C741F"/>
    <w:rsid w:val="15A034EA"/>
    <w:rsid w:val="15A15F21"/>
    <w:rsid w:val="15A23FE4"/>
    <w:rsid w:val="15A36904"/>
    <w:rsid w:val="15A511C6"/>
    <w:rsid w:val="15A62D82"/>
    <w:rsid w:val="15A666BA"/>
    <w:rsid w:val="15A7509A"/>
    <w:rsid w:val="15A762CC"/>
    <w:rsid w:val="15AD4617"/>
    <w:rsid w:val="15AD68D5"/>
    <w:rsid w:val="15B10D44"/>
    <w:rsid w:val="15B30AF5"/>
    <w:rsid w:val="15B73A68"/>
    <w:rsid w:val="15B754D7"/>
    <w:rsid w:val="15B825AF"/>
    <w:rsid w:val="15B935F6"/>
    <w:rsid w:val="15BA6327"/>
    <w:rsid w:val="15BD0B4A"/>
    <w:rsid w:val="15BD1974"/>
    <w:rsid w:val="15BE017C"/>
    <w:rsid w:val="15BF0734"/>
    <w:rsid w:val="15BF1F37"/>
    <w:rsid w:val="15C454EF"/>
    <w:rsid w:val="15C47D35"/>
    <w:rsid w:val="15C61CCF"/>
    <w:rsid w:val="15C67FF9"/>
    <w:rsid w:val="15C745A0"/>
    <w:rsid w:val="15C81E58"/>
    <w:rsid w:val="15CA596F"/>
    <w:rsid w:val="15CB202B"/>
    <w:rsid w:val="15CC57E5"/>
    <w:rsid w:val="15CD4B5C"/>
    <w:rsid w:val="15D1005C"/>
    <w:rsid w:val="15D124CB"/>
    <w:rsid w:val="15D13A6C"/>
    <w:rsid w:val="15D26039"/>
    <w:rsid w:val="15D34DAD"/>
    <w:rsid w:val="15D535FD"/>
    <w:rsid w:val="15D662FD"/>
    <w:rsid w:val="15D960E8"/>
    <w:rsid w:val="15DB3ACE"/>
    <w:rsid w:val="15DD7BA9"/>
    <w:rsid w:val="15E0042A"/>
    <w:rsid w:val="15E05662"/>
    <w:rsid w:val="15E1566C"/>
    <w:rsid w:val="15E54595"/>
    <w:rsid w:val="15E6690C"/>
    <w:rsid w:val="15EB33F9"/>
    <w:rsid w:val="15EC5B2E"/>
    <w:rsid w:val="15F024EB"/>
    <w:rsid w:val="15F124CC"/>
    <w:rsid w:val="15F42A75"/>
    <w:rsid w:val="15F536FA"/>
    <w:rsid w:val="15F56AC9"/>
    <w:rsid w:val="15F64E85"/>
    <w:rsid w:val="15F65D9C"/>
    <w:rsid w:val="15F66803"/>
    <w:rsid w:val="15F66B2A"/>
    <w:rsid w:val="15F80BFE"/>
    <w:rsid w:val="15F818F9"/>
    <w:rsid w:val="15FA0BB9"/>
    <w:rsid w:val="15FA0E40"/>
    <w:rsid w:val="15FC0BF2"/>
    <w:rsid w:val="16011C64"/>
    <w:rsid w:val="1602300B"/>
    <w:rsid w:val="160457F4"/>
    <w:rsid w:val="160A2E00"/>
    <w:rsid w:val="160B48AF"/>
    <w:rsid w:val="160C68A6"/>
    <w:rsid w:val="160C6F10"/>
    <w:rsid w:val="160E6673"/>
    <w:rsid w:val="160F2231"/>
    <w:rsid w:val="1610487B"/>
    <w:rsid w:val="16112976"/>
    <w:rsid w:val="16125AB4"/>
    <w:rsid w:val="16133F3F"/>
    <w:rsid w:val="161367EF"/>
    <w:rsid w:val="16173D07"/>
    <w:rsid w:val="161812A0"/>
    <w:rsid w:val="1618477C"/>
    <w:rsid w:val="16187DAB"/>
    <w:rsid w:val="161A287E"/>
    <w:rsid w:val="161B3D7B"/>
    <w:rsid w:val="161C5620"/>
    <w:rsid w:val="16213902"/>
    <w:rsid w:val="1623598F"/>
    <w:rsid w:val="16275AAE"/>
    <w:rsid w:val="162821D7"/>
    <w:rsid w:val="162D41F3"/>
    <w:rsid w:val="162F7DA2"/>
    <w:rsid w:val="16331FE7"/>
    <w:rsid w:val="1634743E"/>
    <w:rsid w:val="16351A7B"/>
    <w:rsid w:val="16353E08"/>
    <w:rsid w:val="16382C2D"/>
    <w:rsid w:val="16382F5D"/>
    <w:rsid w:val="163B719B"/>
    <w:rsid w:val="163B7C15"/>
    <w:rsid w:val="163D0A6D"/>
    <w:rsid w:val="163D36E4"/>
    <w:rsid w:val="163F682C"/>
    <w:rsid w:val="16400D99"/>
    <w:rsid w:val="164112EE"/>
    <w:rsid w:val="16414301"/>
    <w:rsid w:val="16422265"/>
    <w:rsid w:val="16424D89"/>
    <w:rsid w:val="16440521"/>
    <w:rsid w:val="164942FA"/>
    <w:rsid w:val="164D497F"/>
    <w:rsid w:val="164E5967"/>
    <w:rsid w:val="16521090"/>
    <w:rsid w:val="165220AA"/>
    <w:rsid w:val="165249BD"/>
    <w:rsid w:val="165A2F14"/>
    <w:rsid w:val="165A4531"/>
    <w:rsid w:val="165B747A"/>
    <w:rsid w:val="165E1A98"/>
    <w:rsid w:val="166030DE"/>
    <w:rsid w:val="166153BF"/>
    <w:rsid w:val="166213D3"/>
    <w:rsid w:val="16625561"/>
    <w:rsid w:val="16695EA7"/>
    <w:rsid w:val="166C0664"/>
    <w:rsid w:val="166D54CB"/>
    <w:rsid w:val="166D5772"/>
    <w:rsid w:val="166E6CC1"/>
    <w:rsid w:val="166F3573"/>
    <w:rsid w:val="16711055"/>
    <w:rsid w:val="16747353"/>
    <w:rsid w:val="16771616"/>
    <w:rsid w:val="16773918"/>
    <w:rsid w:val="16783260"/>
    <w:rsid w:val="167B31A4"/>
    <w:rsid w:val="167C2C64"/>
    <w:rsid w:val="167C3175"/>
    <w:rsid w:val="167C35AE"/>
    <w:rsid w:val="167D1A57"/>
    <w:rsid w:val="167D780B"/>
    <w:rsid w:val="167E55A7"/>
    <w:rsid w:val="168053B2"/>
    <w:rsid w:val="16806E74"/>
    <w:rsid w:val="16822FD8"/>
    <w:rsid w:val="168572D1"/>
    <w:rsid w:val="16873D30"/>
    <w:rsid w:val="16890EC4"/>
    <w:rsid w:val="16913F56"/>
    <w:rsid w:val="16923C43"/>
    <w:rsid w:val="169257D1"/>
    <w:rsid w:val="16953F84"/>
    <w:rsid w:val="16955DFE"/>
    <w:rsid w:val="169718D1"/>
    <w:rsid w:val="16973B7A"/>
    <w:rsid w:val="169919FC"/>
    <w:rsid w:val="1699418F"/>
    <w:rsid w:val="169B0727"/>
    <w:rsid w:val="169C7ACA"/>
    <w:rsid w:val="169E13A1"/>
    <w:rsid w:val="169E47FF"/>
    <w:rsid w:val="16A2220E"/>
    <w:rsid w:val="16A25C99"/>
    <w:rsid w:val="16A350EF"/>
    <w:rsid w:val="16A4245C"/>
    <w:rsid w:val="16A47ABB"/>
    <w:rsid w:val="16A54971"/>
    <w:rsid w:val="16A566C1"/>
    <w:rsid w:val="16A67E36"/>
    <w:rsid w:val="16AB34B3"/>
    <w:rsid w:val="16AD5D02"/>
    <w:rsid w:val="16AE7D73"/>
    <w:rsid w:val="16B037DD"/>
    <w:rsid w:val="16B172E9"/>
    <w:rsid w:val="16B233EF"/>
    <w:rsid w:val="16B32ED8"/>
    <w:rsid w:val="16B33502"/>
    <w:rsid w:val="16B36F20"/>
    <w:rsid w:val="16B7036C"/>
    <w:rsid w:val="16B72205"/>
    <w:rsid w:val="16B771BA"/>
    <w:rsid w:val="16B926C0"/>
    <w:rsid w:val="16B96B9F"/>
    <w:rsid w:val="16BA7F67"/>
    <w:rsid w:val="16BB13C7"/>
    <w:rsid w:val="16BB2DF7"/>
    <w:rsid w:val="16BD1B60"/>
    <w:rsid w:val="16C4164A"/>
    <w:rsid w:val="16C465C5"/>
    <w:rsid w:val="16C532D1"/>
    <w:rsid w:val="16C53748"/>
    <w:rsid w:val="16C53F14"/>
    <w:rsid w:val="16C7358B"/>
    <w:rsid w:val="16C907F4"/>
    <w:rsid w:val="16CE3180"/>
    <w:rsid w:val="16CF5E02"/>
    <w:rsid w:val="16CF7433"/>
    <w:rsid w:val="16D04A90"/>
    <w:rsid w:val="16D17FDB"/>
    <w:rsid w:val="16DA0DB1"/>
    <w:rsid w:val="16DA5D00"/>
    <w:rsid w:val="16DB743F"/>
    <w:rsid w:val="16DD34E4"/>
    <w:rsid w:val="16E00E29"/>
    <w:rsid w:val="16E115B7"/>
    <w:rsid w:val="16E16D98"/>
    <w:rsid w:val="16E17A37"/>
    <w:rsid w:val="16E3365C"/>
    <w:rsid w:val="16E4186B"/>
    <w:rsid w:val="16E6462F"/>
    <w:rsid w:val="16E66CA8"/>
    <w:rsid w:val="16E848B6"/>
    <w:rsid w:val="16EA01DA"/>
    <w:rsid w:val="16EA1853"/>
    <w:rsid w:val="16EB4407"/>
    <w:rsid w:val="16F10D22"/>
    <w:rsid w:val="16F36088"/>
    <w:rsid w:val="16F7584D"/>
    <w:rsid w:val="16F818C7"/>
    <w:rsid w:val="16F90B5E"/>
    <w:rsid w:val="16FD2D3C"/>
    <w:rsid w:val="16FF6FE0"/>
    <w:rsid w:val="170270AE"/>
    <w:rsid w:val="17036959"/>
    <w:rsid w:val="17043213"/>
    <w:rsid w:val="17053DC8"/>
    <w:rsid w:val="170647B1"/>
    <w:rsid w:val="170855C1"/>
    <w:rsid w:val="1709725B"/>
    <w:rsid w:val="170B4961"/>
    <w:rsid w:val="170F4E4B"/>
    <w:rsid w:val="171259F4"/>
    <w:rsid w:val="17190220"/>
    <w:rsid w:val="171B0716"/>
    <w:rsid w:val="171C3C78"/>
    <w:rsid w:val="171C5B9F"/>
    <w:rsid w:val="171D7817"/>
    <w:rsid w:val="1723669B"/>
    <w:rsid w:val="17237169"/>
    <w:rsid w:val="17274944"/>
    <w:rsid w:val="172B7324"/>
    <w:rsid w:val="172D48D7"/>
    <w:rsid w:val="172E3DBC"/>
    <w:rsid w:val="172E45B0"/>
    <w:rsid w:val="172E696E"/>
    <w:rsid w:val="173202CB"/>
    <w:rsid w:val="17335525"/>
    <w:rsid w:val="1735378C"/>
    <w:rsid w:val="1737120B"/>
    <w:rsid w:val="17385601"/>
    <w:rsid w:val="17392348"/>
    <w:rsid w:val="173B676A"/>
    <w:rsid w:val="173C0FBE"/>
    <w:rsid w:val="173F1D11"/>
    <w:rsid w:val="173F1DD3"/>
    <w:rsid w:val="173F56ED"/>
    <w:rsid w:val="174100B6"/>
    <w:rsid w:val="17433BEE"/>
    <w:rsid w:val="17435EA8"/>
    <w:rsid w:val="17445340"/>
    <w:rsid w:val="17457E73"/>
    <w:rsid w:val="17485BB5"/>
    <w:rsid w:val="174A7F29"/>
    <w:rsid w:val="174F16E8"/>
    <w:rsid w:val="17507E55"/>
    <w:rsid w:val="17514A69"/>
    <w:rsid w:val="1752433D"/>
    <w:rsid w:val="1754420C"/>
    <w:rsid w:val="1755047C"/>
    <w:rsid w:val="17595154"/>
    <w:rsid w:val="175C0F38"/>
    <w:rsid w:val="175C6A7E"/>
    <w:rsid w:val="176163CD"/>
    <w:rsid w:val="1763360A"/>
    <w:rsid w:val="1764117C"/>
    <w:rsid w:val="17646473"/>
    <w:rsid w:val="1766647E"/>
    <w:rsid w:val="176C70D1"/>
    <w:rsid w:val="176D1177"/>
    <w:rsid w:val="176E0BE7"/>
    <w:rsid w:val="176E407A"/>
    <w:rsid w:val="176F2CDC"/>
    <w:rsid w:val="1771363D"/>
    <w:rsid w:val="1773572F"/>
    <w:rsid w:val="177638C0"/>
    <w:rsid w:val="177903C7"/>
    <w:rsid w:val="17790F89"/>
    <w:rsid w:val="177C50C2"/>
    <w:rsid w:val="178216EF"/>
    <w:rsid w:val="178273B0"/>
    <w:rsid w:val="17842233"/>
    <w:rsid w:val="17842DE4"/>
    <w:rsid w:val="178431E3"/>
    <w:rsid w:val="17846BA9"/>
    <w:rsid w:val="17894707"/>
    <w:rsid w:val="178B4663"/>
    <w:rsid w:val="178C69A2"/>
    <w:rsid w:val="178C72B4"/>
    <w:rsid w:val="178D04D8"/>
    <w:rsid w:val="178D35C8"/>
    <w:rsid w:val="178E7A6B"/>
    <w:rsid w:val="17922765"/>
    <w:rsid w:val="1792368D"/>
    <w:rsid w:val="179A1DB6"/>
    <w:rsid w:val="179B024B"/>
    <w:rsid w:val="179D4667"/>
    <w:rsid w:val="179F1110"/>
    <w:rsid w:val="17A065F7"/>
    <w:rsid w:val="17A24B12"/>
    <w:rsid w:val="17A4275E"/>
    <w:rsid w:val="17A428D9"/>
    <w:rsid w:val="17A6243C"/>
    <w:rsid w:val="17A67556"/>
    <w:rsid w:val="17A67DAC"/>
    <w:rsid w:val="17A860F6"/>
    <w:rsid w:val="17AC385A"/>
    <w:rsid w:val="17AF30D5"/>
    <w:rsid w:val="17AF35EC"/>
    <w:rsid w:val="17B21235"/>
    <w:rsid w:val="17B229B9"/>
    <w:rsid w:val="17B37E51"/>
    <w:rsid w:val="17B648CC"/>
    <w:rsid w:val="17B87635"/>
    <w:rsid w:val="17B9260F"/>
    <w:rsid w:val="17BB1014"/>
    <w:rsid w:val="17BB678F"/>
    <w:rsid w:val="17BD4F8C"/>
    <w:rsid w:val="17C11F3F"/>
    <w:rsid w:val="17C13866"/>
    <w:rsid w:val="17C14F46"/>
    <w:rsid w:val="17C667F5"/>
    <w:rsid w:val="17C71942"/>
    <w:rsid w:val="17C77A48"/>
    <w:rsid w:val="17C90AA4"/>
    <w:rsid w:val="17CA3B5E"/>
    <w:rsid w:val="17CD560F"/>
    <w:rsid w:val="17D22017"/>
    <w:rsid w:val="17D2283E"/>
    <w:rsid w:val="17D3547E"/>
    <w:rsid w:val="17D64B3A"/>
    <w:rsid w:val="17D86F39"/>
    <w:rsid w:val="17DC346E"/>
    <w:rsid w:val="17DC3DE2"/>
    <w:rsid w:val="17DC42CC"/>
    <w:rsid w:val="17DF5028"/>
    <w:rsid w:val="17E37B56"/>
    <w:rsid w:val="17E57E61"/>
    <w:rsid w:val="17E754D5"/>
    <w:rsid w:val="17E83C3B"/>
    <w:rsid w:val="17EA4BBA"/>
    <w:rsid w:val="17EC5370"/>
    <w:rsid w:val="17ED45B1"/>
    <w:rsid w:val="17EE372D"/>
    <w:rsid w:val="17EE7407"/>
    <w:rsid w:val="17F32C8D"/>
    <w:rsid w:val="17F500D4"/>
    <w:rsid w:val="17F6481B"/>
    <w:rsid w:val="17F95F3F"/>
    <w:rsid w:val="17FB75A8"/>
    <w:rsid w:val="17FD4194"/>
    <w:rsid w:val="1800622C"/>
    <w:rsid w:val="18021562"/>
    <w:rsid w:val="18032896"/>
    <w:rsid w:val="18046632"/>
    <w:rsid w:val="180A4BE8"/>
    <w:rsid w:val="180B394B"/>
    <w:rsid w:val="180C6E5D"/>
    <w:rsid w:val="180F1F91"/>
    <w:rsid w:val="1810276F"/>
    <w:rsid w:val="18116D62"/>
    <w:rsid w:val="18117C57"/>
    <w:rsid w:val="18134278"/>
    <w:rsid w:val="181A00C5"/>
    <w:rsid w:val="181D2D67"/>
    <w:rsid w:val="181E2323"/>
    <w:rsid w:val="181E4C07"/>
    <w:rsid w:val="181F686E"/>
    <w:rsid w:val="18206642"/>
    <w:rsid w:val="18222FD0"/>
    <w:rsid w:val="182427A6"/>
    <w:rsid w:val="18256E95"/>
    <w:rsid w:val="182B557A"/>
    <w:rsid w:val="182B7412"/>
    <w:rsid w:val="182C356A"/>
    <w:rsid w:val="182C51D8"/>
    <w:rsid w:val="182E4519"/>
    <w:rsid w:val="1832145C"/>
    <w:rsid w:val="18324C2D"/>
    <w:rsid w:val="18334F34"/>
    <w:rsid w:val="1834027A"/>
    <w:rsid w:val="18370967"/>
    <w:rsid w:val="183858CA"/>
    <w:rsid w:val="183A54FD"/>
    <w:rsid w:val="183B0679"/>
    <w:rsid w:val="183B3417"/>
    <w:rsid w:val="183B6DB6"/>
    <w:rsid w:val="183B7D55"/>
    <w:rsid w:val="183D4854"/>
    <w:rsid w:val="183E1F58"/>
    <w:rsid w:val="18423A7E"/>
    <w:rsid w:val="18436DE7"/>
    <w:rsid w:val="18463EA2"/>
    <w:rsid w:val="184A2674"/>
    <w:rsid w:val="184B14B9"/>
    <w:rsid w:val="184D444B"/>
    <w:rsid w:val="184F48E4"/>
    <w:rsid w:val="184F5773"/>
    <w:rsid w:val="184F7F52"/>
    <w:rsid w:val="18514491"/>
    <w:rsid w:val="18571E1D"/>
    <w:rsid w:val="185A2C0B"/>
    <w:rsid w:val="185E1321"/>
    <w:rsid w:val="18611FDC"/>
    <w:rsid w:val="18614A09"/>
    <w:rsid w:val="1864657A"/>
    <w:rsid w:val="186A5264"/>
    <w:rsid w:val="186B2A20"/>
    <w:rsid w:val="186F6D44"/>
    <w:rsid w:val="187004C1"/>
    <w:rsid w:val="18731A98"/>
    <w:rsid w:val="18754EE4"/>
    <w:rsid w:val="1876477B"/>
    <w:rsid w:val="18776F0C"/>
    <w:rsid w:val="187851CF"/>
    <w:rsid w:val="187A6028"/>
    <w:rsid w:val="187B0553"/>
    <w:rsid w:val="187C17F4"/>
    <w:rsid w:val="187D3506"/>
    <w:rsid w:val="187E4B37"/>
    <w:rsid w:val="188448EA"/>
    <w:rsid w:val="18847888"/>
    <w:rsid w:val="1886450E"/>
    <w:rsid w:val="18864B77"/>
    <w:rsid w:val="18881C0F"/>
    <w:rsid w:val="188C66B5"/>
    <w:rsid w:val="18920CBB"/>
    <w:rsid w:val="18925339"/>
    <w:rsid w:val="18927B7C"/>
    <w:rsid w:val="189769C9"/>
    <w:rsid w:val="189832C8"/>
    <w:rsid w:val="189A41EE"/>
    <w:rsid w:val="189F18D8"/>
    <w:rsid w:val="189F19B1"/>
    <w:rsid w:val="189F1C0B"/>
    <w:rsid w:val="18A32226"/>
    <w:rsid w:val="18A32F3A"/>
    <w:rsid w:val="18A441B0"/>
    <w:rsid w:val="18A54B10"/>
    <w:rsid w:val="18A611FA"/>
    <w:rsid w:val="18A62B93"/>
    <w:rsid w:val="18A674D7"/>
    <w:rsid w:val="18A978D1"/>
    <w:rsid w:val="18A97BB0"/>
    <w:rsid w:val="18AA6371"/>
    <w:rsid w:val="18B038E6"/>
    <w:rsid w:val="18B32A58"/>
    <w:rsid w:val="18B37BB1"/>
    <w:rsid w:val="18B53C84"/>
    <w:rsid w:val="18B57E2D"/>
    <w:rsid w:val="18B67A99"/>
    <w:rsid w:val="18B710C7"/>
    <w:rsid w:val="18B7461F"/>
    <w:rsid w:val="18B861D5"/>
    <w:rsid w:val="18B87F8A"/>
    <w:rsid w:val="18BA40B4"/>
    <w:rsid w:val="18BA50C0"/>
    <w:rsid w:val="18BA57B0"/>
    <w:rsid w:val="18BC03B7"/>
    <w:rsid w:val="18BE50A9"/>
    <w:rsid w:val="18BE5A27"/>
    <w:rsid w:val="18BF01B3"/>
    <w:rsid w:val="18BF38FA"/>
    <w:rsid w:val="18C17C60"/>
    <w:rsid w:val="18C306E9"/>
    <w:rsid w:val="18C417A3"/>
    <w:rsid w:val="18C4667D"/>
    <w:rsid w:val="18C71300"/>
    <w:rsid w:val="18C85C1A"/>
    <w:rsid w:val="18C95283"/>
    <w:rsid w:val="18CB138B"/>
    <w:rsid w:val="18CE38A2"/>
    <w:rsid w:val="18D17A0D"/>
    <w:rsid w:val="18D2530B"/>
    <w:rsid w:val="18D56E97"/>
    <w:rsid w:val="18D74563"/>
    <w:rsid w:val="18D75B41"/>
    <w:rsid w:val="18D824E3"/>
    <w:rsid w:val="18D9428D"/>
    <w:rsid w:val="18DE06C4"/>
    <w:rsid w:val="18E0119B"/>
    <w:rsid w:val="18E26F66"/>
    <w:rsid w:val="18E27265"/>
    <w:rsid w:val="18E638E2"/>
    <w:rsid w:val="18E63C4A"/>
    <w:rsid w:val="18E66442"/>
    <w:rsid w:val="18E671C1"/>
    <w:rsid w:val="18E715D2"/>
    <w:rsid w:val="18E83F86"/>
    <w:rsid w:val="18EF539C"/>
    <w:rsid w:val="18F02978"/>
    <w:rsid w:val="18F11333"/>
    <w:rsid w:val="18F26CB9"/>
    <w:rsid w:val="18F61D5C"/>
    <w:rsid w:val="18F6477A"/>
    <w:rsid w:val="18F736CB"/>
    <w:rsid w:val="18F833C3"/>
    <w:rsid w:val="18FD4E6A"/>
    <w:rsid w:val="18FD56D8"/>
    <w:rsid w:val="18FE57AC"/>
    <w:rsid w:val="18FE590A"/>
    <w:rsid w:val="19001C82"/>
    <w:rsid w:val="19063631"/>
    <w:rsid w:val="190872BE"/>
    <w:rsid w:val="19090593"/>
    <w:rsid w:val="1909633D"/>
    <w:rsid w:val="190969FA"/>
    <w:rsid w:val="19100745"/>
    <w:rsid w:val="19107FFC"/>
    <w:rsid w:val="19141F05"/>
    <w:rsid w:val="19147C94"/>
    <w:rsid w:val="191500C7"/>
    <w:rsid w:val="191544BA"/>
    <w:rsid w:val="191B37E1"/>
    <w:rsid w:val="19200835"/>
    <w:rsid w:val="19207261"/>
    <w:rsid w:val="1921046B"/>
    <w:rsid w:val="19216D21"/>
    <w:rsid w:val="19225B4B"/>
    <w:rsid w:val="19232435"/>
    <w:rsid w:val="192975F4"/>
    <w:rsid w:val="192B3EE0"/>
    <w:rsid w:val="19326B9B"/>
    <w:rsid w:val="193560BD"/>
    <w:rsid w:val="193A0ED1"/>
    <w:rsid w:val="193C51D0"/>
    <w:rsid w:val="193D412E"/>
    <w:rsid w:val="193F08F1"/>
    <w:rsid w:val="1940130A"/>
    <w:rsid w:val="19404D95"/>
    <w:rsid w:val="194115FB"/>
    <w:rsid w:val="1941718E"/>
    <w:rsid w:val="19431B98"/>
    <w:rsid w:val="19433ADC"/>
    <w:rsid w:val="1945637F"/>
    <w:rsid w:val="194769C2"/>
    <w:rsid w:val="194A5C14"/>
    <w:rsid w:val="194C59D4"/>
    <w:rsid w:val="194E3821"/>
    <w:rsid w:val="194F0B52"/>
    <w:rsid w:val="195303C4"/>
    <w:rsid w:val="19542A0E"/>
    <w:rsid w:val="195443E6"/>
    <w:rsid w:val="195529C6"/>
    <w:rsid w:val="195A0152"/>
    <w:rsid w:val="19601486"/>
    <w:rsid w:val="19604ECD"/>
    <w:rsid w:val="19606355"/>
    <w:rsid w:val="19612E81"/>
    <w:rsid w:val="19632832"/>
    <w:rsid w:val="19652785"/>
    <w:rsid w:val="19656D37"/>
    <w:rsid w:val="19664483"/>
    <w:rsid w:val="19694B94"/>
    <w:rsid w:val="196C332F"/>
    <w:rsid w:val="196C66D0"/>
    <w:rsid w:val="196E3970"/>
    <w:rsid w:val="196F29EC"/>
    <w:rsid w:val="19711549"/>
    <w:rsid w:val="197379A7"/>
    <w:rsid w:val="19743CB9"/>
    <w:rsid w:val="19783615"/>
    <w:rsid w:val="19786FF0"/>
    <w:rsid w:val="19791CD3"/>
    <w:rsid w:val="19792EC4"/>
    <w:rsid w:val="197A3D5B"/>
    <w:rsid w:val="197C7CA7"/>
    <w:rsid w:val="197D6B94"/>
    <w:rsid w:val="197E1311"/>
    <w:rsid w:val="197F329B"/>
    <w:rsid w:val="19832ED4"/>
    <w:rsid w:val="19873C3C"/>
    <w:rsid w:val="198A20A9"/>
    <w:rsid w:val="198E63B3"/>
    <w:rsid w:val="198E76E6"/>
    <w:rsid w:val="19933A2D"/>
    <w:rsid w:val="19937056"/>
    <w:rsid w:val="199450E1"/>
    <w:rsid w:val="19945512"/>
    <w:rsid w:val="199936F6"/>
    <w:rsid w:val="199B7B24"/>
    <w:rsid w:val="199C3E34"/>
    <w:rsid w:val="199E0EEC"/>
    <w:rsid w:val="19A10650"/>
    <w:rsid w:val="19A17660"/>
    <w:rsid w:val="19A461A1"/>
    <w:rsid w:val="19A4652B"/>
    <w:rsid w:val="19A64E7F"/>
    <w:rsid w:val="19A6606F"/>
    <w:rsid w:val="19A76508"/>
    <w:rsid w:val="19A82341"/>
    <w:rsid w:val="19A93950"/>
    <w:rsid w:val="19AE2C9E"/>
    <w:rsid w:val="19B032B4"/>
    <w:rsid w:val="19B03CFC"/>
    <w:rsid w:val="19B33F92"/>
    <w:rsid w:val="19B45656"/>
    <w:rsid w:val="19B4680E"/>
    <w:rsid w:val="19B472E8"/>
    <w:rsid w:val="19B54CC8"/>
    <w:rsid w:val="19B914AC"/>
    <w:rsid w:val="19BD165D"/>
    <w:rsid w:val="19C5129E"/>
    <w:rsid w:val="19C60910"/>
    <w:rsid w:val="19C63DAB"/>
    <w:rsid w:val="19CA41EB"/>
    <w:rsid w:val="19CA5ACB"/>
    <w:rsid w:val="19CC709F"/>
    <w:rsid w:val="19CD1799"/>
    <w:rsid w:val="19CE359C"/>
    <w:rsid w:val="19D0232A"/>
    <w:rsid w:val="19D14DF3"/>
    <w:rsid w:val="19D1710D"/>
    <w:rsid w:val="19D43730"/>
    <w:rsid w:val="19DC7D29"/>
    <w:rsid w:val="19DF6A36"/>
    <w:rsid w:val="19E24E8E"/>
    <w:rsid w:val="19E42A71"/>
    <w:rsid w:val="19E57F62"/>
    <w:rsid w:val="19E952F5"/>
    <w:rsid w:val="19ED0C8D"/>
    <w:rsid w:val="19F14027"/>
    <w:rsid w:val="19F16A1B"/>
    <w:rsid w:val="19F2617A"/>
    <w:rsid w:val="19F271BD"/>
    <w:rsid w:val="19F401E3"/>
    <w:rsid w:val="19F67867"/>
    <w:rsid w:val="19F939E1"/>
    <w:rsid w:val="19FC197F"/>
    <w:rsid w:val="1A004525"/>
    <w:rsid w:val="1A0120FF"/>
    <w:rsid w:val="1A035809"/>
    <w:rsid w:val="1A076DB1"/>
    <w:rsid w:val="1A09359A"/>
    <w:rsid w:val="1A0B037B"/>
    <w:rsid w:val="1A0B1880"/>
    <w:rsid w:val="1A0F0C17"/>
    <w:rsid w:val="1A1073E8"/>
    <w:rsid w:val="1A147FD0"/>
    <w:rsid w:val="1A16676D"/>
    <w:rsid w:val="1A166ED1"/>
    <w:rsid w:val="1A182498"/>
    <w:rsid w:val="1A187C5B"/>
    <w:rsid w:val="1A1B3091"/>
    <w:rsid w:val="1A1E574F"/>
    <w:rsid w:val="1A22251E"/>
    <w:rsid w:val="1A24432A"/>
    <w:rsid w:val="1A250AE8"/>
    <w:rsid w:val="1A2600D2"/>
    <w:rsid w:val="1A2742FF"/>
    <w:rsid w:val="1A2770F8"/>
    <w:rsid w:val="1A295007"/>
    <w:rsid w:val="1A2B6F56"/>
    <w:rsid w:val="1A2D7793"/>
    <w:rsid w:val="1A2E77B1"/>
    <w:rsid w:val="1A307D1B"/>
    <w:rsid w:val="1A3156AC"/>
    <w:rsid w:val="1A326166"/>
    <w:rsid w:val="1A330456"/>
    <w:rsid w:val="1A3316BF"/>
    <w:rsid w:val="1A347485"/>
    <w:rsid w:val="1A351907"/>
    <w:rsid w:val="1A352420"/>
    <w:rsid w:val="1A367263"/>
    <w:rsid w:val="1A3803FF"/>
    <w:rsid w:val="1A3A00B8"/>
    <w:rsid w:val="1A3D7527"/>
    <w:rsid w:val="1A3E318B"/>
    <w:rsid w:val="1A4025A1"/>
    <w:rsid w:val="1A4120F0"/>
    <w:rsid w:val="1A412F78"/>
    <w:rsid w:val="1A42733A"/>
    <w:rsid w:val="1A43141D"/>
    <w:rsid w:val="1A4408B5"/>
    <w:rsid w:val="1A454BBD"/>
    <w:rsid w:val="1A472A51"/>
    <w:rsid w:val="1A476545"/>
    <w:rsid w:val="1A4875B1"/>
    <w:rsid w:val="1A4B75D9"/>
    <w:rsid w:val="1A4C13E8"/>
    <w:rsid w:val="1A4E3E9C"/>
    <w:rsid w:val="1A582365"/>
    <w:rsid w:val="1A595B4D"/>
    <w:rsid w:val="1A5A4458"/>
    <w:rsid w:val="1A5E24DE"/>
    <w:rsid w:val="1A6179A5"/>
    <w:rsid w:val="1A63030F"/>
    <w:rsid w:val="1A637D67"/>
    <w:rsid w:val="1A642D06"/>
    <w:rsid w:val="1A650F0B"/>
    <w:rsid w:val="1A6663A7"/>
    <w:rsid w:val="1A6839E3"/>
    <w:rsid w:val="1A692D3D"/>
    <w:rsid w:val="1A6D1EE0"/>
    <w:rsid w:val="1A6D338A"/>
    <w:rsid w:val="1A6D56B6"/>
    <w:rsid w:val="1A6D6B88"/>
    <w:rsid w:val="1A6E1783"/>
    <w:rsid w:val="1A752D84"/>
    <w:rsid w:val="1A75379D"/>
    <w:rsid w:val="1A7D7923"/>
    <w:rsid w:val="1A8101D4"/>
    <w:rsid w:val="1A812154"/>
    <w:rsid w:val="1A81344A"/>
    <w:rsid w:val="1A8918B0"/>
    <w:rsid w:val="1A8A3912"/>
    <w:rsid w:val="1A8D385B"/>
    <w:rsid w:val="1A8D3977"/>
    <w:rsid w:val="1A8D4CCD"/>
    <w:rsid w:val="1A910BC1"/>
    <w:rsid w:val="1A9445FD"/>
    <w:rsid w:val="1A952EBF"/>
    <w:rsid w:val="1A9741D9"/>
    <w:rsid w:val="1A980897"/>
    <w:rsid w:val="1A996A98"/>
    <w:rsid w:val="1A9B251D"/>
    <w:rsid w:val="1A9C66FB"/>
    <w:rsid w:val="1A9D346D"/>
    <w:rsid w:val="1A9D6167"/>
    <w:rsid w:val="1AA00BD8"/>
    <w:rsid w:val="1AA1580B"/>
    <w:rsid w:val="1AA50C28"/>
    <w:rsid w:val="1AA64E99"/>
    <w:rsid w:val="1AA70B22"/>
    <w:rsid w:val="1AA75EF3"/>
    <w:rsid w:val="1AA763A3"/>
    <w:rsid w:val="1AA766F9"/>
    <w:rsid w:val="1AA92BF9"/>
    <w:rsid w:val="1AA9696A"/>
    <w:rsid w:val="1AAB3336"/>
    <w:rsid w:val="1AAF6DDF"/>
    <w:rsid w:val="1AB131B5"/>
    <w:rsid w:val="1AB210C1"/>
    <w:rsid w:val="1AB53561"/>
    <w:rsid w:val="1AB53630"/>
    <w:rsid w:val="1AB8172C"/>
    <w:rsid w:val="1AB86BAD"/>
    <w:rsid w:val="1AB928E1"/>
    <w:rsid w:val="1ABB0230"/>
    <w:rsid w:val="1ABC11B0"/>
    <w:rsid w:val="1ABF55E6"/>
    <w:rsid w:val="1ABF70F2"/>
    <w:rsid w:val="1AC047C4"/>
    <w:rsid w:val="1AC13ABB"/>
    <w:rsid w:val="1AC25B01"/>
    <w:rsid w:val="1AC30126"/>
    <w:rsid w:val="1AC437A4"/>
    <w:rsid w:val="1AC63078"/>
    <w:rsid w:val="1AC67DF9"/>
    <w:rsid w:val="1ACD58E4"/>
    <w:rsid w:val="1ACF03B6"/>
    <w:rsid w:val="1ACF6DED"/>
    <w:rsid w:val="1AD1394D"/>
    <w:rsid w:val="1AD22429"/>
    <w:rsid w:val="1AD27C6F"/>
    <w:rsid w:val="1AD4112C"/>
    <w:rsid w:val="1AD4263E"/>
    <w:rsid w:val="1AD55263"/>
    <w:rsid w:val="1AD554F4"/>
    <w:rsid w:val="1AD85DAB"/>
    <w:rsid w:val="1AD87A44"/>
    <w:rsid w:val="1AD97F7E"/>
    <w:rsid w:val="1ADB0E3D"/>
    <w:rsid w:val="1ADB11F9"/>
    <w:rsid w:val="1AE41025"/>
    <w:rsid w:val="1AE54F7C"/>
    <w:rsid w:val="1AE60125"/>
    <w:rsid w:val="1AE654C9"/>
    <w:rsid w:val="1AE928D8"/>
    <w:rsid w:val="1AE93EEF"/>
    <w:rsid w:val="1AEB536B"/>
    <w:rsid w:val="1AEC178C"/>
    <w:rsid w:val="1AF000F5"/>
    <w:rsid w:val="1AF25280"/>
    <w:rsid w:val="1AF53561"/>
    <w:rsid w:val="1AF73881"/>
    <w:rsid w:val="1AF80472"/>
    <w:rsid w:val="1AF82313"/>
    <w:rsid w:val="1AF851FC"/>
    <w:rsid w:val="1AF86DF7"/>
    <w:rsid w:val="1AFD69BD"/>
    <w:rsid w:val="1B000AF5"/>
    <w:rsid w:val="1B00487C"/>
    <w:rsid w:val="1B005E6E"/>
    <w:rsid w:val="1B01292E"/>
    <w:rsid w:val="1B01679D"/>
    <w:rsid w:val="1B0366E7"/>
    <w:rsid w:val="1B047250"/>
    <w:rsid w:val="1B0603F2"/>
    <w:rsid w:val="1B0753F4"/>
    <w:rsid w:val="1B0D5B64"/>
    <w:rsid w:val="1B0D6EF9"/>
    <w:rsid w:val="1B0F79E3"/>
    <w:rsid w:val="1B100797"/>
    <w:rsid w:val="1B10401F"/>
    <w:rsid w:val="1B116590"/>
    <w:rsid w:val="1B132036"/>
    <w:rsid w:val="1B140C6C"/>
    <w:rsid w:val="1B1606A3"/>
    <w:rsid w:val="1B171E05"/>
    <w:rsid w:val="1B1A19D4"/>
    <w:rsid w:val="1B1B0556"/>
    <w:rsid w:val="1B1D1177"/>
    <w:rsid w:val="1B20244F"/>
    <w:rsid w:val="1B206770"/>
    <w:rsid w:val="1B227E53"/>
    <w:rsid w:val="1B231290"/>
    <w:rsid w:val="1B26620D"/>
    <w:rsid w:val="1B270F3F"/>
    <w:rsid w:val="1B293607"/>
    <w:rsid w:val="1B2A43AA"/>
    <w:rsid w:val="1B2A7344"/>
    <w:rsid w:val="1B2B3317"/>
    <w:rsid w:val="1B2C4DF3"/>
    <w:rsid w:val="1B2E1837"/>
    <w:rsid w:val="1B306943"/>
    <w:rsid w:val="1B317101"/>
    <w:rsid w:val="1B37237E"/>
    <w:rsid w:val="1B3B3B4E"/>
    <w:rsid w:val="1B3C333B"/>
    <w:rsid w:val="1B3D4F7E"/>
    <w:rsid w:val="1B3E040F"/>
    <w:rsid w:val="1B4174B6"/>
    <w:rsid w:val="1B4262A2"/>
    <w:rsid w:val="1B494EEE"/>
    <w:rsid w:val="1B4B310C"/>
    <w:rsid w:val="1B4C2CD0"/>
    <w:rsid w:val="1B4F18A9"/>
    <w:rsid w:val="1B5730DC"/>
    <w:rsid w:val="1B5763C6"/>
    <w:rsid w:val="1B5821AC"/>
    <w:rsid w:val="1B586332"/>
    <w:rsid w:val="1B592A1B"/>
    <w:rsid w:val="1B5B4E6F"/>
    <w:rsid w:val="1B5C7199"/>
    <w:rsid w:val="1B612029"/>
    <w:rsid w:val="1B613B19"/>
    <w:rsid w:val="1B622563"/>
    <w:rsid w:val="1B6320B5"/>
    <w:rsid w:val="1B636BA2"/>
    <w:rsid w:val="1B664F94"/>
    <w:rsid w:val="1B670508"/>
    <w:rsid w:val="1B697EA8"/>
    <w:rsid w:val="1B6D4F84"/>
    <w:rsid w:val="1B6F39CC"/>
    <w:rsid w:val="1B705F46"/>
    <w:rsid w:val="1B71376A"/>
    <w:rsid w:val="1B724FAE"/>
    <w:rsid w:val="1B7277CB"/>
    <w:rsid w:val="1B731AB6"/>
    <w:rsid w:val="1B742AD4"/>
    <w:rsid w:val="1B761F81"/>
    <w:rsid w:val="1B771929"/>
    <w:rsid w:val="1B7725C5"/>
    <w:rsid w:val="1B777534"/>
    <w:rsid w:val="1B7A57E7"/>
    <w:rsid w:val="1B7A5B8B"/>
    <w:rsid w:val="1B7E3953"/>
    <w:rsid w:val="1B7E4AD8"/>
    <w:rsid w:val="1B8617B4"/>
    <w:rsid w:val="1B866CAC"/>
    <w:rsid w:val="1B876A10"/>
    <w:rsid w:val="1B880596"/>
    <w:rsid w:val="1B8868F4"/>
    <w:rsid w:val="1B886DFC"/>
    <w:rsid w:val="1B894D83"/>
    <w:rsid w:val="1B8B5B13"/>
    <w:rsid w:val="1B8D43AB"/>
    <w:rsid w:val="1B8D68FF"/>
    <w:rsid w:val="1B8E1470"/>
    <w:rsid w:val="1B8E705B"/>
    <w:rsid w:val="1B901F01"/>
    <w:rsid w:val="1B921C1A"/>
    <w:rsid w:val="1B9238A2"/>
    <w:rsid w:val="1B925821"/>
    <w:rsid w:val="1B937EF6"/>
    <w:rsid w:val="1B94024E"/>
    <w:rsid w:val="1B952050"/>
    <w:rsid w:val="1B9630B1"/>
    <w:rsid w:val="1B972C67"/>
    <w:rsid w:val="1B9779B5"/>
    <w:rsid w:val="1B99324D"/>
    <w:rsid w:val="1B9B34AA"/>
    <w:rsid w:val="1B9C5D52"/>
    <w:rsid w:val="1B9E7A94"/>
    <w:rsid w:val="1BA05E29"/>
    <w:rsid w:val="1BA119B5"/>
    <w:rsid w:val="1BA3073B"/>
    <w:rsid w:val="1BA42498"/>
    <w:rsid w:val="1BA961E8"/>
    <w:rsid w:val="1BA97B32"/>
    <w:rsid w:val="1BAB3616"/>
    <w:rsid w:val="1BAC2957"/>
    <w:rsid w:val="1BB46C64"/>
    <w:rsid w:val="1BB55714"/>
    <w:rsid w:val="1BB71171"/>
    <w:rsid w:val="1BB759BC"/>
    <w:rsid w:val="1BB84D2B"/>
    <w:rsid w:val="1BBA0478"/>
    <w:rsid w:val="1BBF2028"/>
    <w:rsid w:val="1BBF54ED"/>
    <w:rsid w:val="1BC05BD7"/>
    <w:rsid w:val="1BC2224C"/>
    <w:rsid w:val="1BC23316"/>
    <w:rsid w:val="1BC420EB"/>
    <w:rsid w:val="1BC70F47"/>
    <w:rsid w:val="1BC84DB5"/>
    <w:rsid w:val="1BCD3930"/>
    <w:rsid w:val="1BD01CD5"/>
    <w:rsid w:val="1BD01F04"/>
    <w:rsid w:val="1BD1408D"/>
    <w:rsid w:val="1BD17232"/>
    <w:rsid w:val="1BD212DC"/>
    <w:rsid w:val="1BD55025"/>
    <w:rsid w:val="1BD87C47"/>
    <w:rsid w:val="1BDB35E8"/>
    <w:rsid w:val="1BDB6FF7"/>
    <w:rsid w:val="1BE051FE"/>
    <w:rsid w:val="1BE22097"/>
    <w:rsid w:val="1BE24E9B"/>
    <w:rsid w:val="1BE25706"/>
    <w:rsid w:val="1BE30738"/>
    <w:rsid w:val="1BE36DF0"/>
    <w:rsid w:val="1BE453D0"/>
    <w:rsid w:val="1BE51C24"/>
    <w:rsid w:val="1BE71967"/>
    <w:rsid w:val="1BF025D7"/>
    <w:rsid w:val="1BF156A7"/>
    <w:rsid w:val="1BF318CC"/>
    <w:rsid w:val="1BF45396"/>
    <w:rsid w:val="1BF53A55"/>
    <w:rsid w:val="1BF670AA"/>
    <w:rsid w:val="1BF76B65"/>
    <w:rsid w:val="1BF867AA"/>
    <w:rsid w:val="1BFF3A85"/>
    <w:rsid w:val="1BFFB0EB"/>
    <w:rsid w:val="1C002A97"/>
    <w:rsid w:val="1C0222E0"/>
    <w:rsid w:val="1C045FBA"/>
    <w:rsid w:val="1C0630A4"/>
    <w:rsid w:val="1C0B2D4B"/>
    <w:rsid w:val="1C0D24B3"/>
    <w:rsid w:val="1C0E7CC9"/>
    <w:rsid w:val="1C1147C7"/>
    <w:rsid w:val="1C127266"/>
    <w:rsid w:val="1C1404D8"/>
    <w:rsid w:val="1C155BA2"/>
    <w:rsid w:val="1C182779"/>
    <w:rsid w:val="1C1A5781"/>
    <w:rsid w:val="1C1F3A5A"/>
    <w:rsid w:val="1C204344"/>
    <w:rsid w:val="1C270D86"/>
    <w:rsid w:val="1C28380B"/>
    <w:rsid w:val="1C2A01C6"/>
    <w:rsid w:val="1C2A2A44"/>
    <w:rsid w:val="1C2C1199"/>
    <w:rsid w:val="1C2E7857"/>
    <w:rsid w:val="1C333E0C"/>
    <w:rsid w:val="1C340A06"/>
    <w:rsid w:val="1C34479A"/>
    <w:rsid w:val="1C3A5F7E"/>
    <w:rsid w:val="1C4117C6"/>
    <w:rsid w:val="1C412EAF"/>
    <w:rsid w:val="1C414105"/>
    <w:rsid w:val="1C425335"/>
    <w:rsid w:val="1C4260C4"/>
    <w:rsid w:val="1C471348"/>
    <w:rsid w:val="1C474CEB"/>
    <w:rsid w:val="1C4A21D3"/>
    <w:rsid w:val="1C4A534B"/>
    <w:rsid w:val="1C4B0D6E"/>
    <w:rsid w:val="1C4C3966"/>
    <w:rsid w:val="1C4C74DF"/>
    <w:rsid w:val="1C4E3EFB"/>
    <w:rsid w:val="1C4E6E53"/>
    <w:rsid w:val="1C505857"/>
    <w:rsid w:val="1C524470"/>
    <w:rsid w:val="1C5271E1"/>
    <w:rsid w:val="1C5340B9"/>
    <w:rsid w:val="1C560C2A"/>
    <w:rsid w:val="1C5823F6"/>
    <w:rsid w:val="1C5A1F0B"/>
    <w:rsid w:val="1C5C6A0D"/>
    <w:rsid w:val="1C5F67A6"/>
    <w:rsid w:val="1C60293D"/>
    <w:rsid w:val="1C627505"/>
    <w:rsid w:val="1C635A94"/>
    <w:rsid w:val="1C653A67"/>
    <w:rsid w:val="1C655503"/>
    <w:rsid w:val="1C670197"/>
    <w:rsid w:val="1C692019"/>
    <w:rsid w:val="1C694603"/>
    <w:rsid w:val="1C6A771F"/>
    <w:rsid w:val="1C6B5AF0"/>
    <w:rsid w:val="1C6B74C7"/>
    <w:rsid w:val="1C6D52D7"/>
    <w:rsid w:val="1C6D76C7"/>
    <w:rsid w:val="1C76287C"/>
    <w:rsid w:val="1C773662"/>
    <w:rsid w:val="1C774A62"/>
    <w:rsid w:val="1C790F71"/>
    <w:rsid w:val="1C8324E0"/>
    <w:rsid w:val="1C835BA8"/>
    <w:rsid w:val="1C8431EB"/>
    <w:rsid w:val="1C862AE2"/>
    <w:rsid w:val="1C87617B"/>
    <w:rsid w:val="1C8916FF"/>
    <w:rsid w:val="1C8D5C15"/>
    <w:rsid w:val="1C8E7BC6"/>
    <w:rsid w:val="1C916D7C"/>
    <w:rsid w:val="1C937865"/>
    <w:rsid w:val="1C956EE0"/>
    <w:rsid w:val="1C962F1E"/>
    <w:rsid w:val="1C967405"/>
    <w:rsid w:val="1C972D80"/>
    <w:rsid w:val="1C99288D"/>
    <w:rsid w:val="1C99463C"/>
    <w:rsid w:val="1C9C04DB"/>
    <w:rsid w:val="1C9C343A"/>
    <w:rsid w:val="1C9D237E"/>
    <w:rsid w:val="1C9F0025"/>
    <w:rsid w:val="1C9F13A6"/>
    <w:rsid w:val="1CA70134"/>
    <w:rsid w:val="1CA84662"/>
    <w:rsid w:val="1CAB7B24"/>
    <w:rsid w:val="1CAC10D0"/>
    <w:rsid w:val="1CAC5D90"/>
    <w:rsid w:val="1CAC70A6"/>
    <w:rsid w:val="1CAD1404"/>
    <w:rsid w:val="1CAD2655"/>
    <w:rsid w:val="1CAE2016"/>
    <w:rsid w:val="1CAE4714"/>
    <w:rsid w:val="1CB03090"/>
    <w:rsid w:val="1CB177B9"/>
    <w:rsid w:val="1CB46E6A"/>
    <w:rsid w:val="1CB502D5"/>
    <w:rsid w:val="1CB95341"/>
    <w:rsid w:val="1CBA1845"/>
    <w:rsid w:val="1CBA4AAB"/>
    <w:rsid w:val="1CBB6D16"/>
    <w:rsid w:val="1CBF00BB"/>
    <w:rsid w:val="1CBF61EF"/>
    <w:rsid w:val="1CC0315B"/>
    <w:rsid w:val="1CC05794"/>
    <w:rsid w:val="1CC071FD"/>
    <w:rsid w:val="1CC1048F"/>
    <w:rsid w:val="1CC33DA8"/>
    <w:rsid w:val="1CC61A56"/>
    <w:rsid w:val="1CC83716"/>
    <w:rsid w:val="1CC838E0"/>
    <w:rsid w:val="1CC952A2"/>
    <w:rsid w:val="1CCE4BAD"/>
    <w:rsid w:val="1CCF67C7"/>
    <w:rsid w:val="1CD118E8"/>
    <w:rsid w:val="1CD13CB8"/>
    <w:rsid w:val="1CD147AE"/>
    <w:rsid w:val="1CD316F0"/>
    <w:rsid w:val="1CD36A2D"/>
    <w:rsid w:val="1CD5426B"/>
    <w:rsid w:val="1CD60467"/>
    <w:rsid w:val="1CDA2A5C"/>
    <w:rsid w:val="1CDF0823"/>
    <w:rsid w:val="1CDF48C5"/>
    <w:rsid w:val="1CE14896"/>
    <w:rsid w:val="1CE313C8"/>
    <w:rsid w:val="1CE56E80"/>
    <w:rsid w:val="1CE64F9A"/>
    <w:rsid w:val="1CE8392E"/>
    <w:rsid w:val="1CE868DA"/>
    <w:rsid w:val="1CEE7214"/>
    <w:rsid w:val="1CF02DB7"/>
    <w:rsid w:val="1CF10996"/>
    <w:rsid w:val="1CF25A0B"/>
    <w:rsid w:val="1CF524D4"/>
    <w:rsid w:val="1CFA12B6"/>
    <w:rsid w:val="1CFA2FE3"/>
    <w:rsid w:val="1CFA53EC"/>
    <w:rsid w:val="1CFD4C6D"/>
    <w:rsid w:val="1CFE2DF7"/>
    <w:rsid w:val="1D0060CB"/>
    <w:rsid w:val="1D0065CB"/>
    <w:rsid w:val="1D010860"/>
    <w:rsid w:val="1D0143D4"/>
    <w:rsid w:val="1D024283"/>
    <w:rsid w:val="1D07486A"/>
    <w:rsid w:val="1D097B94"/>
    <w:rsid w:val="1D0C41B6"/>
    <w:rsid w:val="1D0E0256"/>
    <w:rsid w:val="1D121CA3"/>
    <w:rsid w:val="1D1274BC"/>
    <w:rsid w:val="1D152095"/>
    <w:rsid w:val="1D155969"/>
    <w:rsid w:val="1D176B37"/>
    <w:rsid w:val="1D1A58FD"/>
    <w:rsid w:val="1D1B2D44"/>
    <w:rsid w:val="1D1C3424"/>
    <w:rsid w:val="1D1D7919"/>
    <w:rsid w:val="1D22106A"/>
    <w:rsid w:val="1D2247B2"/>
    <w:rsid w:val="1D225EAC"/>
    <w:rsid w:val="1D257955"/>
    <w:rsid w:val="1D2663B3"/>
    <w:rsid w:val="1D2C518F"/>
    <w:rsid w:val="1D34476D"/>
    <w:rsid w:val="1D344985"/>
    <w:rsid w:val="1D37057A"/>
    <w:rsid w:val="1D370655"/>
    <w:rsid w:val="1D381E39"/>
    <w:rsid w:val="1D395A93"/>
    <w:rsid w:val="1D3A75B2"/>
    <w:rsid w:val="1D3B0115"/>
    <w:rsid w:val="1D3C5874"/>
    <w:rsid w:val="1D3E4E96"/>
    <w:rsid w:val="1D3F50B6"/>
    <w:rsid w:val="1D4110DC"/>
    <w:rsid w:val="1D413D75"/>
    <w:rsid w:val="1D43409B"/>
    <w:rsid w:val="1D4622AD"/>
    <w:rsid w:val="1D491D3F"/>
    <w:rsid w:val="1D4A6466"/>
    <w:rsid w:val="1D4D1952"/>
    <w:rsid w:val="1D4E0DD0"/>
    <w:rsid w:val="1D4E34F5"/>
    <w:rsid w:val="1D4F79E5"/>
    <w:rsid w:val="1D505D05"/>
    <w:rsid w:val="1D556260"/>
    <w:rsid w:val="1D556459"/>
    <w:rsid w:val="1D556CAC"/>
    <w:rsid w:val="1D584F73"/>
    <w:rsid w:val="1D592384"/>
    <w:rsid w:val="1D596426"/>
    <w:rsid w:val="1D5A57CC"/>
    <w:rsid w:val="1D5C5153"/>
    <w:rsid w:val="1D5E6C1D"/>
    <w:rsid w:val="1D6015A8"/>
    <w:rsid w:val="1D642009"/>
    <w:rsid w:val="1D650D29"/>
    <w:rsid w:val="1D6914C8"/>
    <w:rsid w:val="1D6A6E2C"/>
    <w:rsid w:val="1D6B438C"/>
    <w:rsid w:val="1D6C450E"/>
    <w:rsid w:val="1D6D1676"/>
    <w:rsid w:val="1D6F5736"/>
    <w:rsid w:val="1D70581A"/>
    <w:rsid w:val="1D711377"/>
    <w:rsid w:val="1D7232C2"/>
    <w:rsid w:val="1D744137"/>
    <w:rsid w:val="1D74500E"/>
    <w:rsid w:val="1D746477"/>
    <w:rsid w:val="1D79082F"/>
    <w:rsid w:val="1D796AC8"/>
    <w:rsid w:val="1D7E2E85"/>
    <w:rsid w:val="1D7E587B"/>
    <w:rsid w:val="1D7F7C1B"/>
    <w:rsid w:val="1D812C9D"/>
    <w:rsid w:val="1D81772B"/>
    <w:rsid w:val="1D820615"/>
    <w:rsid w:val="1D821285"/>
    <w:rsid w:val="1D831C29"/>
    <w:rsid w:val="1D833A87"/>
    <w:rsid w:val="1D8365F8"/>
    <w:rsid w:val="1D86318B"/>
    <w:rsid w:val="1D865A5E"/>
    <w:rsid w:val="1D8948B3"/>
    <w:rsid w:val="1D8D0DFB"/>
    <w:rsid w:val="1D8E1DDC"/>
    <w:rsid w:val="1D907ABC"/>
    <w:rsid w:val="1D946D4F"/>
    <w:rsid w:val="1D9655EB"/>
    <w:rsid w:val="1D985102"/>
    <w:rsid w:val="1D9A259A"/>
    <w:rsid w:val="1D9F3FEE"/>
    <w:rsid w:val="1DA04055"/>
    <w:rsid w:val="1DA3205D"/>
    <w:rsid w:val="1DA535EE"/>
    <w:rsid w:val="1DA631E0"/>
    <w:rsid w:val="1DA84CB7"/>
    <w:rsid w:val="1DA90DDF"/>
    <w:rsid w:val="1DAA3B97"/>
    <w:rsid w:val="1DAA6C81"/>
    <w:rsid w:val="1DAD6772"/>
    <w:rsid w:val="1DB268A9"/>
    <w:rsid w:val="1DC0586B"/>
    <w:rsid w:val="1DC1184C"/>
    <w:rsid w:val="1DC277FF"/>
    <w:rsid w:val="1DC279D5"/>
    <w:rsid w:val="1DC538ED"/>
    <w:rsid w:val="1DC55658"/>
    <w:rsid w:val="1DCB1555"/>
    <w:rsid w:val="1DCB67A1"/>
    <w:rsid w:val="1DCC3AE5"/>
    <w:rsid w:val="1DCC5707"/>
    <w:rsid w:val="1DCC6A78"/>
    <w:rsid w:val="1DCE6BD2"/>
    <w:rsid w:val="1DD42090"/>
    <w:rsid w:val="1DD457BC"/>
    <w:rsid w:val="1DD45F90"/>
    <w:rsid w:val="1DD51824"/>
    <w:rsid w:val="1DD651EE"/>
    <w:rsid w:val="1DD71940"/>
    <w:rsid w:val="1DDD3F85"/>
    <w:rsid w:val="1DDF0511"/>
    <w:rsid w:val="1DE20DFA"/>
    <w:rsid w:val="1DE320A1"/>
    <w:rsid w:val="1DE46933"/>
    <w:rsid w:val="1DE56CFA"/>
    <w:rsid w:val="1DE72751"/>
    <w:rsid w:val="1DE73ACF"/>
    <w:rsid w:val="1DEB09F8"/>
    <w:rsid w:val="1DED4074"/>
    <w:rsid w:val="1DEE676D"/>
    <w:rsid w:val="1DF033BE"/>
    <w:rsid w:val="1DF07352"/>
    <w:rsid w:val="1DF272E8"/>
    <w:rsid w:val="1DF30285"/>
    <w:rsid w:val="1DF32F59"/>
    <w:rsid w:val="1DF40EA1"/>
    <w:rsid w:val="1DF42FFF"/>
    <w:rsid w:val="1DF75C3F"/>
    <w:rsid w:val="1DF86095"/>
    <w:rsid w:val="1DFA1EA7"/>
    <w:rsid w:val="1DFA418E"/>
    <w:rsid w:val="1DFA5A94"/>
    <w:rsid w:val="1E0007A7"/>
    <w:rsid w:val="1E073005"/>
    <w:rsid w:val="1E093163"/>
    <w:rsid w:val="1E0A6472"/>
    <w:rsid w:val="1E0A65E3"/>
    <w:rsid w:val="1E1B2FDC"/>
    <w:rsid w:val="1E1B7875"/>
    <w:rsid w:val="1E1D6E24"/>
    <w:rsid w:val="1E205195"/>
    <w:rsid w:val="1E2144FF"/>
    <w:rsid w:val="1E214643"/>
    <w:rsid w:val="1E233D6A"/>
    <w:rsid w:val="1E2369CB"/>
    <w:rsid w:val="1E2463DE"/>
    <w:rsid w:val="1E254706"/>
    <w:rsid w:val="1E276277"/>
    <w:rsid w:val="1E2C3E35"/>
    <w:rsid w:val="1E2C63B0"/>
    <w:rsid w:val="1E2C677F"/>
    <w:rsid w:val="1E2F1603"/>
    <w:rsid w:val="1E2F4083"/>
    <w:rsid w:val="1E2F7187"/>
    <w:rsid w:val="1E306639"/>
    <w:rsid w:val="1E33147F"/>
    <w:rsid w:val="1E3348AE"/>
    <w:rsid w:val="1E3649B9"/>
    <w:rsid w:val="1E380731"/>
    <w:rsid w:val="1E3A3321"/>
    <w:rsid w:val="1E3B3FF2"/>
    <w:rsid w:val="1E3D40CD"/>
    <w:rsid w:val="1E3E292D"/>
    <w:rsid w:val="1E406C6D"/>
    <w:rsid w:val="1E426EBA"/>
    <w:rsid w:val="1E437FC3"/>
    <w:rsid w:val="1E457168"/>
    <w:rsid w:val="1E463DB3"/>
    <w:rsid w:val="1E4B5C04"/>
    <w:rsid w:val="1E4C0451"/>
    <w:rsid w:val="1E4C4AB7"/>
    <w:rsid w:val="1E4C5F8A"/>
    <w:rsid w:val="1E4C6864"/>
    <w:rsid w:val="1E4E07F7"/>
    <w:rsid w:val="1E4F034E"/>
    <w:rsid w:val="1E515ADB"/>
    <w:rsid w:val="1E522E75"/>
    <w:rsid w:val="1E555A36"/>
    <w:rsid w:val="1E5633AE"/>
    <w:rsid w:val="1E58492F"/>
    <w:rsid w:val="1E584B2A"/>
    <w:rsid w:val="1E59333D"/>
    <w:rsid w:val="1E65704C"/>
    <w:rsid w:val="1E671498"/>
    <w:rsid w:val="1E676920"/>
    <w:rsid w:val="1E690937"/>
    <w:rsid w:val="1E6B71B7"/>
    <w:rsid w:val="1E710B7B"/>
    <w:rsid w:val="1E717DA2"/>
    <w:rsid w:val="1E730F70"/>
    <w:rsid w:val="1E75315C"/>
    <w:rsid w:val="1E7574F3"/>
    <w:rsid w:val="1E76636D"/>
    <w:rsid w:val="1E774583"/>
    <w:rsid w:val="1E77751C"/>
    <w:rsid w:val="1E796402"/>
    <w:rsid w:val="1E7A1D7F"/>
    <w:rsid w:val="1E7B5F47"/>
    <w:rsid w:val="1E7C282F"/>
    <w:rsid w:val="1E7D075B"/>
    <w:rsid w:val="1E7F1C85"/>
    <w:rsid w:val="1E81037A"/>
    <w:rsid w:val="1E811969"/>
    <w:rsid w:val="1E813564"/>
    <w:rsid w:val="1E8520BE"/>
    <w:rsid w:val="1E892ACD"/>
    <w:rsid w:val="1E8A260F"/>
    <w:rsid w:val="1E8B73AF"/>
    <w:rsid w:val="1E963BCF"/>
    <w:rsid w:val="1E971C46"/>
    <w:rsid w:val="1E992F9C"/>
    <w:rsid w:val="1E9B49B4"/>
    <w:rsid w:val="1E9C30F9"/>
    <w:rsid w:val="1E9E36C6"/>
    <w:rsid w:val="1E9F4BE1"/>
    <w:rsid w:val="1E9F74DE"/>
    <w:rsid w:val="1EA51132"/>
    <w:rsid w:val="1EA563F8"/>
    <w:rsid w:val="1EA60C75"/>
    <w:rsid w:val="1EA74050"/>
    <w:rsid w:val="1EAB4764"/>
    <w:rsid w:val="1EAC0D7B"/>
    <w:rsid w:val="1EAC7D9B"/>
    <w:rsid w:val="1EAE1EFC"/>
    <w:rsid w:val="1EAE462F"/>
    <w:rsid w:val="1EB00629"/>
    <w:rsid w:val="1EB05022"/>
    <w:rsid w:val="1EB14E75"/>
    <w:rsid w:val="1EB9237B"/>
    <w:rsid w:val="1EB9478C"/>
    <w:rsid w:val="1EBB010F"/>
    <w:rsid w:val="1EC048CC"/>
    <w:rsid w:val="1EC43D73"/>
    <w:rsid w:val="1EC93E72"/>
    <w:rsid w:val="1ECB6626"/>
    <w:rsid w:val="1ECD1F5C"/>
    <w:rsid w:val="1ECE3DDF"/>
    <w:rsid w:val="1ED33FB6"/>
    <w:rsid w:val="1ED43DDB"/>
    <w:rsid w:val="1ED471B8"/>
    <w:rsid w:val="1ED638D0"/>
    <w:rsid w:val="1ED71E82"/>
    <w:rsid w:val="1ED74112"/>
    <w:rsid w:val="1ED80BE4"/>
    <w:rsid w:val="1EE34C7B"/>
    <w:rsid w:val="1EE920DE"/>
    <w:rsid w:val="1EEE248E"/>
    <w:rsid w:val="1EF046A1"/>
    <w:rsid w:val="1EF23CC4"/>
    <w:rsid w:val="1EF32392"/>
    <w:rsid w:val="1EF70BE2"/>
    <w:rsid w:val="1EF916F5"/>
    <w:rsid w:val="1EFB3FA1"/>
    <w:rsid w:val="1EFB4B04"/>
    <w:rsid w:val="1EFB6F24"/>
    <w:rsid w:val="1EFC4C0E"/>
    <w:rsid w:val="1EFD1C10"/>
    <w:rsid w:val="1EFF4E74"/>
    <w:rsid w:val="1F0423C1"/>
    <w:rsid w:val="1F06014E"/>
    <w:rsid w:val="1F062FFB"/>
    <w:rsid w:val="1F070751"/>
    <w:rsid w:val="1F0B09CF"/>
    <w:rsid w:val="1F0C6DD3"/>
    <w:rsid w:val="1F0E78DC"/>
    <w:rsid w:val="1F101943"/>
    <w:rsid w:val="1F106FB8"/>
    <w:rsid w:val="1F117D55"/>
    <w:rsid w:val="1F1545CE"/>
    <w:rsid w:val="1F1562ED"/>
    <w:rsid w:val="1F157F65"/>
    <w:rsid w:val="1F1900D3"/>
    <w:rsid w:val="1F190B78"/>
    <w:rsid w:val="1F194D4E"/>
    <w:rsid w:val="1F1B4BAE"/>
    <w:rsid w:val="1F1F33BE"/>
    <w:rsid w:val="1F2307CD"/>
    <w:rsid w:val="1F2469B7"/>
    <w:rsid w:val="1F257165"/>
    <w:rsid w:val="1F264A2D"/>
    <w:rsid w:val="1F2809B7"/>
    <w:rsid w:val="1F2A0829"/>
    <w:rsid w:val="1F2A79A8"/>
    <w:rsid w:val="1F2A7D79"/>
    <w:rsid w:val="1F2F113C"/>
    <w:rsid w:val="1F310D57"/>
    <w:rsid w:val="1F342880"/>
    <w:rsid w:val="1F37766C"/>
    <w:rsid w:val="1F387F99"/>
    <w:rsid w:val="1F3A2287"/>
    <w:rsid w:val="1F3A6E49"/>
    <w:rsid w:val="1F3D743E"/>
    <w:rsid w:val="1F3E1DD1"/>
    <w:rsid w:val="1F3F1C4F"/>
    <w:rsid w:val="1F406224"/>
    <w:rsid w:val="1F4439B3"/>
    <w:rsid w:val="1F472DE4"/>
    <w:rsid w:val="1F484019"/>
    <w:rsid w:val="1F4A359A"/>
    <w:rsid w:val="1F4C7E03"/>
    <w:rsid w:val="1F4E7AE0"/>
    <w:rsid w:val="1F521020"/>
    <w:rsid w:val="1F52137F"/>
    <w:rsid w:val="1F522BB8"/>
    <w:rsid w:val="1F540DE5"/>
    <w:rsid w:val="1F5531F2"/>
    <w:rsid w:val="1F566401"/>
    <w:rsid w:val="1F595E6E"/>
    <w:rsid w:val="1F5C7243"/>
    <w:rsid w:val="1F5C7D72"/>
    <w:rsid w:val="1F6115C5"/>
    <w:rsid w:val="1F616D94"/>
    <w:rsid w:val="1F63204A"/>
    <w:rsid w:val="1F646872"/>
    <w:rsid w:val="1F6B68E4"/>
    <w:rsid w:val="1F6C1BBB"/>
    <w:rsid w:val="1F6C6F7E"/>
    <w:rsid w:val="1F701712"/>
    <w:rsid w:val="1F703F22"/>
    <w:rsid w:val="1F7053DD"/>
    <w:rsid w:val="1F723CD0"/>
    <w:rsid w:val="1F730E77"/>
    <w:rsid w:val="1F73441C"/>
    <w:rsid w:val="1F7872AB"/>
    <w:rsid w:val="1F7C5F99"/>
    <w:rsid w:val="1F7C706B"/>
    <w:rsid w:val="1F7D1A31"/>
    <w:rsid w:val="1F7F4E42"/>
    <w:rsid w:val="1F843502"/>
    <w:rsid w:val="1F8501AD"/>
    <w:rsid w:val="1F866E7D"/>
    <w:rsid w:val="1F873C94"/>
    <w:rsid w:val="1F896344"/>
    <w:rsid w:val="1F8A030D"/>
    <w:rsid w:val="1F9000F9"/>
    <w:rsid w:val="1F915368"/>
    <w:rsid w:val="1F980D5B"/>
    <w:rsid w:val="1F993BDD"/>
    <w:rsid w:val="1F9A3E86"/>
    <w:rsid w:val="1F9C39CA"/>
    <w:rsid w:val="1F9D6A9E"/>
    <w:rsid w:val="1FA10645"/>
    <w:rsid w:val="1FA7008A"/>
    <w:rsid w:val="1FAC375F"/>
    <w:rsid w:val="1FAD209A"/>
    <w:rsid w:val="1FAE4B27"/>
    <w:rsid w:val="1FB45B95"/>
    <w:rsid w:val="1FB6131A"/>
    <w:rsid w:val="1FB7286F"/>
    <w:rsid w:val="1FB829D5"/>
    <w:rsid w:val="1FBD09D9"/>
    <w:rsid w:val="1FBE07C2"/>
    <w:rsid w:val="1FBE1F1B"/>
    <w:rsid w:val="1FBE2043"/>
    <w:rsid w:val="1FC00BF9"/>
    <w:rsid w:val="1FC04636"/>
    <w:rsid w:val="1FC252A5"/>
    <w:rsid w:val="1FC27F67"/>
    <w:rsid w:val="1FC30285"/>
    <w:rsid w:val="1FC76013"/>
    <w:rsid w:val="1FCA7FD8"/>
    <w:rsid w:val="1FCB0D39"/>
    <w:rsid w:val="1FCB1131"/>
    <w:rsid w:val="1FCB2441"/>
    <w:rsid w:val="1FCF5F55"/>
    <w:rsid w:val="1FD2396F"/>
    <w:rsid w:val="1FD56025"/>
    <w:rsid w:val="1FD66D1C"/>
    <w:rsid w:val="1FD75D28"/>
    <w:rsid w:val="1FDC01D6"/>
    <w:rsid w:val="1FDF0083"/>
    <w:rsid w:val="1FDF60C6"/>
    <w:rsid w:val="1FE022B2"/>
    <w:rsid w:val="1FE167E8"/>
    <w:rsid w:val="1FE2377D"/>
    <w:rsid w:val="1FE47FBB"/>
    <w:rsid w:val="1FE67AEE"/>
    <w:rsid w:val="1FE809ED"/>
    <w:rsid w:val="1FED199B"/>
    <w:rsid w:val="1FEF05DE"/>
    <w:rsid w:val="1FF056FF"/>
    <w:rsid w:val="1FF24910"/>
    <w:rsid w:val="1FF40031"/>
    <w:rsid w:val="1FF406C5"/>
    <w:rsid w:val="1FF64E7C"/>
    <w:rsid w:val="1FF95C9E"/>
    <w:rsid w:val="1FFB44CB"/>
    <w:rsid w:val="1FFE0971"/>
    <w:rsid w:val="1FFE677F"/>
    <w:rsid w:val="2001630F"/>
    <w:rsid w:val="20025C29"/>
    <w:rsid w:val="20032EF5"/>
    <w:rsid w:val="2003531B"/>
    <w:rsid w:val="20041FBA"/>
    <w:rsid w:val="20057C0C"/>
    <w:rsid w:val="20057D76"/>
    <w:rsid w:val="20075B74"/>
    <w:rsid w:val="20082FF6"/>
    <w:rsid w:val="20094EBD"/>
    <w:rsid w:val="200A2C96"/>
    <w:rsid w:val="200B16BE"/>
    <w:rsid w:val="200D34F7"/>
    <w:rsid w:val="20105AD6"/>
    <w:rsid w:val="20145CDF"/>
    <w:rsid w:val="20165858"/>
    <w:rsid w:val="2017482A"/>
    <w:rsid w:val="20177EC3"/>
    <w:rsid w:val="201B2C9D"/>
    <w:rsid w:val="201C2B70"/>
    <w:rsid w:val="201C4DAF"/>
    <w:rsid w:val="201D1034"/>
    <w:rsid w:val="201D6750"/>
    <w:rsid w:val="201E612E"/>
    <w:rsid w:val="201E74B3"/>
    <w:rsid w:val="201F661A"/>
    <w:rsid w:val="20212CC1"/>
    <w:rsid w:val="202626FF"/>
    <w:rsid w:val="20286837"/>
    <w:rsid w:val="202B67CD"/>
    <w:rsid w:val="202D5C9C"/>
    <w:rsid w:val="202D761A"/>
    <w:rsid w:val="202E1FA4"/>
    <w:rsid w:val="202E3715"/>
    <w:rsid w:val="20307ADC"/>
    <w:rsid w:val="20350C05"/>
    <w:rsid w:val="20394825"/>
    <w:rsid w:val="20395684"/>
    <w:rsid w:val="203F791C"/>
    <w:rsid w:val="20401B1F"/>
    <w:rsid w:val="2040567B"/>
    <w:rsid w:val="20406B0C"/>
    <w:rsid w:val="204431FB"/>
    <w:rsid w:val="20456799"/>
    <w:rsid w:val="204668DB"/>
    <w:rsid w:val="204727B4"/>
    <w:rsid w:val="204B3438"/>
    <w:rsid w:val="204B653F"/>
    <w:rsid w:val="204C4AC1"/>
    <w:rsid w:val="204D06FB"/>
    <w:rsid w:val="20513B95"/>
    <w:rsid w:val="205539E7"/>
    <w:rsid w:val="20560807"/>
    <w:rsid w:val="20566E29"/>
    <w:rsid w:val="20574952"/>
    <w:rsid w:val="205C1468"/>
    <w:rsid w:val="205E267B"/>
    <w:rsid w:val="205F6247"/>
    <w:rsid w:val="20607432"/>
    <w:rsid w:val="20675A92"/>
    <w:rsid w:val="20696079"/>
    <w:rsid w:val="206A2081"/>
    <w:rsid w:val="206B18BE"/>
    <w:rsid w:val="206B7CD9"/>
    <w:rsid w:val="206E1862"/>
    <w:rsid w:val="206F4BA1"/>
    <w:rsid w:val="2071106A"/>
    <w:rsid w:val="2074101E"/>
    <w:rsid w:val="20754A08"/>
    <w:rsid w:val="20781124"/>
    <w:rsid w:val="20781B60"/>
    <w:rsid w:val="207F2C01"/>
    <w:rsid w:val="2080433D"/>
    <w:rsid w:val="20805FE2"/>
    <w:rsid w:val="20821233"/>
    <w:rsid w:val="208367AB"/>
    <w:rsid w:val="208375C9"/>
    <w:rsid w:val="208434B0"/>
    <w:rsid w:val="208577F4"/>
    <w:rsid w:val="208867E7"/>
    <w:rsid w:val="2089727F"/>
    <w:rsid w:val="208B582C"/>
    <w:rsid w:val="208B7ABB"/>
    <w:rsid w:val="208C3700"/>
    <w:rsid w:val="208D4A74"/>
    <w:rsid w:val="208E4638"/>
    <w:rsid w:val="20910D8D"/>
    <w:rsid w:val="20920130"/>
    <w:rsid w:val="2092053F"/>
    <w:rsid w:val="20973F7C"/>
    <w:rsid w:val="20996F10"/>
    <w:rsid w:val="209B5764"/>
    <w:rsid w:val="209D4648"/>
    <w:rsid w:val="20A15CEC"/>
    <w:rsid w:val="20A34729"/>
    <w:rsid w:val="20A53730"/>
    <w:rsid w:val="20A56C6C"/>
    <w:rsid w:val="20A64554"/>
    <w:rsid w:val="20A77A96"/>
    <w:rsid w:val="20A83220"/>
    <w:rsid w:val="20AD4999"/>
    <w:rsid w:val="20AE7D28"/>
    <w:rsid w:val="20B15242"/>
    <w:rsid w:val="20B20329"/>
    <w:rsid w:val="20B307BE"/>
    <w:rsid w:val="20B35EED"/>
    <w:rsid w:val="20B43F07"/>
    <w:rsid w:val="20B63388"/>
    <w:rsid w:val="20B72176"/>
    <w:rsid w:val="20B775A0"/>
    <w:rsid w:val="20BA0CB0"/>
    <w:rsid w:val="20BB425E"/>
    <w:rsid w:val="20BB4C4E"/>
    <w:rsid w:val="20BB55E2"/>
    <w:rsid w:val="20BC0669"/>
    <w:rsid w:val="20BC3088"/>
    <w:rsid w:val="20C148B5"/>
    <w:rsid w:val="20C4005A"/>
    <w:rsid w:val="20C506B6"/>
    <w:rsid w:val="20C666FF"/>
    <w:rsid w:val="20C667C9"/>
    <w:rsid w:val="20C7544F"/>
    <w:rsid w:val="20C81173"/>
    <w:rsid w:val="20C844ED"/>
    <w:rsid w:val="20C94425"/>
    <w:rsid w:val="20C976C0"/>
    <w:rsid w:val="20C978DA"/>
    <w:rsid w:val="20CA284D"/>
    <w:rsid w:val="20CA2E9E"/>
    <w:rsid w:val="20CA76E1"/>
    <w:rsid w:val="20CB4302"/>
    <w:rsid w:val="20CD2404"/>
    <w:rsid w:val="20D45B88"/>
    <w:rsid w:val="20D51F73"/>
    <w:rsid w:val="20D5688D"/>
    <w:rsid w:val="20D6491A"/>
    <w:rsid w:val="20D73165"/>
    <w:rsid w:val="20D81004"/>
    <w:rsid w:val="20D85DE1"/>
    <w:rsid w:val="20D91215"/>
    <w:rsid w:val="20DB0B1F"/>
    <w:rsid w:val="20DB55F1"/>
    <w:rsid w:val="20DE6C42"/>
    <w:rsid w:val="20DF162A"/>
    <w:rsid w:val="20E209C7"/>
    <w:rsid w:val="20E37B44"/>
    <w:rsid w:val="20E73070"/>
    <w:rsid w:val="20E8307A"/>
    <w:rsid w:val="20E8452F"/>
    <w:rsid w:val="20EC1DC8"/>
    <w:rsid w:val="20EC66B2"/>
    <w:rsid w:val="20F9314F"/>
    <w:rsid w:val="20F93224"/>
    <w:rsid w:val="20F94EDF"/>
    <w:rsid w:val="20F96243"/>
    <w:rsid w:val="20FA2230"/>
    <w:rsid w:val="210178CB"/>
    <w:rsid w:val="21032266"/>
    <w:rsid w:val="21050948"/>
    <w:rsid w:val="2105765D"/>
    <w:rsid w:val="21076199"/>
    <w:rsid w:val="21091481"/>
    <w:rsid w:val="210A3896"/>
    <w:rsid w:val="210E0A42"/>
    <w:rsid w:val="21101573"/>
    <w:rsid w:val="21122C34"/>
    <w:rsid w:val="211458A6"/>
    <w:rsid w:val="2117762A"/>
    <w:rsid w:val="21187BA4"/>
    <w:rsid w:val="211B6DA5"/>
    <w:rsid w:val="211F1D90"/>
    <w:rsid w:val="211F73A2"/>
    <w:rsid w:val="21272EAB"/>
    <w:rsid w:val="21294C6D"/>
    <w:rsid w:val="212A0D2D"/>
    <w:rsid w:val="212B2D3E"/>
    <w:rsid w:val="212E3725"/>
    <w:rsid w:val="213462AE"/>
    <w:rsid w:val="213A6518"/>
    <w:rsid w:val="213C0F81"/>
    <w:rsid w:val="213C5645"/>
    <w:rsid w:val="213F00B1"/>
    <w:rsid w:val="21406777"/>
    <w:rsid w:val="21411104"/>
    <w:rsid w:val="214152F5"/>
    <w:rsid w:val="21415847"/>
    <w:rsid w:val="21426F2A"/>
    <w:rsid w:val="214473ED"/>
    <w:rsid w:val="214475ED"/>
    <w:rsid w:val="21471BB1"/>
    <w:rsid w:val="21484601"/>
    <w:rsid w:val="214960DD"/>
    <w:rsid w:val="214B2529"/>
    <w:rsid w:val="214E3C67"/>
    <w:rsid w:val="214F784D"/>
    <w:rsid w:val="21500B2C"/>
    <w:rsid w:val="21505D92"/>
    <w:rsid w:val="21507AC1"/>
    <w:rsid w:val="21515684"/>
    <w:rsid w:val="215273C1"/>
    <w:rsid w:val="215357B0"/>
    <w:rsid w:val="21560E3D"/>
    <w:rsid w:val="21562C7C"/>
    <w:rsid w:val="2158534F"/>
    <w:rsid w:val="21590027"/>
    <w:rsid w:val="215C1F6E"/>
    <w:rsid w:val="215E2FC8"/>
    <w:rsid w:val="215E6FFB"/>
    <w:rsid w:val="215F05C5"/>
    <w:rsid w:val="215F534E"/>
    <w:rsid w:val="21634C86"/>
    <w:rsid w:val="21681885"/>
    <w:rsid w:val="21681AE1"/>
    <w:rsid w:val="216C1C82"/>
    <w:rsid w:val="216C7D8A"/>
    <w:rsid w:val="216D6944"/>
    <w:rsid w:val="216E3010"/>
    <w:rsid w:val="216F75BF"/>
    <w:rsid w:val="21723455"/>
    <w:rsid w:val="21727F33"/>
    <w:rsid w:val="21752C6A"/>
    <w:rsid w:val="2175665D"/>
    <w:rsid w:val="2177112E"/>
    <w:rsid w:val="21771570"/>
    <w:rsid w:val="21775488"/>
    <w:rsid w:val="217771AD"/>
    <w:rsid w:val="217816F9"/>
    <w:rsid w:val="21792C9C"/>
    <w:rsid w:val="217A23E0"/>
    <w:rsid w:val="217B3EBB"/>
    <w:rsid w:val="217D1F03"/>
    <w:rsid w:val="217D645B"/>
    <w:rsid w:val="217E4F0A"/>
    <w:rsid w:val="217F2E9A"/>
    <w:rsid w:val="21820A6F"/>
    <w:rsid w:val="2182174B"/>
    <w:rsid w:val="21877F22"/>
    <w:rsid w:val="218A3754"/>
    <w:rsid w:val="218A37A7"/>
    <w:rsid w:val="218C7852"/>
    <w:rsid w:val="218D327C"/>
    <w:rsid w:val="218D48F0"/>
    <w:rsid w:val="218D68AC"/>
    <w:rsid w:val="218F748F"/>
    <w:rsid w:val="2196789E"/>
    <w:rsid w:val="219A280D"/>
    <w:rsid w:val="219C208B"/>
    <w:rsid w:val="219D516C"/>
    <w:rsid w:val="219F4A8E"/>
    <w:rsid w:val="21A0501F"/>
    <w:rsid w:val="21A11535"/>
    <w:rsid w:val="21A14A21"/>
    <w:rsid w:val="21A31816"/>
    <w:rsid w:val="21A31F1F"/>
    <w:rsid w:val="21A461D7"/>
    <w:rsid w:val="21A52694"/>
    <w:rsid w:val="21A763B6"/>
    <w:rsid w:val="21A82CDD"/>
    <w:rsid w:val="21AA3E73"/>
    <w:rsid w:val="21AC7703"/>
    <w:rsid w:val="21AD0AEE"/>
    <w:rsid w:val="21AD61F7"/>
    <w:rsid w:val="21AE34F5"/>
    <w:rsid w:val="21AE75E0"/>
    <w:rsid w:val="21AF0C5F"/>
    <w:rsid w:val="21B50665"/>
    <w:rsid w:val="21B514DD"/>
    <w:rsid w:val="21B7196D"/>
    <w:rsid w:val="21BA66BB"/>
    <w:rsid w:val="21BC3040"/>
    <w:rsid w:val="21BC3AA3"/>
    <w:rsid w:val="21BD37F4"/>
    <w:rsid w:val="21BE0763"/>
    <w:rsid w:val="21BE74A4"/>
    <w:rsid w:val="21C02C2E"/>
    <w:rsid w:val="21C127EB"/>
    <w:rsid w:val="21C2480E"/>
    <w:rsid w:val="21C440BD"/>
    <w:rsid w:val="21C63FF8"/>
    <w:rsid w:val="21C7128D"/>
    <w:rsid w:val="21C97018"/>
    <w:rsid w:val="21CC6D65"/>
    <w:rsid w:val="21D42B6B"/>
    <w:rsid w:val="21D5515E"/>
    <w:rsid w:val="21DA1AFF"/>
    <w:rsid w:val="21DB48C2"/>
    <w:rsid w:val="21DB7D71"/>
    <w:rsid w:val="21DC13D3"/>
    <w:rsid w:val="21DE0D09"/>
    <w:rsid w:val="21DF1EE6"/>
    <w:rsid w:val="21E17AC7"/>
    <w:rsid w:val="21E22B57"/>
    <w:rsid w:val="21E41A06"/>
    <w:rsid w:val="21E4686A"/>
    <w:rsid w:val="21E86EE0"/>
    <w:rsid w:val="21EA663C"/>
    <w:rsid w:val="21EB0143"/>
    <w:rsid w:val="21ED3171"/>
    <w:rsid w:val="21EE3581"/>
    <w:rsid w:val="21EF63FF"/>
    <w:rsid w:val="21F42BC1"/>
    <w:rsid w:val="21F76CF1"/>
    <w:rsid w:val="21F836D5"/>
    <w:rsid w:val="21FD1000"/>
    <w:rsid w:val="21FD5C40"/>
    <w:rsid w:val="21FF271E"/>
    <w:rsid w:val="220459D3"/>
    <w:rsid w:val="22052AA9"/>
    <w:rsid w:val="220821C8"/>
    <w:rsid w:val="220A0650"/>
    <w:rsid w:val="220A4192"/>
    <w:rsid w:val="220B3BDA"/>
    <w:rsid w:val="220D4376"/>
    <w:rsid w:val="220E7A97"/>
    <w:rsid w:val="220F3557"/>
    <w:rsid w:val="22130C87"/>
    <w:rsid w:val="2213344D"/>
    <w:rsid w:val="221352F9"/>
    <w:rsid w:val="22152D56"/>
    <w:rsid w:val="22153A04"/>
    <w:rsid w:val="22156A0A"/>
    <w:rsid w:val="22193A6B"/>
    <w:rsid w:val="221A4255"/>
    <w:rsid w:val="221D53A9"/>
    <w:rsid w:val="221E68D1"/>
    <w:rsid w:val="222045B4"/>
    <w:rsid w:val="22230DB0"/>
    <w:rsid w:val="22272F7E"/>
    <w:rsid w:val="22275890"/>
    <w:rsid w:val="222977BF"/>
    <w:rsid w:val="222A3EBF"/>
    <w:rsid w:val="222B08AC"/>
    <w:rsid w:val="22303193"/>
    <w:rsid w:val="22317D49"/>
    <w:rsid w:val="22332FB0"/>
    <w:rsid w:val="223448BB"/>
    <w:rsid w:val="22355311"/>
    <w:rsid w:val="223653C8"/>
    <w:rsid w:val="22375DBC"/>
    <w:rsid w:val="22396769"/>
    <w:rsid w:val="223B7547"/>
    <w:rsid w:val="223C6316"/>
    <w:rsid w:val="223D5923"/>
    <w:rsid w:val="223D76F5"/>
    <w:rsid w:val="223F1CE7"/>
    <w:rsid w:val="223F3975"/>
    <w:rsid w:val="22421B7E"/>
    <w:rsid w:val="22423195"/>
    <w:rsid w:val="22472308"/>
    <w:rsid w:val="224B3056"/>
    <w:rsid w:val="224F5870"/>
    <w:rsid w:val="224F6049"/>
    <w:rsid w:val="224F6E20"/>
    <w:rsid w:val="22534CB2"/>
    <w:rsid w:val="22541877"/>
    <w:rsid w:val="22555611"/>
    <w:rsid w:val="225673D8"/>
    <w:rsid w:val="225717B7"/>
    <w:rsid w:val="22597968"/>
    <w:rsid w:val="225A4E73"/>
    <w:rsid w:val="225B6783"/>
    <w:rsid w:val="225C0895"/>
    <w:rsid w:val="225C30F2"/>
    <w:rsid w:val="225E628C"/>
    <w:rsid w:val="22603BFE"/>
    <w:rsid w:val="22613914"/>
    <w:rsid w:val="226338A3"/>
    <w:rsid w:val="22663D70"/>
    <w:rsid w:val="226661B3"/>
    <w:rsid w:val="22667E94"/>
    <w:rsid w:val="226760EE"/>
    <w:rsid w:val="226939BD"/>
    <w:rsid w:val="22696FF6"/>
    <w:rsid w:val="226A681F"/>
    <w:rsid w:val="226C247D"/>
    <w:rsid w:val="226C54B0"/>
    <w:rsid w:val="226F11A4"/>
    <w:rsid w:val="2272124E"/>
    <w:rsid w:val="227312C7"/>
    <w:rsid w:val="227573C8"/>
    <w:rsid w:val="227632AD"/>
    <w:rsid w:val="22791A6E"/>
    <w:rsid w:val="227C19E1"/>
    <w:rsid w:val="227D63EA"/>
    <w:rsid w:val="228B50BD"/>
    <w:rsid w:val="228B5C6D"/>
    <w:rsid w:val="228D23E6"/>
    <w:rsid w:val="228F5316"/>
    <w:rsid w:val="228F6446"/>
    <w:rsid w:val="229031D7"/>
    <w:rsid w:val="22942D6A"/>
    <w:rsid w:val="22965B95"/>
    <w:rsid w:val="22980BD0"/>
    <w:rsid w:val="22995DDE"/>
    <w:rsid w:val="229A12DC"/>
    <w:rsid w:val="229A235A"/>
    <w:rsid w:val="229A3A5C"/>
    <w:rsid w:val="229B30CC"/>
    <w:rsid w:val="229D4790"/>
    <w:rsid w:val="229E2B2D"/>
    <w:rsid w:val="22A02F77"/>
    <w:rsid w:val="22A04AF7"/>
    <w:rsid w:val="22A21625"/>
    <w:rsid w:val="22A22BB7"/>
    <w:rsid w:val="22A32073"/>
    <w:rsid w:val="22A40CAF"/>
    <w:rsid w:val="22A5210D"/>
    <w:rsid w:val="22A666EF"/>
    <w:rsid w:val="22A77C33"/>
    <w:rsid w:val="22A8273E"/>
    <w:rsid w:val="22A84221"/>
    <w:rsid w:val="22AF2694"/>
    <w:rsid w:val="22B13524"/>
    <w:rsid w:val="22B1460E"/>
    <w:rsid w:val="22B20386"/>
    <w:rsid w:val="22B42625"/>
    <w:rsid w:val="22B614A0"/>
    <w:rsid w:val="22B64171"/>
    <w:rsid w:val="22BB18C5"/>
    <w:rsid w:val="22BD5F40"/>
    <w:rsid w:val="22BE5AF0"/>
    <w:rsid w:val="22BF0D6A"/>
    <w:rsid w:val="22BF3AA4"/>
    <w:rsid w:val="22C4346C"/>
    <w:rsid w:val="22C61EF5"/>
    <w:rsid w:val="22C81DCD"/>
    <w:rsid w:val="22CD4D8E"/>
    <w:rsid w:val="22CD5AEC"/>
    <w:rsid w:val="22D017C5"/>
    <w:rsid w:val="22D41BC4"/>
    <w:rsid w:val="22D622C7"/>
    <w:rsid w:val="22D7213E"/>
    <w:rsid w:val="22D72C9A"/>
    <w:rsid w:val="22D80CBB"/>
    <w:rsid w:val="22D8306F"/>
    <w:rsid w:val="22DD3655"/>
    <w:rsid w:val="22DD6778"/>
    <w:rsid w:val="22DF1EFF"/>
    <w:rsid w:val="22DF5B82"/>
    <w:rsid w:val="22E16F3C"/>
    <w:rsid w:val="22E20C6B"/>
    <w:rsid w:val="22E31A13"/>
    <w:rsid w:val="22E44AE9"/>
    <w:rsid w:val="22E50EBA"/>
    <w:rsid w:val="22E62ADA"/>
    <w:rsid w:val="22E6680C"/>
    <w:rsid w:val="22E71CBC"/>
    <w:rsid w:val="22E80C30"/>
    <w:rsid w:val="22E977F3"/>
    <w:rsid w:val="22EA47C0"/>
    <w:rsid w:val="22EB1241"/>
    <w:rsid w:val="22EB4F1B"/>
    <w:rsid w:val="22EC3578"/>
    <w:rsid w:val="22EC5646"/>
    <w:rsid w:val="22EE1451"/>
    <w:rsid w:val="22EF1837"/>
    <w:rsid w:val="22F628C7"/>
    <w:rsid w:val="22F74F06"/>
    <w:rsid w:val="22F7761A"/>
    <w:rsid w:val="22F77F3A"/>
    <w:rsid w:val="22F82E41"/>
    <w:rsid w:val="22F85AD1"/>
    <w:rsid w:val="22F85FBE"/>
    <w:rsid w:val="22F9611A"/>
    <w:rsid w:val="22FE3C93"/>
    <w:rsid w:val="23001ECC"/>
    <w:rsid w:val="23007C02"/>
    <w:rsid w:val="230166BE"/>
    <w:rsid w:val="23061901"/>
    <w:rsid w:val="230666A5"/>
    <w:rsid w:val="2309269C"/>
    <w:rsid w:val="230961F8"/>
    <w:rsid w:val="230A19D0"/>
    <w:rsid w:val="23105509"/>
    <w:rsid w:val="23126452"/>
    <w:rsid w:val="23142F4E"/>
    <w:rsid w:val="23145280"/>
    <w:rsid w:val="23164DB9"/>
    <w:rsid w:val="2316746F"/>
    <w:rsid w:val="23196BA5"/>
    <w:rsid w:val="231A3A5E"/>
    <w:rsid w:val="231C1577"/>
    <w:rsid w:val="231F68E6"/>
    <w:rsid w:val="231F760A"/>
    <w:rsid w:val="232003BF"/>
    <w:rsid w:val="23212AFA"/>
    <w:rsid w:val="23224136"/>
    <w:rsid w:val="23243032"/>
    <w:rsid w:val="23271873"/>
    <w:rsid w:val="23284A1A"/>
    <w:rsid w:val="23294316"/>
    <w:rsid w:val="232A7998"/>
    <w:rsid w:val="232D0E7A"/>
    <w:rsid w:val="232E461B"/>
    <w:rsid w:val="233200D8"/>
    <w:rsid w:val="233464DC"/>
    <w:rsid w:val="23363129"/>
    <w:rsid w:val="23384DBA"/>
    <w:rsid w:val="23396ADA"/>
    <w:rsid w:val="233C12C7"/>
    <w:rsid w:val="233C5D26"/>
    <w:rsid w:val="233D1D2A"/>
    <w:rsid w:val="233E3694"/>
    <w:rsid w:val="23400B66"/>
    <w:rsid w:val="23424782"/>
    <w:rsid w:val="23453A67"/>
    <w:rsid w:val="2346513A"/>
    <w:rsid w:val="234669A1"/>
    <w:rsid w:val="234B2097"/>
    <w:rsid w:val="234D45AB"/>
    <w:rsid w:val="235458BD"/>
    <w:rsid w:val="23582CDC"/>
    <w:rsid w:val="23584C15"/>
    <w:rsid w:val="23591A47"/>
    <w:rsid w:val="235E4F11"/>
    <w:rsid w:val="235F61F4"/>
    <w:rsid w:val="23601EA2"/>
    <w:rsid w:val="23625549"/>
    <w:rsid w:val="23657513"/>
    <w:rsid w:val="23674086"/>
    <w:rsid w:val="23694EE9"/>
    <w:rsid w:val="236953DC"/>
    <w:rsid w:val="236F4BEB"/>
    <w:rsid w:val="23702CBE"/>
    <w:rsid w:val="23703018"/>
    <w:rsid w:val="23741131"/>
    <w:rsid w:val="237520BD"/>
    <w:rsid w:val="237526B6"/>
    <w:rsid w:val="23752CB6"/>
    <w:rsid w:val="23765B7B"/>
    <w:rsid w:val="23787430"/>
    <w:rsid w:val="2379549D"/>
    <w:rsid w:val="237A70F6"/>
    <w:rsid w:val="237B7081"/>
    <w:rsid w:val="237B7C65"/>
    <w:rsid w:val="237C2E6E"/>
    <w:rsid w:val="238166D6"/>
    <w:rsid w:val="23865A9B"/>
    <w:rsid w:val="23887A65"/>
    <w:rsid w:val="238941F5"/>
    <w:rsid w:val="238F563B"/>
    <w:rsid w:val="238F5C12"/>
    <w:rsid w:val="23914711"/>
    <w:rsid w:val="23921EA3"/>
    <w:rsid w:val="23954277"/>
    <w:rsid w:val="23995608"/>
    <w:rsid w:val="23997CFE"/>
    <w:rsid w:val="239A2BD0"/>
    <w:rsid w:val="239B5BF5"/>
    <w:rsid w:val="239E1354"/>
    <w:rsid w:val="239E5E10"/>
    <w:rsid w:val="239F0989"/>
    <w:rsid w:val="23A0075C"/>
    <w:rsid w:val="23A06EF1"/>
    <w:rsid w:val="23A25ECB"/>
    <w:rsid w:val="23A31CB8"/>
    <w:rsid w:val="23A549CC"/>
    <w:rsid w:val="23A627A4"/>
    <w:rsid w:val="23A83FB7"/>
    <w:rsid w:val="23AD414B"/>
    <w:rsid w:val="23AD512E"/>
    <w:rsid w:val="23B0399D"/>
    <w:rsid w:val="23B71285"/>
    <w:rsid w:val="23B7166B"/>
    <w:rsid w:val="23B82144"/>
    <w:rsid w:val="23B9288F"/>
    <w:rsid w:val="23BB1365"/>
    <w:rsid w:val="23BC3159"/>
    <w:rsid w:val="23BD38FC"/>
    <w:rsid w:val="23C0685D"/>
    <w:rsid w:val="23C118F9"/>
    <w:rsid w:val="23C3475C"/>
    <w:rsid w:val="23C63AB2"/>
    <w:rsid w:val="23C816AA"/>
    <w:rsid w:val="23C82D29"/>
    <w:rsid w:val="23C8570E"/>
    <w:rsid w:val="23C862F6"/>
    <w:rsid w:val="23C87E61"/>
    <w:rsid w:val="23CA2DB3"/>
    <w:rsid w:val="23CA784D"/>
    <w:rsid w:val="23CB7F05"/>
    <w:rsid w:val="23CE1252"/>
    <w:rsid w:val="23D112AB"/>
    <w:rsid w:val="23D17472"/>
    <w:rsid w:val="23D26F32"/>
    <w:rsid w:val="23D3133D"/>
    <w:rsid w:val="23D366AD"/>
    <w:rsid w:val="23D6139B"/>
    <w:rsid w:val="23D73312"/>
    <w:rsid w:val="23D85C2F"/>
    <w:rsid w:val="23D8702A"/>
    <w:rsid w:val="23D923C4"/>
    <w:rsid w:val="23DB4C3A"/>
    <w:rsid w:val="23DC039D"/>
    <w:rsid w:val="23DD1C48"/>
    <w:rsid w:val="23E01427"/>
    <w:rsid w:val="23E11EDC"/>
    <w:rsid w:val="23E1441B"/>
    <w:rsid w:val="23E675BF"/>
    <w:rsid w:val="23E771F9"/>
    <w:rsid w:val="23E77B00"/>
    <w:rsid w:val="23E80503"/>
    <w:rsid w:val="23E8673E"/>
    <w:rsid w:val="23EF73C5"/>
    <w:rsid w:val="23FC2230"/>
    <w:rsid w:val="23FD7A42"/>
    <w:rsid w:val="23FE04C5"/>
    <w:rsid w:val="23FE0799"/>
    <w:rsid w:val="24004F32"/>
    <w:rsid w:val="24017089"/>
    <w:rsid w:val="24065669"/>
    <w:rsid w:val="240765B0"/>
    <w:rsid w:val="24080866"/>
    <w:rsid w:val="240864B0"/>
    <w:rsid w:val="240C1122"/>
    <w:rsid w:val="240C3019"/>
    <w:rsid w:val="240D5551"/>
    <w:rsid w:val="240E4725"/>
    <w:rsid w:val="24123B0C"/>
    <w:rsid w:val="241702BC"/>
    <w:rsid w:val="24170CC9"/>
    <w:rsid w:val="24190C9A"/>
    <w:rsid w:val="241A5D2E"/>
    <w:rsid w:val="241C0BDF"/>
    <w:rsid w:val="241E3F25"/>
    <w:rsid w:val="241E761C"/>
    <w:rsid w:val="241F1A22"/>
    <w:rsid w:val="24244167"/>
    <w:rsid w:val="24250931"/>
    <w:rsid w:val="242765F7"/>
    <w:rsid w:val="24280900"/>
    <w:rsid w:val="242F5F39"/>
    <w:rsid w:val="243138B7"/>
    <w:rsid w:val="24351427"/>
    <w:rsid w:val="24356C8E"/>
    <w:rsid w:val="24385A93"/>
    <w:rsid w:val="243B6B59"/>
    <w:rsid w:val="24404B0E"/>
    <w:rsid w:val="24435E80"/>
    <w:rsid w:val="244376BF"/>
    <w:rsid w:val="2446353A"/>
    <w:rsid w:val="244643BF"/>
    <w:rsid w:val="244A59C9"/>
    <w:rsid w:val="244B4656"/>
    <w:rsid w:val="244D228E"/>
    <w:rsid w:val="244D6CC6"/>
    <w:rsid w:val="24517A0D"/>
    <w:rsid w:val="245267F6"/>
    <w:rsid w:val="24542A34"/>
    <w:rsid w:val="24547947"/>
    <w:rsid w:val="24556823"/>
    <w:rsid w:val="24557FC4"/>
    <w:rsid w:val="245747F5"/>
    <w:rsid w:val="245A6E44"/>
    <w:rsid w:val="245C63E1"/>
    <w:rsid w:val="245D0C06"/>
    <w:rsid w:val="245E1CB9"/>
    <w:rsid w:val="24631119"/>
    <w:rsid w:val="24635522"/>
    <w:rsid w:val="24635DDC"/>
    <w:rsid w:val="24637888"/>
    <w:rsid w:val="24643B1F"/>
    <w:rsid w:val="246517BE"/>
    <w:rsid w:val="24651CB0"/>
    <w:rsid w:val="2469125E"/>
    <w:rsid w:val="24696E48"/>
    <w:rsid w:val="246C7011"/>
    <w:rsid w:val="246D73CF"/>
    <w:rsid w:val="246E5772"/>
    <w:rsid w:val="24703323"/>
    <w:rsid w:val="2471228F"/>
    <w:rsid w:val="2471695F"/>
    <w:rsid w:val="24723BCF"/>
    <w:rsid w:val="24731857"/>
    <w:rsid w:val="24764BC6"/>
    <w:rsid w:val="247814EA"/>
    <w:rsid w:val="24791F4B"/>
    <w:rsid w:val="247A152E"/>
    <w:rsid w:val="247A1D11"/>
    <w:rsid w:val="247A1F4C"/>
    <w:rsid w:val="247E58FC"/>
    <w:rsid w:val="247F182E"/>
    <w:rsid w:val="247F39E7"/>
    <w:rsid w:val="24812306"/>
    <w:rsid w:val="24830AA0"/>
    <w:rsid w:val="24854753"/>
    <w:rsid w:val="24854C5A"/>
    <w:rsid w:val="248768AF"/>
    <w:rsid w:val="24895DA4"/>
    <w:rsid w:val="248A3369"/>
    <w:rsid w:val="248F4E23"/>
    <w:rsid w:val="24904044"/>
    <w:rsid w:val="24920D69"/>
    <w:rsid w:val="24930908"/>
    <w:rsid w:val="24957F99"/>
    <w:rsid w:val="24961D0D"/>
    <w:rsid w:val="249B2330"/>
    <w:rsid w:val="249C3D24"/>
    <w:rsid w:val="249D3528"/>
    <w:rsid w:val="249D4EE0"/>
    <w:rsid w:val="24A02B8C"/>
    <w:rsid w:val="24A17C79"/>
    <w:rsid w:val="24A30154"/>
    <w:rsid w:val="24A43FD2"/>
    <w:rsid w:val="24A51F50"/>
    <w:rsid w:val="24A665F3"/>
    <w:rsid w:val="24A73DC7"/>
    <w:rsid w:val="24A77877"/>
    <w:rsid w:val="24A82B1E"/>
    <w:rsid w:val="24AA47F6"/>
    <w:rsid w:val="24AB091E"/>
    <w:rsid w:val="24AC7783"/>
    <w:rsid w:val="24AD44CF"/>
    <w:rsid w:val="24AE6806"/>
    <w:rsid w:val="24AE7F86"/>
    <w:rsid w:val="24B52C13"/>
    <w:rsid w:val="24B60940"/>
    <w:rsid w:val="24B72734"/>
    <w:rsid w:val="24BA0B5D"/>
    <w:rsid w:val="24BA599F"/>
    <w:rsid w:val="24BB79C6"/>
    <w:rsid w:val="24BD44AE"/>
    <w:rsid w:val="24C0087F"/>
    <w:rsid w:val="24C103A1"/>
    <w:rsid w:val="24C26FA6"/>
    <w:rsid w:val="24C333B3"/>
    <w:rsid w:val="24C54229"/>
    <w:rsid w:val="24C5601F"/>
    <w:rsid w:val="24C85C3F"/>
    <w:rsid w:val="24CB58B9"/>
    <w:rsid w:val="24CD7E3B"/>
    <w:rsid w:val="24D16C03"/>
    <w:rsid w:val="24D6732C"/>
    <w:rsid w:val="24D76457"/>
    <w:rsid w:val="24D7657F"/>
    <w:rsid w:val="24D7760B"/>
    <w:rsid w:val="24D856E6"/>
    <w:rsid w:val="24DB1E16"/>
    <w:rsid w:val="24DC27CF"/>
    <w:rsid w:val="24DC4EE5"/>
    <w:rsid w:val="24E13A8E"/>
    <w:rsid w:val="24E15E9C"/>
    <w:rsid w:val="24E21B55"/>
    <w:rsid w:val="24E27DF6"/>
    <w:rsid w:val="24E42C55"/>
    <w:rsid w:val="24E707BB"/>
    <w:rsid w:val="24E73769"/>
    <w:rsid w:val="24E94533"/>
    <w:rsid w:val="24EC08E0"/>
    <w:rsid w:val="24EF4836"/>
    <w:rsid w:val="24F17166"/>
    <w:rsid w:val="24F46592"/>
    <w:rsid w:val="24F976F5"/>
    <w:rsid w:val="24FC3618"/>
    <w:rsid w:val="24FC4F6E"/>
    <w:rsid w:val="24FD0A3D"/>
    <w:rsid w:val="24FD27B1"/>
    <w:rsid w:val="25021CCE"/>
    <w:rsid w:val="25040928"/>
    <w:rsid w:val="25046AA6"/>
    <w:rsid w:val="25050C41"/>
    <w:rsid w:val="25066C0A"/>
    <w:rsid w:val="25085C76"/>
    <w:rsid w:val="250A319B"/>
    <w:rsid w:val="250D19AE"/>
    <w:rsid w:val="250F785F"/>
    <w:rsid w:val="251029F5"/>
    <w:rsid w:val="25116CD8"/>
    <w:rsid w:val="251238F0"/>
    <w:rsid w:val="25182CC2"/>
    <w:rsid w:val="251915B4"/>
    <w:rsid w:val="25194150"/>
    <w:rsid w:val="251B160E"/>
    <w:rsid w:val="251C61C4"/>
    <w:rsid w:val="251D2C2F"/>
    <w:rsid w:val="251D6E11"/>
    <w:rsid w:val="251F1D00"/>
    <w:rsid w:val="25242D69"/>
    <w:rsid w:val="25246E44"/>
    <w:rsid w:val="25251A41"/>
    <w:rsid w:val="25257045"/>
    <w:rsid w:val="25260D8C"/>
    <w:rsid w:val="252612E8"/>
    <w:rsid w:val="25263501"/>
    <w:rsid w:val="25273966"/>
    <w:rsid w:val="25281DA0"/>
    <w:rsid w:val="25283792"/>
    <w:rsid w:val="252D56CD"/>
    <w:rsid w:val="2530611D"/>
    <w:rsid w:val="253424E7"/>
    <w:rsid w:val="253900C1"/>
    <w:rsid w:val="25390DB0"/>
    <w:rsid w:val="253B6971"/>
    <w:rsid w:val="253C59B0"/>
    <w:rsid w:val="253D5024"/>
    <w:rsid w:val="253E52D1"/>
    <w:rsid w:val="253F579B"/>
    <w:rsid w:val="25415E86"/>
    <w:rsid w:val="25421AEC"/>
    <w:rsid w:val="254227E4"/>
    <w:rsid w:val="25485730"/>
    <w:rsid w:val="25496D80"/>
    <w:rsid w:val="254D42D6"/>
    <w:rsid w:val="254F68B1"/>
    <w:rsid w:val="25513E86"/>
    <w:rsid w:val="25541178"/>
    <w:rsid w:val="2555188B"/>
    <w:rsid w:val="255741BC"/>
    <w:rsid w:val="25575B08"/>
    <w:rsid w:val="255B56BC"/>
    <w:rsid w:val="255B6D5E"/>
    <w:rsid w:val="255C2077"/>
    <w:rsid w:val="255F73D6"/>
    <w:rsid w:val="256040C9"/>
    <w:rsid w:val="256173CF"/>
    <w:rsid w:val="256202A2"/>
    <w:rsid w:val="25635E96"/>
    <w:rsid w:val="2564721E"/>
    <w:rsid w:val="25652CA9"/>
    <w:rsid w:val="2567028D"/>
    <w:rsid w:val="256918E5"/>
    <w:rsid w:val="256C5A3D"/>
    <w:rsid w:val="256D2D60"/>
    <w:rsid w:val="256E7B04"/>
    <w:rsid w:val="25720423"/>
    <w:rsid w:val="257630D5"/>
    <w:rsid w:val="257653A1"/>
    <w:rsid w:val="2579711C"/>
    <w:rsid w:val="257A27B5"/>
    <w:rsid w:val="257D2B3C"/>
    <w:rsid w:val="2583528B"/>
    <w:rsid w:val="2585422C"/>
    <w:rsid w:val="25866CA5"/>
    <w:rsid w:val="25875289"/>
    <w:rsid w:val="258A11B7"/>
    <w:rsid w:val="258B1465"/>
    <w:rsid w:val="258C48D6"/>
    <w:rsid w:val="258C715F"/>
    <w:rsid w:val="258D52E0"/>
    <w:rsid w:val="258F1245"/>
    <w:rsid w:val="25924B82"/>
    <w:rsid w:val="25937991"/>
    <w:rsid w:val="259545B9"/>
    <w:rsid w:val="25974EF4"/>
    <w:rsid w:val="25983863"/>
    <w:rsid w:val="25986B4C"/>
    <w:rsid w:val="25987F2E"/>
    <w:rsid w:val="259F7226"/>
    <w:rsid w:val="25A0096A"/>
    <w:rsid w:val="25A0373C"/>
    <w:rsid w:val="25A22A73"/>
    <w:rsid w:val="25A27A97"/>
    <w:rsid w:val="25A44C9D"/>
    <w:rsid w:val="25A576A0"/>
    <w:rsid w:val="25A62424"/>
    <w:rsid w:val="25AA07DD"/>
    <w:rsid w:val="25AB1D75"/>
    <w:rsid w:val="25AB4891"/>
    <w:rsid w:val="25AC6E89"/>
    <w:rsid w:val="25AD2678"/>
    <w:rsid w:val="25AD2740"/>
    <w:rsid w:val="25AE12D9"/>
    <w:rsid w:val="25AE2638"/>
    <w:rsid w:val="25AE7FB5"/>
    <w:rsid w:val="25AF5AD6"/>
    <w:rsid w:val="25B2229F"/>
    <w:rsid w:val="25B33E8D"/>
    <w:rsid w:val="25B348FD"/>
    <w:rsid w:val="25B61CD4"/>
    <w:rsid w:val="25B677E1"/>
    <w:rsid w:val="25B75F7D"/>
    <w:rsid w:val="25BF7042"/>
    <w:rsid w:val="25C201EB"/>
    <w:rsid w:val="25C205C4"/>
    <w:rsid w:val="25C44658"/>
    <w:rsid w:val="25CC006A"/>
    <w:rsid w:val="25CE6D5A"/>
    <w:rsid w:val="25CF0F37"/>
    <w:rsid w:val="25D229F4"/>
    <w:rsid w:val="25D239AA"/>
    <w:rsid w:val="25D3061B"/>
    <w:rsid w:val="25DF4ADE"/>
    <w:rsid w:val="25DF6938"/>
    <w:rsid w:val="25E00537"/>
    <w:rsid w:val="25E26B2E"/>
    <w:rsid w:val="25E54091"/>
    <w:rsid w:val="25E955DF"/>
    <w:rsid w:val="25E967C7"/>
    <w:rsid w:val="25EA5198"/>
    <w:rsid w:val="25EC1685"/>
    <w:rsid w:val="25ED0053"/>
    <w:rsid w:val="25EF18B1"/>
    <w:rsid w:val="25EF1CC3"/>
    <w:rsid w:val="25F02E94"/>
    <w:rsid w:val="25F059F2"/>
    <w:rsid w:val="25F173AB"/>
    <w:rsid w:val="25F24C43"/>
    <w:rsid w:val="25F26861"/>
    <w:rsid w:val="25F27EB3"/>
    <w:rsid w:val="25F43546"/>
    <w:rsid w:val="25F62228"/>
    <w:rsid w:val="25F718AE"/>
    <w:rsid w:val="25FA2FA8"/>
    <w:rsid w:val="25FD69C5"/>
    <w:rsid w:val="26000BC5"/>
    <w:rsid w:val="260161AF"/>
    <w:rsid w:val="260229A9"/>
    <w:rsid w:val="26030890"/>
    <w:rsid w:val="26033C85"/>
    <w:rsid w:val="2605079B"/>
    <w:rsid w:val="260616FE"/>
    <w:rsid w:val="260723AA"/>
    <w:rsid w:val="260803C0"/>
    <w:rsid w:val="260879F6"/>
    <w:rsid w:val="260B3E0D"/>
    <w:rsid w:val="260C3FA9"/>
    <w:rsid w:val="260F2159"/>
    <w:rsid w:val="26102CC0"/>
    <w:rsid w:val="26110EA1"/>
    <w:rsid w:val="2611159E"/>
    <w:rsid w:val="261147EC"/>
    <w:rsid w:val="26122A2E"/>
    <w:rsid w:val="261333E9"/>
    <w:rsid w:val="26141072"/>
    <w:rsid w:val="26151358"/>
    <w:rsid w:val="2615278A"/>
    <w:rsid w:val="261648A8"/>
    <w:rsid w:val="261A5C94"/>
    <w:rsid w:val="261F331F"/>
    <w:rsid w:val="26211AAB"/>
    <w:rsid w:val="262476C2"/>
    <w:rsid w:val="26251059"/>
    <w:rsid w:val="26293ECC"/>
    <w:rsid w:val="26294673"/>
    <w:rsid w:val="262B0741"/>
    <w:rsid w:val="262D7957"/>
    <w:rsid w:val="26314739"/>
    <w:rsid w:val="2635396D"/>
    <w:rsid w:val="26363451"/>
    <w:rsid w:val="26363A5B"/>
    <w:rsid w:val="263751C0"/>
    <w:rsid w:val="2637701E"/>
    <w:rsid w:val="2638549E"/>
    <w:rsid w:val="263C0693"/>
    <w:rsid w:val="263E440B"/>
    <w:rsid w:val="2640334A"/>
    <w:rsid w:val="26410674"/>
    <w:rsid w:val="26450BDB"/>
    <w:rsid w:val="2645563E"/>
    <w:rsid w:val="26486116"/>
    <w:rsid w:val="26487037"/>
    <w:rsid w:val="26497436"/>
    <w:rsid w:val="264C6C50"/>
    <w:rsid w:val="265500A2"/>
    <w:rsid w:val="26551754"/>
    <w:rsid w:val="26555BF8"/>
    <w:rsid w:val="265A215D"/>
    <w:rsid w:val="265A7EEC"/>
    <w:rsid w:val="265E58EB"/>
    <w:rsid w:val="26612C7A"/>
    <w:rsid w:val="26636742"/>
    <w:rsid w:val="26647BE9"/>
    <w:rsid w:val="266663FD"/>
    <w:rsid w:val="266718DD"/>
    <w:rsid w:val="26687C33"/>
    <w:rsid w:val="2669293C"/>
    <w:rsid w:val="266B0F78"/>
    <w:rsid w:val="266C7F16"/>
    <w:rsid w:val="266D6D05"/>
    <w:rsid w:val="266E17DF"/>
    <w:rsid w:val="267147BE"/>
    <w:rsid w:val="26722306"/>
    <w:rsid w:val="26753043"/>
    <w:rsid w:val="26761741"/>
    <w:rsid w:val="26777AA7"/>
    <w:rsid w:val="2678620A"/>
    <w:rsid w:val="267B1B3C"/>
    <w:rsid w:val="267C408A"/>
    <w:rsid w:val="267D11B0"/>
    <w:rsid w:val="267D15EE"/>
    <w:rsid w:val="267F0F1D"/>
    <w:rsid w:val="2680522D"/>
    <w:rsid w:val="26806F1F"/>
    <w:rsid w:val="268304A8"/>
    <w:rsid w:val="26834424"/>
    <w:rsid w:val="2684548F"/>
    <w:rsid w:val="268B5CC2"/>
    <w:rsid w:val="268E19E7"/>
    <w:rsid w:val="268F59D4"/>
    <w:rsid w:val="269159B2"/>
    <w:rsid w:val="26922AA8"/>
    <w:rsid w:val="2693400C"/>
    <w:rsid w:val="269675FB"/>
    <w:rsid w:val="26967F65"/>
    <w:rsid w:val="269B7AAF"/>
    <w:rsid w:val="269D7A6D"/>
    <w:rsid w:val="269E2BCC"/>
    <w:rsid w:val="269F3CC8"/>
    <w:rsid w:val="26A06522"/>
    <w:rsid w:val="26A1438D"/>
    <w:rsid w:val="26A16DAD"/>
    <w:rsid w:val="26A2444B"/>
    <w:rsid w:val="26A3671D"/>
    <w:rsid w:val="26A61073"/>
    <w:rsid w:val="26A61B03"/>
    <w:rsid w:val="26A65413"/>
    <w:rsid w:val="26A763A4"/>
    <w:rsid w:val="26A83EFC"/>
    <w:rsid w:val="26A92CFA"/>
    <w:rsid w:val="26AA7CF2"/>
    <w:rsid w:val="26AE12AB"/>
    <w:rsid w:val="26B00F2C"/>
    <w:rsid w:val="26B335F0"/>
    <w:rsid w:val="26B501FD"/>
    <w:rsid w:val="26B5172A"/>
    <w:rsid w:val="26B66697"/>
    <w:rsid w:val="26B83BA7"/>
    <w:rsid w:val="26B90CC4"/>
    <w:rsid w:val="26BA2074"/>
    <w:rsid w:val="26BC3BDC"/>
    <w:rsid w:val="26BE67DA"/>
    <w:rsid w:val="26BE6F35"/>
    <w:rsid w:val="26C14CA2"/>
    <w:rsid w:val="26C4515C"/>
    <w:rsid w:val="26C80DB1"/>
    <w:rsid w:val="26C84DA3"/>
    <w:rsid w:val="26C95882"/>
    <w:rsid w:val="26C97FF4"/>
    <w:rsid w:val="26CA2142"/>
    <w:rsid w:val="26CA2910"/>
    <w:rsid w:val="26CA3EF0"/>
    <w:rsid w:val="26CA44B5"/>
    <w:rsid w:val="26CF043D"/>
    <w:rsid w:val="26D22EA9"/>
    <w:rsid w:val="26D32AAA"/>
    <w:rsid w:val="26D537F7"/>
    <w:rsid w:val="26D64E3E"/>
    <w:rsid w:val="26D7485F"/>
    <w:rsid w:val="26D74A6B"/>
    <w:rsid w:val="26DB434F"/>
    <w:rsid w:val="26DB7FEB"/>
    <w:rsid w:val="26DC3CB7"/>
    <w:rsid w:val="26E12B0D"/>
    <w:rsid w:val="26E1413E"/>
    <w:rsid w:val="26E378CD"/>
    <w:rsid w:val="26E57BEC"/>
    <w:rsid w:val="26EB3868"/>
    <w:rsid w:val="26EC4114"/>
    <w:rsid w:val="26ED2247"/>
    <w:rsid w:val="26ED7BDF"/>
    <w:rsid w:val="26EF7E08"/>
    <w:rsid w:val="26F845A2"/>
    <w:rsid w:val="26F94EB4"/>
    <w:rsid w:val="26FA0A0D"/>
    <w:rsid w:val="26FA4967"/>
    <w:rsid w:val="26FC457A"/>
    <w:rsid w:val="26FF09BF"/>
    <w:rsid w:val="26FFC94E"/>
    <w:rsid w:val="27054DD2"/>
    <w:rsid w:val="2705507B"/>
    <w:rsid w:val="270701DF"/>
    <w:rsid w:val="270B1466"/>
    <w:rsid w:val="270C16C3"/>
    <w:rsid w:val="270C3AED"/>
    <w:rsid w:val="27100F78"/>
    <w:rsid w:val="271116DD"/>
    <w:rsid w:val="27132FDE"/>
    <w:rsid w:val="271626A7"/>
    <w:rsid w:val="27165388"/>
    <w:rsid w:val="27174C5C"/>
    <w:rsid w:val="27186F85"/>
    <w:rsid w:val="271A039A"/>
    <w:rsid w:val="271A5EA0"/>
    <w:rsid w:val="271A67EE"/>
    <w:rsid w:val="271B01B5"/>
    <w:rsid w:val="271B6CE6"/>
    <w:rsid w:val="271D427F"/>
    <w:rsid w:val="271E1CD4"/>
    <w:rsid w:val="271F3E7B"/>
    <w:rsid w:val="27203981"/>
    <w:rsid w:val="2720698D"/>
    <w:rsid w:val="27214B9E"/>
    <w:rsid w:val="27243928"/>
    <w:rsid w:val="272502BA"/>
    <w:rsid w:val="2725781F"/>
    <w:rsid w:val="272950BB"/>
    <w:rsid w:val="272C6959"/>
    <w:rsid w:val="272F5DC6"/>
    <w:rsid w:val="27351065"/>
    <w:rsid w:val="273C72E5"/>
    <w:rsid w:val="273E4C7C"/>
    <w:rsid w:val="273F1160"/>
    <w:rsid w:val="27473028"/>
    <w:rsid w:val="27475EFB"/>
    <w:rsid w:val="274912B9"/>
    <w:rsid w:val="274B48E4"/>
    <w:rsid w:val="274C6F59"/>
    <w:rsid w:val="274D3F00"/>
    <w:rsid w:val="274E4B23"/>
    <w:rsid w:val="274F6591"/>
    <w:rsid w:val="27505563"/>
    <w:rsid w:val="27506FC7"/>
    <w:rsid w:val="27514612"/>
    <w:rsid w:val="27523172"/>
    <w:rsid w:val="27574694"/>
    <w:rsid w:val="275A02D9"/>
    <w:rsid w:val="275D5AD9"/>
    <w:rsid w:val="275E2717"/>
    <w:rsid w:val="2765195D"/>
    <w:rsid w:val="276572EE"/>
    <w:rsid w:val="27665ADA"/>
    <w:rsid w:val="2768712F"/>
    <w:rsid w:val="276A7E7E"/>
    <w:rsid w:val="276C75AB"/>
    <w:rsid w:val="276D7CD7"/>
    <w:rsid w:val="27700695"/>
    <w:rsid w:val="27710812"/>
    <w:rsid w:val="277125BE"/>
    <w:rsid w:val="27726A41"/>
    <w:rsid w:val="27732F37"/>
    <w:rsid w:val="27743E5C"/>
    <w:rsid w:val="27775C22"/>
    <w:rsid w:val="277856FA"/>
    <w:rsid w:val="277E278C"/>
    <w:rsid w:val="277E5B9A"/>
    <w:rsid w:val="278702DD"/>
    <w:rsid w:val="278771B5"/>
    <w:rsid w:val="278A344E"/>
    <w:rsid w:val="278D698C"/>
    <w:rsid w:val="278D6C7E"/>
    <w:rsid w:val="278E3170"/>
    <w:rsid w:val="27903917"/>
    <w:rsid w:val="27915E64"/>
    <w:rsid w:val="279369D8"/>
    <w:rsid w:val="279562E6"/>
    <w:rsid w:val="27990582"/>
    <w:rsid w:val="279B70F2"/>
    <w:rsid w:val="279C4CAC"/>
    <w:rsid w:val="279E1C07"/>
    <w:rsid w:val="279E4E77"/>
    <w:rsid w:val="279F537D"/>
    <w:rsid w:val="27A02FEB"/>
    <w:rsid w:val="27A06F95"/>
    <w:rsid w:val="27A12A1E"/>
    <w:rsid w:val="27A1329A"/>
    <w:rsid w:val="27A16033"/>
    <w:rsid w:val="27A209C9"/>
    <w:rsid w:val="27A674AF"/>
    <w:rsid w:val="27A812BD"/>
    <w:rsid w:val="27A95C55"/>
    <w:rsid w:val="27A961BC"/>
    <w:rsid w:val="27AB0D5B"/>
    <w:rsid w:val="27AB3E09"/>
    <w:rsid w:val="27B216FA"/>
    <w:rsid w:val="27B272F9"/>
    <w:rsid w:val="27B32DC6"/>
    <w:rsid w:val="27B515D1"/>
    <w:rsid w:val="27B60145"/>
    <w:rsid w:val="27B61B6E"/>
    <w:rsid w:val="27B77302"/>
    <w:rsid w:val="27B82236"/>
    <w:rsid w:val="27B8538D"/>
    <w:rsid w:val="27B93AA9"/>
    <w:rsid w:val="27BC2C3B"/>
    <w:rsid w:val="27C37477"/>
    <w:rsid w:val="27C841EF"/>
    <w:rsid w:val="27C95FA6"/>
    <w:rsid w:val="27CB7F20"/>
    <w:rsid w:val="27CC7DD3"/>
    <w:rsid w:val="27CD2CD4"/>
    <w:rsid w:val="27D12A7C"/>
    <w:rsid w:val="27D3355F"/>
    <w:rsid w:val="27D43216"/>
    <w:rsid w:val="27D52349"/>
    <w:rsid w:val="27D7507B"/>
    <w:rsid w:val="27D96F19"/>
    <w:rsid w:val="27DC61F5"/>
    <w:rsid w:val="27DD5A42"/>
    <w:rsid w:val="27DF26B5"/>
    <w:rsid w:val="27E13FCC"/>
    <w:rsid w:val="27E34E72"/>
    <w:rsid w:val="27E359D9"/>
    <w:rsid w:val="27E551B1"/>
    <w:rsid w:val="27E57B45"/>
    <w:rsid w:val="27E61A98"/>
    <w:rsid w:val="27EF26B7"/>
    <w:rsid w:val="27F34C66"/>
    <w:rsid w:val="27F531EF"/>
    <w:rsid w:val="27F53A4E"/>
    <w:rsid w:val="27F903F5"/>
    <w:rsid w:val="27FA6A57"/>
    <w:rsid w:val="27FC0236"/>
    <w:rsid w:val="27FC0BD3"/>
    <w:rsid w:val="27FC632B"/>
    <w:rsid w:val="27FD353B"/>
    <w:rsid w:val="27FE0B80"/>
    <w:rsid w:val="28007D4A"/>
    <w:rsid w:val="2803257E"/>
    <w:rsid w:val="28041684"/>
    <w:rsid w:val="280451EC"/>
    <w:rsid w:val="2805028C"/>
    <w:rsid w:val="28097B81"/>
    <w:rsid w:val="280C6917"/>
    <w:rsid w:val="280E5D51"/>
    <w:rsid w:val="280F476E"/>
    <w:rsid w:val="28112128"/>
    <w:rsid w:val="28121777"/>
    <w:rsid w:val="28122105"/>
    <w:rsid w:val="28161C9E"/>
    <w:rsid w:val="281C5DCB"/>
    <w:rsid w:val="281E20D9"/>
    <w:rsid w:val="281F0618"/>
    <w:rsid w:val="28210439"/>
    <w:rsid w:val="28221DE9"/>
    <w:rsid w:val="28253794"/>
    <w:rsid w:val="282576C0"/>
    <w:rsid w:val="2827651E"/>
    <w:rsid w:val="282B580D"/>
    <w:rsid w:val="282C6D92"/>
    <w:rsid w:val="282E5E1D"/>
    <w:rsid w:val="282F55CF"/>
    <w:rsid w:val="28331599"/>
    <w:rsid w:val="28333D17"/>
    <w:rsid w:val="28357FF9"/>
    <w:rsid w:val="28361898"/>
    <w:rsid w:val="28363B6E"/>
    <w:rsid w:val="28364085"/>
    <w:rsid w:val="28366826"/>
    <w:rsid w:val="28373807"/>
    <w:rsid w:val="28392A06"/>
    <w:rsid w:val="283A7BB4"/>
    <w:rsid w:val="283B12E8"/>
    <w:rsid w:val="283C65F9"/>
    <w:rsid w:val="283D78BF"/>
    <w:rsid w:val="283F10E1"/>
    <w:rsid w:val="283F26BC"/>
    <w:rsid w:val="283F3E5D"/>
    <w:rsid w:val="283F446A"/>
    <w:rsid w:val="283F67F7"/>
    <w:rsid w:val="28416434"/>
    <w:rsid w:val="28423CC3"/>
    <w:rsid w:val="2844270D"/>
    <w:rsid w:val="284462D7"/>
    <w:rsid w:val="284A35A6"/>
    <w:rsid w:val="284C082A"/>
    <w:rsid w:val="284F1E71"/>
    <w:rsid w:val="284F5F22"/>
    <w:rsid w:val="28504E44"/>
    <w:rsid w:val="28515E1F"/>
    <w:rsid w:val="28541E0C"/>
    <w:rsid w:val="28546176"/>
    <w:rsid w:val="2856081D"/>
    <w:rsid w:val="285841E0"/>
    <w:rsid w:val="285A3E23"/>
    <w:rsid w:val="285C777C"/>
    <w:rsid w:val="2860452F"/>
    <w:rsid w:val="28606DD4"/>
    <w:rsid w:val="2863472F"/>
    <w:rsid w:val="28644FC7"/>
    <w:rsid w:val="2868472F"/>
    <w:rsid w:val="286938DA"/>
    <w:rsid w:val="286A4149"/>
    <w:rsid w:val="286F29BD"/>
    <w:rsid w:val="2873717F"/>
    <w:rsid w:val="28764798"/>
    <w:rsid w:val="28767597"/>
    <w:rsid w:val="2877655F"/>
    <w:rsid w:val="287A1946"/>
    <w:rsid w:val="287B256E"/>
    <w:rsid w:val="287E7D58"/>
    <w:rsid w:val="287F474C"/>
    <w:rsid w:val="288060FB"/>
    <w:rsid w:val="28841311"/>
    <w:rsid w:val="288438F4"/>
    <w:rsid w:val="28873C72"/>
    <w:rsid w:val="28883023"/>
    <w:rsid w:val="28883704"/>
    <w:rsid w:val="28884063"/>
    <w:rsid w:val="288A359B"/>
    <w:rsid w:val="288B293D"/>
    <w:rsid w:val="28900828"/>
    <w:rsid w:val="28902595"/>
    <w:rsid w:val="2891111D"/>
    <w:rsid w:val="28927C24"/>
    <w:rsid w:val="289424DF"/>
    <w:rsid w:val="28947EC4"/>
    <w:rsid w:val="28962470"/>
    <w:rsid w:val="289724F8"/>
    <w:rsid w:val="2897396C"/>
    <w:rsid w:val="28980C8A"/>
    <w:rsid w:val="289C18BC"/>
    <w:rsid w:val="289C1EB4"/>
    <w:rsid w:val="289C6EF9"/>
    <w:rsid w:val="289D3BDA"/>
    <w:rsid w:val="28A201E9"/>
    <w:rsid w:val="28A2567A"/>
    <w:rsid w:val="28A3462C"/>
    <w:rsid w:val="28A62EE8"/>
    <w:rsid w:val="28A66EED"/>
    <w:rsid w:val="28A76E2E"/>
    <w:rsid w:val="28A81862"/>
    <w:rsid w:val="28AB046C"/>
    <w:rsid w:val="28AB147B"/>
    <w:rsid w:val="28AB54BE"/>
    <w:rsid w:val="28AF016B"/>
    <w:rsid w:val="28AF2C35"/>
    <w:rsid w:val="28AF33FB"/>
    <w:rsid w:val="28B03CB7"/>
    <w:rsid w:val="28B0675C"/>
    <w:rsid w:val="28B1299F"/>
    <w:rsid w:val="28B31EC1"/>
    <w:rsid w:val="28B4168A"/>
    <w:rsid w:val="28B67759"/>
    <w:rsid w:val="28B74012"/>
    <w:rsid w:val="28B9421C"/>
    <w:rsid w:val="28BA1D43"/>
    <w:rsid w:val="28BB2AE0"/>
    <w:rsid w:val="28C04478"/>
    <w:rsid w:val="28C25188"/>
    <w:rsid w:val="28C335EE"/>
    <w:rsid w:val="28C42215"/>
    <w:rsid w:val="28CD43B7"/>
    <w:rsid w:val="28CD696D"/>
    <w:rsid w:val="28CE644C"/>
    <w:rsid w:val="28CE75EE"/>
    <w:rsid w:val="28CF1C92"/>
    <w:rsid w:val="28CF688B"/>
    <w:rsid w:val="28D11462"/>
    <w:rsid w:val="28D11728"/>
    <w:rsid w:val="28D401A0"/>
    <w:rsid w:val="28DB27C5"/>
    <w:rsid w:val="28DE4DB8"/>
    <w:rsid w:val="28DE5391"/>
    <w:rsid w:val="28DE6C31"/>
    <w:rsid w:val="28E3076B"/>
    <w:rsid w:val="28E3486D"/>
    <w:rsid w:val="28E614AE"/>
    <w:rsid w:val="28E84C7B"/>
    <w:rsid w:val="28E86D36"/>
    <w:rsid w:val="28E92572"/>
    <w:rsid w:val="28EB200C"/>
    <w:rsid w:val="28F10905"/>
    <w:rsid w:val="28F45255"/>
    <w:rsid w:val="28F829DE"/>
    <w:rsid w:val="28F830DC"/>
    <w:rsid w:val="28F84092"/>
    <w:rsid w:val="28FA22E8"/>
    <w:rsid w:val="28FB6A77"/>
    <w:rsid w:val="28FC3397"/>
    <w:rsid w:val="28FE7028"/>
    <w:rsid w:val="2902087D"/>
    <w:rsid w:val="290410F4"/>
    <w:rsid w:val="29071D7C"/>
    <w:rsid w:val="29073DFD"/>
    <w:rsid w:val="2908606D"/>
    <w:rsid w:val="290B3C3E"/>
    <w:rsid w:val="290D20CE"/>
    <w:rsid w:val="29121CB8"/>
    <w:rsid w:val="2913156D"/>
    <w:rsid w:val="29131DFC"/>
    <w:rsid w:val="291349D4"/>
    <w:rsid w:val="29146483"/>
    <w:rsid w:val="291678C1"/>
    <w:rsid w:val="2919084C"/>
    <w:rsid w:val="291A20E3"/>
    <w:rsid w:val="291C7497"/>
    <w:rsid w:val="291D7DC0"/>
    <w:rsid w:val="291E4C25"/>
    <w:rsid w:val="291F125C"/>
    <w:rsid w:val="292022CA"/>
    <w:rsid w:val="29213DFD"/>
    <w:rsid w:val="29220E83"/>
    <w:rsid w:val="292673D8"/>
    <w:rsid w:val="29272301"/>
    <w:rsid w:val="292822DC"/>
    <w:rsid w:val="292A336C"/>
    <w:rsid w:val="292A511A"/>
    <w:rsid w:val="29357280"/>
    <w:rsid w:val="29383653"/>
    <w:rsid w:val="293A1D65"/>
    <w:rsid w:val="293B2C4E"/>
    <w:rsid w:val="293B3D3B"/>
    <w:rsid w:val="293D350F"/>
    <w:rsid w:val="294335AC"/>
    <w:rsid w:val="29444C7D"/>
    <w:rsid w:val="294509D2"/>
    <w:rsid w:val="29470440"/>
    <w:rsid w:val="2949582F"/>
    <w:rsid w:val="294A11E1"/>
    <w:rsid w:val="294A2B41"/>
    <w:rsid w:val="294E1B4C"/>
    <w:rsid w:val="294F74E1"/>
    <w:rsid w:val="295210B3"/>
    <w:rsid w:val="2956694C"/>
    <w:rsid w:val="295827BE"/>
    <w:rsid w:val="29592499"/>
    <w:rsid w:val="295A44B5"/>
    <w:rsid w:val="295B0997"/>
    <w:rsid w:val="295B2409"/>
    <w:rsid w:val="295B3526"/>
    <w:rsid w:val="295C5825"/>
    <w:rsid w:val="295D5A2E"/>
    <w:rsid w:val="295E57BF"/>
    <w:rsid w:val="29637990"/>
    <w:rsid w:val="29675908"/>
    <w:rsid w:val="296A4E60"/>
    <w:rsid w:val="296B2AA4"/>
    <w:rsid w:val="296C60E6"/>
    <w:rsid w:val="29707B1C"/>
    <w:rsid w:val="297974AE"/>
    <w:rsid w:val="297B3B73"/>
    <w:rsid w:val="297C28D2"/>
    <w:rsid w:val="297D6A2F"/>
    <w:rsid w:val="2982279A"/>
    <w:rsid w:val="2982460B"/>
    <w:rsid w:val="29824742"/>
    <w:rsid w:val="29830CF0"/>
    <w:rsid w:val="29831621"/>
    <w:rsid w:val="29842777"/>
    <w:rsid w:val="29853F90"/>
    <w:rsid w:val="29860EB1"/>
    <w:rsid w:val="298903DF"/>
    <w:rsid w:val="298A2968"/>
    <w:rsid w:val="298D4FE0"/>
    <w:rsid w:val="298E3205"/>
    <w:rsid w:val="298F195E"/>
    <w:rsid w:val="29906FB2"/>
    <w:rsid w:val="299506A6"/>
    <w:rsid w:val="29953794"/>
    <w:rsid w:val="29983B5F"/>
    <w:rsid w:val="299A404E"/>
    <w:rsid w:val="299B1B74"/>
    <w:rsid w:val="299B23EF"/>
    <w:rsid w:val="299C117F"/>
    <w:rsid w:val="299C3A16"/>
    <w:rsid w:val="299E5340"/>
    <w:rsid w:val="299F4DEE"/>
    <w:rsid w:val="299F691A"/>
    <w:rsid w:val="299F7E11"/>
    <w:rsid w:val="29A2787F"/>
    <w:rsid w:val="29A66CE4"/>
    <w:rsid w:val="29A7527D"/>
    <w:rsid w:val="29A81A79"/>
    <w:rsid w:val="29AA4A0A"/>
    <w:rsid w:val="29AD437D"/>
    <w:rsid w:val="29AE23C1"/>
    <w:rsid w:val="29B10E38"/>
    <w:rsid w:val="29B3142C"/>
    <w:rsid w:val="29B5077A"/>
    <w:rsid w:val="29B93A02"/>
    <w:rsid w:val="29BC5B5B"/>
    <w:rsid w:val="29C351EE"/>
    <w:rsid w:val="29C435B7"/>
    <w:rsid w:val="29C46D75"/>
    <w:rsid w:val="29C6246D"/>
    <w:rsid w:val="29C641C1"/>
    <w:rsid w:val="29C66D01"/>
    <w:rsid w:val="29C84FC5"/>
    <w:rsid w:val="29CC129B"/>
    <w:rsid w:val="29CC35FF"/>
    <w:rsid w:val="29CC6B00"/>
    <w:rsid w:val="29CE52F6"/>
    <w:rsid w:val="29CE6528"/>
    <w:rsid w:val="29D137E8"/>
    <w:rsid w:val="29D20023"/>
    <w:rsid w:val="29D25866"/>
    <w:rsid w:val="29D26283"/>
    <w:rsid w:val="29D26853"/>
    <w:rsid w:val="29D3130E"/>
    <w:rsid w:val="29D31C04"/>
    <w:rsid w:val="29D37560"/>
    <w:rsid w:val="29D40F1F"/>
    <w:rsid w:val="29D600C7"/>
    <w:rsid w:val="29DC565C"/>
    <w:rsid w:val="29DF11AC"/>
    <w:rsid w:val="29DF2AB1"/>
    <w:rsid w:val="29DF71C9"/>
    <w:rsid w:val="29E02EE8"/>
    <w:rsid w:val="29E060C0"/>
    <w:rsid w:val="29E675B2"/>
    <w:rsid w:val="29E7076D"/>
    <w:rsid w:val="29E82FA8"/>
    <w:rsid w:val="29EA524C"/>
    <w:rsid w:val="29EB115F"/>
    <w:rsid w:val="29EB2F76"/>
    <w:rsid w:val="29F23E8A"/>
    <w:rsid w:val="29F27C93"/>
    <w:rsid w:val="29F41899"/>
    <w:rsid w:val="29F51F4B"/>
    <w:rsid w:val="29F57853"/>
    <w:rsid w:val="29F579AB"/>
    <w:rsid w:val="29F73D33"/>
    <w:rsid w:val="29F87D21"/>
    <w:rsid w:val="29F9411E"/>
    <w:rsid w:val="29FA0EDF"/>
    <w:rsid w:val="29FC5FFA"/>
    <w:rsid w:val="29FD6F5B"/>
    <w:rsid w:val="29FF2103"/>
    <w:rsid w:val="2A000D51"/>
    <w:rsid w:val="2A04157F"/>
    <w:rsid w:val="2A0529C1"/>
    <w:rsid w:val="2A06173D"/>
    <w:rsid w:val="2A077209"/>
    <w:rsid w:val="2A0B4F4C"/>
    <w:rsid w:val="2A0D265C"/>
    <w:rsid w:val="2A0D565F"/>
    <w:rsid w:val="2A0F7A1E"/>
    <w:rsid w:val="2A1347CB"/>
    <w:rsid w:val="2A137074"/>
    <w:rsid w:val="2A1579BA"/>
    <w:rsid w:val="2A157C3D"/>
    <w:rsid w:val="2A181ACB"/>
    <w:rsid w:val="2A1A677A"/>
    <w:rsid w:val="2A1B4A63"/>
    <w:rsid w:val="2A1C7796"/>
    <w:rsid w:val="2A1D2EA3"/>
    <w:rsid w:val="2A1D54F9"/>
    <w:rsid w:val="2A1E5442"/>
    <w:rsid w:val="2A1F46F0"/>
    <w:rsid w:val="2A201A6B"/>
    <w:rsid w:val="2A214339"/>
    <w:rsid w:val="2A257463"/>
    <w:rsid w:val="2A261A09"/>
    <w:rsid w:val="2A2801AC"/>
    <w:rsid w:val="2A2A033C"/>
    <w:rsid w:val="2A2B31C4"/>
    <w:rsid w:val="2A2B6759"/>
    <w:rsid w:val="2A2C512C"/>
    <w:rsid w:val="2A2D7BDB"/>
    <w:rsid w:val="2A2F4CAE"/>
    <w:rsid w:val="2A324F23"/>
    <w:rsid w:val="2A346147"/>
    <w:rsid w:val="2A3570CA"/>
    <w:rsid w:val="2A360833"/>
    <w:rsid w:val="2A375D41"/>
    <w:rsid w:val="2A3A2EC0"/>
    <w:rsid w:val="2A3C1A6B"/>
    <w:rsid w:val="2A3E3E9C"/>
    <w:rsid w:val="2A40166A"/>
    <w:rsid w:val="2A4032D8"/>
    <w:rsid w:val="2A405606"/>
    <w:rsid w:val="2A457141"/>
    <w:rsid w:val="2A46167F"/>
    <w:rsid w:val="2A471CD5"/>
    <w:rsid w:val="2A4B4CF2"/>
    <w:rsid w:val="2A4B4EC2"/>
    <w:rsid w:val="2A4E1DE6"/>
    <w:rsid w:val="2A4E7A53"/>
    <w:rsid w:val="2A4E7FFC"/>
    <w:rsid w:val="2A4F2C31"/>
    <w:rsid w:val="2A501323"/>
    <w:rsid w:val="2A503054"/>
    <w:rsid w:val="2A50553E"/>
    <w:rsid w:val="2A5347E1"/>
    <w:rsid w:val="2A546E83"/>
    <w:rsid w:val="2A54710E"/>
    <w:rsid w:val="2A547EF3"/>
    <w:rsid w:val="2A557167"/>
    <w:rsid w:val="2A557F75"/>
    <w:rsid w:val="2A570191"/>
    <w:rsid w:val="2A5806DE"/>
    <w:rsid w:val="2A5B4D47"/>
    <w:rsid w:val="2A5B7DF8"/>
    <w:rsid w:val="2A5C0692"/>
    <w:rsid w:val="2A5D507B"/>
    <w:rsid w:val="2A5D5EED"/>
    <w:rsid w:val="2A5E59F7"/>
    <w:rsid w:val="2A5F3FFF"/>
    <w:rsid w:val="2A6434C7"/>
    <w:rsid w:val="2A663BCC"/>
    <w:rsid w:val="2A666391"/>
    <w:rsid w:val="2A675314"/>
    <w:rsid w:val="2A6B17A3"/>
    <w:rsid w:val="2A6B4DD2"/>
    <w:rsid w:val="2A6B59EA"/>
    <w:rsid w:val="2A735A06"/>
    <w:rsid w:val="2A745A71"/>
    <w:rsid w:val="2A765571"/>
    <w:rsid w:val="2A7759A2"/>
    <w:rsid w:val="2A785893"/>
    <w:rsid w:val="2A7A590F"/>
    <w:rsid w:val="2A7B212E"/>
    <w:rsid w:val="2A7D127A"/>
    <w:rsid w:val="2A7D4AC0"/>
    <w:rsid w:val="2A7D73C1"/>
    <w:rsid w:val="2A8035AD"/>
    <w:rsid w:val="2A8105E2"/>
    <w:rsid w:val="2A84085A"/>
    <w:rsid w:val="2A87339D"/>
    <w:rsid w:val="2A877B35"/>
    <w:rsid w:val="2A886525"/>
    <w:rsid w:val="2A8A2920"/>
    <w:rsid w:val="2A8B5709"/>
    <w:rsid w:val="2A8C1C0F"/>
    <w:rsid w:val="2A8C681F"/>
    <w:rsid w:val="2A910619"/>
    <w:rsid w:val="2A917941"/>
    <w:rsid w:val="2A917ECE"/>
    <w:rsid w:val="2A930C81"/>
    <w:rsid w:val="2A98721D"/>
    <w:rsid w:val="2A987964"/>
    <w:rsid w:val="2A992557"/>
    <w:rsid w:val="2A9A4FC8"/>
    <w:rsid w:val="2A9B5ADA"/>
    <w:rsid w:val="2A9C0340"/>
    <w:rsid w:val="2A9C2DEF"/>
    <w:rsid w:val="2A9F653B"/>
    <w:rsid w:val="2AA02EDC"/>
    <w:rsid w:val="2AA064ED"/>
    <w:rsid w:val="2AA24D1F"/>
    <w:rsid w:val="2AA36615"/>
    <w:rsid w:val="2AA43241"/>
    <w:rsid w:val="2AA43E39"/>
    <w:rsid w:val="2AA450EC"/>
    <w:rsid w:val="2AA65CBF"/>
    <w:rsid w:val="2AA86014"/>
    <w:rsid w:val="2AAB7943"/>
    <w:rsid w:val="2AAD7DB1"/>
    <w:rsid w:val="2AAE213C"/>
    <w:rsid w:val="2AAF6413"/>
    <w:rsid w:val="2AB02F87"/>
    <w:rsid w:val="2AB4113F"/>
    <w:rsid w:val="2AB853A0"/>
    <w:rsid w:val="2ABA227D"/>
    <w:rsid w:val="2ABB0412"/>
    <w:rsid w:val="2ABD1F0E"/>
    <w:rsid w:val="2AC11EC7"/>
    <w:rsid w:val="2AC15328"/>
    <w:rsid w:val="2AC20586"/>
    <w:rsid w:val="2AC30F76"/>
    <w:rsid w:val="2AC77529"/>
    <w:rsid w:val="2AC944BF"/>
    <w:rsid w:val="2ACA2A43"/>
    <w:rsid w:val="2ACB7461"/>
    <w:rsid w:val="2ACC6DFD"/>
    <w:rsid w:val="2ACD6726"/>
    <w:rsid w:val="2ACD6D54"/>
    <w:rsid w:val="2AD01233"/>
    <w:rsid w:val="2AD3622E"/>
    <w:rsid w:val="2AD4238B"/>
    <w:rsid w:val="2AD64801"/>
    <w:rsid w:val="2AD753B9"/>
    <w:rsid w:val="2AD90D9F"/>
    <w:rsid w:val="2AD933AE"/>
    <w:rsid w:val="2ADA739E"/>
    <w:rsid w:val="2ADC4487"/>
    <w:rsid w:val="2ADC47A8"/>
    <w:rsid w:val="2ADD5651"/>
    <w:rsid w:val="2ADF673B"/>
    <w:rsid w:val="2AE14E00"/>
    <w:rsid w:val="2AE31A25"/>
    <w:rsid w:val="2AE412F9"/>
    <w:rsid w:val="2AE70006"/>
    <w:rsid w:val="2AE928C2"/>
    <w:rsid w:val="2AE97BF9"/>
    <w:rsid w:val="2AEA20CE"/>
    <w:rsid w:val="2AEA761B"/>
    <w:rsid w:val="2AEB2A00"/>
    <w:rsid w:val="2AEE64EC"/>
    <w:rsid w:val="2AEF2DBD"/>
    <w:rsid w:val="2AF10B00"/>
    <w:rsid w:val="2AF31299"/>
    <w:rsid w:val="2AF70C81"/>
    <w:rsid w:val="2AF76D16"/>
    <w:rsid w:val="2AF94774"/>
    <w:rsid w:val="2AFE4D5F"/>
    <w:rsid w:val="2AFF08CA"/>
    <w:rsid w:val="2B015E80"/>
    <w:rsid w:val="2B016987"/>
    <w:rsid w:val="2B0204E6"/>
    <w:rsid w:val="2B03488A"/>
    <w:rsid w:val="2B035C23"/>
    <w:rsid w:val="2B04557F"/>
    <w:rsid w:val="2B063533"/>
    <w:rsid w:val="2B083239"/>
    <w:rsid w:val="2B094299"/>
    <w:rsid w:val="2B09689A"/>
    <w:rsid w:val="2B0A3A72"/>
    <w:rsid w:val="2B0C0F7B"/>
    <w:rsid w:val="2B0D2CED"/>
    <w:rsid w:val="2B0D4004"/>
    <w:rsid w:val="2B0F0FA4"/>
    <w:rsid w:val="2B0F41E5"/>
    <w:rsid w:val="2B141C4F"/>
    <w:rsid w:val="2B156A8F"/>
    <w:rsid w:val="2B16264F"/>
    <w:rsid w:val="2B172A44"/>
    <w:rsid w:val="2B1971F4"/>
    <w:rsid w:val="2B1A0C02"/>
    <w:rsid w:val="2B1A5292"/>
    <w:rsid w:val="2B203157"/>
    <w:rsid w:val="2B23131C"/>
    <w:rsid w:val="2B2328B6"/>
    <w:rsid w:val="2B233080"/>
    <w:rsid w:val="2B274DE8"/>
    <w:rsid w:val="2B290961"/>
    <w:rsid w:val="2B2F2B99"/>
    <w:rsid w:val="2B306917"/>
    <w:rsid w:val="2B3202B6"/>
    <w:rsid w:val="2B330491"/>
    <w:rsid w:val="2B344ADE"/>
    <w:rsid w:val="2B35335A"/>
    <w:rsid w:val="2B3659E2"/>
    <w:rsid w:val="2B370397"/>
    <w:rsid w:val="2B3758CC"/>
    <w:rsid w:val="2B384D97"/>
    <w:rsid w:val="2B3B0684"/>
    <w:rsid w:val="2B3B32A2"/>
    <w:rsid w:val="2B3B52CA"/>
    <w:rsid w:val="2B3C0928"/>
    <w:rsid w:val="2B402676"/>
    <w:rsid w:val="2B437BD0"/>
    <w:rsid w:val="2B4810CD"/>
    <w:rsid w:val="2B4B5D6B"/>
    <w:rsid w:val="2B4C4DA1"/>
    <w:rsid w:val="2B4C581C"/>
    <w:rsid w:val="2B4E1664"/>
    <w:rsid w:val="2B502767"/>
    <w:rsid w:val="2B531183"/>
    <w:rsid w:val="2B5B271C"/>
    <w:rsid w:val="2B5C735C"/>
    <w:rsid w:val="2B5E5324"/>
    <w:rsid w:val="2B602A91"/>
    <w:rsid w:val="2B6138D4"/>
    <w:rsid w:val="2B6366C1"/>
    <w:rsid w:val="2B637368"/>
    <w:rsid w:val="2B646B7A"/>
    <w:rsid w:val="2B656128"/>
    <w:rsid w:val="2B683283"/>
    <w:rsid w:val="2B697486"/>
    <w:rsid w:val="2B6A3111"/>
    <w:rsid w:val="2B6F1803"/>
    <w:rsid w:val="2B7625AB"/>
    <w:rsid w:val="2B776E66"/>
    <w:rsid w:val="2B7D3D42"/>
    <w:rsid w:val="2B7E34FB"/>
    <w:rsid w:val="2B817DB0"/>
    <w:rsid w:val="2B823E8D"/>
    <w:rsid w:val="2B830995"/>
    <w:rsid w:val="2B8623DE"/>
    <w:rsid w:val="2B873999"/>
    <w:rsid w:val="2B885195"/>
    <w:rsid w:val="2B886128"/>
    <w:rsid w:val="2B8C470F"/>
    <w:rsid w:val="2B8E3419"/>
    <w:rsid w:val="2B8F2D61"/>
    <w:rsid w:val="2B9603B4"/>
    <w:rsid w:val="2B970C72"/>
    <w:rsid w:val="2B971E93"/>
    <w:rsid w:val="2B9C4FB4"/>
    <w:rsid w:val="2B9E6D27"/>
    <w:rsid w:val="2B9E71B8"/>
    <w:rsid w:val="2B9F39F5"/>
    <w:rsid w:val="2BA05887"/>
    <w:rsid w:val="2BA07B51"/>
    <w:rsid w:val="2BA1486A"/>
    <w:rsid w:val="2BA20259"/>
    <w:rsid w:val="2BAC29D0"/>
    <w:rsid w:val="2BAE7212"/>
    <w:rsid w:val="2BAF7646"/>
    <w:rsid w:val="2BB10AB7"/>
    <w:rsid w:val="2BB45C17"/>
    <w:rsid w:val="2BB8273E"/>
    <w:rsid w:val="2BBB589A"/>
    <w:rsid w:val="2BBB769B"/>
    <w:rsid w:val="2BBC022C"/>
    <w:rsid w:val="2BBD04C8"/>
    <w:rsid w:val="2BBD5A73"/>
    <w:rsid w:val="2BC27BC5"/>
    <w:rsid w:val="2BC526EC"/>
    <w:rsid w:val="2BC85F8A"/>
    <w:rsid w:val="2BC9345A"/>
    <w:rsid w:val="2BCA36CC"/>
    <w:rsid w:val="2BD05E53"/>
    <w:rsid w:val="2BD07568"/>
    <w:rsid w:val="2BD10835"/>
    <w:rsid w:val="2BD576D9"/>
    <w:rsid w:val="2BD77218"/>
    <w:rsid w:val="2BD83046"/>
    <w:rsid w:val="2BD93766"/>
    <w:rsid w:val="2BDA0BC4"/>
    <w:rsid w:val="2BDA3F48"/>
    <w:rsid w:val="2BDC24BD"/>
    <w:rsid w:val="2BDF043E"/>
    <w:rsid w:val="2BDF37C6"/>
    <w:rsid w:val="2BE06710"/>
    <w:rsid w:val="2BE11954"/>
    <w:rsid w:val="2BE244D4"/>
    <w:rsid w:val="2BE916CD"/>
    <w:rsid w:val="2BE9306B"/>
    <w:rsid w:val="2BF0080E"/>
    <w:rsid w:val="2BF0485C"/>
    <w:rsid w:val="2BF30FB9"/>
    <w:rsid w:val="2BF31351"/>
    <w:rsid w:val="2BF870C5"/>
    <w:rsid w:val="2BF93BF1"/>
    <w:rsid w:val="2BFE10B6"/>
    <w:rsid w:val="2BFE41F4"/>
    <w:rsid w:val="2C006195"/>
    <w:rsid w:val="2C0C3823"/>
    <w:rsid w:val="2C0D7A2A"/>
    <w:rsid w:val="2C0E0D23"/>
    <w:rsid w:val="2C13685B"/>
    <w:rsid w:val="2C1436BB"/>
    <w:rsid w:val="2C163734"/>
    <w:rsid w:val="2C173305"/>
    <w:rsid w:val="2C174C9F"/>
    <w:rsid w:val="2C1A379C"/>
    <w:rsid w:val="2C1A6FA1"/>
    <w:rsid w:val="2C1C4681"/>
    <w:rsid w:val="2C1D2D14"/>
    <w:rsid w:val="2C2440A3"/>
    <w:rsid w:val="2C251D1E"/>
    <w:rsid w:val="2C25573E"/>
    <w:rsid w:val="2C276103"/>
    <w:rsid w:val="2C2D7283"/>
    <w:rsid w:val="2C304CFB"/>
    <w:rsid w:val="2C353625"/>
    <w:rsid w:val="2C3A1741"/>
    <w:rsid w:val="2C3A6931"/>
    <w:rsid w:val="2C3B3379"/>
    <w:rsid w:val="2C3C7AAF"/>
    <w:rsid w:val="2C3F0F02"/>
    <w:rsid w:val="2C401C3E"/>
    <w:rsid w:val="2C4044D6"/>
    <w:rsid w:val="2C4658C1"/>
    <w:rsid w:val="2C485EF4"/>
    <w:rsid w:val="2C485F61"/>
    <w:rsid w:val="2C4C0A96"/>
    <w:rsid w:val="2C4C48AD"/>
    <w:rsid w:val="2C4E1120"/>
    <w:rsid w:val="2C501BA5"/>
    <w:rsid w:val="2C5030EA"/>
    <w:rsid w:val="2C53572D"/>
    <w:rsid w:val="2C567FD4"/>
    <w:rsid w:val="2C594E60"/>
    <w:rsid w:val="2C5B2A59"/>
    <w:rsid w:val="2C5C1A8E"/>
    <w:rsid w:val="2C5E497C"/>
    <w:rsid w:val="2C6135D3"/>
    <w:rsid w:val="2C62318B"/>
    <w:rsid w:val="2C626979"/>
    <w:rsid w:val="2C651148"/>
    <w:rsid w:val="2C671B82"/>
    <w:rsid w:val="2C68245E"/>
    <w:rsid w:val="2C685ADB"/>
    <w:rsid w:val="2C6A446E"/>
    <w:rsid w:val="2C6A4950"/>
    <w:rsid w:val="2C6E17C2"/>
    <w:rsid w:val="2C6E6EB5"/>
    <w:rsid w:val="2C730542"/>
    <w:rsid w:val="2C737F90"/>
    <w:rsid w:val="2C776DAD"/>
    <w:rsid w:val="2C7772D1"/>
    <w:rsid w:val="2C7D29E4"/>
    <w:rsid w:val="2C7D3F63"/>
    <w:rsid w:val="2C7E3877"/>
    <w:rsid w:val="2C7E3C96"/>
    <w:rsid w:val="2C815051"/>
    <w:rsid w:val="2C820DC9"/>
    <w:rsid w:val="2C843991"/>
    <w:rsid w:val="2C87137B"/>
    <w:rsid w:val="2C87197A"/>
    <w:rsid w:val="2C8722FF"/>
    <w:rsid w:val="2C880041"/>
    <w:rsid w:val="2C894F44"/>
    <w:rsid w:val="2C8A0F83"/>
    <w:rsid w:val="2C8D0BC7"/>
    <w:rsid w:val="2C8D217E"/>
    <w:rsid w:val="2C8F03EC"/>
    <w:rsid w:val="2C9056B8"/>
    <w:rsid w:val="2C9320E0"/>
    <w:rsid w:val="2C935862"/>
    <w:rsid w:val="2C96680B"/>
    <w:rsid w:val="2C966D4E"/>
    <w:rsid w:val="2C982609"/>
    <w:rsid w:val="2C9A23E2"/>
    <w:rsid w:val="2C9B1326"/>
    <w:rsid w:val="2C9D53D4"/>
    <w:rsid w:val="2C9E215E"/>
    <w:rsid w:val="2C9E567D"/>
    <w:rsid w:val="2CA04FB3"/>
    <w:rsid w:val="2CA05518"/>
    <w:rsid w:val="2CA3468E"/>
    <w:rsid w:val="2CA62D0A"/>
    <w:rsid w:val="2CA940B9"/>
    <w:rsid w:val="2CAA3E79"/>
    <w:rsid w:val="2CAE1AD8"/>
    <w:rsid w:val="2CAE25B9"/>
    <w:rsid w:val="2CAE3F84"/>
    <w:rsid w:val="2CB07136"/>
    <w:rsid w:val="2CB17D30"/>
    <w:rsid w:val="2CB27900"/>
    <w:rsid w:val="2CB41D7E"/>
    <w:rsid w:val="2CB8742B"/>
    <w:rsid w:val="2CB909B7"/>
    <w:rsid w:val="2CB97AED"/>
    <w:rsid w:val="2CBB11CD"/>
    <w:rsid w:val="2CBC252D"/>
    <w:rsid w:val="2CBE5C3A"/>
    <w:rsid w:val="2CBF0193"/>
    <w:rsid w:val="2CC157DB"/>
    <w:rsid w:val="2CC2646B"/>
    <w:rsid w:val="2CC44442"/>
    <w:rsid w:val="2CC533F7"/>
    <w:rsid w:val="2CC77EF2"/>
    <w:rsid w:val="2CC813FD"/>
    <w:rsid w:val="2CC82332"/>
    <w:rsid w:val="2CC84865"/>
    <w:rsid w:val="2CC87124"/>
    <w:rsid w:val="2CC93D72"/>
    <w:rsid w:val="2CCB7E2F"/>
    <w:rsid w:val="2CCD41F7"/>
    <w:rsid w:val="2CD005AD"/>
    <w:rsid w:val="2CD113A6"/>
    <w:rsid w:val="2CD21D51"/>
    <w:rsid w:val="2CD24D70"/>
    <w:rsid w:val="2CD61BAC"/>
    <w:rsid w:val="2CDA444D"/>
    <w:rsid w:val="2CDD683D"/>
    <w:rsid w:val="2CE010E1"/>
    <w:rsid w:val="2CE205A6"/>
    <w:rsid w:val="2CE45C08"/>
    <w:rsid w:val="2CE55FE2"/>
    <w:rsid w:val="2CE6110E"/>
    <w:rsid w:val="2CE657FC"/>
    <w:rsid w:val="2CE732C8"/>
    <w:rsid w:val="2CE80B9F"/>
    <w:rsid w:val="2CEA7D8E"/>
    <w:rsid w:val="2CEB3084"/>
    <w:rsid w:val="2CEE610B"/>
    <w:rsid w:val="2CF25F4F"/>
    <w:rsid w:val="2CF56A35"/>
    <w:rsid w:val="2CF73565"/>
    <w:rsid w:val="2CFB469A"/>
    <w:rsid w:val="2CFC0B7C"/>
    <w:rsid w:val="2D01195F"/>
    <w:rsid w:val="2D036418"/>
    <w:rsid w:val="2D0D0FDB"/>
    <w:rsid w:val="2D0D5257"/>
    <w:rsid w:val="2D0E3A14"/>
    <w:rsid w:val="2D111E2A"/>
    <w:rsid w:val="2D121E54"/>
    <w:rsid w:val="2D13230E"/>
    <w:rsid w:val="2D154871"/>
    <w:rsid w:val="2D156B1B"/>
    <w:rsid w:val="2D157E8F"/>
    <w:rsid w:val="2D172F8D"/>
    <w:rsid w:val="2D182851"/>
    <w:rsid w:val="2D1934DC"/>
    <w:rsid w:val="2D1B7985"/>
    <w:rsid w:val="2D1C19DF"/>
    <w:rsid w:val="2D1E7367"/>
    <w:rsid w:val="2D200D0E"/>
    <w:rsid w:val="2D2152A0"/>
    <w:rsid w:val="2D2467F2"/>
    <w:rsid w:val="2D2748BC"/>
    <w:rsid w:val="2D294FB5"/>
    <w:rsid w:val="2D2B2F5E"/>
    <w:rsid w:val="2D2B38D3"/>
    <w:rsid w:val="2D2D4A4D"/>
    <w:rsid w:val="2D2D6403"/>
    <w:rsid w:val="2D320A41"/>
    <w:rsid w:val="2D325A03"/>
    <w:rsid w:val="2D327A59"/>
    <w:rsid w:val="2D331AC0"/>
    <w:rsid w:val="2D3654A8"/>
    <w:rsid w:val="2D372BE0"/>
    <w:rsid w:val="2D3C2664"/>
    <w:rsid w:val="2D3C53EA"/>
    <w:rsid w:val="2D3D401A"/>
    <w:rsid w:val="2D3F706D"/>
    <w:rsid w:val="2D4411A4"/>
    <w:rsid w:val="2D44452E"/>
    <w:rsid w:val="2D4700B4"/>
    <w:rsid w:val="2D4761C0"/>
    <w:rsid w:val="2D4A27B8"/>
    <w:rsid w:val="2D4A7100"/>
    <w:rsid w:val="2D4A751D"/>
    <w:rsid w:val="2D4B6FC8"/>
    <w:rsid w:val="2D4C74BC"/>
    <w:rsid w:val="2D4D5BF9"/>
    <w:rsid w:val="2D4E2848"/>
    <w:rsid w:val="2D4E4A95"/>
    <w:rsid w:val="2D4F4DBC"/>
    <w:rsid w:val="2D5535CC"/>
    <w:rsid w:val="2D58733A"/>
    <w:rsid w:val="2D590FB7"/>
    <w:rsid w:val="2D5F2E46"/>
    <w:rsid w:val="2D602FFB"/>
    <w:rsid w:val="2D621327"/>
    <w:rsid w:val="2D636EB7"/>
    <w:rsid w:val="2D6977DA"/>
    <w:rsid w:val="2D6C0F9C"/>
    <w:rsid w:val="2D6E464F"/>
    <w:rsid w:val="2D70031C"/>
    <w:rsid w:val="2D7167D9"/>
    <w:rsid w:val="2D743DFC"/>
    <w:rsid w:val="2D75008D"/>
    <w:rsid w:val="2D75375F"/>
    <w:rsid w:val="2D77665C"/>
    <w:rsid w:val="2D7B2ABA"/>
    <w:rsid w:val="2D7B2FD0"/>
    <w:rsid w:val="2D7B39A1"/>
    <w:rsid w:val="2D7C1CBC"/>
    <w:rsid w:val="2D7D6C69"/>
    <w:rsid w:val="2D811E5B"/>
    <w:rsid w:val="2D830365"/>
    <w:rsid w:val="2D856DC3"/>
    <w:rsid w:val="2D8E24FC"/>
    <w:rsid w:val="2D8E5A17"/>
    <w:rsid w:val="2D8F03EC"/>
    <w:rsid w:val="2D8F2278"/>
    <w:rsid w:val="2D8F379E"/>
    <w:rsid w:val="2D917516"/>
    <w:rsid w:val="2D92328E"/>
    <w:rsid w:val="2D924416"/>
    <w:rsid w:val="2D924E33"/>
    <w:rsid w:val="2D927BE4"/>
    <w:rsid w:val="2D947DB7"/>
    <w:rsid w:val="2D954BB8"/>
    <w:rsid w:val="2D9621A7"/>
    <w:rsid w:val="2D962D7E"/>
    <w:rsid w:val="2D9716F8"/>
    <w:rsid w:val="2D9A1242"/>
    <w:rsid w:val="2D9B588B"/>
    <w:rsid w:val="2D9C31A4"/>
    <w:rsid w:val="2D9C5EBB"/>
    <w:rsid w:val="2D9D3538"/>
    <w:rsid w:val="2DA41CC4"/>
    <w:rsid w:val="2DA5635A"/>
    <w:rsid w:val="2DA67D61"/>
    <w:rsid w:val="2DA804D7"/>
    <w:rsid w:val="2DA82AB1"/>
    <w:rsid w:val="2DAA0E2E"/>
    <w:rsid w:val="2DAA40D8"/>
    <w:rsid w:val="2DAD25A7"/>
    <w:rsid w:val="2DAD2D36"/>
    <w:rsid w:val="2DAF5F38"/>
    <w:rsid w:val="2DAF719F"/>
    <w:rsid w:val="2DB4660A"/>
    <w:rsid w:val="2DB46A69"/>
    <w:rsid w:val="2DB75E04"/>
    <w:rsid w:val="2DB91CE2"/>
    <w:rsid w:val="2DBD7228"/>
    <w:rsid w:val="2DC06CFD"/>
    <w:rsid w:val="2DC06E51"/>
    <w:rsid w:val="2DC3452B"/>
    <w:rsid w:val="2DC42F43"/>
    <w:rsid w:val="2DC4384C"/>
    <w:rsid w:val="2DC517CF"/>
    <w:rsid w:val="2DC6090C"/>
    <w:rsid w:val="2DC67BF2"/>
    <w:rsid w:val="2DC866AE"/>
    <w:rsid w:val="2DCA6ECC"/>
    <w:rsid w:val="2DCF0324"/>
    <w:rsid w:val="2DD16CDA"/>
    <w:rsid w:val="2DD438A6"/>
    <w:rsid w:val="2DD53016"/>
    <w:rsid w:val="2DD571B0"/>
    <w:rsid w:val="2DD83397"/>
    <w:rsid w:val="2DDA45B1"/>
    <w:rsid w:val="2DDA5840"/>
    <w:rsid w:val="2DDA5F4C"/>
    <w:rsid w:val="2DDC5887"/>
    <w:rsid w:val="2DDC7EC4"/>
    <w:rsid w:val="2DDD585B"/>
    <w:rsid w:val="2DDF670F"/>
    <w:rsid w:val="2DDF7C08"/>
    <w:rsid w:val="2DE007D6"/>
    <w:rsid w:val="2DE24F9A"/>
    <w:rsid w:val="2DE37C90"/>
    <w:rsid w:val="2DE43435"/>
    <w:rsid w:val="2DE549E3"/>
    <w:rsid w:val="2DE634CB"/>
    <w:rsid w:val="2DE7714F"/>
    <w:rsid w:val="2DEA1FD2"/>
    <w:rsid w:val="2DEC17BE"/>
    <w:rsid w:val="2DED6B24"/>
    <w:rsid w:val="2DEF05CA"/>
    <w:rsid w:val="2DF13958"/>
    <w:rsid w:val="2DF315F0"/>
    <w:rsid w:val="2DF46306"/>
    <w:rsid w:val="2DF83A39"/>
    <w:rsid w:val="2DF85F86"/>
    <w:rsid w:val="2DFA3F91"/>
    <w:rsid w:val="2DFD6F87"/>
    <w:rsid w:val="2DFE2158"/>
    <w:rsid w:val="2DFF51A3"/>
    <w:rsid w:val="2DFF5E7C"/>
    <w:rsid w:val="2E0146DB"/>
    <w:rsid w:val="2E020414"/>
    <w:rsid w:val="2E03461E"/>
    <w:rsid w:val="2E053C8A"/>
    <w:rsid w:val="2E07288F"/>
    <w:rsid w:val="2E0A25C4"/>
    <w:rsid w:val="2E0A551A"/>
    <w:rsid w:val="2E110409"/>
    <w:rsid w:val="2E122815"/>
    <w:rsid w:val="2E123AD7"/>
    <w:rsid w:val="2E157541"/>
    <w:rsid w:val="2E176C9E"/>
    <w:rsid w:val="2E187C43"/>
    <w:rsid w:val="2E192FB3"/>
    <w:rsid w:val="2E1A3843"/>
    <w:rsid w:val="2E1B6341"/>
    <w:rsid w:val="2E204D3E"/>
    <w:rsid w:val="2E214CCD"/>
    <w:rsid w:val="2E233328"/>
    <w:rsid w:val="2E2414F1"/>
    <w:rsid w:val="2E2508C8"/>
    <w:rsid w:val="2E25646B"/>
    <w:rsid w:val="2E277E7A"/>
    <w:rsid w:val="2E2A002F"/>
    <w:rsid w:val="2E2C5491"/>
    <w:rsid w:val="2E2D317C"/>
    <w:rsid w:val="2E2E5A7B"/>
    <w:rsid w:val="2E311C23"/>
    <w:rsid w:val="2E312E17"/>
    <w:rsid w:val="2E32117F"/>
    <w:rsid w:val="2E321EEF"/>
    <w:rsid w:val="2E371C99"/>
    <w:rsid w:val="2E383E35"/>
    <w:rsid w:val="2E3B70FE"/>
    <w:rsid w:val="2E3B71C5"/>
    <w:rsid w:val="2E3E1D2F"/>
    <w:rsid w:val="2E3F039B"/>
    <w:rsid w:val="2E414D83"/>
    <w:rsid w:val="2E420620"/>
    <w:rsid w:val="2E444392"/>
    <w:rsid w:val="2E452396"/>
    <w:rsid w:val="2E477CCB"/>
    <w:rsid w:val="2E4B111F"/>
    <w:rsid w:val="2E532D15"/>
    <w:rsid w:val="2E5838B5"/>
    <w:rsid w:val="2E583A6A"/>
    <w:rsid w:val="2E5B7B24"/>
    <w:rsid w:val="2E5D3D6B"/>
    <w:rsid w:val="2E5F03D3"/>
    <w:rsid w:val="2E605037"/>
    <w:rsid w:val="2E6201B8"/>
    <w:rsid w:val="2E6471A1"/>
    <w:rsid w:val="2E691CC2"/>
    <w:rsid w:val="2E705B8D"/>
    <w:rsid w:val="2E775C40"/>
    <w:rsid w:val="2E7A5550"/>
    <w:rsid w:val="2E7C01C6"/>
    <w:rsid w:val="2E7C1194"/>
    <w:rsid w:val="2E7E1009"/>
    <w:rsid w:val="2E8043D5"/>
    <w:rsid w:val="2E815857"/>
    <w:rsid w:val="2E844F91"/>
    <w:rsid w:val="2E864BA1"/>
    <w:rsid w:val="2E864F0D"/>
    <w:rsid w:val="2E865AA2"/>
    <w:rsid w:val="2E883361"/>
    <w:rsid w:val="2E891D39"/>
    <w:rsid w:val="2E8B0409"/>
    <w:rsid w:val="2E8D45A4"/>
    <w:rsid w:val="2E8E6F69"/>
    <w:rsid w:val="2E901EAD"/>
    <w:rsid w:val="2E927F1A"/>
    <w:rsid w:val="2E943223"/>
    <w:rsid w:val="2E951C96"/>
    <w:rsid w:val="2E957D74"/>
    <w:rsid w:val="2E9B1742"/>
    <w:rsid w:val="2E9D12CA"/>
    <w:rsid w:val="2E9E102A"/>
    <w:rsid w:val="2EA71C5B"/>
    <w:rsid w:val="2EA76407"/>
    <w:rsid w:val="2EA87D4D"/>
    <w:rsid w:val="2EAA4CAE"/>
    <w:rsid w:val="2EAF5851"/>
    <w:rsid w:val="2EB11C39"/>
    <w:rsid w:val="2EB23535"/>
    <w:rsid w:val="2EB52A65"/>
    <w:rsid w:val="2EB70691"/>
    <w:rsid w:val="2EBE67C1"/>
    <w:rsid w:val="2EBF4D0E"/>
    <w:rsid w:val="2EC419CB"/>
    <w:rsid w:val="2EC42F62"/>
    <w:rsid w:val="2ECB3CE1"/>
    <w:rsid w:val="2ED2774E"/>
    <w:rsid w:val="2ED70E8C"/>
    <w:rsid w:val="2ED712FC"/>
    <w:rsid w:val="2ED742F7"/>
    <w:rsid w:val="2EDA219A"/>
    <w:rsid w:val="2EDB562B"/>
    <w:rsid w:val="2EDD678B"/>
    <w:rsid w:val="2EDE243F"/>
    <w:rsid w:val="2EDE2D59"/>
    <w:rsid w:val="2EE0258C"/>
    <w:rsid w:val="2EE305A9"/>
    <w:rsid w:val="2EE44A7C"/>
    <w:rsid w:val="2EE63E7C"/>
    <w:rsid w:val="2EE7468D"/>
    <w:rsid w:val="2EE74B3E"/>
    <w:rsid w:val="2EE829A0"/>
    <w:rsid w:val="2EE8626D"/>
    <w:rsid w:val="2EEA353D"/>
    <w:rsid w:val="2EEB1C46"/>
    <w:rsid w:val="2EEB70FA"/>
    <w:rsid w:val="2EED7B20"/>
    <w:rsid w:val="2EEE018A"/>
    <w:rsid w:val="2EF014AF"/>
    <w:rsid w:val="2EFA0390"/>
    <w:rsid w:val="2EFD31BE"/>
    <w:rsid w:val="2EFD3DAA"/>
    <w:rsid w:val="2EFD7A9D"/>
    <w:rsid w:val="2EFE50F3"/>
    <w:rsid w:val="2EFE54A5"/>
    <w:rsid w:val="2EFF223B"/>
    <w:rsid w:val="2F032252"/>
    <w:rsid w:val="2F0361F1"/>
    <w:rsid w:val="2F04311D"/>
    <w:rsid w:val="2F055094"/>
    <w:rsid w:val="2F067A90"/>
    <w:rsid w:val="2F071806"/>
    <w:rsid w:val="2F0E1029"/>
    <w:rsid w:val="2F0E1509"/>
    <w:rsid w:val="2F0F3DE6"/>
    <w:rsid w:val="2F110FDF"/>
    <w:rsid w:val="2F122CFB"/>
    <w:rsid w:val="2F150752"/>
    <w:rsid w:val="2F1536AC"/>
    <w:rsid w:val="2F19338E"/>
    <w:rsid w:val="2F1A178D"/>
    <w:rsid w:val="2F1A3C8D"/>
    <w:rsid w:val="2F1F7823"/>
    <w:rsid w:val="2F210A26"/>
    <w:rsid w:val="2F213281"/>
    <w:rsid w:val="2F213594"/>
    <w:rsid w:val="2F2356E3"/>
    <w:rsid w:val="2F2357EE"/>
    <w:rsid w:val="2F2362AC"/>
    <w:rsid w:val="2F260A44"/>
    <w:rsid w:val="2F2906E6"/>
    <w:rsid w:val="2F2919D0"/>
    <w:rsid w:val="2F2D425C"/>
    <w:rsid w:val="2F2E303C"/>
    <w:rsid w:val="2F3033E9"/>
    <w:rsid w:val="2F320490"/>
    <w:rsid w:val="2F3322DA"/>
    <w:rsid w:val="2F3445FD"/>
    <w:rsid w:val="2F3953D9"/>
    <w:rsid w:val="2F3A2773"/>
    <w:rsid w:val="2F3B0F35"/>
    <w:rsid w:val="2F3E4B52"/>
    <w:rsid w:val="2F3F0CB9"/>
    <w:rsid w:val="2F3F2FA2"/>
    <w:rsid w:val="2F425B2B"/>
    <w:rsid w:val="2F4261AC"/>
    <w:rsid w:val="2F43422D"/>
    <w:rsid w:val="2F45365D"/>
    <w:rsid w:val="2F465C15"/>
    <w:rsid w:val="2F4853F9"/>
    <w:rsid w:val="2F4B3654"/>
    <w:rsid w:val="2F512435"/>
    <w:rsid w:val="2F523F7E"/>
    <w:rsid w:val="2F533484"/>
    <w:rsid w:val="2F533B34"/>
    <w:rsid w:val="2F544228"/>
    <w:rsid w:val="2F545E6B"/>
    <w:rsid w:val="2F604D93"/>
    <w:rsid w:val="2F606C90"/>
    <w:rsid w:val="2F61116A"/>
    <w:rsid w:val="2F613862"/>
    <w:rsid w:val="2F646CC8"/>
    <w:rsid w:val="2F6559F4"/>
    <w:rsid w:val="2F6819FA"/>
    <w:rsid w:val="2F686824"/>
    <w:rsid w:val="2F6904C0"/>
    <w:rsid w:val="2F6A1D80"/>
    <w:rsid w:val="2F6B0688"/>
    <w:rsid w:val="2F6E1561"/>
    <w:rsid w:val="2F6E258D"/>
    <w:rsid w:val="2F6E4669"/>
    <w:rsid w:val="2F6F1091"/>
    <w:rsid w:val="2F6F6BA5"/>
    <w:rsid w:val="2F7667D7"/>
    <w:rsid w:val="2F775CB9"/>
    <w:rsid w:val="2F792957"/>
    <w:rsid w:val="2F7A5ED2"/>
    <w:rsid w:val="2F7A6DCB"/>
    <w:rsid w:val="2F7F7751"/>
    <w:rsid w:val="2F800446"/>
    <w:rsid w:val="2F822586"/>
    <w:rsid w:val="2F8375A3"/>
    <w:rsid w:val="2F84294F"/>
    <w:rsid w:val="2F843BB4"/>
    <w:rsid w:val="2F852CDC"/>
    <w:rsid w:val="2F8555A7"/>
    <w:rsid w:val="2F874A84"/>
    <w:rsid w:val="2F881DFF"/>
    <w:rsid w:val="2F883E76"/>
    <w:rsid w:val="2F8C056E"/>
    <w:rsid w:val="2F8D01B1"/>
    <w:rsid w:val="2F905318"/>
    <w:rsid w:val="2F913E66"/>
    <w:rsid w:val="2F9460E2"/>
    <w:rsid w:val="2F9668A7"/>
    <w:rsid w:val="2F994FCF"/>
    <w:rsid w:val="2F9A475E"/>
    <w:rsid w:val="2F9B48F5"/>
    <w:rsid w:val="2F9B6EE0"/>
    <w:rsid w:val="2F9B7378"/>
    <w:rsid w:val="2F9E290F"/>
    <w:rsid w:val="2F9E416C"/>
    <w:rsid w:val="2F9F0553"/>
    <w:rsid w:val="2F9F0C4E"/>
    <w:rsid w:val="2FA24796"/>
    <w:rsid w:val="2FA60464"/>
    <w:rsid w:val="2FA6516B"/>
    <w:rsid w:val="2FA71273"/>
    <w:rsid w:val="2FA9491B"/>
    <w:rsid w:val="2FAA022C"/>
    <w:rsid w:val="2FAA0284"/>
    <w:rsid w:val="2FAB0637"/>
    <w:rsid w:val="2FAC34F2"/>
    <w:rsid w:val="2FAE19C2"/>
    <w:rsid w:val="2FB219C5"/>
    <w:rsid w:val="2FB76977"/>
    <w:rsid w:val="2FB77EDF"/>
    <w:rsid w:val="2FBA0A29"/>
    <w:rsid w:val="2FBC024E"/>
    <w:rsid w:val="2FBE036A"/>
    <w:rsid w:val="2FC10A50"/>
    <w:rsid w:val="2FC131A2"/>
    <w:rsid w:val="2FC314BE"/>
    <w:rsid w:val="2FC31D86"/>
    <w:rsid w:val="2FC37FC9"/>
    <w:rsid w:val="2FC878E8"/>
    <w:rsid w:val="2FC91D34"/>
    <w:rsid w:val="2FC91F63"/>
    <w:rsid w:val="2FCA3250"/>
    <w:rsid w:val="2FCA61FD"/>
    <w:rsid w:val="2FCB7C8A"/>
    <w:rsid w:val="2FCC51B3"/>
    <w:rsid w:val="2FCD4135"/>
    <w:rsid w:val="2FCD7ECA"/>
    <w:rsid w:val="2FCE5DB3"/>
    <w:rsid w:val="2FD01A90"/>
    <w:rsid w:val="2FD44AFC"/>
    <w:rsid w:val="2FD829CD"/>
    <w:rsid w:val="2FDB20A9"/>
    <w:rsid w:val="2FDB2552"/>
    <w:rsid w:val="2FDD0A38"/>
    <w:rsid w:val="2FE238D5"/>
    <w:rsid w:val="2FE4241B"/>
    <w:rsid w:val="2FE60CC6"/>
    <w:rsid w:val="2FE931CE"/>
    <w:rsid w:val="2FE9340A"/>
    <w:rsid w:val="2FEC37CA"/>
    <w:rsid w:val="2FEE3057"/>
    <w:rsid w:val="2FEE3B11"/>
    <w:rsid w:val="2FF132BC"/>
    <w:rsid w:val="2FF62E1A"/>
    <w:rsid w:val="2FFB2F76"/>
    <w:rsid w:val="2FFD7338"/>
    <w:rsid w:val="2FFE4C0B"/>
    <w:rsid w:val="30014163"/>
    <w:rsid w:val="300371E9"/>
    <w:rsid w:val="300631C6"/>
    <w:rsid w:val="300A230A"/>
    <w:rsid w:val="300E25D6"/>
    <w:rsid w:val="300F429A"/>
    <w:rsid w:val="300F63EF"/>
    <w:rsid w:val="300F6E18"/>
    <w:rsid w:val="301079C5"/>
    <w:rsid w:val="30130736"/>
    <w:rsid w:val="30131F17"/>
    <w:rsid w:val="30147215"/>
    <w:rsid w:val="30170E4E"/>
    <w:rsid w:val="301B3A0F"/>
    <w:rsid w:val="301C5F80"/>
    <w:rsid w:val="30204B81"/>
    <w:rsid w:val="30211111"/>
    <w:rsid w:val="30265567"/>
    <w:rsid w:val="30273365"/>
    <w:rsid w:val="3028694A"/>
    <w:rsid w:val="30292656"/>
    <w:rsid w:val="30295E0A"/>
    <w:rsid w:val="3029612C"/>
    <w:rsid w:val="302A0F27"/>
    <w:rsid w:val="302D7D87"/>
    <w:rsid w:val="302E13F5"/>
    <w:rsid w:val="3032102B"/>
    <w:rsid w:val="30355009"/>
    <w:rsid w:val="30357C55"/>
    <w:rsid w:val="30365B11"/>
    <w:rsid w:val="30373CA5"/>
    <w:rsid w:val="30380D47"/>
    <w:rsid w:val="303844D9"/>
    <w:rsid w:val="303D1216"/>
    <w:rsid w:val="303D4414"/>
    <w:rsid w:val="30414A50"/>
    <w:rsid w:val="304238CF"/>
    <w:rsid w:val="30432F97"/>
    <w:rsid w:val="304424AE"/>
    <w:rsid w:val="304607A6"/>
    <w:rsid w:val="30463342"/>
    <w:rsid w:val="304B0E58"/>
    <w:rsid w:val="304C0C91"/>
    <w:rsid w:val="304C329B"/>
    <w:rsid w:val="304C72C0"/>
    <w:rsid w:val="304C7AF3"/>
    <w:rsid w:val="304D581B"/>
    <w:rsid w:val="305008B0"/>
    <w:rsid w:val="30507CF8"/>
    <w:rsid w:val="30512B0A"/>
    <w:rsid w:val="30512F5A"/>
    <w:rsid w:val="30520E93"/>
    <w:rsid w:val="30540CCA"/>
    <w:rsid w:val="305518F5"/>
    <w:rsid w:val="305A4BA7"/>
    <w:rsid w:val="305C7333"/>
    <w:rsid w:val="30693FC1"/>
    <w:rsid w:val="306A602F"/>
    <w:rsid w:val="306B508D"/>
    <w:rsid w:val="306E321F"/>
    <w:rsid w:val="30705B08"/>
    <w:rsid w:val="30711881"/>
    <w:rsid w:val="3072280E"/>
    <w:rsid w:val="30723EDC"/>
    <w:rsid w:val="30725701"/>
    <w:rsid w:val="307308AA"/>
    <w:rsid w:val="307327E4"/>
    <w:rsid w:val="307D082F"/>
    <w:rsid w:val="307E0447"/>
    <w:rsid w:val="307E32CE"/>
    <w:rsid w:val="307F2930"/>
    <w:rsid w:val="307F3F9D"/>
    <w:rsid w:val="30814C9B"/>
    <w:rsid w:val="308275EA"/>
    <w:rsid w:val="30857BF4"/>
    <w:rsid w:val="30887251"/>
    <w:rsid w:val="30887399"/>
    <w:rsid w:val="308931D7"/>
    <w:rsid w:val="30896BCA"/>
    <w:rsid w:val="308B7A4C"/>
    <w:rsid w:val="308C66BA"/>
    <w:rsid w:val="30902615"/>
    <w:rsid w:val="30904054"/>
    <w:rsid w:val="30934B0C"/>
    <w:rsid w:val="30937263"/>
    <w:rsid w:val="30976DA4"/>
    <w:rsid w:val="309A3FE2"/>
    <w:rsid w:val="309A702D"/>
    <w:rsid w:val="309B593B"/>
    <w:rsid w:val="309E42A4"/>
    <w:rsid w:val="309E7CB5"/>
    <w:rsid w:val="30A11406"/>
    <w:rsid w:val="30A522A8"/>
    <w:rsid w:val="30A65FBF"/>
    <w:rsid w:val="30A94D80"/>
    <w:rsid w:val="30AB1BB9"/>
    <w:rsid w:val="30AC262A"/>
    <w:rsid w:val="30AC55C6"/>
    <w:rsid w:val="30AD5D49"/>
    <w:rsid w:val="30B164A4"/>
    <w:rsid w:val="30B757D1"/>
    <w:rsid w:val="30BB6386"/>
    <w:rsid w:val="30BC6EDA"/>
    <w:rsid w:val="30BF083E"/>
    <w:rsid w:val="30C40866"/>
    <w:rsid w:val="30C53621"/>
    <w:rsid w:val="30C54D0F"/>
    <w:rsid w:val="30C63DF0"/>
    <w:rsid w:val="30C6758A"/>
    <w:rsid w:val="30C85944"/>
    <w:rsid w:val="30CA1886"/>
    <w:rsid w:val="30CB3727"/>
    <w:rsid w:val="30CE16BD"/>
    <w:rsid w:val="30D323B2"/>
    <w:rsid w:val="30D41138"/>
    <w:rsid w:val="30D5696C"/>
    <w:rsid w:val="30D8193E"/>
    <w:rsid w:val="30D90A83"/>
    <w:rsid w:val="30D936D8"/>
    <w:rsid w:val="30DC4F4C"/>
    <w:rsid w:val="30DD3DFA"/>
    <w:rsid w:val="30E1460E"/>
    <w:rsid w:val="30E24926"/>
    <w:rsid w:val="30E45C08"/>
    <w:rsid w:val="30E55A2A"/>
    <w:rsid w:val="30E64D72"/>
    <w:rsid w:val="30E837FA"/>
    <w:rsid w:val="30E84BD8"/>
    <w:rsid w:val="30E868C7"/>
    <w:rsid w:val="30EC24B1"/>
    <w:rsid w:val="30ED0486"/>
    <w:rsid w:val="30ED2EDF"/>
    <w:rsid w:val="30EE71D2"/>
    <w:rsid w:val="30EF3E08"/>
    <w:rsid w:val="30F31003"/>
    <w:rsid w:val="30F37BAC"/>
    <w:rsid w:val="30F56787"/>
    <w:rsid w:val="30F64895"/>
    <w:rsid w:val="30F64AF1"/>
    <w:rsid w:val="30F658DD"/>
    <w:rsid w:val="30F73822"/>
    <w:rsid w:val="30F75AE9"/>
    <w:rsid w:val="30F85AFE"/>
    <w:rsid w:val="30F902F8"/>
    <w:rsid w:val="30F93FD7"/>
    <w:rsid w:val="30FB0B08"/>
    <w:rsid w:val="31012C04"/>
    <w:rsid w:val="31012CC0"/>
    <w:rsid w:val="31021920"/>
    <w:rsid w:val="31036B82"/>
    <w:rsid w:val="31052CE4"/>
    <w:rsid w:val="31091F80"/>
    <w:rsid w:val="310C4884"/>
    <w:rsid w:val="310F4AF1"/>
    <w:rsid w:val="310F6779"/>
    <w:rsid w:val="31115BE8"/>
    <w:rsid w:val="31134D6B"/>
    <w:rsid w:val="311466D5"/>
    <w:rsid w:val="31155667"/>
    <w:rsid w:val="311B101C"/>
    <w:rsid w:val="311B36B4"/>
    <w:rsid w:val="312270A2"/>
    <w:rsid w:val="31235342"/>
    <w:rsid w:val="312461AC"/>
    <w:rsid w:val="31251045"/>
    <w:rsid w:val="312561FA"/>
    <w:rsid w:val="31264419"/>
    <w:rsid w:val="31284143"/>
    <w:rsid w:val="312B14B0"/>
    <w:rsid w:val="312C2CAA"/>
    <w:rsid w:val="312D4314"/>
    <w:rsid w:val="31307046"/>
    <w:rsid w:val="31320ABD"/>
    <w:rsid w:val="31322DBE"/>
    <w:rsid w:val="31347EBF"/>
    <w:rsid w:val="31356A60"/>
    <w:rsid w:val="31361442"/>
    <w:rsid w:val="313847A6"/>
    <w:rsid w:val="313B0465"/>
    <w:rsid w:val="313D1C59"/>
    <w:rsid w:val="313E1C8E"/>
    <w:rsid w:val="313E79B5"/>
    <w:rsid w:val="313F54F6"/>
    <w:rsid w:val="314028B6"/>
    <w:rsid w:val="3145174F"/>
    <w:rsid w:val="314619D1"/>
    <w:rsid w:val="314D1F1C"/>
    <w:rsid w:val="314E25C5"/>
    <w:rsid w:val="314F43E4"/>
    <w:rsid w:val="31501377"/>
    <w:rsid w:val="31501496"/>
    <w:rsid w:val="315060FE"/>
    <w:rsid w:val="31547AA5"/>
    <w:rsid w:val="31552F50"/>
    <w:rsid w:val="31575C74"/>
    <w:rsid w:val="3159486D"/>
    <w:rsid w:val="31597AB1"/>
    <w:rsid w:val="315B0218"/>
    <w:rsid w:val="315C0209"/>
    <w:rsid w:val="315C608D"/>
    <w:rsid w:val="316172E3"/>
    <w:rsid w:val="3166406E"/>
    <w:rsid w:val="31677425"/>
    <w:rsid w:val="316B48CC"/>
    <w:rsid w:val="316F5FF1"/>
    <w:rsid w:val="31720CF0"/>
    <w:rsid w:val="317234FF"/>
    <w:rsid w:val="31723D31"/>
    <w:rsid w:val="31747AEC"/>
    <w:rsid w:val="31747C2A"/>
    <w:rsid w:val="31750EFD"/>
    <w:rsid w:val="31764316"/>
    <w:rsid w:val="31767B64"/>
    <w:rsid w:val="317823F5"/>
    <w:rsid w:val="31797AE6"/>
    <w:rsid w:val="317D074B"/>
    <w:rsid w:val="317E07B0"/>
    <w:rsid w:val="3180527D"/>
    <w:rsid w:val="31835ACF"/>
    <w:rsid w:val="318560E7"/>
    <w:rsid w:val="31856B02"/>
    <w:rsid w:val="318746E6"/>
    <w:rsid w:val="3188051D"/>
    <w:rsid w:val="31892EEB"/>
    <w:rsid w:val="318959E7"/>
    <w:rsid w:val="31896E18"/>
    <w:rsid w:val="318B24CE"/>
    <w:rsid w:val="318C0026"/>
    <w:rsid w:val="318C2C69"/>
    <w:rsid w:val="318C6106"/>
    <w:rsid w:val="3190300A"/>
    <w:rsid w:val="31924394"/>
    <w:rsid w:val="31945659"/>
    <w:rsid w:val="31965B91"/>
    <w:rsid w:val="31975317"/>
    <w:rsid w:val="319812CE"/>
    <w:rsid w:val="319844B3"/>
    <w:rsid w:val="319A0670"/>
    <w:rsid w:val="319B07EE"/>
    <w:rsid w:val="319D0194"/>
    <w:rsid w:val="31A04A32"/>
    <w:rsid w:val="31A14D36"/>
    <w:rsid w:val="31A16972"/>
    <w:rsid w:val="31A220B3"/>
    <w:rsid w:val="31A245D7"/>
    <w:rsid w:val="31A3456F"/>
    <w:rsid w:val="31A64EA9"/>
    <w:rsid w:val="31A8206C"/>
    <w:rsid w:val="31AA77FA"/>
    <w:rsid w:val="31AB1FA4"/>
    <w:rsid w:val="31AC1C27"/>
    <w:rsid w:val="31AD6183"/>
    <w:rsid w:val="31AE32BC"/>
    <w:rsid w:val="31AF188E"/>
    <w:rsid w:val="31AF1AA7"/>
    <w:rsid w:val="31B05FC2"/>
    <w:rsid w:val="31B20116"/>
    <w:rsid w:val="31B541B0"/>
    <w:rsid w:val="31B60B13"/>
    <w:rsid w:val="31B61885"/>
    <w:rsid w:val="31B61C41"/>
    <w:rsid w:val="31BA2FDF"/>
    <w:rsid w:val="31BA43BB"/>
    <w:rsid w:val="31BC0463"/>
    <w:rsid w:val="31C071B7"/>
    <w:rsid w:val="31C30011"/>
    <w:rsid w:val="31C34231"/>
    <w:rsid w:val="31C415FC"/>
    <w:rsid w:val="31C54363"/>
    <w:rsid w:val="31C679AA"/>
    <w:rsid w:val="31C72674"/>
    <w:rsid w:val="31C9330F"/>
    <w:rsid w:val="31CA1D12"/>
    <w:rsid w:val="31CB1C93"/>
    <w:rsid w:val="31CB5D1F"/>
    <w:rsid w:val="31CD2AE7"/>
    <w:rsid w:val="31D076BF"/>
    <w:rsid w:val="31D25E19"/>
    <w:rsid w:val="31D467B4"/>
    <w:rsid w:val="31D6319C"/>
    <w:rsid w:val="31D65A42"/>
    <w:rsid w:val="31D71BB7"/>
    <w:rsid w:val="31D9568A"/>
    <w:rsid w:val="31DA7F87"/>
    <w:rsid w:val="31DD464B"/>
    <w:rsid w:val="31E35727"/>
    <w:rsid w:val="31E43815"/>
    <w:rsid w:val="31E56082"/>
    <w:rsid w:val="31E57E30"/>
    <w:rsid w:val="31E93249"/>
    <w:rsid w:val="31EB50B8"/>
    <w:rsid w:val="31EC7FE6"/>
    <w:rsid w:val="31F151EA"/>
    <w:rsid w:val="31F31EF6"/>
    <w:rsid w:val="31F505B8"/>
    <w:rsid w:val="31F820EA"/>
    <w:rsid w:val="31F82508"/>
    <w:rsid w:val="31F84F4A"/>
    <w:rsid w:val="31FB5585"/>
    <w:rsid w:val="31FF5ABB"/>
    <w:rsid w:val="32011C50"/>
    <w:rsid w:val="3202049E"/>
    <w:rsid w:val="320354E2"/>
    <w:rsid w:val="32037F9A"/>
    <w:rsid w:val="32045AF8"/>
    <w:rsid w:val="32045C78"/>
    <w:rsid w:val="32052280"/>
    <w:rsid w:val="320640FA"/>
    <w:rsid w:val="320C1861"/>
    <w:rsid w:val="321057CD"/>
    <w:rsid w:val="321062F8"/>
    <w:rsid w:val="32117625"/>
    <w:rsid w:val="32124672"/>
    <w:rsid w:val="32141DB3"/>
    <w:rsid w:val="32145D54"/>
    <w:rsid w:val="32152B09"/>
    <w:rsid w:val="3215327B"/>
    <w:rsid w:val="3216635D"/>
    <w:rsid w:val="321673E5"/>
    <w:rsid w:val="32173D8B"/>
    <w:rsid w:val="321743E1"/>
    <w:rsid w:val="321D156D"/>
    <w:rsid w:val="32203FC4"/>
    <w:rsid w:val="3220598A"/>
    <w:rsid w:val="32210734"/>
    <w:rsid w:val="322540D2"/>
    <w:rsid w:val="3228580D"/>
    <w:rsid w:val="322B0BC1"/>
    <w:rsid w:val="322D17D7"/>
    <w:rsid w:val="3230532A"/>
    <w:rsid w:val="32324328"/>
    <w:rsid w:val="32387B0C"/>
    <w:rsid w:val="323C3B2B"/>
    <w:rsid w:val="323D7752"/>
    <w:rsid w:val="323F21DF"/>
    <w:rsid w:val="323F22DA"/>
    <w:rsid w:val="32404FF3"/>
    <w:rsid w:val="3240586E"/>
    <w:rsid w:val="324258D7"/>
    <w:rsid w:val="324347DB"/>
    <w:rsid w:val="324350C9"/>
    <w:rsid w:val="324700D0"/>
    <w:rsid w:val="32477F9F"/>
    <w:rsid w:val="3249358E"/>
    <w:rsid w:val="324A6CC1"/>
    <w:rsid w:val="324A7A38"/>
    <w:rsid w:val="324B1E19"/>
    <w:rsid w:val="324F2302"/>
    <w:rsid w:val="324F5D5C"/>
    <w:rsid w:val="32505E35"/>
    <w:rsid w:val="325154C6"/>
    <w:rsid w:val="32520435"/>
    <w:rsid w:val="32534317"/>
    <w:rsid w:val="325518D1"/>
    <w:rsid w:val="32553619"/>
    <w:rsid w:val="325A27AA"/>
    <w:rsid w:val="325B4D2E"/>
    <w:rsid w:val="325C0D35"/>
    <w:rsid w:val="325E5795"/>
    <w:rsid w:val="32604DF0"/>
    <w:rsid w:val="32621481"/>
    <w:rsid w:val="3263094F"/>
    <w:rsid w:val="32637A94"/>
    <w:rsid w:val="3269377A"/>
    <w:rsid w:val="326A1EE8"/>
    <w:rsid w:val="326A2A2B"/>
    <w:rsid w:val="326C3C70"/>
    <w:rsid w:val="326C535E"/>
    <w:rsid w:val="326E6078"/>
    <w:rsid w:val="326F1B74"/>
    <w:rsid w:val="32704190"/>
    <w:rsid w:val="32726881"/>
    <w:rsid w:val="3276448F"/>
    <w:rsid w:val="32772FAF"/>
    <w:rsid w:val="327C031F"/>
    <w:rsid w:val="327E7FED"/>
    <w:rsid w:val="32820DA7"/>
    <w:rsid w:val="32841151"/>
    <w:rsid w:val="32846EB9"/>
    <w:rsid w:val="32885138"/>
    <w:rsid w:val="3288583F"/>
    <w:rsid w:val="32894C60"/>
    <w:rsid w:val="328E6303"/>
    <w:rsid w:val="328F46B2"/>
    <w:rsid w:val="32905023"/>
    <w:rsid w:val="32906555"/>
    <w:rsid w:val="32913FBB"/>
    <w:rsid w:val="3292007E"/>
    <w:rsid w:val="32921372"/>
    <w:rsid w:val="32933AE6"/>
    <w:rsid w:val="3296266D"/>
    <w:rsid w:val="32962E1E"/>
    <w:rsid w:val="32981347"/>
    <w:rsid w:val="329907D2"/>
    <w:rsid w:val="329E7B34"/>
    <w:rsid w:val="329F60E4"/>
    <w:rsid w:val="32A11FE9"/>
    <w:rsid w:val="32A62D41"/>
    <w:rsid w:val="32AB1EC0"/>
    <w:rsid w:val="32AB5739"/>
    <w:rsid w:val="32AC4395"/>
    <w:rsid w:val="32AE6E11"/>
    <w:rsid w:val="32B2596F"/>
    <w:rsid w:val="32B426A7"/>
    <w:rsid w:val="32B53128"/>
    <w:rsid w:val="32BD658E"/>
    <w:rsid w:val="32BE3C87"/>
    <w:rsid w:val="32BE78EF"/>
    <w:rsid w:val="32C11C83"/>
    <w:rsid w:val="32C148F2"/>
    <w:rsid w:val="32C34779"/>
    <w:rsid w:val="32C36E9E"/>
    <w:rsid w:val="32C42398"/>
    <w:rsid w:val="32C65EB4"/>
    <w:rsid w:val="32C70104"/>
    <w:rsid w:val="32C87D18"/>
    <w:rsid w:val="32C95A0F"/>
    <w:rsid w:val="32C97DB6"/>
    <w:rsid w:val="32CA45E7"/>
    <w:rsid w:val="32CA6BB2"/>
    <w:rsid w:val="32CE2FBA"/>
    <w:rsid w:val="32D05510"/>
    <w:rsid w:val="32D06D32"/>
    <w:rsid w:val="32D26157"/>
    <w:rsid w:val="32D77CD8"/>
    <w:rsid w:val="32D80D59"/>
    <w:rsid w:val="32D811F0"/>
    <w:rsid w:val="32D86174"/>
    <w:rsid w:val="32D94C52"/>
    <w:rsid w:val="32DA1A22"/>
    <w:rsid w:val="32DC41A4"/>
    <w:rsid w:val="32DC4AF2"/>
    <w:rsid w:val="32DD6344"/>
    <w:rsid w:val="32E07B59"/>
    <w:rsid w:val="32E15FA8"/>
    <w:rsid w:val="32E361FE"/>
    <w:rsid w:val="32E42B04"/>
    <w:rsid w:val="32E45ACE"/>
    <w:rsid w:val="32E50D9C"/>
    <w:rsid w:val="32E7407C"/>
    <w:rsid w:val="32EB2BDA"/>
    <w:rsid w:val="32EB4F11"/>
    <w:rsid w:val="32EB5FCD"/>
    <w:rsid w:val="32EC2E63"/>
    <w:rsid w:val="32ED0962"/>
    <w:rsid w:val="32EE7A09"/>
    <w:rsid w:val="32F02FA7"/>
    <w:rsid w:val="32F07D99"/>
    <w:rsid w:val="32F14778"/>
    <w:rsid w:val="32F20FD5"/>
    <w:rsid w:val="32F67E92"/>
    <w:rsid w:val="32FA0758"/>
    <w:rsid w:val="32FB00EB"/>
    <w:rsid w:val="32FC625F"/>
    <w:rsid w:val="33050BB4"/>
    <w:rsid w:val="330546EE"/>
    <w:rsid w:val="33065DE4"/>
    <w:rsid w:val="33086DB3"/>
    <w:rsid w:val="330A7360"/>
    <w:rsid w:val="330C04B5"/>
    <w:rsid w:val="330C1A93"/>
    <w:rsid w:val="330D5C27"/>
    <w:rsid w:val="33102DE9"/>
    <w:rsid w:val="33113688"/>
    <w:rsid w:val="33146BB9"/>
    <w:rsid w:val="33161ADC"/>
    <w:rsid w:val="33180D6B"/>
    <w:rsid w:val="331E16E6"/>
    <w:rsid w:val="33226E62"/>
    <w:rsid w:val="332331E6"/>
    <w:rsid w:val="33287047"/>
    <w:rsid w:val="332B491F"/>
    <w:rsid w:val="33310672"/>
    <w:rsid w:val="333424F6"/>
    <w:rsid w:val="33354DE7"/>
    <w:rsid w:val="333B1D03"/>
    <w:rsid w:val="333C045C"/>
    <w:rsid w:val="333C48CA"/>
    <w:rsid w:val="333C5410"/>
    <w:rsid w:val="333E1B51"/>
    <w:rsid w:val="3340163A"/>
    <w:rsid w:val="33410B91"/>
    <w:rsid w:val="33436FB7"/>
    <w:rsid w:val="334526DE"/>
    <w:rsid w:val="33455827"/>
    <w:rsid w:val="334A20ED"/>
    <w:rsid w:val="334C17FB"/>
    <w:rsid w:val="334D6BAE"/>
    <w:rsid w:val="334F0A12"/>
    <w:rsid w:val="33505FF0"/>
    <w:rsid w:val="3351108A"/>
    <w:rsid w:val="335128AC"/>
    <w:rsid w:val="33524EBC"/>
    <w:rsid w:val="33552C87"/>
    <w:rsid w:val="3359115D"/>
    <w:rsid w:val="335A143A"/>
    <w:rsid w:val="335B0CA2"/>
    <w:rsid w:val="335C40D9"/>
    <w:rsid w:val="335D4E24"/>
    <w:rsid w:val="335F16C1"/>
    <w:rsid w:val="335F4629"/>
    <w:rsid w:val="335F50FA"/>
    <w:rsid w:val="3360025F"/>
    <w:rsid w:val="33631612"/>
    <w:rsid w:val="33640C4D"/>
    <w:rsid w:val="33651616"/>
    <w:rsid w:val="33661EF8"/>
    <w:rsid w:val="33684090"/>
    <w:rsid w:val="336951C3"/>
    <w:rsid w:val="336A4256"/>
    <w:rsid w:val="336E2CEA"/>
    <w:rsid w:val="3370096B"/>
    <w:rsid w:val="33710457"/>
    <w:rsid w:val="33761EA4"/>
    <w:rsid w:val="33771EE8"/>
    <w:rsid w:val="33776359"/>
    <w:rsid w:val="337A532B"/>
    <w:rsid w:val="337B1A01"/>
    <w:rsid w:val="337C6C76"/>
    <w:rsid w:val="338013B6"/>
    <w:rsid w:val="33804909"/>
    <w:rsid w:val="33815EEA"/>
    <w:rsid w:val="3386162D"/>
    <w:rsid w:val="338654A3"/>
    <w:rsid w:val="338902FF"/>
    <w:rsid w:val="33893CED"/>
    <w:rsid w:val="338B617E"/>
    <w:rsid w:val="338D33B6"/>
    <w:rsid w:val="338F4B1C"/>
    <w:rsid w:val="33911B7D"/>
    <w:rsid w:val="3393262F"/>
    <w:rsid w:val="33951ECF"/>
    <w:rsid w:val="339846FA"/>
    <w:rsid w:val="33992AD1"/>
    <w:rsid w:val="339A3AE5"/>
    <w:rsid w:val="339A6BE6"/>
    <w:rsid w:val="339B5919"/>
    <w:rsid w:val="339C6F9B"/>
    <w:rsid w:val="339D07A7"/>
    <w:rsid w:val="33A6324C"/>
    <w:rsid w:val="33A749B8"/>
    <w:rsid w:val="33A8162D"/>
    <w:rsid w:val="33B1757F"/>
    <w:rsid w:val="33B26427"/>
    <w:rsid w:val="33B36456"/>
    <w:rsid w:val="33B44AF1"/>
    <w:rsid w:val="33B47F19"/>
    <w:rsid w:val="33B53D02"/>
    <w:rsid w:val="33B768C8"/>
    <w:rsid w:val="33B812AD"/>
    <w:rsid w:val="33B82BEC"/>
    <w:rsid w:val="33B92491"/>
    <w:rsid w:val="33B94B97"/>
    <w:rsid w:val="33BA709B"/>
    <w:rsid w:val="33BC243E"/>
    <w:rsid w:val="33BE4E98"/>
    <w:rsid w:val="33BE777F"/>
    <w:rsid w:val="33BF3632"/>
    <w:rsid w:val="33C24136"/>
    <w:rsid w:val="33C270FE"/>
    <w:rsid w:val="33C4499E"/>
    <w:rsid w:val="33C808C1"/>
    <w:rsid w:val="33CB74FA"/>
    <w:rsid w:val="33CC2C4E"/>
    <w:rsid w:val="33CE393D"/>
    <w:rsid w:val="33D4134E"/>
    <w:rsid w:val="33D935DD"/>
    <w:rsid w:val="33DA0998"/>
    <w:rsid w:val="33DF1422"/>
    <w:rsid w:val="33DF6B01"/>
    <w:rsid w:val="33E14AD1"/>
    <w:rsid w:val="33E36E81"/>
    <w:rsid w:val="33E46CDF"/>
    <w:rsid w:val="33E564F5"/>
    <w:rsid w:val="33ED0991"/>
    <w:rsid w:val="33ED7EBB"/>
    <w:rsid w:val="33F0076F"/>
    <w:rsid w:val="33F3455B"/>
    <w:rsid w:val="33F60A06"/>
    <w:rsid w:val="33F65566"/>
    <w:rsid w:val="33F677DC"/>
    <w:rsid w:val="33FB118E"/>
    <w:rsid w:val="33FD377C"/>
    <w:rsid w:val="34010E37"/>
    <w:rsid w:val="340254E1"/>
    <w:rsid w:val="34034397"/>
    <w:rsid w:val="34056300"/>
    <w:rsid w:val="340601BE"/>
    <w:rsid w:val="3409786D"/>
    <w:rsid w:val="340A0022"/>
    <w:rsid w:val="340A66CD"/>
    <w:rsid w:val="340B1B6D"/>
    <w:rsid w:val="340B380D"/>
    <w:rsid w:val="340C6A60"/>
    <w:rsid w:val="340E4C4E"/>
    <w:rsid w:val="340E5BF8"/>
    <w:rsid w:val="34150F82"/>
    <w:rsid w:val="3417273F"/>
    <w:rsid w:val="34173BB9"/>
    <w:rsid w:val="34173FD5"/>
    <w:rsid w:val="34177C50"/>
    <w:rsid w:val="341829E6"/>
    <w:rsid w:val="34194F2D"/>
    <w:rsid w:val="341B3FDD"/>
    <w:rsid w:val="341C5FB4"/>
    <w:rsid w:val="3420192D"/>
    <w:rsid w:val="34206674"/>
    <w:rsid w:val="34222E30"/>
    <w:rsid w:val="34235C68"/>
    <w:rsid w:val="34272E93"/>
    <w:rsid w:val="34276791"/>
    <w:rsid w:val="34277050"/>
    <w:rsid w:val="3428612F"/>
    <w:rsid w:val="34291E44"/>
    <w:rsid w:val="34294EDB"/>
    <w:rsid w:val="342A1204"/>
    <w:rsid w:val="342D392D"/>
    <w:rsid w:val="342D4CDF"/>
    <w:rsid w:val="342F2235"/>
    <w:rsid w:val="342F738A"/>
    <w:rsid w:val="34332F38"/>
    <w:rsid w:val="34336D45"/>
    <w:rsid w:val="343432F1"/>
    <w:rsid w:val="343462B1"/>
    <w:rsid w:val="34351CCE"/>
    <w:rsid w:val="34370E5C"/>
    <w:rsid w:val="34372315"/>
    <w:rsid w:val="34376D41"/>
    <w:rsid w:val="34377716"/>
    <w:rsid w:val="343C6D60"/>
    <w:rsid w:val="343D2724"/>
    <w:rsid w:val="343D38FF"/>
    <w:rsid w:val="343D693B"/>
    <w:rsid w:val="343E03BD"/>
    <w:rsid w:val="343E70DE"/>
    <w:rsid w:val="344018CC"/>
    <w:rsid w:val="34413D1D"/>
    <w:rsid w:val="34422258"/>
    <w:rsid w:val="34443CAC"/>
    <w:rsid w:val="344A14DE"/>
    <w:rsid w:val="344D0F54"/>
    <w:rsid w:val="344E6526"/>
    <w:rsid w:val="3450717D"/>
    <w:rsid w:val="345117AD"/>
    <w:rsid w:val="345435AA"/>
    <w:rsid w:val="34547C8F"/>
    <w:rsid w:val="34557EBB"/>
    <w:rsid w:val="34586D7A"/>
    <w:rsid w:val="34586FDF"/>
    <w:rsid w:val="34592321"/>
    <w:rsid w:val="34596110"/>
    <w:rsid w:val="345A1F20"/>
    <w:rsid w:val="345A5E75"/>
    <w:rsid w:val="345B2536"/>
    <w:rsid w:val="345D4D79"/>
    <w:rsid w:val="34612CB6"/>
    <w:rsid w:val="3461334F"/>
    <w:rsid w:val="3464114F"/>
    <w:rsid w:val="34667903"/>
    <w:rsid w:val="346857F6"/>
    <w:rsid w:val="34687F4F"/>
    <w:rsid w:val="346911EC"/>
    <w:rsid w:val="346C035E"/>
    <w:rsid w:val="346C2A8B"/>
    <w:rsid w:val="347078D7"/>
    <w:rsid w:val="34725FE4"/>
    <w:rsid w:val="3476455C"/>
    <w:rsid w:val="347846C6"/>
    <w:rsid w:val="34793C39"/>
    <w:rsid w:val="347B2732"/>
    <w:rsid w:val="347B2CCE"/>
    <w:rsid w:val="34827CB5"/>
    <w:rsid w:val="34837755"/>
    <w:rsid w:val="348520FF"/>
    <w:rsid w:val="34886028"/>
    <w:rsid w:val="348C1227"/>
    <w:rsid w:val="348C4EDB"/>
    <w:rsid w:val="348D22D8"/>
    <w:rsid w:val="348E5110"/>
    <w:rsid w:val="348F3277"/>
    <w:rsid w:val="349123B3"/>
    <w:rsid w:val="349246C7"/>
    <w:rsid w:val="349253F1"/>
    <w:rsid w:val="34952273"/>
    <w:rsid w:val="3495655D"/>
    <w:rsid w:val="3499581B"/>
    <w:rsid w:val="349A73D7"/>
    <w:rsid w:val="349E2F7E"/>
    <w:rsid w:val="349E5F34"/>
    <w:rsid w:val="34A04C06"/>
    <w:rsid w:val="34A57D82"/>
    <w:rsid w:val="34A6193A"/>
    <w:rsid w:val="34A84355"/>
    <w:rsid w:val="34A94FCC"/>
    <w:rsid w:val="34AC5126"/>
    <w:rsid w:val="34AE2F25"/>
    <w:rsid w:val="34B0065D"/>
    <w:rsid w:val="34B501D8"/>
    <w:rsid w:val="34B60E68"/>
    <w:rsid w:val="34B614E7"/>
    <w:rsid w:val="34B6403A"/>
    <w:rsid w:val="34B91484"/>
    <w:rsid w:val="34B91943"/>
    <w:rsid w:val="34BF208E"/>
    <w:rsid w:val="34C30756"/>
    <w:rsid w:val="34C410AA"/>
    <w:rsid w:val="34C555D9"/>
    <w:rsid w:val="34C73AAA"/>
    <w:rsid w:val="34C86F04"/>
    <w:rsid w:val="34CA46E9"/>
    <w:rsid w:val="34CB0D8D"/>
    <w:rsid w:val="34CB7F4D"/>
    <w:rsid w:val="34CF1C36"/>
    <w:rsid w:val="34D00E1A"/>
    <w:rsid w:val="34D0292D"/>
    <w:rsid w:val="34D02CB3"/>
    <w:rsid w:val="34D16D92"/>
    <w:rsid w:val="34D3084D"/>
    <w:rsid w:val="34D43576"/>
    <w:rsid w:val="34D4418C"/>
    <w:rsid w:val="34D74DDF"/>
    <w:rsid w:val="34D80120"/>
    <w:rsid w:val="34DA7537"/>
    <w:rsid w:val="34DF58F4"/>
    <w:rsid w:val="34DF5CA8"/>
    <w:rsid w:val="34E078EB"/>
    <w:rsid w:val="34E1558A"/>
    <w:rsid w:val="34E24AFB"/>
    <w:rsid w:val="34E37C0A"/>
    <w:rsid w:val="34ED2918"/>
    <w:rsid w:val="34EE52DC"/>
    <w:rsid w:val="34EF7D24"/>
    <w:rsid w:val="34F40D13"/>
    <w:rsid w:val="34F93FEC"/>
    <w:rsid w:val="34F9615A"/>
    <w:rsid w:val="34FD6DFC"/>
    <w:rsid w:val="34FE0498"/>
    <w:rsid w:val="34FF38FF"/>
    <w:rsid w:val="3502070C"/>
    <w:rsid w:val="35070C94"/>
    <w:rsid w:val="35074561"/>
    <w:rsid w:val="3508071E"/>
    <w:rsid w:val="350C4582"/>
    <w:rsid w:val="350C690C"/>
    <w:rsid w:val="350D2B28"/>
    <w:rsid w:val="350F4B0E"/>
    <w:rsid w:val="351B1AD3"/>
    <w:rsid w:val="351D21A5"/>
    <w:rsid w:val="351D3D85"/>
    <w:rsid w:val="351E522D"/>
    <w:rsid w:val="3522139B"/>
    <w:rsid w:val="352542DD"/>
    <w:rsid w:val="35284AC8"/>
    <w:rsid w:val="352D0312"/>
    <w:rsid w:val="352D221A"/>
    <w:rsid w:val="35314624"/>
    <w:rsid w:val="353158E1"/>
    <w:rsid w:val="35334412"/>
    <w:rsid w:val="3535040E"/>
    <w:rsid w:val="35351F7B"/>
    <w:rsid w:val="35370AF4"/>
    <w:rsid w:val="3537251F"/>
    <w:rsid w:val="353774B0"/>
    <w:rsid w:val="353A58B4"/>
    <w:rsid w:val="353A609C"/>
    <w:rsid w:val="353F4FBC"/>
    <w:rsid w:val="354323DB"/>
    <w:rsid w:val="35496928"/>
    <w:rsid w:val="354A6FF8"/>
    <w:rsid w:val="354B697B"/>
    <w:rsid w:val="3550415A"/>
    <w:rsid w:val="355061A5"/>
    <w:rsid w:val="35527ED3"/>
    <w:rsid w:val="355328EE"/>
    <w:rsid w:val="355427E8"/>
    <w:rsid w:val="355428FF"/>
    <w:rsid w:val="35547503"/>
    <w:rsid w:val="355652B8"/>
    <w:rsid w:val="3557353F"/>
    <w:rsid w:val="3558046D"/>
    <w:rsid w:val="355D69F8"/>
    <w:rsid w:val="355E3E1F"/>
    <w:rsid w:val="355E4B92"/>
    <w:rsid w:val="355F1DA5"/>
    <w:rsid w:val="355F559B"/>
    <w:rsid w:val="355F7EFA"/>
    <w:rsid w:val="35632ED5"/>
    <w:rsid w:val="35665A62"/>
    <w:rsid w:val="35674E69"/>
    <w:rsid w:val="3569744F"/>
    <w:rsid w:val="356A5061"/>
    <w:rsid w:val="356B1732"/>
    <w:rsid w:val="356B4041"/>
    <w:rsid w:val="356B4AF0"/>
    <w:rsid w:val="356D0868"/>
    <w:rsid w:val="356D6ABA"/>
    <w:rsid w:val="356F2CF9"/>
    <w:rsid w:val="35700359"/>
    <w:rsid w:val="35710BF3"/>
    <w:rsid w:val="357773D7"/>
    <w:rsid w:val="357D4824"/>
    <w:rsid w:val="357D4A3A"/>
    <w:rsid w:val="3586192A"/>
    <w:rsid w:val="35876CB9"/>
    <w:rsid w:val="358B3826"/>
    <w:rsid w:val="358C656C"/>
    <w:rsid w:val="358D6B7C"/>
    <w:rsid w:val="358E5537"/>
    <w:rsid w:val="358E5FC1"/>
    <w:rsid w:val="359052BB"/>
    <w:rsid w:val="359060B9"/>
    <w:rsid w:val="35917176"/>
    <w:rsid w:val="35925CAE"/>
    <w:rsid w:val="35940485"/>
    <w:rsid w:val="35946AC4"/>
    <w:rsid w:val="35964004"/>
    <w:rsid w:val="35977A74"/>
    <w:rsid w:val="3598580B"/>
    <w:rsid w:val="359922D0"/>
    <w:rsid w:val="359B78AF"/>
    <w:rsid w:val="359F0B68"/>
    <w:rsid w:val="359F36B0"/>
    <w:rsid w:val="35A33ECC"/>
    <w:rsid w:val="35A4407F"/>
    <w:rsid w:val="35A53BEA"/>
    <w:rsid w:val="35A6520C"/>
    <w:rsid w:val="35A97B29"/>
    <w:rsid w:val="35AA4C6A"/>
    <w:rsid w:val="35AA7298"/>
    <w:rsid w:val="35AC4B25"/>
    <w:rsid w:val="35AE3244"/>
    <w:rsid w:val="35AE772E"/>
    <w:rsid w:val="35B446E9"/>
    <w:rsid w:val="35B52FFD"/>
    <w:rsid w:val="35B5479E"/>
    <w:rsid w:val="35B96CF1"/>
    <w:rsid w:val="35BC0C75"/>
    <w:rsid w:val="35C26B49"/>
    <w:rsid w:val="35C3211C"/>
    <w:rsid w:val="35C40DBE"/>
    <w:rsid w:val="35C46070"/>
    <w:rsid w:val="35C672BA"/>
    <w:rsid w:val="35C73257"/>
    <w:rsid w:val="35C833F8"/>
    <w:rsid w:val="35C91A46"/>
    <w:rsid w:val="35CD1E2E"/>
    <w:rsid w:val="35CD2A93"/>
    <w:rsid w:val="35CF098B"/>
    <w:rsid w:val="35CF1523"/>
    <w:rsid w:val="35D2474D"/>
    <w:rsid w:val="35D73F34"/>
    <w:rsid w:val="35D8569E"/>
    <w:rsid w:val="35D90C7E"/>
    <w:rsid w:val="35DE2AB4"/>
    <w:rsid w:val="35DE45CA"/>
    <w:rsid w:val="35DE6D98"/>
    <w:rsid w:val="35E1034D"/>
    <w:rsid w:val="35E12D5F"/>
    <w:rsid w:val="35E17A4E"/>
    <w:rsid w:val="35E6686D"/>
    <w:rsid w:val="35E72864"/>
    <w:rsid w:val="35E7581F"/>
    <w:rsid w:val="35E90746"/>
    <w:rsid w:val="35EA11B1"/>
    <w:rsid w:val="35EA26FB"/>
    <w:rsid w:val="35EE59AE"/>
    <w:rsid w:val="35EE5BC8"/>
    <w:rsid w:val="35EF127D"/>
    <w:rsid w:val="35F05EFB"/>
    <w:rsid w:val="35F30C9B"/>
    <w:rsid w:val="35F44EE7"/>
    <w:rsid w:val="35F505FC"/>
    <w:rsid w:val="35FA5E74"/>
    <w:rsid w:val="35FC6014"/>
    <w:rsid w:val="35FC64BB"/>
    <w:rsid w:val="35FE1B09"/>
    <w:rsid w:val="35FE5D10"/>
    <w:rsid w:val="36035D61"/>
    <w:rsid w:val="3604476C"/>
    <w:rsid w:val="360805CF"/>
    <w:rsid w:val="360832C3"/>
    <w:rsid w:val="360C4133"/>
    <w:rsid w:val="360E025A"/>
    <w:rsid w:val="360E4E7D"/>
    <w:rsid w:val="36116BAD"/>
    <w:rsid w:val="36120B91"/>
    <w:rsid w:val="36123880"/>
    <w:rsid w:val="36140071"/>
    <w:rsid w:val="3615610B"/>
    <w:rsid w:val="36193B69"/>
    <w:rsid w:val="361D33E3"/>
    <w:rsid w:val="361E72F6"/>
    <w:rsid w:val="361F6C01"/>
    <w:rsid w:val="36210DA9"/>
    <w:rsid w:val="36217738"/>
    <w:rsid w:val="36240E79"/>
    <w:rsid w:val="36270049"/>
    <w:rsid w:val="36270DC7"/>
    <w:rsid w:val="362829E1"/>
    <w:rsid w:val="3628373B"/>
    <w:rsid w:val="3629411F"/>
    <w:rsid w:val="362E305B"/>
    <w:rsid w:val="362F4EBA"/>
    <w:rsid w:val="36312B23"/>
    <w:rsid w:val="36313F8D"/>
    <w:rsid w:val="363477DB"/>
    <w:rsid w:val="3636686A"/>
    <w:rsid w:val="36370E76"/>
    <w:rsid w:val="363A1CF1"/>
    <w:rsid w:val="363D6D05"/>
    <w:rsid w:val="36401197"/>
    <w:rsid w:val="36406516"/>
    <w:rsid w:val="36412139"/>
    <w:rsid w:val="364271FA"/>
    <w:rsid w:val="36431E72"/>
    <w:rsid w:val="364374E3"/>
    <w:rsid w:val="36440C4B"/>
    <w:rsid w:val="364517E5"/>
    <w:rsid w:val="3646187B"/>
    <w:rsid w:val="36463917"/>
    <w:rsid w:val="36490684"/>
    <w:rsid w:val="364974F3"/>
    <w:rsid w:val="364A7DB1"/>
    <w:rsid w:val="364F7F6E"/>
    <w:rsid w:val="36535ED3"/>
    <w:rsid w:val="36572EB3"/>
    <w:rsid w:val="36591898"/>
    <w:rsid w:val="365950C0"/>
    <w:rsid w:val="365C49EA"/>
    <w:rsid w:val="365D292B"/>
    <w:rsid w:val="365D722B"/>
    <w:rsid w:val="365E0786"/>
    <w:rsid w:val="3665327B"/>
    <w:rsid w:val="366550B7"/>
    <w:rsid w:val="36667BCE"/>
    <w:rsid w:val="36687282"/>
    <w:rsid w:val="366F20F2"/>
    <w:rsid w:val="36722796"/>
    <w:rsid w:val="3676607E"/>
    <w:rsid w:val="36770417"/>
    <w:rsid w:val="36777B0D"/>
    <w:rsid w:val="36783969"/>
    <w:rsid w:val="36796138"/>
    <w:rsid w:val="367D1CD3"/>
    <w:rsid w:val="367E5E0A"/>
    <w:rsid w:val="367E7531"/>
    <w:rsid w:val="367F7E02"/>
    <w:rsid w:val="36806EE4"/>
    <w:rsid w:val="368143B8"/>
    <w:rsid w:val="36842348"/>
    <w:rsid w:val="3685440F"/>
    <w:rsid w:val="36885E55"/>
    <w:rsid w:val="368935A5"/>
    <w:rsid w:val="368E5EAC"/>
    <w:rsid w:val="36914F24"/>
    <w:rsid w:val="369159C4"/>
    <w:rsid w:val="36925726"/>
    <w:rsid w:val="3692595B"/>
    <w:rsid w:val="36951BA9"/>
    <w:rsid w:val="369736C3"/>
    <w:rsid w:val="36973ABF"/>
    <w:rsid w:val="369C3AD2"/>
    <w:rsid w:val="369D1CBF"/>
    <w:rsid w:val="369D6F1A"/>
    <w:rsid w:val="36A07C1F"/>
    <w:rsid w:val="36A276E6"/>
    <w:rsid w:val="36A41578"/>
    <w:rsid w:val="36A66E80"/>
    <w:rsid w:val="36A75FFC"/>
    <w:rsid w:val="36A923B8"/>
    <w:rsid w:val="36AA46AB"/>
    <w:rsid w:val="36AB4C2D"/>
    <w:rsid w:val="36AB72A7"/>
    <w:rsid w:val="36AE616A"/>
    <w:rsid w:val="36AE7E35"/>
    <w:rsid w:val="36AF4EB1"/>
    <w:rsid w:val="36B31D4B"/>
    <w:rsid w:val="36B3674F"/>
    <w:rsid w:val="36B44622"/>
    <w:rsid w:val="36B5211C"/>
    <w:rsid w:val="36B6247D"/>
    <w:rsid w:val="36B72CEA"/>
    <w:rsid w:val="36B81FB7"/>
    <w:rsid w:val="36B82938"/>
    <w:rsid w:val="36B94F66"/>
    <w:rsid w:val="36BD17D2"/>
    <w:rsid w:val="36C1302D"/>
    <w:rsid w:val="36C17C71"/>
    <w:rsid w:val="36C2099C"/>
    <w:rsid w:val="36C230F2"/>
    <w:rsid w:val="36C51925"/>
    <w:rsid w:val="36CB0A16"/>
    <w:rsid w:val="36CB5841"/>
    <w:rsid w:val="36CD48D5"/>
    <w:rsid w:val="36CE272B"/>
    <w:rsid w:val="36CE5337"/>
    <w:rsid w:val="36CE6757"/>
    <w:rsid w:val="36CF048A"/>
    <w:rsid w:val="36CF18DA"/>
    <w:rsid w:val="36CF507F"/>
    <w:rsid w:val="36D012A2"/>
    <w:rsid w:val="36D05553"/>
    <w:rsid w:val="36D41B01"/>
    <w:rsid w:val="36D4277D"/>
    <w:rsid w:val="36D60CD0"/>
    <w:rsid w:val="36D63137"/>
    <w:rsid w:val="36D64D5A"/>
    <w:rsid w:val="36D671BF"/>
    <w:rsid w:val="36D956AC"/>
    <w:rsid w:val="36DE215D"/>
    <w:rsid w:val="36E058F4"/>
    <w:rsid w:val="36E14CB5"/>
    <w:rsid w:val="36E15A25"/>
    <w:rsid w:val="36E47536"/>
    <w:rsid w:val="36E600F4"/>
    <w:rsid w:val="36E93858"/>
    <w:rsid w:val="36EA3510"/>
    <w:rsid w:val="36EA7E50"/>
    <w:rsid w:val="36EF6820"/>
    <w:rsid w:val="36F11570"/>
    <w:rsid w:val="36F20145"/>
    <w:rsid w:val="36F21107"/>
    <w:rsid w:val="36F64310"/>
    <w:rsid w:val="36F74B2D"/>
    <w:rsid w:val="36F90784"/>
    <w:rsid w:val="36FB4684"/>
    <w:rsid w:val="36FC28F5"/>
    <w:rsid w:val="36FD29C5"/>
    <w:rsid w:val="36FD5C1C"/>
    <w:rsid w:val="37007A22"/>
    <w:rsid w:val="3701395E"/>
    <w:rsid w:val="37080FD7"/>
    <w:rsid w:val="37082E36"/>
    <w:rsid w:val="37084165"/>
    <w:rsid w:val="37097C92"/>
    <w:rsid w:val="370A4FC7"/>
    <w:rsid w:val="370A67D7"/>
    <w:rsid w:val="370F2AD1"/>
    <w:rsid w:val="370F3B44"/>
    <w:rsid w:val="370F67A5"/>
    <w:rsid w:val="371371EE"/>
    <w:rsid w:val="37144761"/>
    <w:rsid w:val="371A4404"/>
    <w:rsid w:val="371B2546"/>
    <w:rsid w:val="371B38F5"/>
    <w:rsid w:val="371C012D"/>
    <w:rsid w:val="371D4333"/>
    <w:rsid w:val="37215DAE"/>
    <w:rsid w:val="37246113"/>
    <w:rsid w:val="37262A19"/>
    <w:rsid w:val="37271AEE"/>
    <w:rsid w:val="37272C99"/>
    <w:rsid w:val="372907BF"/>
    <w:rsid w:val="372B360C"/>
    <w:rsid w:val="372B600B"/>
    <w:rsid w:val="372F47A5"/>
    <w:rsid w:val="37303821"/>
    <w:rsid w:val="3730437D"/>
    <w:rsid w:val="373276B0"/>
    <w:rsid w:val="37360783"/>
    <w:rsid w:val="37384860"/>
    <w:rsid w:val="373878A9"/>
    <w:rsid w:val="37395FA1"/>
    <w:rsid w:val="373A3A6B"/>
    <w:rsid w:val="373D1110"/>
    <w:rsid w:val="37400CB2"/>
    <w:rsid w:val="37410BCA"/>
    <w:rsid w:val="37421460"/>
    <w:rsid w:val="3743106B"/>
    <w:rsid w:val="37464A1E"/>
    <w:rsid w:val="3748158D"/>
    <w:rsid w:val="37483DFC"/>
    <w:rsid w:val="374A59CD"/>
    <w:rsid w:val="374B0C65"/>
    <w:rsid w:val="374B2E2B"/>
    <w:rsid w:val="374E0AF7"/>
    <w:rsid w:val="37546553"/>
    <w:rsid w:val="37552E03"/>
    <w:rsid w:val="37573C78"/>
    <w:rsid w:val="37581343"/>
    <w:rsid w:val="375872F6"/>
    <w:rsid w:val="375A27EB"/>
    <w:rsid w:val="375B315D"/>
    <w:rsid w:val="375E5FE8"/>
    <w:rsid w:val="37682267"/>
    <w:rsid w:val="376837B8"/>
    <w:rsid w:val="37694383"/>
    <w:rsid w:val="376E686E"/>
    <w:rsid w:val="3770061D"/>
    <w:rsid w:val="37733E01"/>
    <w:rsid w:val="37735438"/>
    <w:rsid w:val="37767F36"/>
    <w:rsid w:val="377B6F10"/>
    <w:rsid w:val="377C17BD"/>
    <w:rsid w:val="377E77E1"/>
    <w:rsid w:val="3781684D"/>
    <w:rsid w:val="378213C5"/>
    <w:rsid w:val="37853850"/>
    <w:rsid w:val="37874497"/>
    <w:rsid w:val="37876362"/>
    <w:rsid w:val="3788321B"/>
    <w:rsid w:val="37884BC9"/>
    <w:rsid w:val="37893775"/>
    <w:rsid w:val="378D5A87"/>
    <w:rsid w:val="378D65A6"/>
    <w:rsid w:val="378E2CAC"/>
    <w:rsid w:val="37924270"/>
    <w:rsid w:val="37932981"/>
    <w:rsid w:val="37943284"/>
    <w:rsid w:val="379540A7"/>
    <w:rsid w:val="379A4B24"/>
    <w:rsid w:val="379C27BB"/>
    <w:rsid w:val="379F155F"/>
    <w:rsid w:val="37A058F2"/>
    <w:rsid w:val="37A12A4B"/>
    <w:rsid w:val="37A2540C"/>
    <w:rsid w:val="37A842D4"/>
    <w:rsid w:val="37B24C58"/>
    <w:rsid w:val="37B50DF3"/>
    <w:rsid w:val="37B92980"/>
    <w:rsid w:val="37BA3A77"/>
    <w:rsid w:val="37BE0740"/>
    <w:rsid w:val="37BE36BD"/>
    <w:rsid w:val="37C03B63"/>
    <w:rsid w:val="37C45881"/>
    <w:rsid w:val="37C624B2"/>
    <w:rsid w:val="37C76163"/>
    <w:rsid w:val="37CA7CF1"/>
    <w:rsid w:val="37CE246D"/>
    <w:rsid w:val="37D01462"/>
    <w:rsid w:val="37D1326B"/>
    <w:rsid w:val="37D24C7E"/>
    <w:rsid w:val="37D25978"/>
    <w:rsid w:val="37D35296"/>
    <w:rsid w:val="37D51C86"/>
    <w:rsid w:val="37D6124D"/>
    <w:rsid w:val="37D8317D"/>
    <w:rsid w:val="37D942F3"/>
    <w:rsid w:val="37DD10D4"/>
    <w:rsid w:val="37DE67EF"/>
    <w:rsid w:val="37E10CD2"/>
    <w:rsid w:val="37E201C4"/>
    <w:rsid w:val="37E40B8A"/>
    <w:rsid w:val="37E554AE"/>
    <w:rsid w:val="37E56CC1"/>
    <w:rsid w:val="37EC4A69"/>
    <w:rsid w:val="37EC63D7"/>
    <w:rsid w:val="37EF7A59"/>
    <w:rsid w:val="37EF7A7A"/>
    <w:rsid w:val="37EF7C5B"/>
    <w:rsid w:val="37F222D9"/>
    <w:rsid w:val="37F54C67"/>
    <w:rsid w:val="37F708BD"/>
    <w:rsid w:val="37F77995"/>
    <w:rsid w:val="37F86F59"/>
    <w:rsid w:val="37FB0458"/>
    <w:rsid w:val="37FC4126"/>
    <w:rsid w:val="380107D4"/>
    <w:rsid w:val="380174CD"/>
    <w:rsid w:val="38021D36"/>
    <w:rsid w:val="38040BC9"/>
    <w:rsid w:val="38053672"/>
    <w:rsid w:val="3807555E"/>
    <w:rsid w:val="38084224"/>
    <w:rsid w:val="38086976"/>
    <w:rsid w:val="38093A77"/>
    <w:rsid w:val="380A7CDB"/>
    <w:rsid w:val="380B0C4E"/>
    <w:rsid w:val="380E2068"/>
    <w:rsid w:val="380F5C07"/>
    <w:rsid w:val="38127A96"/>
    <w:rsid w:val="381305C4"/>
    <w:rsid w:val="381718B2"/>
    <w:rsid w:val="381733C0"/>
    <w:rsid w:val="38180771"/>
    <w:rsid w:val="38194362"/>
    <w:rsid w:val="381A6790"/>
    <w:rsid w:val="38207B5C"/>
    <w:rsid w:val="3821276E"/>
    <w:rsid w:val="38213B8C"/>
    <w:rsid w:val="38227523"/>
    <w:rsid w:val="3823510E"/>
    <w:rsid w:val="38241F35"/>
    <w:rsid w:val="3825151F"/>
    <w:rsid w:val="38260528"/>
    <w:rsid w:val="38284F23"/>
    <w:rsid w:val="382B61FE"/>
    <w:rsid w:val="382C4646"/>
    <w:rsid w:val="382D4F80"/>
    <w:rsid w:val="38370AAC"/>
    <w:rsid w:val="38396FC7"/>
    <w:rsid w:val="38397128"/>
    <w:rsid w:val="38397753"/>
    <w:rsid w:val="383A7751"/>
    <w:rsid w:val="383D198F"/>
    <w:rsid w:val="383D798A"/>
    <w:rsid w:val="38433662"/>
    <w:rsid w:val="3843738D"/>
    <w:rsid w:val="3844134E"/>
    <w:rsid w:val="38481119"/>
    <w:rsid w:val="384813A9"/>
    <w:rsid w:val="38482971"/>
    <w:rsid w:val="384926EB"/>
    <w:rsid w:val="384C2099"/>
    <w:rsid w:val="384F7AA2"/>
    <w:rsid w:val="385339F1"/>
    <w:rsid w:val="38567AE1"/>
    <w:rsid w:val="38581D41"/>
    <w:rsid w:val="385A33BF"/>
    <w:rsid w:val="385A6734"/>
    <w:rsid w:val="385D50B9"/>
    <w:rsid w:val="385E049B"/>
    <w:rsid w:val="38605EA0"/>
    <w:rsid w:val="38625B4A"/>
    <w:rsid w:val="38643372"/>
    <w:rsid w:val="386B2E00"/>
    <w:rsid w:val="386C1190"/>
    <w:rsid w:val="386C12AB"/>
    <w:rsid w:val="38707D5A"/>
    <w:rsid w:val="38714913"/>
    <w:rsid w:val="38726196"/>
    <w:rsid w:val="38775A71"/>
    <w:rsid w:val="38781E76"/>
    <w:rsid w:val="38785A4E"/>
    <w:rsid w:val="387A5BDE"/>
    <w:rsid w:val="387B4746"/>
    <w:rsid w:val="387B49BE"/>
    <w:rsid w:val="387C6937"/>
    <w:rsid w:val="387C73A9"/>
    <w:rsid w:val="387E2A97"/>
    <w:rsid w:val="387F65E0"/>
    <w:rsid w:val="388116C2"/>
    <w:rsid w:val="3884363D"/>
    <w:rsid w:val="38873729"/>
    <w:rsid w:val="38877E93"/>
    <w:rsid w:val="3889055D"/>
    <w:rsid w:val="388978CB"/>
    <w:rsid w:val="388A1D08"/>
    <w:rsid w:val="388C7258"/>
    <w:rsid w:val="388F540F"/>
    <w:rsid w:val="38920BC3"/>
    <w:rsid w:val="38937DD7"/>
    <w:rsid w:val="389608FA"/>
    <w:rsid w:val="38994A1C"/>
    <w:rsid w:val="389C11C3"/>
    <w:rsid w:val="389C60A9"/>
    <w:rsid w:val="389E12FF"/>
    <w:rsid w:val="389E5719"/>
    <w:rsid w:val="38A50DB2"/>
    <w:rsid w:val="38A64207"/>
    <w:rsid w:val="38A82F48"/>
    <w:rsid w:val="38AC0272"/>
    <w:rsid w:val="38AE4079"/>
    <w:rsid w:val="38AF1816"/>
    <w:rsid w:val="38AF2F46"/>
    <w:rsid w:val="38B20104"/>
    <w:rsid w:val="38B21A10"/>
    <w:rsid w:val="38B225AC"/>
    <w:rsid w:val="38B467AE"/>
    <w:rsid w:val="38B717BE"/>
    <w:rsid w:val="38B71A3D"/>
    <w:rsid w:val="38B84141"/>
    <w:rsid w:val="38BA005F"/>
    <w:rsid w:val="38BB4338"/>
    <w:rsid w:val="38BF4E3E"/>
    <w:rsid w:val="38BF5320"/>
    <w:rsid w:val="38C451AF"/>
    <w:rsid w:val="38C50911"/>
    <w:rsid w:val="38C509BB"/>
    <w:rsid w:val="38C70418"/>
    <w:rsid w:val="38C85A7F"/>
    <w:rsid w:val="38CE16E7"/>
    <w:rsid w:val="38D155B2"/>
    <w:rsid w:val="38D17566"/>
    <w:rsid w:val="38D45671"/>
    <w:rsid w:val="38D46346"/>
    <w:rsid w:val="38D82A11"/>
    <w:rsid w:val="38DE3376"/>
    <w:rsid w:val="38DF3D1E"/>
    <w:rsid w:val="38E057E7"/>
    <w:rsid w:val="38E33E25"/>
    <w:rsid w:val="38E418D3"/>
    <w:rsid w:val="38E43B52"/>
    <w:rsid w:val="38E51454"/>
    <w:rsid w:val="38E52FDF"/>
    <w:rsid w:val="38E74441"/>
    <w:rsid w:val="38ED53E0"/>
    <w:rsid w:val="38F32452"/>
    <w:rsid w:val="38F47F41"/>
    <w:rsid w:val="38F64C19"/>
    <w:rsid w:val="38F80D91"/>
    <w:rsid w:val="38F81B8A"/>
    <w:rsid w:val="38F848ED"/>
    <w:rsid w:val="38FA4434"/>
    <w:rsid w:val="38FB3452"/>
    <w:rsid w:val="38FD6796"/>
    <w:rsid w:val="38FE5C7B"/>
    <w:rsid w:val="38FF388F"/>
    <w:rsid w:val="39042126"/>
    <w:rsid w:val="390831B3"/>
    <w:rsid w:val="39094D4C"/>
    <w:rsid w:val="390979D5"/>
    <w:rsid w:val="390A3AD3"/>
    <w:rsid w:val="390A3BAE"/>
    <w:rsid w:val="390B1BC0"/>
    <w:rsid w:val="390E450E"/>
    <w:rsid w:val="391223DB"/>
    <w:rsid w:val="39141A6C"/>
    <w:rsid w:val="3914549F"/>
    <w:rsid w:val="391556D7"/>
    <w:rsid w:val="39177A26"/>
    <w:rsid w:val="39180FE7"/>
    <w:rsid w:val="39184F8F"/>
    <w:rsid w:val="39194863"/>
    <w:rsid w:val="391A2506"/>
    <w:rsid w:val="391D00D6"/>
    <w:rsid w:val="391F0741"/>
    <w:rsid w:val="391F6ACD"/>
    <w:rsid w:val="39202096"/>
    <w:rsid w:val="392054C4"/>
    <w:rsid w:val="39215887"/>
    <w:rsid w:val="39220E5E"/>
    <w:rsid w:val="39237490"/>
    <w:rsid w:val="39237CA3"/>
    <w:rsid w:val="39246BF4"/>
    <w:rsid w:val="3925051F"/>
    <w:rsid w:val="39257CF5"/>
    <w:rsid w:val="392678A3"/>
    <w:rsid w:val="392A081F"/>
    <w:rsid w:val="392A23B6"/>
    <w:rsid w:val="392C27E9"/>
    <w:rsid w:val="392C334D"/>
    <w:rsid w:val="392C4AC0"/>
    <w:rsid w:val="392F73B3"/>
    <w:rsid w:val="39306119"/>
    <w:rsid w:val="393C16D5"/>
    <w:rsid w:val="393D49F6"/>
    <w:rsid w:val="393E0884"/>
    <w:rsid w:val="39400CF2"/>
    <w:rsid w:val="39413E34"/>
    <w:rsid w:val="394E275F"/>
    <w:rsid w:val="3950300F"/>
    <w:rsid w:val="395477A9"/>
    <w:rsid w:val="39550B86"/>
    <w:rsid w:val="3955464C"/>
    <w:rsid w:val="39564D7B"/>
    <w:rsid w:val="39594892"/>
    <w:rsid w:val="395B12C8"/>
    <w:rsid w:val="395F7EB0"/>
    <w:rsid w:val="396006E9"/>
    <w:rsid w:val="396008B9"/>
    <w:rsid w:val="3963651B"/>
    <w:rsid w:val="39643D30"/>
    <w:rsid w:val="3965662B"/>
    <w:rsid w:val="396573E9"/>
    <w:rsid w:val="39692927"/>
    <w:rsid w:val="396A50BF"/>
    <w:rsid w:val="397012A9"/>
    <w:rsid w:val="39702413"/>
    <w:rsid w:val="39714E2B"/>
    <w:rsid w:val="39732856"/>
    <w:rsid w:val="397359B3"/>
    <w:rsid w:val="39737789"/>
    <w:rsid w:val="39754536"/>
    <w:rsid w:val="39775504"/>
    <w:rsid w:val="39780DA2"/>
    <w:rsid w:val="39787AE2"/>
    <w:rsid w:val="397938CD"/>
    <w:rsid w:val="397C0A5E"/>
    <w:rsid w:val="3981608B"/>
    <w:rsid w:val="398627DC"/>
    <w:rsid w:val="39877F24"/>
    <w:rsid w:val="3988168E"/>
    <w:rsid w:val="398C2898"/>
    <w:rsid w:val="398D2593"/>
    <w:rsid w:val="398D40C5"/>
    <w:rsid w:val="398D44A3"/>
    <w:rsid w:val="398D4B99"/>
    <w:rsid w:val="398E1CFA"/>
    <w:rsid w:val="398E38DD"/>
    <w:rsid w:val="39907F5A"/>
    <w:rsid w:val="39937D3E"/>
    <w:rsid w:val="3997320E"/>
    <w:rsid w:val="3998398C"/>
    <w:rsid w:val="3999372B"/>
    <w:rsid w:val="399972E4"/>
    <w:rsid w:val="399A63AE"/>
    <w:rsid w:val="399A775B"/>
    <w:rsid w:val="399C171C"/>
    <w:rsid w:val="399D10AB"/>
    <w:rsid w:val="39A040F4"/>
    <w:rsid w:val="39A23717"/>
    <w:rsid w:val="39A4528C"/>
    <w:rsid w:val="39A631AA"/>
    <w:rsid w:val="39AE75C7"/>
    <w:rsid w:val="39B005CC"/>
    <w:rsid w:val="39B021FE"/>
    <w:rsid w:val="39B335EB"/>
    <w:rsid w:val="39B57CE9"/>
    <w:rsid w:val="39B645E5"/>
    <w:rsid w:val="39B71284"/>
    <w:rsid w:val="39B8054A"/>
    <w:rsid w:val="39B93A66"/>
    <w:rsid w:val="39B97AA8"/>
    <w:rsid w:val="39BE4E69"/>
    <w:rsid w:val="39C0215B"/>
    <w:rsid w:val="39C027CD"/>
    <w:rsid w:val="39C06755"/>
    <w:rsid w:val="39C1116A"/>
    <w:rsid w:val="39C137B8"/>
    <w:rsid w:val="39C27752"/>
    <w:rsid w:val="39C6025B"/>
    <w:rsid w:val="39C67887"/>
    <w:rsid w:val="39C74FD9"/>
    <w:rsid w:val="39CA3490"/>
    <w:rsid w:val="39CB639E"/>
    <w:rsid w:val="39CC1A81"/>
    <w:rsid w:val="39CD0AF6"/>
    <w:rsid w:val="39CD5994"/>
    <w:rsid w:val="39CE19A9"/>
    <w:rsid w:val="39CF17C4"/>
    <w:rsid w:val="39CF20D1"/>
    <w:rsid w:val="39D028D0"/>
    <w:rsid w:val="39D13659"/>
    <w:rsid w:val="39D35B83"/>
    <w:rsid w:val="39D375C1"/>
    <w:rsid w:val="39D569DC"/>
    <w:rsid w:val="39D72EE2"/>
    <w:rsid w:val="39D9156A"/>
    <w:rsid w:val="39DA245E"/>
    <w:rsid w:val="39DD453E"/>
    <w:rsid w:val="39DD4F93"/>
    <w:rsid w:val="39DE703E"/>
    <w:rsid w:val="39E109B8"/>
    <w:rsid w:val="39E14D5C"/>
    <w:rsid w:val="39E16C59"/>
    <w:rsid w:val="39E40284"/>
    <w:rsid w:val="39E9025F"/>
    <w:rsid w:val="39EA491B"/>
    <w:rsid w:val="39EB41A3"/>
    <w:rsid w:val="39ED413A"/>
    <w:rsid w:val="39ED4E59"/>
    <w:rsid w:val="39EE07E3"/>
    <w:rsid w:val="39F01613"/>
    <w:rsid w:val="39F5058C"/>
    <w:rsid w:val="39F81DEA"/>
    <w:rsid w:val="39FA694C"/>
    <w:rsid w:val="39FE1678"/>
    <w:rsid w:val="3A02112C"/>
    <w:rsid w:val="3A027700"/>
    <w:rsid w:val="3A077D30"/>
    <w:rsid w:val="3A0B68A2"/>
    <w:rsid w:val="3A0C2964"/>
    <w:rsid w:val="3A0C50DD"/>
    <w:rsid w:val="3A1012D2"/>
    <w:rsid w:val="3A1046EC"/>
    <w:rsid w:val="3A106459"/>
    <w:rsid w:val="3A145757"/>
    <w:rsid w:val="3A171B43"/>
    <w:rsid w:val="3A1B48E8"/>
    <w:rsid w:val="3A1C11D3"/>
    <w:rsid w:val="3A221D1C"/>
    <w:rsid w:val="3A222B4F"/>
    <w:rsid w:val="3A2346C6"/>
    <w:rsid w:val="3A2928C8"/>
    <w:rsid w:val="3A294798"/>
    <w:rsid w:val="3A2A11AF"/>
    <w:rsid w:val="3A2A4F7A"/>
    <w:rsid w:val="3A2B5237"/>
    <w:rsid w:val="3A2C5A31"/>
    <w:rsid w:val="3A2D2D47"/>
    <w:rsid w:val="3A2F153D"/>
    <w:rsid w:val="3A302486"/>
    <w:rsid w:val="3A325E12"/>
    <w:rsid w:val="3A340DCD"/>
    <w:rsid w:val="3A361B71"/>
    <w:rsid w:val="3A38409C"/>
    <w:rsid w:val="3A38491B"/>
    <w:rsid w:val="3A3B2F2E"/>
    <w:rsid w:val="3A3B35F6"/>
    <w:rsid w:val="3A3E00B6"/>
    <w:rsid w:val="3A411A78"/>
    <w:rsid w:val="3A413889"/>
    <w:rsid w:val="3A4273AD"/>
    <w:rsid w:val="3A427F63"/>
    <w:rsid w:val="3A4372A7"/>
    <w:rsid w:val="3A444AE5"/>
    <w:rsid w:val="3A4452F5"/>
    <w:rsid w:val="3A450D01"/>
    <w:rsid w:val="3A4563E4"/>
    <w:rsid w:val="3A47393D"/>
    <w:rsid w:val="3A4758EF"/>
    <w:rsid w:val="3A477D3D"/>
    <w:rsid w:val="3A4E0A72"/>
    <w:rsid w:val="3A4E1857"/>
    <w:rsid w:val="3A4F38E7"/>
    <w:rsid w:val="3A4F3D53"/>
    <w:rsid w:val="3A544289"/>
    <w:rsid w:val="3A572473"/>
    <w:rsid w:val="3A57617E"/>
    <w:rsid w:val="3A5B3351"/>
    <w:rsid w:val="3A5C7AE0"/>
    <w:rsid w:val="3A5D132E"/>
    <w:rsid w:val="3A5D29D8"/>
    <w:rsid w:val="3A5D74DC"/>
    <w:rsid w:val="3A5E4C24"/>
    <w:rsid w:val="3A62630C"/>
    <w:rsid w:val="3A632C10"/>
    <w:rsid w:val="3A650DF9"/>
    <w:rsid w:val="3A661FD2"/>
    <w:rsid w:val="3A663295"/>
    <w:rsid w:val="3A663AD8"/>
    <w:rsid w:val="3A6A7F89"/>
    <w:rsid w:val="3A6D7D9B"/>
    <w:rsid w:val="3A72247D"/>
    <w:rsid w:val="3A726621"/>
    <w:rsid w:val="3A774CF4"/>
    <w:rsid w:val="3A785F99"/>
    <w:rsid w:val="3A792D4D"/>
    <w:rsid w:val="3A794B60"/>
    <w:rsid w:val="3A7B59AA"/>
    <w:rsid w:val="3A7E0B2B"/>
    <w:rsid w:val="3A800FA9"/>
    <w:rsid w:val="3A8042E2"/>
    <w:rsid w:val="3A805F85"/>
    <w:rsid w:val="3A806213"/>
    <w:rsid w:val="3A811580"/>
    <w:rsid w:val="3A816FD9"/>
    <w:rsid w:val="3A821D0E"/>
    <w:rsid w:val="3A831F02"/>
    <w:rsid w:val="3A83468A"/>
    <w:rsid w:val="3A883446"/>
    <w:rsid w:val="3A8839C8"/>
    <w:rsid w:val="3A89198D"/>
    <w:rsid w:val="3A8D333F"/>
    <w:rsid w:val="3A916DA7"/>
    <w:rsid w:val="3A92176A"/>
    <w:rsid w:val="3A934E5C"/>
    <w:rsid w:val="3A93612A"/>
    <w:rsid w:val="3A9B7023"/>
    <w:rsid w:val="3A9E6209"/>
    <w:rsid w:val="3A9E7428"/>
    <w:rsid w:val="3AA02991"/>
    <w:rsid w:val="3AA122C7"/>
    <w:rsid w:val="3AA424F6"/>
    <w:rsid w:val="3AA6107C"/>
    <w:rsid w:val="3AA65AD9"/>
    <w:rsid w:val="3AA977A6"/>
    <w:rsid w:val="3AAA7E69"/>
    <w:rsid w:val="3AAC7CDD"/>
    <w:rsid w:val="3AAD7503"/>
    <w:rsid w:val="3AB01FEA"/>
    <w:rsid w:val="3AB37121"/>
    <w:rsid w:val="3AB674A7"/>
    <w:rsid w:val="3AB73A5B"/>
    <w:rsid w:val="3AB84F8F"/>
    <w:rsid w:val="3ABA1B1A"/>
    <w:rsid w:val="3ABB17C7"/>
    <w:rsid w:val="3ABC626E"/>
    <w:rsid w:val="3ABD7C3F"/>
    <w:rsid w:val="3AC02A38"/>
    <w:rsid w:val="3AC32B08"/>
    <w:rsid w:val="3AC90768"/>
    <w:rsid w:val="3ACB4F1C"/>
    <w:rsid w:val="3ACC6031"/>
    <w:rsid w:val="3ACE57CC"/>
    <w:rsid w:val="3ACE5937"/>
    <w:rsid w:val="3AD37FF1"/>
    <w:rsid w:val="3AD51EA2"/>
    <w:rsid w:val="3AD647E6"/>
    <w:rsid w:val="3AD6508E"/>
    <w:rsid w:val="3AD82C28"/>
    <w:rsid w:val="3AD87D48"/>
    <w:rsid w:val="3ADB2218"/>
    <w:rsid w:val="3AE0392F"/>
    <w:rsid w:val="3AE3337B"/>
    <w:rsid w:val="3AE51FB3"/>
    <w:rsid w:val="3AE818C0"/>
    <w:rsid w:val="3AEA3C2F"/>
    <w:rsid w:val="3AEC1D7B"/>
    <w:rsid w:val="3AED118D"/>
    <w:rsid w:val="3AED6856"/>
    <w:rsid w:val="3AEE53CF"/>
    <w:rsid w:val="3AF000F8"/>
    <w:rsid w:val="3AF26485"/>
    <w:rsid w:val="3AFB2473"/>
    <w:rsid w:val="3AFB4502"/>
    <w:rsid w:val="3AFF207C"/>
    <w:rsid w:val="3B0472E9"/>
    <w:rsid w:val="3B0A42A8"/>
    <w:rsid w:val="3B0D2FCD"/>
    <w:rsid w:val="3B0F4170"/>
    <w:rsid w:val="3B13083B"/>
    <w:rsid w:val="3B146532"/>
    <w:rsid w:val="3B154331"/>
    <w:rsid w:val="3B172674"/>
    <w:rsid w:val="3B1A39F2"/>
    <w:rsid w:val="3B1A4FCA"/>
    <w:rsid w:val="3B2347F1"/>
    <w:rsid w:val="3B2559B3"/>
    <w:rsid w:val="3B26045A"/>
    <w:rsid w:val="3B291867"/>
    <w:rsid w:val="3B2A710F"/>
    <w:rsid w:val="3B2C15A9"/>
    <w:rsid w:val="3B2C2ED2"/>
    <w:rsid w:val="3B2D5A73"/>
    <w:rsid w:val="3B2F20AE"/>
    <w:rsid w:val="3B306C2C"/>
    <w:rsid w:val="3B3120B4"/>
    <w:rsid w:val="3B32237D"/>
    <w:rsid w:val="3B324219"/>
    <w:rsid w:val="3B34332F"/>
    <w:rsid w:val="3B357B7C"/>
    <w:rsid w:val="3B3719DF"/>
    <w:rsid w:val="3B375D1B"/>
    <w:rsid w:val="3B381765"/>
    <w:rsid w:val="3B390FBA"/>
    <w:rsid w:val="3B3D559A"/>
    <w:rsid w:val="3B3D58F3"/>
    <w:rsid w:val="3B3D7435"/>
    <w:rsid w:val="3B4003BA"/>
    <w:rsid w:val="3B4547B7"/>
    <w:rsid w:val="3B463A55"/>
    <w:rsid w:val="3B480A98"/>
    <w:rsid w:val="3B48724E"/>
    <w:rsid w:val="3B487600"/>
    <w:rsid w:val="3B497CA6"/>
    <w:rsid w:val="3B4A243C"/>
    <w:rsid w:val="3B4B5D96"/>
    <w:rsid w:val="3B4C53AB"/>
    <w:rsid w:val="3B5233FB"/>
    <w:rsid w:val="3B533540"/>
    <w:rsid w:val="3B572D8B"/>
    <w:rsid w:val="3B5907B0"/>
    <w:rsid w:val="3B5B1A62"/>
    <w:rsid w:val="3B5D137F"/>
    <w:rsid w:val="3B633159"/>
    <w:rsid w:val="3B640C24"/>
    <w:rsid w:val="3B647DC7"/>
    <w:rsid w:val="3B666338"/>
    <w:rsid w:val="3B670FBB"/>
    <w:rsid w:val="3B697D24"/>
    <w:rsid w:val="3B6B1C9C"/>
    <w:rsid w:val="3B6D1ADA"/>
    <w:rsid w:val="3B6D60F7"/>
    <w:rsid w:val="3B7264E7"/>
    <w:rsid w:val="3B750F8B"/>
    <w:rsid w:val="3B783AC3"/>
    <w:rsid w:val="3B791819"/>
    <w:rsid w:val="3B792E86"/>
    <w:rsid w:val="3B79739A"/>
    <w:rsid w:val="3B7B6949"/>
    <w:rsid w:val="3B7D0E81"/>
    <w:rsid w:val="3B7E1DC9"/>
    <w:rsid w:val="3B7E4DFB"/>
    <w:rsid w:val="3B7F5498"/>
    <w:rsid w:val="3B812E7A"/>
    <w:rsid w:val="3B8304EC"/>
    <w:rsid w:val="3B83167D"/>
    <w:rsid w:val="3B842468"/>
    <w:rsid w:val="3B844B5E"/>
    <w:rsid w:val="3B851010"/>
    <w:rsid w:val="3B857801"/>
    <w:rsid w:val="3B8953C8"/>
    <w:rsid w:val="3B8C5EC2"/>
    <w:rsid w:val="3B8D4BAA"/>
    <w:rsid w:val="3B8F22E8"/>
    <w:rsid w:val="3B8F6AE3"/>
    <w:rsid w:val="3B9029C4"/>
    <w:rsid w:val="3B910F7B"/>
    <w:rsid w:val="3B914B85"/>
    <w:rsid w:val="3B926AD4"/>
    <w:rsid w:val="3B96372B"/>
    <w:rsid w:val="3B9870CC"/>
    <w:rsid w:val="3B9C1E65"/>
    <w:rsid w:val="3B9D4223"/>
    <w:rsid w:val="3B9D64EA"/>
    <w:rsid w:val="3B9F206F"/>
    <w:rsid w:val="3B9F3958"/>
    <w:rsid w:val="3BA03B0A"/>
    <w:rsid w:val="3BA1314D"/>
    <w:rsid w:val="3BA16A6B"/>
    <w:rsid w:val="3BA31CD3"/>
    <w:rsid w:val="3BA4469B"/>
    <w:rsid w:val="3BA66EB0"/>
    <w:rsid w:val="3BA864B6"/>
    <w:rsid w:val="3BA90120"/>
    <w:rsid w:val="3BAB3E99"/>
    <w:rsid w:val="3BAE2878"/>
    <w:rsid w:val="3BAE5A7D"/>
    <w:rsid w:val="3BB60DBC"/>
    <w:rsid w:val="3BB70A8F"/>
    <w:rsid w:val="3BB71492"/>
    <w:rsid w:val="3BB73D6D"/>
    <w:rsid w:val="3BB75033"/>
    <w:rsid w:val="3BBB0617"/>
    <w:rsid w:val="3BBC4159"/>
    <w:rsid w:val="3BBD7EB7"/>
    <w:rsid w:val="3BBF7476"/>
    <w:rsid w:val="3BC23904"/>
    <w:rsid w:val="3BC374BD"/>
    <w:rsid w:val="3BC42032"/>
    <w:rsid w:val="3BC767F9"/>
    <w:rsid w:val="3BC808F6"/>
    <w:rsid w:val="3BCB62E9"/>
    <w:rsid w:val="3BCD2E25"/>
    <w:rsid w:val="3BCF5297"/>
    <w:rsid w:val="3BD03814"/>
    <w:rsid w:val="3BD063D8"/>
    <w:rsid w:val="3BD11E09"/>
    <w:rsid w:val="3BD20DED"/>
    <w:rsid w:val="3BDB4B1A"/>
    <w:rsid w:val="3BDD161F"/>
    <w:rsid w:val="3BE00DAF"/>
    <w:rsid w:val="3BE14C89"/>
    <w:rsid w:val="3BE51876"/>
    <w:rsid w:val="3BE5590F"/>
    <w:rsid w:val="3BE64ED1"/>
    <w:rsid w:val="3BE66260"/>
    <w:rsid w:val="3BEA4D7E"/>
    <w:rsid w:val="3BEA7625"/>
    <w:rsid w:val="3BEB3EF7"/>
    <w:rsid w:val="3BEB4FC2"/>
    <w:rsid w:val="3BEE3B6F"/>
    <w:rsid w:val="3BF021C6"/>
    <w:rsid w:val="3BF07952"/>
    <w:rsid w:val="3BF2593A"/>
    <w:rsid w:val="3BFADDAB"/>
    <w:rsid w:val="3C007E52"/>
    <w:rsid w:val="3C017F5D"/>
    <w:rsid w:val="3C037D75"/>
    <w:rsid w:val="3C053AD4"/>
    <w:rsid w:val="3C0605FA"/>
    <w:rsid w:val="3C060F50"/>
    <w:rsid w:val="3C061389"/>
    <w:rsid w:val="3C0962A9"/>
    <w:rsid w:val="3C0B657A"/>
    <w:rsid w:val="3C0C7CAF"/>
    <w:rsid w:val="3C0D0842"/>
    <w:rsid w:val="3C0D5B15"/>
    <w:rsid w:val="3C0F37EE"/>
    <w:rsid w:val="3C160292"/>
    <w:rsid w:val="3C1718C6"/>
    <w:rsid w:val="3C176D71"/>
    <w:rsid w:val="3C184303"/>
    <w:rsid w:val="3C1A3F9D"/>
    <w:rsid w:val="3C1B237C"/>
    <w:rsid w:val="3C1B7563"/>
    <w:rsid w:val="3C1F0DB2"/>
    <w:rsid w:val="3C1F722A"/>
    <w:rsid w:val="3C201900"/>
    <w:rsid w:val="3C224DBA"/>
    <w:rsid w:val="3C225469"/>
    <w:rsid w:val="3C237ED3"/>
    <w:rsid w:val="3C245F5D"/>
    <w:rsid w:val="3C246348"/>
    <w:rsid w:val="3C25025D"/>
    <w:rsid w:val="3C2610E4"/>
    <w:rsid w:val="3C277318"/>
    <w:rsid w:val="3C2B0C53"/>
    <w:rsid w:val="3C2F22A9"/>
    <w:rsid w:val="3C306A4A"/>
    <w:rsid w:val="3C323768"/>
    <w:rsid w:val="3C3705B1"/>
    <w:rsid w:val="3C38654A"/>
    <w:rsid w:val="3C3B369C"/>
    <w:rsid w:val="3C3C0F95"/>
    <w:rsid w:val="3C401AE7"/>
    <w:rsid w:val="3C404B16"/>
    <w:rsid w:val="3C4146B5"/>
    <w:rsid w:val="3C4174C0"/>
    <w:rsid w:val="3C462857"/>
    <w:rsid w:val="3C4753CB"/>
    <w:rsid w:val="3C47788C"/>
    <w:rsid w:val="3C4836AC"/>
    <w:rsid w:val="3C487939"/>
    <w:rsid w:val="3C4A5367"/>
    <w:rsid w:val="3C4D2091"/>
    <w:rsid w:val="3C4E75B4"/>
    <w:rsid w:val="3C517F6B"/>
    <w:rsid w:val="3C520363"/>
    <w:rsid w:val="3C577AC7"/>
    <w:rsid w:val="3C5D6A04"/>
    <w:rsid w:val="3C601DB7"/>
    <w:rsid w:val="3C613012"/>
    <w:rsid w:val="3C6144E7"/>
    <w:rsid w:val="3C632002"/>
    <w:rsid w:val="3C67526D"/>
    <w:rsid w:val="3C694C22"/>
    <w:rsid w:val="3C6A3D54"/>
    <w:rsid w:val="3C6C4F34"/>
    <w:rsid w:val="3C6C7E1B"/>
    <w:rsid w:val="3C6F0EF4"/>
    <w:rsid w:val="3C7212AC"/>
    <w:rsid w:val="3C723C93"/>
    <w:rsid w:val="3C760044"/>
    <w:rsid w:val="3C7876CA"/>
    <w:rsid w:val="3C7A5959"/>
    <w:rsid w:val="3C7C0723"/>
    <w:rsid w:val="3C7E05E2"/>
    <w:rsid w:val="3C7E15AD"/>
    <w:rsid w:val="3C827E08"/>
    <w:rsid w:val="3C88661F"/>
    <w:rsid w:val="3C896039"/>
    <w:rsid w:val="3C932AF8"/>
    <w:rsid w:val="3C9E4BDB"/>
    <w:rsid w:val="3CA00D0F"/>
    <w:rsid w:val="3CA01D0C"/>
    <w:rsid w:val="3CA63E36"/>
    <w:rsid w:val="3CA80555"/>
    <w:rsid w:val="3CA97912"/>
    <w:rsid w:val="3CAA4150"/>
    <w:rsid w:val="3CAD3C40"/>
    <w:rsid w:val="3CAE6E16"/>
    <w:rsid w:val="3CAF0D99"/>
    <w:rsid w:val="3CB058A6"/>
    <w:rsid w:val="3CB70F6D"/>
    <w:rsid w:val="3CBE0BDE"/>
    <w:rsid w:val="3CBF7768"/>
    <w:rsid w:val="3CC13E44"/>
    <w:rsid w:val="3CC44B54"/>
    <w:rsid w:val="3CC71547"/>
    <w:rsid w:val="3CC861C4"/>
    <w:rsid w:val="3CC95602"/>
    <w:rsid w:val="3CCA38F0"/>
    <w:rsid w:val="3CCB1C37"/>
    <w:rsid w:val="3CCB36A5"/>
    <w:rsid w:val="3CCC065F"/>
    <w:rsid w:val="3CCC31D9"/>
    <w:rsid w:val="3CCC72E3"/>
    <w:rsid w:val="3CD05724"/>
    <w:rsid w:val="3CD13DD3"/>
    <w:rsid w:val="3CD27BCC"/>
    <w:rsid w:val="3CD578D6"/>
    <w:rsid w:val="3CD73F32"/>
    <w:rsid w:val="3CDD5469"/>
    <w:rsid w:val="3CDE0349"/>
    <w:rsid w:val="3CDE048E"/>
    <w:rsid w:val="3CDF132C"/>
    <w:rsid w:val="3CE0197F"/>
    <w:rsid w:val="3CE4476B"/>
    <w:rsid w:val="3CE528D4"/>
    <w:rsid w:val="3CE52E4A"/>
    <w:rsid w:val="3CE56403"/>
    <w:rsid w:val="3CE64007"/>
    <w:rsid w:val="3CE81058"/>
    <w:rsid w:val="3CE82B96"/>
    <w:rsid w:val="3CEA615B"/>
    <w:rsid w:val="3CEC1F8C"/>
    <w:rsid w:val="3CEC7DD1"/>
    <w:rsid w:val="3CED0D04"/>
    <w:rsid w:val="3CED37EC"/>
    <w:rsid w:val="3CED54A8"/>
    <w:rsid w:val="3CF10538"/>
    <w:rsid w:val="3CF14D55"/>
    <w:rsid w:val="3CF234FA"/>
    <w:rsid w:val="3CF24015"/>
    <w:rsid w:val="3CF30117"/>
    <w:rsid w:val="3CF36365"/>
    <w:rsid w:val="3CF6720E"/>
    <w:rsid w:val="3CF73C4A"/>
    <w:rsid w:val="3CF818F5"/>
    <w:rsid w:val="3CF87A0A"/>
    <w:rsid w:val="3CFA5B36"/>
    <w:rsid w:val="3CFB2BFE"/>
    <w:rsid w:val="3CFC24D2"/>
    <w:rsid w:val="3CFC2BC4"/>
    <w:rsid w:val="3CFF308C"/>
    <w:rsid w:val="3CFF6560"/>
    <w:rsid w:val="3D0210BF"/>
    <w:rsid w:val="3D031AB2"/>
    <w:rsid w:val="3D0A5B03"/>
    <w:rsid w:val="3D0C3F5E"/>
    <w:rsid w:val="3D0C78F2"/>
    <w:rsid w:val="3D0F443E"/>
    <w:rsid w:val="3D1013DC"/>
    <w:rsid w:val="3D114906"/>
    <w:rsid w:val="3D1171C5"/>
    <w:rsid w:val="3D137897"/>
    <w:rsid w:val="3D147160"/>
    <w:rsid w:val="3D186C16"/>
    <w:rsid w:val="3D1A3994"/>
    <w:rsid w:val="3D1B660B"/>
    <w:rsid w:val="3D1C693E"/>
    <w:rsid w:val="3D1E3878"/>
    <w:rsid w:val="3D222D91"/>
    <w:rsid w:val="3D241AEC"/>
    <w:rsid w:val="3D253380"/>
    <w:rsid w:val="3D2859A6"/>
    <w:rsid w:val="3D287E3E"/>
    <w:rsid w:val="3D2C17F9"/>
    <w:rsid w:val="3D2E2FD3"/>
    <w:rsid w:val="3D3119E1"/>
    <w:rsid w:val="3D3268AB"/>
    <w:rsid w:val="3D3451DB"/>
    <w:rsid w:val="3D370935"/>
    <w:rsid w:val="3D381276"/>
    <w:rsid w:val="3D390B55"/>
    <w:rsid w:val="3D3C3D4B"/>
    <w:rsid w:val="3D3F2404"/>
    <w:rsid w:val="3D3F2525"/>
    <w:rsid w:val="3D3F6F8E"/>
    <w:rsid w:val="3D3F7F0E"/>
    <w:rsid w:val="3D413C6F"/>
    <w:rsid w:val="3D4225DB"/>
    <w:rsid w:val="3D432D38"/>
    <w:rsid w:val="3D437BE2"/>
    <w:rsid w:val="3D447F64"/>
    <w:rsid w:val="3D4A4B82"/>
    <w:rsid w:val="3D4D261C"/>
    <w:rsid w:val="3D5143FD"/>
    <w:rsid w:val="3D536D84"/>
    <w:rsid w:val="3D572072"/>
    <w:rsid w:val="3D581093"/>
    <w:rsid w:val="3D5B0E45"/>
    <w:rsid w:val="3D5E6351"/>
    <w:rsid w:val="3D5F69DD"/>
    <w:rsid w:val="3D605F93"/>
    <w:rsid w:val="3D631455"/>
    <w:rsid w:val="3D6426BD"/>
    <w:rsid w:val="3D65451B"/>
    <w:rsid w:val="3D6E5499"/>
    <w:rsid w:val="3D734685"/>
    <w:rsid w:val="3D73571F"/>
    <w:rsid w:val="3D7B7044"/>
    <w:rsid w:val="3D7C77E6"/>
    <w:rsid w:val="3D7F6CD4"/>
    <w:rsid w:val="3D80357E"/>
    <w:rsid w:val="3D8310ED"/>
    <w:rsid w:val="3D891FB8"/>
    <w:rsid w:val="3D8E057F"/>
    <w:rsid w:val="3D8F6FCF"/>
    <w:rsid w:val="3D934A80"/>
    <w:rsid w:val="3D935AEC"/>
    <w:rsid w:val="3D956BA4"/>
    <w:rsid w:val="3D9C29BF"/>
    <w:rsid w:val="3D9C3026"/>
    <w:rsid w:val="3DA0609C"/>
    <w:rsid w:val="3DA14A9C"/>
    <w:rsid w:val="3DA46DF1"/>
    <w:rsid w:val="3DA6255B"/>
    <w:rsid w:val="3DA66485"/>
    <w:rsid w:val="3DA850F5"/>
    <w:rsid w:val="3DAA72CE"/>
    <w:rsid w:val="3DAB7E94"/>
    <w:rsid w:val="3DAD03A9"/>
    <w:rsid w:val="3DAF1CDC"/>
    <w:rsid w:val="3DB134DC"/>
    <w:rsid w:val="3DB22871"/>
    <w:rsid w:val="3DB55FF7"/>
    <w:rsid w:val="3DB744D5"/>
    <w:rsid w:val="3DB77FCF"/>
    <w:rsid w:val="3DBD104F"/>
    <w:rsid w:val="3DBD2E01"/>
    <w:rsid w:val="3DC01751"/>
    <w:rsid w:val="3DC2432E"/>
    <w:rsid w:val="3DCE3B78"/>
    <w:rsid w:val="3DD01499"/>
    <w:rsid w:val="3DD24640"/>
    <w:rsid w:val="3DD34A71"/>
    <w:rsid w:val="3DD57B9E"/>
    <w:rsid w:val="3DD671C7"/>
    <w:rsid w:val="3DD73CDA"/>
    <w:rsid w:val="3DDA39FA"/>
    <w:rsid w:val="3DDA663C"/>
    <w:rsid w:val="3DDA71D0"/>
    <w:rsid w:val="3DDC49C8"/>
    <w:rsid w:val="3DDE1693"/>
    <w:rsid w:val="3DDF4CED"/>
    <w:rsid w:val="3DDF66C4"/>
    <w:rsid w:val="3DE04E28"/>
    <w:rsid w:val="3DE13B04"/>
    <w:rsid w:val="3DE15B61"/>
    <w:rsid w:val="3DE339E8"/>
    <w:rsid w:val="3DE42843"/>
    <w:rsid w:val="3DE45626"/>
    <w:rsid w:val="3DE46DAF"/>
    <w:rsid w:val="3DE5103D"/>
    <w:rsid w:val="3DE55918"/>
    <w:rsid w:val="3DE663BD"/>
    <w:rsid w:val="3DE8490B"/>
    <w:rsid w:val="3DEB4A20"/>
    <w:rsid w:val="3DEE28D5"/>
    <w:rsid w:val="3DF0191A"/>
    <w:rsid w:val="3DF064DB"/>
    <w:rsid w:val="3DF221B9"/>
    <w:rsid w:val="3DF33BA3"/>
    <w:rsid w:val="3DF610F8"/>
    <w:rsid w:val="3DF85E20"/>
    <w:rsid w:val="3DF91A7A"/>
    <w:rsid w:val="3DFA7520"/>
    <w:rsid w:val="3DFF41DC"/>
    <w:rsid w:val="3E0029FB"/>
    <w:rsid w:val="3E0266E5"/>
    <w:rsid w:val="3E032ED3"/>
    <w:rsid w:val="3E035274"/>
    <w:rsid w:val="3E0354A8"/>
    <w:rsid w:val="3E047C0B"/>
    <w:rsid w:val="3E057E5C"/>
    <w:rsid w:val="3E065342"/>
    <w:rsid w:val="3E096A35"/>
    <w:rsid w:val="3E0F1902"/>
    <w:rsid w:val="3E105D74"/>
    <w:rsid w:val="3E123C7A"/>
    <w:rsid w:val="3E125D0F"/>
    <w:rsid w:val="3E1554B3"/>
    <w:rsid w:val="3E157011"/>
    <w:rsid w:val="3E1771A6"/>
    <w:rsid w:val="3E181B5E"/>
    <w:rsid w:val="3E1E21FF"/>
    <w:rsid w:val="3E1E34EE"/>
    <w:rsid w:val="3E1E654D"/>
    <w:rsid w:val="3E1F0B6E"/>
    <w:rsid w:val="3E1F1FB0"/>
    <w:rsid w:val="3E213D44"/>
    <w:rsid w:val="3E215351"/>
    <w:rsid w:val="3E24248A"/>
    <w:rsid w:val="3E2503C9"/>
    <w:rsid w:val="3E2A5B22"/>
    <w:rsid w:val="3E2B12C1"/>
    <w:rsid w:val="3E2C16C7"/>
    <w:rsid w:val="3E300138"/>
    <w:rsid w:val="3E3041F6"/>
    <w:rsid w:val="3E3147F2"/>
    <w:rsid w:val="3E315BE6"/>
    <w:rsid w:val="3E317819"/>
    <w:rsid w:val="3E317DF4"/>
    <w:rsid w:val="3E323928"/>
    <w:rsid w:val="3E344619"/>
    <w:rsid w:val="3E363829"/>
    <w:rsid w:val="3E366A1C"/>
    <w:rsid w:val="3E3D0012"/>
    <w:rsid w:val="3E3F2FCC"/>
    <w:rsid w:val="3E404830"/>
    <w:rsid w:val="3E422449"/>
    <w:rsid w:val="3E433901"/>
    <w:rsid w:val="3E442382"/>
    <w:rsid w:val="3E454297"/>
    <w:rsid w:val="3E465EA7"/>
    <w:rsid w:val="3E467EA9"/>
    <w:rsid w:val="3E4B7ACF"/>
    <w:rsid w:val="3E4C6043"/>
    <w:rsid w:val="3E4E4CF0"/>
    <w:rsid w:val="3E4F1453"/>
    <w:rsid w:val="3E4F2ED8"/>
    <w:rsid w:val="3E5405B3"/>
    <w:rsid w:val="3E541DEB"/>
    <w:rsid w:val="3E58403D"/>
    <w:rsid w:val="3E584CA7"/>
    <w:rsid w:val="3E590291"/>
    <w:rsid w:val="3E5A196C"/>
    <w:rsid w:val="3E5A7DF8"/>
    <w:rsid w:val="3E5C39AB"/>
    <w:rsid w:val="3E5C3B5C"/>
    <w:rsid w:val="3E5D51F2"/>
    <w:rsid w:val="3E600427"/>
    <w:rsid w:val="3E600FCE"/>
    <w:rsid w:val="3E6163D0"/>
    <w:rsid w:val="3E646F10"/>
    <w:rsid w:val="3E656816"/>
    <w:rsid w:val="3E6635E4"/>
    <w:rsid w:val="3E704BB7"/>
    <w:rsid w:val="3E705388"/>
    <w:rsid w:val="3E711212"/>
    <w:rsid w:val="3E72667E"/>
    <w:rsid w:val="3E731980"/>
    <w:rsid w:val="3E742C68"/>
    <w:rsid w:val="3E767B28"/>
    <w:rsid w:val="3E7958C2"/>
    <w:rsid w:val="3E7964D0"/>
    <w:rsid w:val="3E7D0C55"/>
    <w:rsid w:val="3E7E239B"/>
    <w:rsid w:val="3E8244F4"/>
    <w:rsid w:val="3E825016"/>
    <w:rsid w:val="3E884145"/>
    <w:rsid w:val="3E8A6373"/>
    <w:rsid w:val="3E8B1D5F"/>
    <w:rsid w:val="3E8C7B5B"/>
    <w:rsid w:val="3E91305B"/>
    <w:rsid w:val="3E9402E3"/>
    <w:rsid w:val="3E950489"/>
    <w:rsid w:val="3E95202E"/>
    <w:rsid w:val="3E9606F3"/>
    <w:rsid w:val="3E9809A4"/>
    <w:rsid w:val="3E995F3D"/>
    <w:rsid w:val="3E9A1FA2"/>
    <w:rsid w:val="3E9F400D"/>
    <w:rsid w:val="3EA251E8"/>
    <w:rsid w:val="3EA35E44"/>
    <w:rsid w:val="3EA64D59"/>
    <w:rsid w:val="3EA8618E"/>
    <w:rsid w:val="3EAD2BFD"/>
    <w:rsid w:val="3EB017C6"/>
    <w:rsid w:val="3EB134B0"/>
    <w:rsid w:val="3EB612E2"/>
    <w:rsid w:val="3EB76FF8"/>
    <w:rsid w:val="3EBA43F3"/>
    <w:rsid w:val="3EBB1358"/>
    <w:rsid w:val="3EBB37BB"/>
    <w:rsid w:val="3EBE2617"/>
    <w:rsid w:val="3EBF1294"/>
    <w:rsid w:val="3EC00FDD"/>
    <w:rsid w:val="3EC020E6"/>
    <w:rsid w:val="3EC10897"/>
    <w:rsid w:val="3EC123F6"/>
    <w:rsid w:val="3EC21EC5"/>
    <w:rsid w:val="3EC35A6D"/>
    <w:rsid w:val="3EC3774B"/>
    <w:rsid w:val="3EC55FF6"/>
    <w:rsid w:val="3EC567A1"/>
    <w:rsid w:val="3ECE1036"/>
    <w:rsid w:val="3ECF0F47"/>
    <w:rsid w:val="3ED248AF"/>
    <w:rsid w:val="3ED93E9B"/>
    <w:rsid w:val="3ED9610E"/>
    <w:rsid w:val="3EDA1C30"/>
    <w:rsid w:val="3EDB5CD0"/>
    <w:rsid w:val="3EE329FF"/>
    <w:rsid w:val="3EE33949"/>
    <w:rsid w:val="3EE62B54"/>
    <w:rsid w:val="3EE90783"/>
    <w:rsid w:val="3EE958DF"/>
    <w:rsid w:val="3EEA7F4C"/>
    <w:rsid w:val="3EEB6ED2"/>
    <w:rsid w:val="3EED1BB5"/>
    <w:rsid w:val="3EEF6792"/>
    <w:rsid w:val="3EF004CA"/>
    <w:rsid w:val="3EF13E19"/>
    <w:rsid w:val="3EF433F9"/>
    <w:rsid w:val="3EF45AA7"/>
    <w:rsid w:val="3EF47B3D"/>
    <w:rsid w:val="3EF75647"/>
    <w:rsid w:val="3EF76A35"/>
    <w:rsid w:val="3EF93A03"/>
    <w:rsid w:val="3EFE0783"/>
    <w:rsid w:val="3F051EE3"/>
    <w:rsid w:val="3F0840CF"/>
    <w:rsid w:val="3F086432"/>
    <w:rsid w:val="3F087854"/>
    <w:rsid w:val="3F0C0142"/>
    <w:rsid w:val="3F0F78A6"/>
    <w:rsid w:val="3F100D05"/>
    <w:rsid w:val="3F114B1F"/>
    <w:rsid w:val="3F115BAD"/>
    <w:rsid w:val="3F131DD3"/>
    <w:rsid w:val="3F154C97"/>
    <w:rsid w:val="3F1639D1"/>
    <w:rsid w:val="3F163E6A"/>
    <w:rsid w:val="3F1721C7"/>
    <w:rsid w:val="3F1A67A6"/>
    <w:rsid w:val="3F1E1A49"/>
    <w:rsid w:val="3F1F14CF"/>
    <w:rsid w:val="3F215D34"/>
    <w:rsid w:val="3F296F75"/>
    <w:rsid w:val="3F2E58C5"/>
    <w:rsid w:val="3F3009C6"/>
    <w:rsid w:val="3F3263DE"/>
    <w:rsid w:val="3F33148D"/>
    <w:rsid w:val="3F332D02"/>
    <w:rsid w:val="3F340CE8"/>
    <w:rsid w:val="3F3708C1"/>
    <w:rsid w:val="3F3B2AC5"/>
    <w:rsid w:val="3F3D1FEA"/>
    <w:rsid w:val="3F3F22BD"/>
    <w:rsid w:val="3F41552E"/>
    <w:rsid w:val="3F433346"/>
    <w:rsid w:val="3F4343E8"/>
    <w:rsid w:val="3F464884"/>
    <w:rsid w:val="3F4826BB"/>
    <w:rsid w:val="3F4A3A29"/>
    <w:rsid w:val="3F4A5238"/>
    <w:rsid w:val="3F4B458F"/>
    <w:rsid w:val="3F4C08E9"/>
    <w:rsid w:val="3F5346FB"/>
    <w:rsid w:val="3F541E68"/>
    <w:rsid w:val="3F547FA0"/>
    <w:rsid w:val="3F566434"/>
    <w:rsid w:val="3F5765BA"/>
    <w:rsid w:val="3F582647"/>
    <w:rsid w:val="3F584C94"/>
    <w:rsid w:val="3F5B2AC3"/>
    <w:rsid w:val="3F5B3E28"/>
    <w:rsid w:val="3F5C6F02"/>
    <w:rsid w:val="3F5E1222"/>
    <w:rsid w:val="3F650802"/>
    <w:rsid w:val="3F65543D"/>
    <w:rsid w:val="3F660269"/>
    <w:rsid w:val="3F7370B7"/>
    <w:rsid w:val="3F74391A"/>
    <w:rsid w:val="3F743E33"/>
    <w:rsid w:val="3F7457EE"/>
    <w:rsid w:val="3F753265"/>
    <w:rsid w:val="3F7942AE"/>
    <w:rsid w:val="3F797E8F"/>
    <w:rsid w:val="3F7E5482"/>
    <w:rsid w:val="3F7E723E"/>
    <w:rsid w:val="3F7F3AC1"/>
    <w:rsid w:val="3F800244"/>
    <w:rsid w:val="3F815B11"/>
    <w:rsid w:val="3F852C53"/>
    <w:rsid w:val="3F866D5A"/>
    <w:rsid w:val="3F8844F1"/>
    <w:rsid w:val="3F89361E"/>
    <w:rsid w:val="3F8A5892"/>
    <w:rsid w:val="3F8C2206"/>
    <w:rsid w:val="3F8D244E"/>
    <w:rsid w:val="3F8E7D59"/>
    <w:rsid w:val="3F8F27CE"/>
    <w:rsid w:val="3F8F762D"/>
    <w:rsid w:val="3F90472C"/>
    <w:rsid w:val="3F904CCF"/>
    <w:rsid w:val="3F941C55"/>
    <w:rsid w:val="3F951773"/>
    <w:rsid w:val="3F966C0E"/>
    <w:rsid w:val="3F9C3D11"/>
    <w:rsid w:val="3FA1168E"/>
    <w:rsid w:val="3FA14CF0"/>
    <w:rsid w:val="3FA208D4"/>
    <w:rsid w:val="3FA223C5"/>
    <w:rsid w:val="3FA23805"/>
    <w:rsid w:val="3FA4195E"/>
    <w:rsid w:val="3FA625AA"/>
    <w:rsid w:val="3FA648EB"/>
    <w:rsid w:val="3FA73BF0"/>
    <w:rsid w:val="3FA96EEC"/>
    <w:rsid w:val="3FAC3A2A"/>
    <w:rsid w:val="3FAF1E1A"/>
    <w:rsid w:val="3FAF5CA7"/>
    <w:rsid w:val="3FB704FA"/>
    <w:rsid w:val="3FB77CFA"/>
    <w:rsid w:val="3FB87B1C"/>
    <w:rsid w:val="3FBC393A"/>
    <w:rsid w:val="3FBE6CCD"/>
    <w:rsid w:val="3FC11E64"/>
    <w:rsid w:val="3FC272C8"/>
    <w:rsid w:val="3FC77F57"/>
    <w:rsid w:val="3FC91534"/>
    <w:rsid w:val="3FCA68B7"/>
    <w:rsid w:val="3FCB0902"/>
    <w:rsid w:val="3FCC131F"/>
    <w:rsid w:val="3FCD71F1"/>
    <w:rsid w:val="3FD41D56"/>
    <w:rsid w:val="3FD51939"/>
    <w:rsid w:val="3FD6167D"/>
    <w:rsid w:val="3FD86012"/>
    <w:rsid w:val="3FD92AEB"/>
    <w:rsid w:val="3FDB06E1"/>
    <w:rsid w:val="3FDB3147"/>
    <w:rsid w:val="3FDD7507"/>
    <w:rsid w:val="3FDF29BB"/>
    <w:rsid w:val="3FE037A4"/>
    <w:rsid w:val="3FE32E71"/>
    <w:rsid w:val="3FE340A1"/>
    <w:rsid w:val="3FE41524"/>
    <w:rsid w:val="3FE42200"/>
    <w:rsid w:val="3FE4312A"/>
    <w:rsid w:val="3FE521D3"/>
    <w:rsid w:val="3FE90B01"/>
    <w:rsid w:val="3FEA7202"/>
    <w:rsid w:val="3FEB2150"/>
    <w:rsid w:val="3FED0639"/>
    <w:rsid w:val="3FEE7EC0"/>
    <w:rsid w:val="3FF0454D"/>
    <w:rsid w:val="3FF102E8"/>
    <w:rsid w:val="3FF22DD2"/>
    <w:rsid w:val="3FF409BB"/>
    <w:rsid w:val="3FF43977"/>
    <w:rsid w:val="3FF54E2D"/>
    <w:rsid w:val="3FF603F3"/>
    <w:rsid w:val="3FF76AE4"/>
    <w:rsid w:val="3FFB0336"/>
    <w:rsid w:val="3FFB220C"/>
    <w:rsid w:val="3FFC1EA3"/>
    <w:rsid w:val="3FFC6858"/>
    <w:rsid w:val="3FFD6294"/>
    <w:rsid w:val="3FFF6D26"/>
    <w:rsid w:val="40000E75"/>
    <w:rsid w:val="40001CE9"/>
    <w:rsid w:val="40020D20"/>
    <w:rsid w:val="400272D9"/>
    <w:rsid w:val="400877D7"/>
    <w:rsid w:val="400A212A"/>
    <w:rsid w:val="400C6ED0"/>
    <w:rsid w:val="400D58B6"/>
    <w:rsid w:val="400E63F5"/>
    <w:rsid w:val="400F6808"/>
    <w:rsid w:val="40103B2B"/>
    <w:rsid w:val="40115298"/>
    <w:rsid w:val="4013025E"/>
    <w:rsid w:val="40130DF0"/>
    <w:rsid w:val="401843B7"/>
    <w:rsid w:val="401B78F6"/>
    <w:rsid w:val="40236649"/>
    <w:rsid w:val="40243EE6"/>
    <w:rsid w:val="40295CD4"/>
    <w:rsid w:val="402A5704"/>
    <w:rsid w:val="402B4800"/>
    <w:rsid w:val="40310CAF"/>
    <w:rsid w:val="403955C1"/>
    <w:rsid w:val="403A103E"/>
    <w:rsid w:val="403A4D2A"/>
    <w:rsid w:val="403E710D"/>
    <w:rsid w:val="404212BF"/>
    <w:rsid w:val="40436D96"/>
    <w:rsid w:val="40464190"/>
    <w:rsid w:val="404764E5"/>
    <w:rsid w:val="404A5746"/>
    <w:rsid w:val="404B79F8"/>
    <w:rsid w:val="404E7D12"/>
    <w:rsid w:val="404F537C"/>
    <w:rsid w:val="40512B35"/>
    <w:rsid w:val="4053195D"/>
    <w:rsid w:val="40541A69"/>
    <w:rsid w:val="4054752E"/>
    <w:rsid w:val="4058051B"/>
    <w:rsid w:val="405957E4"/>
    <w:rsid w:val="405B2114"/>
    <w:rsid w:val="40604C0B"/>
    <w:rsid w:val="40632F94"/>
    <w:rsid w:val="406822AD"/>
    <w:rsid w:val="406B1C02"/>
    <w:rsid w:val="406B2044"/>
    <w:rsid w:val="406B602B"/>
    <w:rsid w:val="406C7CB8"/>
    <w:rsid w:val="406F6671"/>
    <w:rsid w:val="40754A75"/>
    <w:rsid w:val="407B2FB4"/>
    <w:rsid w:val="407E07E9"/>
    <w:rsid w:val="40813F8B"/>
    <w:rsid w:val="408178BE"/>
    <w:rsid w:val="40821416"/>
    <w:rsid w:val="40823B4C"/>
    <w:rsid w:val="408361FB"/>
    <w:rsid w:val="40851E8E"/>
    <w:rsid w:val="40870731"/>
    <w:rsid w:val="408B03DB"/>
    <w:rsid w:val="408B5F67"/>
    <w:rsid w:val="408D6263"/>
    <w:rsid w:val="408F2E35"/>
    <w:rsid w:val="4093139F"/>
    <w:rsid w:val="40942358"/>
    <w:rsid w:val="409969B6"/>
    <w:rsid w:val="40996AD6"/>
    <w:rsid w:val="409A48A8"/>
    <w:rsid w:val="409D19FA"/>
    <w:rsid w:val="409E68B7"/>
    <w:rsid w:val="409F05B2"/>
    <w:rsid w:val="409F5F96"/>
    <w:rsid w:val="40A12F41"/>
    <w:rsid w:val="40A319F0"/>
    <w:rsid w:val="40A7496B"/>
    <w:rsid w:val="40AA370E"/>
    <w:rsid w:val="40AE0A39"/>
    <w:rsid w:val="40B04984"/>
    <w:rsid w:val="40B169D2"/>
    <w:rsid w:val="40B464FA"/>
    <w:rsid w:val="40B56401"/>
    <w:rsid w:val="40B61169"/>
    <w:rsid w:val="40B82BB4"/>
    <w:rsid w:val="40B87416"/>
    <w:rsid w:val="40B93AEA"/>
    <w:rsid w:val="40BA2F89"/>
    <w:rsid w:val="40BB4E86"/>
    <w:rsid w:val="40BE466E"/>
    <w:rsid w:val="40BF1394"/>
    <w:rsid w:val="40C000D2"/>
    <w:rsid w:val="40C11B01"/>
    <w:rsid w:val="40C331E2"/>
    <w:rsid w:val="40C43E38"/>
    <w:rsid w:val="40C55DA3"/>
    <w:rsid w:val="40C57643"/>
    <w:rsid w:val="40C721D7"/>
    <w:rsid w:val="40C72DAF"/>
    <w:rsid w:val="40C9249F"/>
    <w:rsid w:val="40C95D19"/>
    <w:rsid w:val="40CA1B2C"/>
    <w:rsid w:val="40CC0712"/>
    <w:rsid w:val="40CC7D29"/>
    <w:rsid w:val="40CE6128"/>
    <w:rsid w:val="40D21122"/>
    <w:rsid w:val="40DA6FCE"/>
    <w:rsid w:val="40E12640"/>
    <w:rsid w:val="40E2269E"/>
    <w:rsid w:val="40E35E83"/>
    <w:rsid w:val="40E43B29"/>
    <w:rsid w:val="40EC0F3F"/>
    <w:rsid w:val="40EE274C"/>
    <w:rsid w:val="40EF3DAA"/>
    <w:rsid w:val="40EF409B"/>
    <w:rsid w:val="40F06767"/>
    <w:rsid w:val="40F1266C"/>
    <w:rsid w:val="40F2256A"/>
    <w:rsid w:val="40F31716"/>
    <w:rsid w:val="40F657DE"/>
    <w:rsid w:val="40F72D63"/>
    <w:rsid w:val="40F731FB"/>
    <w:rsid w:val="40FA651A"/>
    <w:rsid w:val="40FC38F6"/>
    <w:rsid w:val="40FD12EC"/>
    <w:rsid w:val="40FF5422"/>
    <w:rsid w:val="41001FB1"/>
    <w:rsid w:val="41004C87"/>
    <w:rsid w:val="410076A2"/>
    <w:rsid w:val="410175C8"/>
    <w:rsid w:val="4102018D"/>
    <w:rsid w:val="41035574"/>
    <w:rsid w:val="41044DA8"/>
    <w:rsid w:val="41064D15"/>
    <w:rsid w:val="41081CB8"/>
    <w:rsid w:val="410B3AB4"/>
    <w:rsid w:val="410B53D9"/>
    <w:rsid w:val="410C5D3D"/>
    <w:rsid w:val="41111951"/>
    <w:rsid w:val="411249BA"/>
    <w:rsid w:val="4114580A"/>
    <w:rsid w:val="4115720C"/>
    <w:rsid w:val="411A46E4"/>
    <w:rsid w:val="411A7F22"/>
    <w:rsid w:val="411C1395"/>
    <w:rsid w:val="411C5D53"/>
    <w:rsid w:val="412009C5"/>
    <w:rsid w:val="412351F2"/>
    <w:rsid w:val="412373A6"/>
    <w:rsid w:val="41276A1D"/>
    <w:rsid w:val="412A44C4"/>
    <w:rsid w:val="412D3B99"/>
    <w:rsid w:val="41325F04"/>
    <w:rsid w:val="41364A3D"/>
    <w:rsid w:val="41365CC4"/>
    <w:rsid w:val="41367FCF"/>
    <w:rsid w:val="413A27A3"/>
    <w:rsid w:val="413A4181"/>
    <w:rsid w:val="413A7CBD"/>
    <w:rsid w:val="413B0DAE"/>
    <w:rsid w:val="413B5CBF"/>
    <w:rsid w:val="413C09C7"/>
    <w:rsid w:val="413F288D"/>
    <w:rsid w:val="414319E4"/>
    <w:rsid w:val="414612A8"/>
    <w:rsid w:val="41485B60"/>
    <w:rsid w:val="41497D3F"/>
    <w:rsid w:val="414A0E65"/>
    <w:rsid w:val="414A7AAA"/>
    <w:rsid w:val="414B3DF2"/>
    <w:rsid w:val="414B50E1"/>
    <w:rsid w:val="414C3E28"/>
    <w:rsid w:val="414C4780"/>
    <w:rsid w:val="414F52C6"/>
    <w:rsid w:val="414F5E29"/>
    <w:rsid w:val="414F75C2"/>
    <w:rsid w:val="41534498"/>
    <w:rsid w:val="415552FB"/>
    <w:rsid w:val="41571683"/>
    <w:rsid w:val="41574608"/>
    <w:rsid w:val="415835C0"/>
    <w:rsid w:val="41590E60"/>
    <w:rsid w:val="415A72D5"/>
    <w:rsid w:val="415B0B4C"/>
    <w:rsid w:val="415C2C01"/>
    <w:rsid w:val="415C76C4"/>
    <w:rsid w:val="415D24FB"/>
    <w:rsid w:val="415F658F"/>
    <w:rsid w:val="41610CCA"/>
    <w:rsid w:val="4161584C"/>
    <w:rsid w:val="41634586"/>
    <w:rsid w:val="416719D0"/>
    <w:rsid w:val="41676AB4"/>
    <w:rsid w:val="41697DEA"/>
    <w:rsid w:val="416B75C7"/>
    <w:rsid w:val="416C1070"/>
    <w:rsid w:val="416F3A45"/>
    <w:rsid w:val="4173014A"/>
    <w:rsid w:val="41776BF3"/>
    <w:rsid w:val="417C5E6F"/>
    <w:rsid w:val="417D167F"/>
    <w:rsid w:val="417D3147"/>
    <w:rsid w:val="41805B6B"/>
    <w:rsid w:val="41856F3A"/>
    <w:rsid w:val="41871D64"/>
    <w:rsid w:val="41894C7C"/>
    <w:rsid w:val="418A563F"/>
    <w:rsid w:val="418B23B6"/>
    <w:rsid w:val="418F41B4"/>
    <w:rsid w:val="418F72DF"/>
    <w:rsid w:val="41941022"/>
    <w:rsid w:val="419468D1"/>
    <w:rsid w:val="41961AFC"/>
    <w:rsid w:val="41971DD8"/>
    <w:rsid w:val="419821B4"/>
    <w:rsid w:val="41997D75"/>
    <w:rsid w:val="419C629C"/>
    <w:rsid w:val="419E5CB4"/>
    <w:rsid w:val="419F2687"/>
    <w:rsid w:val="419F3BE2"/>
    <w:rsid w:val="41A17279"/>
    <w:rsid w:val="41A46389"/>
    <w:rsid w:val="41A53328"/>
    <w:rsid w:val="41A82C28"/>
    <w:rsid w:val="41A955DD"/>
    <w:rsid w:val="41A9674F"/>
    <w:rsid w:val="41A9789D"/>
    <w:rsid w:val="41AA1B38"/>
    <w:rsid w:val="41AA686F"/>
    <w:rsid w:val="41AC2187"/>
    <w:rsid w:val="41AD4AC5"/>
    <w:rsid w:val="41AF6F03"/>
    <w:rsid w:val="41B364A3"/>
    <w:rsid w:val="41B4781F"/>
    <w:rsid w:val="41B623AE"/>
    <w:rsid w:val="41B71254"/>
    <w:rsid w:val="41B8047D"/>
    <w:rsid w:val="41B950E5"/>
    <w:rsid w:val="41BA10B0"/>
    <w:rsid w:val="41BA4AB0"/>
    <w:rsid w:val="41BA6F13"/>
    <w:rsid w:val="41BB295C"/>
    <w:rsid w:val="41BC6400"/>
    <w:rsid w:val="41BD606C"/>
    <w:rsid w:val="41BD66D4"/>
    <w:rsid w:val="41BE244C"/>
    <w:rsid w:val="41BF7060"/>
    <w:rsid w:val="41C0358B"/>
    <w:rsid w:val="41C12755"/>
    <w:rsid w:val="41C45B96"/>
    <w:rsid w:val="41C54023"/>
    <w:rsid w:val="41C714B4"/>
    <w:rsid w:val="41C76CCA"/>
    <w:rsid w:val="41CC0782"/>
    <w:rsid w:val="41D00862"/>
    <w:rsid w:val="41D130E5"/>
    <w:rsid w:val="41D13736"/>
    <w:rsid w:val="41D27FE6"/>
    <w:rsid w:val="41D53B6F"/>
    <w:rsid w:val="41D71C1D"/>
    <w:rsid w:val="41D8076A"/>
    <w:rsid w:val="41D847BC"/>
    <w:rsid w:val="41D952B7"/>
    <w:rsid w:val="41D97E2C"/>
    <w:rsid w:val="41DB07DF"/>
    <w:rsid w:val="41DB1250"/>
    <w:rsid w:val="41DB2D2B"/>
    <w:rsid w:val="41DB53CF"/>
    <w:rsid w:val="41DC4142"/>
    <w:rsid w:val="41DE0C03"/>
    <w:rsid w:val="41DE4E43"/>
    <w:rsid w:val="41DF7B40"/>
    <w:rsid w:val="41E0208D"/>
    <w:rsid w:val="41E05D82"/>
    <w:rsid w:val="41E27935"/>
    <w:rsid w:val="41E97CC0"/>
    <w:rsid w:val="41EF7A72"/>
    <w:rsid w:val="41F03971"/>
    <w:rsid w:val="41F240C6"/>
    <w:rsid w:val="41F36E9F"/>
    <w:rsid w:val="41F4499C"/>
    <w:rsid w:val="41F45E66"/>
    <w:rsid w:val="41F60634"/>
    <w:rsid w:val="41F7724C"/>
    <w:rsid w:val="41F85277"/>
    <w:rsid w:val="41F9212C"/>
    <w:rsid w:val="41F939BB"/>
    <w:rsid w:val="41FB4A2F"/>
    <w:rsid w:val="41FC4FD0"/>
    <w:rsid w:val="42034D61"/>
    <w:rsid w:val="42061653"/>
    <w:rsid w:val="42066672"/>
    <w:rsid w:val="42085866"/>
    <w:rsid w:val="420A40C6"/>
    <w:rsid w:val="420A7B1E"/>
    <w:rsid w:val="420B38E3"/>
    <w:rsid w:val="42155306"/>
    <w:rsid w:val="4217148E"/>
    <w:rsid w:val="42174309"/>
    <w:rsid w:val="42184D2F"/>
    <w:rsid w:val="4218760A"/>
    <w:rsid w:val="421A727F"/>
    <w:rsid w:val="421B4DD7"/>
    <w:rsid w:val="421E1F0B"/>
    <w:rsid w:val="421E748E"/>
    <w:rsid w:val="421F44EC"/>
    <w:rsid w:val="42212E61"/>
    <w:rsid w:val="42215AA9"/>
    <w:rsid w:val="42241C57"/>
    <w:rsid w:val="42266E43"/>
    <w:rsid w:val="422A4630"/>
    <w:rsid w:val="422A526C"/>
    <w:rsid w:val="422A6344"/>
    <w:rsid w:val="422C006B"/>
    <w:rsid w:val="422C6E96"/>
    <w:rsid w:val="422E15F3"/>
    <w:rsid w:val="422F0D2E"/>
    <w:rsid w:val="422F6EA6"/>
    <w:rsid w:val="42305E4D"/>
    <w:rsid w:val="42325EDE"/>
    <w:rsid w:val="42336CA2"/>
    <w:rsid w:val="4235270E"/>
    <w:rsid w:val="423761D9"/>
    <w:rsid w:val="423B2B77"/>
    <w:rsid w:val="424262D9"/>
    <w:rsid w:val="4245719B"/>
    <w:rsid w:val="42460528"/>
    <w:rsid w:val="42460C12"/>
    <w:rsid w:val="42463237"/>
    <w:rsid w:val="42465DBA"/>
    <w:rsid w:val="42494DB1"/>
    <w:rsid w:val="424B59A0"/>
    <w:rsid w:val="424D1343"/>
    <w:rsid w:val="424D5488"/>
    <w:rsid w:val="424E13CC"/>
    <w:rsid w:val="424F6B1D"/>
    <w:rsid w:val="425253AF"/>
    <w:rsid w:val="4252598E"/>
    <w:rsid w:val="42563613"/>
    <w:rsid w:val="4258330A"/>
    <w:rsid w:val="42592063"/>
    <w:rsid w:val="42596EDF"/>
    <w:rsid w:val="425B7C9B"/>
    <w:rsid w:val="425C32D7"/>
    <w:rsid w:val="425C5EED"/>
    <w:rsid w:val="425D37DA"/>
    <w:rsid w:val="425E112A"/>
    <w:rsid w:val="425F452C"/>
    <w:rsid w:val="4261571A"/>
    <w:rsid w:val="42640023"/>
    <w:rsid w:val="42660A92"/>
    <w:rsid w:val="42660B19"/>
    <w:rsid w:val="42677084"/>
    <w:rsid w:val="426834D3"/>
    <w:rsid w:val="4269009C"/>
    <w:rsid w:val="42696DD2"/>
    <w:rsid w:val="426B4D7F"/>
    <w:rsid w:val="426B77D9"/>
    <w:rsid w:val="426F7602"/>
    <w:rsid w:val="42702216"/>
    <w:rsid w:val="42703D13"/>
    <w:rsid w:val="42731617"/>
    <w:rsid w:val="42741F9D"/>
    <w:rsid w:val="42772420"/>
    <w:rsid w:val="42790CCE"/>
    <w:rsid w:val="42794CBA"/>
    <w:rsid w:val="42815FAA"/>
    <w:rsid w:val="428216CB"/>
    <w:rsid w:val="42826BB4"/>
    <w:rsid w:val="4284574D"/>
    <w:rsid w:val="42862F6A"/>
    <w:rsid w:val="42870A90"/>
    <w:rsid w:val="42892644"/>
    <w:rsid w:val="428A78FD"/>
    <w:rsid w:val="42905120"/>
    <w:rsid w:val="42976F25"/>
    <w:rsid w:val="42980EEF"/>
    <w:rsid w:val="429B574B"/>
    <w:rsid w:val="429C2426"/>
    <w:rsid w:val="429C55F8"/>
    <w:rsid w:val="429F5994"/>
    <w:rsid w:val="42A15346"/>
    <w:rsid w:val="42A255C2"/>
    <w:rsid w:val="42A41523"/>
    <w:rsid w:val="42A861B5"/>
    <w:rsid w:val="42A92737"/>
    <w:rsid w:val="42AE56DA"/>
    <w:rsid w:val="42AF2564"/>
    <w:rsid w:val="42B1647E"/>
    <w:rsid w:val="42B44815"/>
    <w:rsid w:val="42B4722A"/>
    <w:rsid w:val="42B5713E"/>
    <w:rsid w:val="42B574F7"/>
    <w:rsid w:val="42B70ACA"/>
    <w:rsid w:val="42B74143"/>
    <w:rsid w:val="42B85B63"/>
    <w:rsid w:val="42B86E9B"/>
    <w:rsid w:val="42BB6322"/>
    <w:rsid w:val="42BE02AE"/>
    <w:rsid w:val="42C0310C"/>
    <w:rsid w:val="42C2773D"/>
    <w:rsid w:val="42C57854"/>
    <w:rsid w:val="42C67E93"/>
    <w:rsid w:val="42C84DAD"/>
    <w:rsid w:val="42CB788E"/>
    <w:rsid w:val="42CC64F0"/>
    <w:rsid w:val="42CD55A5"/>
    <w:rsid w:val="42D05357"/>
    <w:rsid w:val="42D12E0F"/>
    <w:rsid w:val="42D16227"/>
    <w:rsid w:val="42D22FF1"/>
    <w:rsid w:val="42D37247"/>
    <w:rsid w:val="42D41736"/>
    <w:rsid w:val="42D55271"/>
    <w:rsid w:val="42D82A8F"/>
    <w:rsid w:val="42DA6266"/>
    <w:rsid w:val="42DA64EE"/>
    <w:rsid w:val="42DC0F50"/>
    <w:rsid w:val="42DE5C76"/>
    <w:rsid w:val="42E13507"/>
    <w:rsid w:val="42E64591"/>
    <w:rsid w:val="42E6480D"/>
    <w:rsid w:val="42E656C5"/>
    <w:rsid w:val="42E87106"/>
    <w:rsid w:val="42EA63F4"/>
    <w:rsid w:val="42EC772B"/>
    <w:rsid w:val="42ED3661"/>
    <w:rsid w:val="42ED4D97"/>
    <w:rsid w:val="42F10AC1"/>
    <w:rsid w:val="42F37375"/>
    <w:rsid w:val="42F37706"/>
    <w:rsid w:val="42F51AE0"/>
    <w:rsid w:val="42F73BF5"/>
    <w:rsid w:val="42F82C41"/>
    <w:rsid w:val="42F902AE"/>
    <w:rsid w:val="42F93C83"/>
    <w:rsid w:val="42FA0B34"/>
    <w:rsid w:val="42FA7F94"/>
    <w:rsid w:val="42FD4918"/>
    <w:rsid w:val="42FE5538"/>
    <w:rsid w:val="42FF4ACA"/>
    <w:rsid w:val="42FF7031"/>
    <w:rsid w:val="43014DE0"/>
    <w:rsid w:val="430237FC"/>
    <w:rsid w:val="4303204A"/>
    <w:rsid w:val="430622FC"/>
    <w:rsid w:val="430626BE"/>
    <w:rsid w:val="430718FD"/>
    <w:rsid w:val="430B16C1"/>
    <w:rsid w:val="430C47A4"/>
    <w:rsid w:val="430F7403"/>
    <w:rsid w:val="43100D84"/>
    <w:rsid w:val="43121E7A"/>
    <w:rsid w:val="43140869"/>
    <w:rsid w:val="43171C58"/>
    <w:rsid w:val="431C1B20"/>
    <w:rsid w:val="431D323F"/>
    <w:rsid w:val="431D6015"/>
    <w:rsid w:val="43212C92"/>
    <w:rsid w:val="43234F48"/>
    <w:rsid w:val="43244531"/>
    <w:rsid w:val="432514DA"/>
    <w:rsid w:val="43252782"/>
    <w:rsid w:val="432D1637"/>
    <w:rsid w:val="432F0F79"/>
    <w:rsid w:val="432F66F0"/>
    <w:rsid w:val="43302ED5"/>
    <w:rsid w:val="4332051F"/>
    <w:rsid w:val="433230F1"/>
    <w:rsid w:val="4334737F"/>
    <w:rsid w:val="4336168A"/>
    <w:rsid w:val="433766BE"/>
    <w:rsid w:val="433E7D38"/>
    <w:rsid w:val="433F29EF"/>
    <w:rsid w:val="433F2BCA"/>
    <w:rsid w:val="43416430"/>
    <w:rsid w:val="43423764"/>
    <w:rsid w:val="43425480"/>
    <w:rsid w:val="43456E4D"/>
    <w:rsid w:val="434770F0"/>
    <w:rsid w:val="434844A7"/>
    <w:rsid w:val="43490BB2"/>
    <w:rsid w:val="434B5F61"/>
    <w:rsid w:val="434E44CB"/>
    <w:rsid w:val="43523983"/>
    <w:rsid w:val="43527D6A"/>
    <w:rsid w:val="43540E0D"/>
    <w:rsid w:val="43552F2B"/>
    <w:rsid w:val="435548CF"/>
    <w:rsid w:val="435552D7"/>
    <w:rsid w:val="43560EB7"/>
    <w:rsid w:val="4357061B"/>
    <w:rsid w:val="435A60FD"/>
    <w:rsid w:val="435F7485"/>
    <w:rsid w:val="436037BB"/>
    <w:rsid w:val="43620FDF"/>
    <w:rsid w:val="4363405A"/>
    <w:rsid w:val="436613CB"/>
    <w:rsid w:val="43686B9C"/>
    <w:rsid w:val="436F76ED"/>
    <w:rsid w:val="43735A9D"/>
    <w:rsid w:val="43737E36"/>
    <w:rsid w:val="43791F6A"/>
    <w:rsid w:val="437D25BE"/>
    <w:rsid w:val="437D39A2"/>
    <w:rsid w:val="437E0F1A"/>
    <w:rsid w:val="437E6972"/>
    <w:rsid w:val="438149A1"/>
    <w:rsid w:val="43815462"/>
    <w:rsid w:val="43815DA9"/>
    <w:rsid w:val="438349DA"/>
    <w:rsid w:val="43834B95"/>
    <w:rsid w:val="43841508"/>
    <w:rsid w:val="438506A2"/>
    <w:rsid w:val="4386590B"/>
    <w:rsid w:val="438A6799"/>
    <w:rsid w:val="438A67E7"/>
    <w:rsid w:val="438B2554"/>
    <w:rsid w:val="438C3C43"/>
    <w:rsid w:val="438D19C6"/>
    <w:rsid w:val="438F53B0"/>
    <w:rsid w:val="43900BEF"/>
    <w:rsid w:val="43914DE6"/>
    <w:rsid w:val="439240C9"/>
    <w:rsid w:val="4392593E"/>
    <w:rsid w:val="4395200B"/>
    <w:rsid w:val="43974473"/>
    <w:rsid w:val="43980BD5"/>
    <w:rsid w:val="43997707"/>
    <w:rsid w:val="439A788F"/>
    <w:rsid w:val="439C024C"/>
    <w:rsid w:val="439C4B3A"/>
    <w:rsid w:val="439D70F4"/>
    <w:rsid w:val="43A07C8C"/>
    <w:rsid w:val="43A11624"/>
    <w:rsid w:val="43A12A4C"/>
    <w:rsid w:val="43A1518F"/>
    <w:rsid w:val="43A219D1"/>
    <w:rsid w:val="43A43BFE"/>
    <w:rsid w:val="43A55311"/>
    <w:rsid w:val="43A675A6"/>
    <w:rsid w:val="43A85162"/>
    <w:rsid w:val="43A86F10"/>
    <w:rsid w:val="43A954D7"/>
    <w:rsid w:val="43A961B0"/>
    <w:rsid w:val="43A97B44"/>
    <w:rsid w:val="43AA0EDA"/>
    <w:rsid w:val="43AF48D3"/>
    <w:rsid w:val="43B0537B"/>
    <w:rsid w:val="43B16125"/>
    <w:rsid w:val="43B21BC0"/>
    <w:rsid w:val="43B27D8E"/>
    <w:rsid w:val="43B50336"/>
    <w:rsid w:val="43B67B8D"/>
    <w:rsid w:val="43B820A2"/>
    <w:rsid w:val="43B84B9E"/>
    <w:rsid w:val="43B909A8"/>
    <w:rsid w:val="43B93DFD"/>
    <w:rsid w:val="43B96186"/>
    <w:rsid w:val="43BC5D77"/>
    <w:rsid w:val="43BD56E1"/>
    <w:rsid w:val="43BD5A1F"/>
    <w:rsid w:val="43BE29EA"/>
    <w:rsid w:val="43BF55E7"/>
    <w:rsid w:val="43C02DC4"/>
    <w:rsid w:val="43C3466A"/>
    <w:rsid w:val="43C7468F"/>
    <w:rsid w:val="43CA3784"/>
    <w:rsid w:val="43CB4CD3"/>
    <w:rsid w:val="43CC3AB9"/>
    <w:rsid w:val="43CE3105"/>
    <w:rsid w:val="43DA5F6A"/>
    <w:rsid w:val="43DC6D5E"/>
    <w:rsid w:val="43E066A9"/>
    <w:rsid w:val="43E22422"/>
    <w:rsid w:val="43E345AB"/>
    <w:rsid w:val="43E42716"/>
    <w:rsid w:val="43EB4D44"/>
    <w:rsid w:val="43ED0D0E"/>
    <w:rsid w:val="43EE6A90"/>
    <w:rsid w:val="43EF7CAE"/>
    <w:rsid w:val="43F13301"/>
    <w:rsid w:val="43F17168"/>
    <w:rsid w:val="43F565F9"/>
    <w:rsid w:val="43F62998"/>
    <w:rsid w:val="43F852B3"/>
    <w:rsid w:val="43FB1548"/>
    <w:rsid w:val="43FC3A7F"/>
    <w:rsid w:val="43FD03A1"/>
    <w:rsid w:val="43FD36FF"/>
    <w:rsid w:val="43FF5051"/>
    <w:rsid w:val="440305EA"/>
    <w:rsid w:val="440651AA"/>
    <w:rsid w:val="440818A8"/>
    <w:rsid w:val="440D61A1"/>
    <w:rsid w:val="44103640"/>
    <w:rsid w:val="44110D4A"/>
    <w:rsid w:val="44110D54"/>
    <w:rsid w:val="4416656F"/>
    <w:rsid w:val="44175B46"/>
    <w:rsid w:val="44192197"/>
    <w:rsid w:val="441A6F86"/>
    <w:rsid w:val="441B2640"/>
    <w:rsid w:val="441B3207"/>
    <w:rsid w:val="441B7784"/>
    <w:rsid w:val="441E4970"/>
    <w:rsid w:val="441F4053"/>
    <w:rsid w:val="4420526E"/>
    <w:rsid w:val="4423202F"/>
    <w:rsid w:val="442457C3"/>
    <w:rsid w:val="442743DC"/>
    <w:rsid w:val="442830B8"/>
    <w:rsid w:val="44293F93"/>
    <w:rsid w:val="442944F4"/>
    <w:rsid w:val="442D2548"/>
    <w:rsid w:val="442E3F16"/>
    <w:rsid w:val="443000E0"/>
    <w:rsid w:val="443056E5"/>
    <w:rsid w:val="4434218A"/>
    <w:rsid w:val="44352E99"/>
    <w:rsid w:val="44364470"/>
    <w:rsid w:val="44396501"/>
    <w:rsid w:val="443A0D25"/>
    <w:rsid w:val="443B177F"/>
    <w:rsid w:val="443B27B1"/>
    <w:rsid w:val="443B5D48"/>
    <w:rsid w:val="443D507D"/>
    <w:rsid w:val="443D7624"/>
    <w:rsid w:val="443F2F72"/>
    <w:rsid w:val="443F5C31"/>
    <w:rsid w:val="44401C45"/>
    <w:rsid w:val="444321E8"/>
    <w:rsid w:val="44455055"/>
    <w:rsid w:val="444611B6"/>
    <w:rsid w:val="44463AE7"/>
    <w:rsid w:val="44466E54"/>
    <w:rsid w:val="4447637F"/>
    <w:rsid w:val="4449109A"/>
    <w:rsid w:val="444A6655"/>
    <w:rsid w:val="444A6D6E"/>
    <w:rsid w:val="444B1D7D"/>
    <w:rsid w:val="444C3D3F"/>
    <w:rsid w:val="444D4334"/>
    <w:rsid w:val="444F205D"/>
    <w:rsid w:val="445038C9"/>
    <w:rsid w:val="44516C64"/>
    <w:rsid w:val="44525B01"/>
    <w:rsid w:val="44562E10"/>
    <w:rsid w:val="445851EE"/>
    <w:rsid w:val="445916C1"/>
    <w:rsid w:val="445A6769"/>
    <w:rsid w:val="445D4B7B"/>
    <w:rsid w:val="446147D3"/>
    <w:rsid w:val="44625444"/>
    <w:rsid w:val="446540D6"/>
    <w:rsid w:val="446612D6"/>
    <w:rsid w:val="44666C3D"/>
    <w:rsid w:val="44670B79"/>
    <w:rsid w:val="44693A30"/>
    <w:rsid w:val="446971DF"/>
    <w:rsid w:val="446D758B"/>
    <w:rsid w:val="446E0172"/>
    <w:rsid w:val="44717631"/>
    <w:rsid w:val="44720E2B"/>
    <w:rsid w:val="447243B4"/>
    <w:rsid w:val="4476550C"/>
    <w:rsid w:val="4477613C"/>
    <w:rsid w:val="44786105"/>
    <w:rsid w:val="447B7754"/>
    <w:rsid w:val="447D3DAD"/>
    <w:rsid w:val="447E25AE"/>
    <w:rsid w:val="447F2693"/>
    <w:rsid w:val="4482120C"/>
    <w:rsid w:val="4483107A"/>
    <w:rsid w:val="44866EAC"/>
    <w:rsid w:val="44867993"/>
    <w:rsid w:val="44872FC9"/>
    <w:rsid w:val="44885210"/>
    <w:rsid w:val="44893ADF"/>
    <w:rsid w:val="448C51F4"/>
    <w:rsid w:val="44906321"/>
    <w:rsid w:val="449424D3"/>
    <w:rsid w:val="4498104E"/>
    <w:rsid w:val="449D01A4"/>
    <w:rsid w:val="449F035E"/>
    <w:rsid w:val="44A1005C"/>
    <w:rsid w:val="44A1683E"/>
    <w:rsid w:val="44A431CB"/>
    <w:rsid w:val="44A771C7"/>
    <w:rsid w:val="44A82240"/>
    <w:rsid w:val="44A86E42"/>
    <w:rsid w:val="44AA024B"/>
    <w:rsid w:val="44AD0C81"/>
    <w:rsid w:val="44AE0556"/>
    <w:rsid w:val="44AE1DC6"/>
    <w:rsid w:val="44B43206"/>
    <w:rsid w:val="44B6320F"/>
    <w:rsid w:val="44B90133"/>
    <w:rsid w:val="44BE18C3"/>
    <w:rsid w:val="44BF076A"/>
    <w:rsid w:val="44C115D9"/>
    <w:rsid w:val="44CC6B07"/>
    <w:rsid w:val="44CD1324"/>
    <w:rsid w:val="44D32AB4"/>
    <w:rsid w:val="44D65B3D"/>
    <w:rsid w:val="44D73E4A"/>
    <w:rsid w:val="44DF74D2"/>
    <w:rsid w:val="44E1298A"/>
    <w:rsid w:val="44E23C28"/>
    <w:rsid w:val="44E24025"/>
    <w:rsid w:val="44E25BA2"/>
    <w:rsid w:val="44E4666D"/>
    <w:rsid w:val="44E5347E"/>
    <w:rsid w:val="44E55255"/>
    <w:rsid w:val="44E71A5A"/>
    <w:rsid w:val="44E96C6C"/>
    <w:rsid w:val="44EA2142"/>
    <w:rsid w:val="44EB306C"/>
    <w:rsid w:val="44EC27D2"/>
    <w:rsid w:val="44ED6284"/>
    <w:rsid w:val="44F15C4E"/>
    <w:rsid w:val="44F17D02"/>
    <w:rsid w:val="44F32661"/>
    <w:rsid w:val="44F5354B"/>
    <w:rsid w:val="44F54F9A"/>
    <w:rsid w:val="44F54FAB"/>
    <w:rsid w:val="44F665B8"/>
    <w:rsid w:val="44F70D7F"/>
    <w:rsid w:val="44F82E17"/>
    <w:rsid w:val="44F97708"/>
    <w:rsid w:val="44FF51A2"/>
    <w:rsid w:val="44FF6B53"/>
    <w:rsid w:val="450004D0"/>
    <w:rsid w:val="45004020"/>
    <w:rsid w:val="45017396"/>
    <w:rsid w:val="450275E0"/>
    <w:rsid w:val="4506524E"/>
    <w:rsid w:val="45076A49"/>
    <w:rsid w:val="4508410A"/>
    <w:rsid w:val="450A506A"/>
    <w:rsid w:val="450C2B68"/>
    <w:rsid w:val="450D7431"/>
    <w:rsid w:val="45101F52"/>
    <w:rsid w:val="451064E1"/>
    <w:rsid w:val="45115463"/>
    <w:rsid w:val="45120AE5"/>
    <w:rsid w:val="45134356"/>
    <w:rsid w:val="4514045C"/>
    <w:rsid w:val="451439D0"/>
    <w:rsid w:val="4517491E"/>
    <w:rsid w:val="451C3FF4"/>
    <w:rsid w:val="451E7415"/>
    <w:rsid w:val="451F2A7A"/>
    <w:rsid w:val="451F2CA4"/>
    <w:rsid w:val="451F3D78"/>
    <w:rsid w:val="45266126"/>
    <w:rsid w:val="4527162A"/>
    <w:rsid w:val="452919B8"/>
    <w:rsid w:val="452A1951"/>
    <w:rsid w:val="452C1D0B"/>
    <w:rsid w:val="452D1A1B"/>
    <w:rsid w:val="452D3881"/>
    <w:rsid w:val="452D591E"/>
    <w:rsid w:val="45326505"/>
    <w:rsid w:val="453331B2"/>
    <w:rsid w:val="453649A7"/>
    <w:rsid w:val="453A515B"/>
    <w:rsid w:val="453B6A75"/>
    <w:rsid w:val="454549D8"/>
    <w:rsid w:val="4547000F"/>
    <w:rsid w:val="454B3298"/>
    <w:rsid w:val="454D5478"/>
    <w:rsid w:val="454E6F58"/>
    <w:rsid w:val="454F68D9"/>
    <w:rsid w:val="455235D7"/>
    <w:rsid w:val="455273CF"/>
    <w:rsid w:val="45574E54"/>
    <w:rsid w:val="45584158"/>
    <w:rsid w:val="455B07F0"/>
    <w:rsid w:val="455B28B6"/>
    <w:rsid w:val="455B7CD0"/>
    <w:rsid w:val="455C2301"/>
    <w:rsid w:val="455C3FF8"/>
    <w:rsid w:val="455C7851"/>
    <w:rsid w:val="45617CBE"/>
    <w:rsid w:val="456222A0"/>
    <w:rsid w:val="45622501"/>
    <w:rsid w:val="456719AC"/>
    <w:rsid w:val="45682AF7"/>
    <w:rsid w:val="456A1A1A"/>
    <w:rsid w:val="456D1027"/>
    <w:rsid w:val="4570484F"/>
    <w:rsid w:val="457479F1"/>
    <w:rsid w:val="457572C5"/>
    <w:rsid w:val="45761E7E"/>
    <w:rsid w:val="45785D11"/>
    <w:rsid w:val="457902F5"/>
    <w:rsid w:val="457963D0"/>
    <w:rsid w:val="457C567F"/>
    <w:rsid w:val="457D5EF8"/>
    <w:rsid w:val="45817388"/>
    <w:rsid w:val="458352C3"/>
    <w:rsid w:val="45853801"/>
    <w:rsid w:val="458546F8"/>
    <w:rsid w:val="45885854"/>
    <w:rsid w:val="45886FF9"/>
    <w:rsid w:val="458D1582"/>
    <w:rsid w:val="45900DB5"/>
    <w:rsid w:val="45941D53"/>
    <w:rsid w:val="45962009"/>
    <w:rsid w:val="45962FC6"/>
    <w:rsid w:val="45976173"/>
    <w:rsid w:val="4597723C"/>
    <w:rsid w:val="459B178B"/>
    <w:rsid w:val="459B65F4"/>
    <w:rsid w:val="459F0180"/>
    <w:rsid w:val="45A55BA9"/>
    <w:rsid w:val="45A740ED"/>
    <w:rsid w:val="45A75A4F"/>
    <w:rsid w:val="45A82318"/>
    <w:rsid w:val="45A86D7F"/>
    <w:rsid w:val="45A9009B"/>
    <w:rsid w:val="45AB6887"/>
    <w:rsid w:val="45B01BA6"/>
    <w:rsid w:val="45B32E0F"/>
    <w:rsid w:val="45B55914"/>
    <w:rsid w:val="45B57D13"/>
    <w:rsid w:val="45B77506"/>
    <w:rsid w:val="45B775D7"/>
    <w:rsid w:val="45B82E0C"/>
    <w:rsid w:val="45BB076C"/>
    <w:rsid w:val="45BC1CE2"/>
    <w:rsid w:val="45C16782"/>
    <w:rsid w:val="45C34DD1"/>
    <w:rsid w:val="45C40B0C"/>
    <w:rsid w:val="45C43DDE"/>
    <w:rsid w:val="45C46A9B"/>
    <w:rsid w:val="45C55A7D"/>
    <w:rsid w:val="45C71AB4"/>
    <w:rsid w:val="45C96D5D"/>
    <w:rsid w:val="45CF0748"/>
    <w:rsid w:val="45D05855"/>
    <w:rsid w:val="45D32EF5"/>
    <w:rsid w:val="45D62F9D"/>
    <w:rsid w:val="45D86C39"/>
    <w:rsid w:val="45D87793"/>
    <w:rsid w:val="45DA1D40"/>
    <w:rsid w:val="45DA3E5C"/>
    <w:rsid w:val="45DA7228"/>
    <w:rsid w:val="45DB7CAC"/>
    <w:rsid w:val="45DD0BC4"/>
    <w:rsid w:val="45DD601F"/>
    <w:rsid w:val="45DE1C00"/>
    <w:rsid w:val="45DE4193"/>
    <w:rsid w:val="45E2495B"/>
    <w:rsid w:val="45E30001"/>
    <w:rsid w:val="45E37FC0"/>
    <w:rsid w:val="45EC1C2A"/>
    <w:rsid w:val="45EE2D20"/>
    <w:rsid w:val="45EE54A5"/>
    <w:rsid w:val="45EE60CF"/>
    <w:rsid w:val="45EF3D0C"/>
    <w:rsid w:val="45F34056"/>
    <w:rsid w:val="45F6235E"/>
    <w:rsid w:val="45F643E7"/>
    <w:rsid w:val="45F8095F"/>
    <w:rsid w:val="45FA20D1"/>
    <w:rsid w:val="45FA2F91"/>
    <w:rsid w:val="45FC25BF"/>
    <w:rsid w:val="45FE30DA"/>
    <w:rsid w:val="45FF18C4"/>
    <w:rsid w:val="45FF29FD"/>
    <w:rsid w:val="46004CA7"/>
    <w:rsid w:val="46022488"/>
    <w:rsid w:val="46026ADF"/>
    <w:rsid w:val="46063619"/>
    <w:rsid w:val="46094626"/>
    <w:rsid w:val="460A7637"/>
    <w:rsid w:val="460B346F"/>
    <w:rsid w:val="460C5E14"/>
    <w:rsid w:val="460C7580"/>
    <w:rsid w:val="460D36BF"/>
    <w:rsid w:val="460D7136"/>
    <w:rsid w:val="460D74FE"/>
    <w:rsid w:val="460E762B"/>
    <w:rsid w:val="46113492"/>
    <w:rsid w:val="46134C4E"/>
    <w:rsid w:val="46162856"/>
    <w:rsid w:val="46174005"/>
    <w:rsid w:val="46190CDC"/>
    <w:rsid w:val="461B2FC2"/>
    <w:rsid w:val="461D2C5B"/>
    <w:rsid w:val="462003D6"/>
    <w:rsid w:val="46206BA9"/>
    <w:rsid w:val="46252A2C"/>
    <w:rsid w:val="462705C0"/>
    <w:rsid w:val="46274A64"/>
    <w:rsid w:val="46277191"/>
    <w:rsid w:val="46282880"/>
    <w:rsid w:val="462D014A"/>
    <w:rsid w:val="462E6217"/>
    <w:rsid w:val="462E752F"/>
    <w:rsid w:val="46303C1A"/>
    <w:rsid w:val="463166F7"/>
    <w:rsid w:val="463167A3"/>
    <w:rsid w:val="46321F07"/>
    <w:rsid w:val="463267E7"/>
    <w:rsid w:val="463B5988"/>
    <w:rsid w:val="463D04AE"/>
    <w:rsid w:val="463D5818"/>
    <w:rsid w:val="463F6808"/>
    <w:rsid w:val="46400E77"/>
    <w:rsid w:val="46407634"/>
    <w:rsid w:val="46430660"/>
    <w:rsid w:val="464310D8"/>
    <w:rsid w:val="46462958"/>
    <w:rsid w:val="46470C62"/>
    <w:rsid w:val="464733C7"/>
    <w:rsid w:val="464775D2"/>
    <w:rsid w:val="46491AC2"/>
    <w:rsid w:val="464A1E4D"/>
    <w:rsid w:val="464F1029"/>
    <w:rsid w:val="46504E2B"/>
    <w:rsid w:val="46532356"/>
    <w:rsid w:val="46546F3A"/>
    <w:rsid w:val="46552AB9"/>
    <w:rsid w:val="46563655"/>
    <w:rsid w:val="46573B13"/>
    <w:rsid w:val="46576488"/>
    <w:rsid w:val="465C7922"/>
    <w:rsid w:val="465D1840"/>
    <w:rsid w:val="465E41EF"/>
    <w:rsid w:val="465F090D"/>
    <w:rsid w:val="46617B9A"/>
    <w:rsid w:val="4662784A"/>
    <w:rsid w:val="466406AF"/>
    <w:rsid w:val="46662348"/>
    <w:rsid w:val="46686840"/>
    <w:rsid w:val="466960D4"/>
    <w:rsid w:val="466C3B0D"/>
    <w:rsid w:val="466C78FC"/>
    <w:rsid w:val="466E1CED"/>
    <w:rsid w:val="466F3682"/>
    <w:rsid w:val="466F5D2F"/>
    <w:rsid w:val="46702F69"/>
    <w:rsid w:val="46707126"/>
    <w:rsid w:val="46711126"/>
    <w:rsid w:val="46714462"/>
    <w:rsid w:val="46743B77"/>
    <w:rsid w:val="46752B9F"/>
    <w:rsid w:val="46781956"/>
    <w:rsid w:val="46791D85"/>
    <w:rsid w:val="467C78D8"/>
    <w:rsid w:val="467E1B6A"/>
    <w:rsid w:val="46804174"/>
    <w:rsid w:val="46815E61"/>
    <w:rsid w:val="46816F2A"/>
    <w:rsid w:val="4685631D"/>
    <w:rsid w:val="468679DC"/>
    <w:rsid w:val="468974CC"/>
    <w:rsid w:val="468C59EC"/>
    <w:rsid w:val="468D24F1"/>
    <w:rsid w:val="468D2D09"/>
    <w:rsid w:val="468E0536"/>
    <w:rsid w:val="46900395"/>
    <w:rsid w:val="46915EA9"/>
    <w:rsid w:val="46927695"/>
    <w:rsid w:val="46932AD3"/>
    <w:rsid w:val="46933713"/>
    <w:rsid w:val="46935C55"/>
    <w:rsid w:val="46943DED"/>
    <w:rsid w:val="46946462"/>
    <w:rsid w:val="469479A3"/>
    <w:rsid w:val="46953BFE"/>
    <w:rsid w:val="46967790"/>
    <w:rsid w:val="46977F8F"/>
    <w:rsid w:val="469A590B"/>
    <w:rsid w:val="469D0F31"/>
    <w:rsid w:val="469D3974"/>
    <w:rsid w:val="469E0941"/>
    <w:rsid w:val="469F3FE0"/>
    <w:rsid w:val="46A404D7"/>
    <w:rsid w:val="46A8035C"/>
    <w:rsid w:val="46AA0628"/>
    <w:rsid w:val="46AC5149"/>
    <w:rsid w:val="46AC73B1"/>
    <w:rsid w:val="46B04957"/>
    <w:rsid w:val="46B2428C"/>
    <w:rsid w:val="46B46615"/>
    <w:rsid w:val="46B555C2"/>
    <w:rsid w:val="46B97568"/>
    <w:rsid w:val="46BA04DD"/>
    <w:rsid w:val="46BA6890"/>
    <w:rsid w:val="46BA7EC4"/>
    <w:rsid w:val="46BC33FE"/>
    <w:rsid w:val="46BC3AA5"/>
    <w:rsid w:val="46C0165B"/>
    <w:rsid w:val="46C17E11"/>
    <w:rsid w:val="46C451CC"/>
    <w:rsid w:val="46C54B07"/>
    <w:rsid w:val="46C72960"/>
    <w:rsid w:val="46CC1167"/>
    <w:rsid w:val="46D003AE"/>
    <w:rsid w:val="46D36A4B"/>
    <w:rsid w:val="46D36CD1"/>
    <w:rsid w:val="46D45888"/>
    <w:rsid w:val="46D46CAA"/>
    <w:rsid w:val="46D605E1"/>
    <w:rsid w:val="46D60F07"/>
    <w:rsid w:val="46D64FFC"/>
    <w:rsid w:val="46D65E95"/>
    <w:rsid w:val="46DC39A5"/>
    <w:rsid w:val="46E22490"/>
    <w:rsid w:val="46EB7923"/>
    <w:rsid w:val="46EE17A1"/>
    <w:rsid w:val="46EF4EB2"/>
    <w:rsid w:val="46F16C02"/>
    <w:rsid w:val="46F174F8"/>
    <w:rsid w:val="46F25465"/>
    <w:rsid w:val="46F3028B"/>
    <w:rsid w:val="46F56CF9"/>
    <w:rsid w:val="46F64813"/>
    <w:rsid w:val="46F84728"/>
    <w:rsid w:val="46FD374A"/>
    <w:rsid w:val="46FF630D"/>
    <w:rsid w:val="4701301A"/>
    <w:rsid w:val="47027938"/>
    <w:rsid w:val="4703588D"/>
    <w:rsid w:val="470364B8"/>
    <w:rsid w:val="47040E35"/>
    <w:rsid w:val="4705160B"/>
    <w:rsid w:val="47054203"/>
    <w:rsid w:val="470621E1"/>
    <w:rsid w:val="470821EC"/>
    <w:rsid w:val="470C7CEF"/>
    <w:rsid w:val="47116587"/>
    <w:rsid w:val="47130C50"/>
    <w:rsid w:val="47152B0E"/>
    <w:rsid w:val="47173245"/>
    <w:rsid w:val="47182273"/>
    <w:rsid w:val="47190850"/>
    <w:rsid w:val="471A2123"/>
    <w:rsid w:val="471B5ABB"/>
    <w:rsid w:val="471B77B5"/>
    <w:rsid w:val="471F5A27"/>
    <w:rsid w:val="471F7960"/>
    <w:rsid w:val="471F7BCF"/>
    <w:rsid w:val="472440DB"/>
    <w:rsid w:val="47284FE6"/>
    <w:rsid w:val="472921D7"/>
    <w:rsid w:val="472C0967"/>
    <w:rsid w:val="47302FE9"/>
    <w:rsid w:val="4732546E"/>
    <w:rsid w:val="4735732C"/>
    <w:rsid w:val="473A11DE"/>
    <w:rsid w:val="473A7654"/>
    <w:rsid w:val="473B2DA6"/>
    <w:rsid w:val="473D1456"/>
    <w:rsid w:val="473D267D"/>
    <w:rsid w:val="473F7C5F"/>
    <w:rsid w:val="474222D2"/>
    <w:rsid w:val="47475040"/>
    <w:rsid w:val="474861C8"/>
    <w:rsid w:val="474A6D63"/>
    <w:rsid w:val="474D596C"/>
    <w:rsid w:val="474E2A67"/>
    <w:rsid w:val="474E3E27"/>
    <w:rsid w:val="47531A5C"/>
    <w:rsid w:val="47534D74"/>
    <w:rsid w:val="475938E1"/>
    <w:rsid w:val="475B24AF"/>
    <w:rsid w:val="475B61BC"/>
    <w:rsid w:val="475C580D"/>
    <w:rsid w:val="476168B7"/>
    <w:rsid w:val="47617AA6"/>
    <w:rsid w:val="476800FA"/>
    <w:rsid w:val="477137F2"/>
    <w:rsid w:val="47772A23"/>
    <w:rsid w:val="47776820"/>
    <w:rsid w:val="477A342E"/>
    <w:rsid w:val="477C12B1"/>
    <w:rsid w:val="477E2B9A"/>
    <w:rsid w:val="477E4183"/>
    <w:rsid w:val="478118F9"/>
    <w:rsid w:val="47836E27"/>
    <w:rsid w:val="478622EC"/>
    <w:rsid w:val="4787044C"/>
    <w:rsid w:val="47887533"/>
    <w:rsid w:val="478B1022"/>
    <w:rsid w:val="478C54BB"/>
    <w:rsid w:val="478C77AD"/>
    <w:rsid w:val="47933E30"/>
    <w:rsid w:val="479555EB"/>
    <w:rsid w:val="479720B7"/>
    <w:rsid w:val="479954ED"/>
    <w:rsid w:val="479B0A48"/>
    <w:rsid w:val="479B28C5"/>
    <w:rsid w:val="479C1239"/>
    <w:rsid w:val="479D298A"/>
    <w:rsid w:val="47A0281B"/>
    <w:rsid w:val="47A3389B"/>
    <w:rsid w:val="47A46D83"/>
    <w:rsid w:val="47A57232"/>
    <w:rsid w:val="47A80526"/>
    <w:rsid w:val="47A9680A"/>
    <w:rsid w:val="47AC60E5"/>
    <w:rsid w:val="47AE361E"/>
    <w:rsid w:val="47AF2FE8"/>
    <w:rsid w:val="47AF6BDE"/>
    <w:rsid w:val="47B178A6"/>
    <w:rsid w:val="47B20DA5"/>
    <w:rsid w:val="47B24801"/>
    <w:rsid w:val="47B25725"/>
    <w:rsid w:val="47B40579"/>
    <w:rsid w:val="47B65B9D"/>
    <w:rsid w:val="47B66974"/>
    <w:rsid w:val="47BA3F06"/>
    <w:rsid w:val="47BA749C"/>
    <w:rsid w:val="47BD10F4"/>
    <w:rsid w:val="47BD3527"/>
    <w:rsid w:val="47BE18EA"/>
    <w:rsid w:val="47C144C2"/>
    <w:rsid w:val="47C14A44"/>
    <w:rsid w:val="47C26004"/>
    <w:rsid w:val="47C307BC"/>
    <w:rsid w:val="47C3123E"/>
    <w:rsid w:val="47C77E50"/>
    <w:rsid w:val="47CA76DF"/>
    <w:rsid w:val="47D6229D"/>
    <w:rsid w:val="47D638BC"/>
    <w:rsid w:val="47D66632"/>
    <w:rsid w:val="47DB2BE2"/>
    <w:rsid w:val="47DC26B3"/>
    <w:rsid w:val="47DE402E"/>
    <w:rsid w:val="47DE681C"/>
    <w:rsid w:val="47E10277"/>
    <w:rsid w:val="47E17E1A"/>
    <w:rsid w:val="47E349BA"/>
    <w:rsid w:val="47E429FD"/>
    <w:rsid w:val="47E466D7"/>
    <w:rsid w:val="47EA5DEA"/>
    <w:rsid w:val="47EB6495"/>
    <w:rsid w:val="47F045E0"/>
    <w:rsid w:val="47F348BF"/>
    <w:rsid w:val="47F66253"/>
    <w:rsid w:val="47F759A3"/>
    <w:rsid w:val="47F845CA"/>
    <w:rsid w:val="47F92430"/>
    <w:rsid w:val="47F941DE"/>
    <w:rsid w:val="47FB04F1"/>
    <w:rsid w:val="47FB108B"/>
    <w:rsid w:val="48026508"/>
    <w:rsid w:val="48047807"/>
    <w:rsid w:val="480605A4"/>
    <w:rsid w:val="480A1B19"/>
    <w:rsid w:val="480A6BAB"/>
    <w:rsid w:val="480C639D"/>
    <w:rsid w:val="480E5AF4"/>
    <w:rsid w:val="480F0AF9"/>
    <w:rsid w:val="480F7626"/>
    <w:rsid w:val="48143C6A"/>
    <w:rsid w:val="4815746A"/>
    <w:rsid w:val="481747D3"/>
    <w:rsid w:val="48174BC1"/>
    <w:rsid w:val="48193938"/>
    <w:rsid w:val="48194796"/>
    <w:rsid w:val="481B2C6A"/>
    <w:rsid w:val="481B4BAB"/>
    <w:rsid w:val="481D139F"/>
    <w:rsid w:val="481E40A1"/>
    <w:rsid w:val="481E44CC"/>
    <w:rsid w:val="481F77F3"/>
    <w:rsid w:val="4823793D"/>
    <w:rsid w:val="482641D5"/>
    <w:rsid w:val="48264FDE"/>
    <w:rsid w:val="482654C0"/>
    <w:rsid w:val="482732BF"/>
    <w:rsid w:val="482A3D66"/>
    <w:rsid w:val="482B659F"/>
    <w:rsid w:val="48311BC9"/>
    <w:rsid w:val="483378F3"/>
    <w:rsid w:val="48340817"/>
    <w:rsid w:val="48360F8E"/>
    <w:rsid w:val="483B0C8D"/>
    <w:rsid w:val="483D1D78"/>
    <w:rsid w:val="483D2B88"/>
    <w:rsid w:val="483F255F"/>
    <w:rsid w:val="483F6714"/>
    <w:rsid w:val="4842591E"/>
    <w:rsid w:val="48444B7D"/>
    <w:rsid w:val="4848725D"/>
    <w:rsid w:val="484A539F"/>
    <w:rsid w:val="484B01A0"/>
    <w:rsid w:val="484B4B99"/>
    <w:rsid w:val="484D1CC4"/>
    <w:rsid w:val="484D6C69"/>
    <w:rsid w:val="484E4529"/>
    <w:rsid w:val="48517B76"/>
    <w:rsid w:val="48530628"/>
    <w:rsid w:val="485627FB"/>
    <w:rsid w:val="48566D90"/>
    <w:rsid w:val="48595249"/>
    <w:rsid w:val="485B1C80"/>
    <w:rsid w:val="486378A9"/>
    <w:rsid w:val="4864452F"/>
    <w:rsid w:val="48644FDA"/>
    <w:rsid w:val="4864603F"/>
    <w:rsid w:val="48650052"/>
    <w:rsid w:val="48651109"/>
    <w:rsid w:val="48652B00"/>
    <w:rsid w:val="48666156"/>
    <w:rsid w:val="486A078F"/>
    <w:rsid w:val="48735F83"/>
    <w:rsid w:val="48742086"/>
    <w:rsid w:val="48742A08"/>
    <w:rsid w:val="48771D23"/>
    <w:rsid w:val="4877769E"/>
    <w:rsid w:val="48781095"/>
    <w:rsid w:val="48783354"/>
    <w:rsid w:val="487A0B7A"/>
    <w:rsid w:val="487B46E6"/>
    <w:rsid w:val="487D0195"/>
    <w:rsid w:val="487D7D99"/>
    <w:rsid w:val="487F4D26"/>
    <w:rsid w:val="48892E60"/>
    <w:rsid w:val="488E077E"/>
    <w:rsid w:val="488F670B"/>
    <w:rsid w:val="48921717"/>
    <w:rsid w:val="4892793E"/>
    <w:rsid w:val="48936B34"/>
    <w:rsid w:val="48971F6C"/>
    <w:rsid w:val="48975E64"/>
    <w:rsid w:val="48981C49"/>
    <w:rsid w:val="489A194E"/>
    <w:rsid w:val="489F0ACD"/>
    <w:rsid w:val="489F5577"/>
    <w:rsid w:val="48A059AF"/>
    <w:rsid w:val="48A45F0A"/>
    <w:rsid w:val="48A61C14"/>
    <w:rsid w:val="48A73AA3"/>
    <w:rsid w:val="48A760EA"/>
    <w:rsid w:val="48AB197C"/>
    <w:rsid w:val="48AF70E2"/>
    <w:rsid w:val="48AF7EE6"/>
    <w:rsid w:val="48B07DC2"/>
    <w:rsid w:val="48B30830"/>
    <w:rsid w:val="48B4139B"/>
    <w:rsid w:val="48B538D6"/>
    <w:rsid w:val="48B6501C"/>
    <w:rsid w:val="48B87D40"/>
    <w:rsid w:val="48B90C1E"/>
    <w:rsid w:val="48B92F0F"/>
    <w:rsid w:val="48B967F7"/>
    <w:rsid w:val="48BA065B"/>
    <w:rsid w:val="48BD16AF"/>
    <w:rsid w:val="48BF3282"/>
    <w:rsid w:val="48C26CC5"/>
    <w:rsid w:val="48C3584F"/>
    <w:rsid w:val="48C532D4"/>
    <w:rsid w:val="48C5570B"/>
    <w:rsid w:val="48C66F5E"/>
    <w:rsid w:val="48C77657"/>
    <w:rsid w:val="48C837EF"/>
    <w:rsid w:val="48CA012A"/>
    <w:rsid w:val="48CA44E2"/>
    <w:rsid w:val="48CB6E33"/>
    <w:rsid w:val="48CF2685"/>
    <w:rsid w:val="48D079C5"/>
    <w:rsid w:val="48D85680"/>
    <w:rsid w:val="48D92A35"/>
    <w:rsid w:val="48D93277"/>
    <w:rsid w:val="48DA1174"/>
    <w:rsid w:val="48DA2746"/>
    <w:rsid w:val="48DB74C4"/>
    <w:rsid w:val="48DE21AA"/>
    <w:rsid w:val="48DE32C9"/>
    <w:rsid w:val="48DE79BA"/>
    <w:rsid w:val="48E1282E"/>
    <w:rsid w:val="48E229BA"/>
    <w:rsid w:val="48E24C72"/>
    <w:rsid w:val="48E67EE2"/>
    <w:rsid w:val="48E718A6"/>
    <w:rsid w:val="48E85002"/>
    <w:rsid w:val="48E85485"/>
    <w:rsid w:val="48E91EBC"/>
    <w:rsid w:val="48E96250"/>
    <w:rsid w:val="48EA18A5"/>
    <w:rsid w:val="48EB7FCA"/>
    <w:rsid w:val="48ED63DD"/>
    <w:rsid w:val="48F26110"/>
    <w:rsid w:val="48F708DE"/>
    <w:rsid w:val="48F72DDE"/>
    <w:rsid w:val="48F800C9"/>
    <w:rsid w:val="48F87F3A"/>
    <w:rsid w:val="48F90271"/>
    <w:rsid w:val="48FA1FBB"/>
    <w:rsid w:val="48FB4EA5"/>
    <w:rsid w:val="48FB5D34"/>
    <w:rsid w:val="48FB619D"/>
    <w:rsid w:val="48FB63CD"/>
    <w:rsid w:val="48FC430F"/>
    <w:rsid w:val="4900165E"/>
    <w:rsid w:val="49026862"/>
    <w:rsid w:val="49027175"/>
    <w:rsid w:val="490316F2"/>
    <w:rsid w:val="49036C03"/>
    <w:rsid w:val="4905743F"/>
    <w:rsid w:val="49062B3D"/>
    <w:rsid w:val="49074393"/>
    <w:rsid w:val="490A6D2B"/>
    <w:rsid w:val="490E03B4"/>
    <w:rsid w:val="490E6F34"/>
    <w:rsid w:val="491066FB"/>
    <w:rsid w:val="49117305"/>
    <w:rsid w:val="49142549"/>
    <w:rsid w:val="49155047"/>
    <w:rsid w:val="49170DBF"/>
    <w:rsid w:val="491764E7"/>
    <w:rsid w:val="49186DA1"/>
    <w:rsid w:val="49187D3C"/>
    <w:rsid w:val="49193D22"/>
    <w:rsid w:val="491A265E"/>
    <w:rsid w:val="491A440C"/>
    <w:rsid w:val="491B0B6B"/>
    <w:rsid w:val="491B4571"/>
    <w:rsid w:val="491E0895"/>
    <w:rsid w:val="491E67F6"/>
    <w:rsid w:val="491E7483"/>
    <w:rsid w:val="491F1A22"/>
    <w:rsid w:val="491F357E"/>
    <w:rsid w:val="49234B95"/>
    <w:rsid w:val="49235411"/>
    <w:rsid w:val="492469E6"/>
    <w:rsid w:val="49257C2B"/>
    <w:rsid w:val="4929332C"/>
    <w:rsid w:val="492C62A3"/>
    <w:rsid w:val="492D102C"/>
    <w:rsid w:val="492D69E2"/>
    <w:rsid w:val="492E7E7D"/>
    <w:rsid w:val="49304439"/>
    <w:rsid w:val="49325925"/>
    <w:rsid w:val="49357A01"/>
    <w:rsid w:val="493832CA"/>
    <w:rsid w:val="493A604B"/>
    <w:rsid w:val="493A626E"/>
    <w:rsid w:val="493D00FA"/>
    <w:rsid w:val="493F7D5A"/>
    <w:rsid w:val="4945036E"/>
    <w:rsid w:val="49482F5A"/>
    <w:rsid w:val="49485644"/>
    <w:rsid w:val="49486296"/>
    <w:rsid w:val="494C503E"/>
    <w:rsid w:val="494E3636"/>
    <w:rsid w:val="49527BBB"/>
    <w:rsid w:val="495333D2"/>
    <w:rsid w:val="495505DB"/>
    <w:rsid w:val="4959089B"/>
    <w:rsid w:val="49597E6C"/>
    <w:rsid w:val="495C2786"/>
    <w:rsid w:val="495F5B3C"/>
    <w:rsid w:val="49606AC5"/>
    <w:rsid w:val="49611C36"/>
    <w:rsid w:val="49643051"/>
    <w:rsid w:val="49644EB8"/>
    <w:rsid w:val="4968588E"/>
    <w:rsid w:val="4968786D"/>
    <w:rsid w:val="49696C8F"/>
    <w:rsid w:val="496A437B"/>
    <w:rsid w:val="496B1FB0"/>
    <w:rsid w:val="496C18D9"/>
    <w:rsid w:val="496D09DF"/>
    <w:rsid w:val="496D1B80"/>
    <w:rsid w:val="496E075D"/>
    <w:rsid w:val="4970227E"/>
    <w:rsid w:val="49705800"/>
    <w:rsid w:val="49752E89"/>
    <w:rsid w:val="49755B9D"/>
    <w:rsid w:val="497574D1"/>
    <w:rsid w:val="49787384"/>
    <w:rsid w:val="4979164E"/>
    <w:rsid w:val="497F0713"/>
    <w:rsid w:val="498D25C2"/>
    <w:rsid w:val="498E42C6"/>
    <w:rsid w:val="498E432F"/>
    <w:rsid w:val="49917E78"/>
    <w:rsid w:val="49937AA3"/>
    <w:rsid w:val="4994324B"/>
    <w:rsid w:val="499A16C8"/>
    <w:rsid w:val="499A7723"/>
    <w:rsid w:val="499B3BE6"/>
    <w:rsid w:val="499D06FE"/>
    <w:rsid w:val="499D1871"/>
    <w:rsid w:val="499D508E"/>
    <w:rsid w:val="499E2664"/>
    <w:rsid w:val="49A14B2D"/>
    <w:rsid w:val="49A30FD0"/>
    <w:rsid w:val="49A312C5"/>
    <w:rsid w:val="49A32653"/>
    <w:rsid w:val="49A527F4"/>
    <w:rsid w:val="49A62143"/>
    <w:rsid w:val="49A62734"/>
    <w:rsid w:val="49AA3281"/>
    <w:rsid w:val="49AB6934"/>
    <w:rsid w:val="49AD6A4E"/>
    <w:rsid w:val="49AD702E"/>
    <w:rsid w:val="49AF43A5"/>
    <w:rsid w:val="49B118DC"/>
    <w:rsid w:val="49B248AF"/>
    <w:rsid w:val="49B26438"/>
    <w:rsid w:val="49B324C4"/>
    <w:rsid w:val="49B72A51"/>
    <w:rsid w:val="49B73264"/>
    <w:rsid w:val="49BB47A3"/>
    <w:rsid w:val="49BC204E"/>
    <w:rsid w:val="49BE6055"/>
    <w:rsid w:val="49C07BC5"/>
    <w:rsid w:val="49C26AAC"/>
    <w:rsid w:val="49C440B5"/>
    <w:rsid w:val="49C453AB"/>
    <w:rsid w:val="49C712A8"/>
    <w:rsid w:val="49C74A74"/>
    <w:rsid w:val="49C9518A"/>
    <w:rsid w:val="49CC7733"/>
    <w:rsid w:val="49CE6E50"/>
    <w:rsid w:val="49CF061D"/>
    <w:rsid w:val="49D01AE6"/>
    <w:rsid w:val="49D04D72"/>
    <w:rsid w:val="49D075C5"/>
    <w:rsid w:val="49D102FF"/>
    <w:rsid w:val="49D667F3"/>
    <w:rsid w:val="49D733A6"/>
    <w:rsid w:val="49D745AA"/>
    <w:rsid w:val="49D93145"/>
    <w:rsid w:val="49E357FB"/>
    <w:rsid w:val="49E42357"/>
    <w:rsid w:val="49E532C6"/>
    <w:rsid w:val="49E71805"/>
    <w:rsid w:val="49E73A3E"/>
    <w:rsid w:val="49E76913"/>
    <w:rsid w:val="49E7791E"/>
    <w:rsid w:val="49E8275C"/>
    <w:rsid w:val="49F20BCD"/>
    <w:rsid w:val="49F342F0"/>
    <w:rsid w:val="49F3689A"/>
    <w:rsid w:val="49F93F1B"/>
    <w:rsid w:val="49FA424E"/>
    <w:rsid w:val="49FF7834"/>
    <w:rsid w:val="4A09630E"/>
    <w:rsid w:val="4A0D3E49"/>
    <w:rsid w:val="4A101825"/>
    <w:rsid w:val="4A113A61"/>
    <w:rsid w:val="4A116E05"/>
    <w:rsid w:val="4A1373B3"/>
    <w:rsid w:val="4A1638DF"/>
    <w:rsid w:val="4A164D96"/>
    <w:rsid w:val="4A1740F1"/>
    <w:rsid w:val="4A176199"/>
    <w:rsid w:val="4A191CAA"/>
    <w:rsid w:val="4A193E54"/>
    <w:rsid w:val="4A194680"/>
    <w:rsid w:val="4A1A69F3"/>
    <w:rsid w:val="4A1A719A"/>
    <w:rsid w:val="4A1D0657"/>
    <w:rsid w:val="4A1E26CF"/>
    <w:rsid w:val="4A205375"/>
    <w:rsid w:val="4A212BEA"/>
    <w:rsid w:val="4A217A1B"/>
    <w:rsid w:val="4A22598C"/>
    <w:rsid w:val="4A23229C"/>
    <w:rsid w:val="4A233794"/>
    <w:rsid w:val="4A252A95"/>
    <w:rsid w:val="4A253808"/>
    <w:rsid w:val="4A260A7F"/>
    <w:rsid w:val="4A261F08"/>
    <w:rsid w:val="4A293CEA"/>
    <w:rsid w:val="4A2B2703"/>
    <w:rsid w:val="4A2B5B9C"/>
    <w:rsid w:val="4A2D6628"/>
    <w:rsid w:val="4A305C4C"/>
    <w:rsid w:val="4A345F98"/>
    <w:rsid w:val="4A363A6F"/>
    <w:rsid w:val="4A394663"/>
    <w:rsid w:val="4A395009"/>
    <w:rsid w:val="4A3A35B0"/>
    <w:rsid w:val="4A3C5347"/>
    <w:rsid w:val="4A3C6ADE"/>
    <w:rsid w:val="4A3D3BFB"/>
    <w:rsid w:val="4A3D50F0"/>
    <w:rsid w:val="4A3E2345"/>
    <w:rsid w:val="4A411740"/>
    <w:rsid w:val="4A484EB1"/>
    <w:rsid w:val="4A490809"/>
    <w:rsid w:val="4A491235"/>
    <w:rsid w:val="4A493294"/>
    <w:rsid w:val="4A4C4A99"/>
    <w:rsid w:val="4A4E7473"/>
    <w:rsid w:val="4A5158C4"/>
    <w:rsid w:val="4A515DB4"/>
    <w:rsid w:val="4A5172AF"/>
    <w:rsid w:val="4A565917"/>
    <w:rsid w:val="4A5A4228"/>
    <w:rsid w:val="4A5B1C72"/>
    <w:rsid w:val="4A5C0821"/>
    <w:rsid w:val="4A5C2802"/>
    <w:rsid w:val="4A6519B1"/>
    <w:rsid w:val="4A695CD9"/>
    <w:rsid w:val="4A695D07"/>
    <w:rsid w:val="4A6A09D6"/>
    <w:rsid w:val="4A6D2E4D"/>
    <w:rsid w:val="4A6F69CA"/>
    <w:rsid w:val="4A7136F7"/>
    <w:rsid w:val="4A744126"/>
    <w:rsid w:val="4A747532"/>
    <w:rsid w:val="4A762FB0"/>
    <w:rsid w:val="4A7755DD"/>
    <w:rsid w:val="4A796202"/>
    <w:rsid w:val="4A7A3FCE"/>
    <w:rsid w:val="4A7A43A6"/>
    <w:rsid w:val="4A7C16D3"/>
    <w:rsid w:val="4A7E6D73"/>
    <w:rsid w:val="4A7F0D26"/>
    <w:rsid w:val="4A8004BF"/>
    <w:rsid w:val="4A8A3ADF"/>
    <w:rsid w:val="4A8A413B"/>
    <w:rsid w:val="4A8A6DCC"/>
    <w:rsid w:val="4A8B072A"/>
    <w:rsid w:val="4A8C5B2B"/>
    <w:rsid w:val="4A902571"/>
    <w:rsid w:val="4A952464"/>
    <w:rsid w:val="4A952EC1"/>
    <w:rsid w:val="4A957F95"/>
    <w:rsid w:val="4A98177C"/>
    <w:rsid w:val="4A9A1C3D"/>
    <w:rsid w:val="4A9A2042"/>
    <w:rsid w:val="4A9F4279"/>
    <w:rsid w:val="4AA05B4C"/>
    <w:rsid w:val="4AA113B0"/>
    <w:rsid w:val="4AA14DCA"/>
    <w:rsid w:val="4AA2042D"/>
    <w:rsid w:val="4AA20B5D"/>
    <w:rsid w:val="4AA60566"/>
    <w:rsid w:val="4AA71CA3"/>
    <w:rsid w:val="4AA768D2"/>
    <w:rsid w:val="4AA82E5E"/>
    <w:rsid w:val="4AA920D4"/>
    <w:rsid w:val="4AAB21D7"/>
    <w:rsid w:val="4AAB5B1D"/>
    <w:rsid w:val="4AAC5537"/>
    <w:rsid w:val="4AAF7D3A"/>
    <w:rsid w:val="4AB35E85"/>
    <w:rsid w:val="4AB54DBB"/>
    <w:rsid w:val="4AB621D8"/>
    <w:rsid w:val="4AB65CA6"/>
    <w:rsid w:val="4AB82A36"/>
    <w:rsid w:val="4ABA6946"/>
    <w:rsid w:val="4ABB4E31"/>
    <w:rsid w:val="4ABD6246"/>
    <w:rsid w:val="4ABE4C02"/>
    <w:rsid w:val="4ABF3CC0"/>
    <w:rsid w:val="4AC1416D"/>
    <w:rsid w:val="4AC27239"/>
    <w:rsid w:val="4AC45CCE"/>
    <w:rsid w:val="4AC773C8"/>
    <w:rsid w:val="4AC856A2"/>
    <w:rsid w:val="4ACF5C4C"/>
    <w:rsid w:val="4AD22F35"/>
    <w:rsid w:val="4AD231B2"/>
    <w:rsid w:val="4AD24EB1"/>
    <w:rsid w:val="4AD351BA"/>
    <w:rsid w:val="4AD51AD5"/>
    <w:rsid w:val="4AD52CE0"/>
    <w:rsid w:val="4AD67D94"/>
    <w:rsid w:val="4ADA291B"/>
    <w:rsid w:val="4ADA6548"/>
    <w:rsid w:val="4ADB0871"/>
    <w:rsid w:val="4ADB7BCB"/>
    <w:rsid w:val="4AE00780"/>
    <w:rsid w:val="4AE350D2"/>
    <w:rsid w:val="4AE53648"/>
    <w:rsid w:val="4AE70351"/>
    <w:rsid w:val="4AE7224A"/>
    <w:rsid w:val="4AEB002E"/>
    <w:rsid w:val="4AEB07A0"/>
    <w:rsid w:val="4AEB1737"/>
    <w:rsid w:val="4AF05CF1"/>
    <w:rsid w:val="4AF15BCF"/>
    <w:rsid w:val="4AF6137C"/>
    <w:rsid w:val="4AF857F6"/>
    <w:rsid w:val="4AF96F6A"/>
    <w:rsid w:val="4AF97BDF"/>
    <w:rsid w:val="4AFD00C8"/>
    <w:rsid w:val="4AFE54A6"/>
    <w:rsid w:val="4B005883"/>
    <w:rsid w:val="4B016FBF"/>
    <w:rsid w:val="4B021D97"/>
    <w:rsid w:val="4B03749E"/>
    <w:rsid w:val="4B057DF0"/>
    <w:rsid w:val="4B063C27"/>
    <w:rsid w:val="4B09349B"/>
    <w:rsid w:val="4B094738"/>
    <w:rsid w:val="4B0D4AAC"/>
    <w:rsid w:val="4B101F6A"/>
    <w:rsid w:val="4B106AD1"/>
    <w:rsid w:val="4B111F47"/>
    <w:rsid w:val="4B125F6A"/>
    <w:rsid w:val="4B127AA7"/>
    <w:rsid w:val="4B154FB0"/>
    <w:rsid w:val="4B166E55"/>
    <w:rsid w:val="4B1E3BE9"/>
    <w:rsid w:val="4B22113E"/>
    <w:rsid w:val="4B2245EF"/>
    <w:rsid w:val="4B225EDD"/>
    <w:rsid w:val="4B2325C6"/>
    <w:rsid w:val="4B24655E"/>
    <w:rsid w:val="4B266F63"/>
    <w:rsid w:val="4B294DDA"/>
    <w:rsid w:val="4B2B0AC7"/>
    <w:rsid w:val="4B2D46FE"/>
    <w:rsid w:val="4B2E0642"/>
    <w:rsid w:val="4B3126B4"/>
    <w:rsid w:val="4B321F5C"/>
    <w:rsid w:val="4B337A07"/>
    <w:rsid w:val="4B367323"/>
    <w:rsid w:val="4B3821ED"/>
    <w:rsid w:val="4B38501D"/>
    <w:rsid w:val="4B39016F"/>
    <w:rsid w:val="4B3F7754"/>
    <w:rsid w:val="4B434B59"/>
    <w:rsid w:val="4B4372DB"/>
    <w:rsid w:val="4B441C14"/>
    <w:rsid w:val="4B46739D"/>
    <w:rsid w:val="4B501BE7"/>
    <w:rsid w:val="4B523345"/>
    <w:rsid w:val="4B5456D1"/>
    <w:rsid w:val="4B561F8D"/>
    <w:rsid w:val="4B590E71"/>
    <w:rsid w:val="4B593249"/>
    <w:rsid w:val="4B5A2898"/>
    <w:rsid w:val="4B5B6224"/>
    <w:rsid w:val="4B5C2A2F"/>
    <w:rsid w:val="4B5E4127"/>
    <w:rsid w:val="4B643A5F"/>
    <w:rsid w:val="4B6947E0"/>
    <w:rsid w:val="4B6A1FCF"/>
    <w:rsid w:val="4B6B71A0"/>
    <w:rsid w:val="4B6F209D"/>
    <w:rsid w:val="4B702A09"/>
    <w:rsid w:val="4B7258E7"/>
    <w:rsid w:val="4B732250"/>
    <w:rsid w:val="4B7359C4"/>
    <w:rsid w:val="4B7411BA"/>
    <w:rsid w:val="4B764E8D"/>
    <w:rsid w:val="4B781FC7"/>
    <w:rsid w:val="4B7852FD"/>
    <w:rsid w:val="4B7A2D8E"/>
    <w:rsid w:val="4B7A378E"/>
    <w:rsid w:val="4B7A63BF"/>
    <w:rsid w:val="4B7B689B"/>
    <w:rsid w:val="4B7B7CDE"/>
    <w:rsid w:val="4B7D2318"/>
    <w:rsid w:val="4B7D6ED4"/>
    <w:rsid w:val="4B821CB8"/>
    <w:rsid w:val="4B830636"/>
    <w:rsid w:val="4B844F09"/>
    <w:rsid w:val="4B874B22"/>
    <w:rsid w:val="4B884A1E"/>
    <w:rsid w:val="4B8951DF"/>
    <w:rsid w:val="4B895879"/>
    <w:rsid w:val="4B8A2A95"/>
    <w:rsid w:val="4B8B09C3"/>
    <w:rsid w:val="4B8C434F"/>
    <w:rsid w:val="4B8F7333"/>
    <w:rsid w:val="4B9164EB"/>
    <w:rsid w:val="4B9476CE"/>
    <w:rsid w:val="4B964E63"/>
    <w:rsid w:val="4B974B0E"/>
    <w:rsid w:val="4B9805B5"/>
    <w:rsid w:val="4B9A00D3"/>
    <w:rsid w:val="4B9B1AE0"/>
    <w:rsid w:val="4B9C59EC"/>
    <w:rsid w:val="4B9D74BD"/>
    <w:rsid w:val="4B9F509C"/>
    <w:rsid w:val="4BA04E0F"/>
    <w:rsid w:val="4BA32DDE"/>
    <w:rsid w:val="4BA36BA8"/>
    <w:rsid w:val="4BA426B2"/>
    <w:rsid w:val="4BA471D5"/>
    <w:rsid w:val="4BA821A3"/>
    <w:rsid w:val="4BA94E5D"/>
    <w:rsid w:val="4BAA4BE1"/>
    <w:rsid w:val="4BAC69C5"/>
    <w:rsid w:val="4BAD0058"/>
    <w:rsid w:val="4BAD3720"/>
    <w:rsid w:val="4BAE4CE8"/>
    <w:rsid w:val="4BAF3531"/>
    <w:rsid w:val="4BB04ED5"/>
    <w:rsid w:val="4BB30CA7"/>
    <w:rsid w:val="4BB5666E"/>
    <w:rsid w:val="4BB71E14"/>
    <w:rsid w:val="4BB96EE7"/>
    <w:rsid w:val="4BBA6EC2"/>
    <w:rsid w:val="4BBC4A10"/>
    <w:rsid w:val="4BBD22F1"/>
    <w:rsid w:val="4BBE0FFD"/>
    <w:rsid w:val="4BBF390A"/>
    <w:rsid w:val="4BC114B6"/>
    <w:rsid w:val="4BC15012"/>
    <w:rsid w:val="4BC36D42"/>
    <w:rsid w:val="4BC46983"/>
    <w:rsid w:val="4BC6087B"/>
    <w:rsid w:val="4BC863A1"/>
    <w:rsid w:val="4BCA6683"/>
    <w:rsid w:val="4BCB7C3F"/>
    <w:rsid w:val="4BCC269F"/>
    <w:rsid w:val="4BCE46EB"/>
    <w:rsid w:val="4BCE6FCA"/>
    <w:rsid w:val="4BCF7B93"/>
    <w:rsid w:val="4BD702A6"/>
    <w:rsid w:val="4BD83E63"/>
    <w:rsid w:val="4BD84F82"/>
    <w:rsid w:val="4BD856C6"/>
    <w:rsid w:val="4BDA60D4"/>
    <w:rsid w:val="4BDB3A41"/>
    <w:rsid w:val="4BDB51AE"/>
    <w:rsid w:val="4BE23021"/>
    <w:rsid w:val="4BE302E7"/>
    <w:rsid w:val="4BE35DFF"/>
    <w:rsid w:val="4BE36425"/>
    <w:rsid w:val="4BE40F61"/>
    <w:rsid w:val="4BE60DC5"/>
    <w:rsid w:val="4BE65A07"/>
    <w:rsid w:val="4BE77553"/>
    <w:rsid w:val="4BE80D4A"/>
    <w:rsid w:val="4BE862A1"/>
    <w:rsid w:val="4BFA2096"/>
    <w:rsid w:val="4BFB02E3"/>
    <w:rsid w:val="4BFB0B30"/>
    <w:rsid w:val="4BFE1892"/>
    <w:rsid w:val="4BFE496A"/>
    <w:rsid w:val="4BFE6267"/>
    <w:rsid w:val="4C030286"/>
    <w:rsid w:val="4C047860"/>
    <w:rsid w:val="4C047E8E"/>
    <w:rsid w:val="4C065DE1"/>
    <w:rsid w:val="4C0B2A08"/>
    <w:rsid w:val="4C0B2CA2"/>
    <w:rsid w:val="4C0B48C4"/>
    <w:rsid w:val="4C0B4B12"/>
    <w:rsid w:val="4C0C4857"/>
    <w:rsid w:val="4C0D6C76"/>
    <w:rsid w:val="4C0E5555"/>
    <w:rsid w:val="4C0F6C04"/>
    <w:rsid w:val="4C101190"/>
    <w:rsid w:val="4C134D32"/>
    <w:rsid w:val="4C145338"/>
    <w:rsid w:val="4C15535E"/>
    <w:rsid w:val="4C170CB0"/>
    <w:rsid w:val="4C181955"/>
    <w:rsid w:val="4C1962F1"/>
    <w:rsid w:val="4C1B3FC5"/>
    <w:rsid w:val="4C1B5676"/>
    <w:rsid w:val="4C1B5BE1"/>
    <w:rsid w:val="4C1D45CE"/>
    <w:rsid w:val="4C1D713C"/>
    <w:rsid w:val="4C1F6E11"/>
    <w:rsid w:val="4C204034"/>
    <w:rsid w:val="4C20600F"/>
    <w:rsid w:val="4C281094"/>
    <w:rsid w:val="4C286AFB"/>
    <w:rsid w:val="4C2934F0"/>
    <w:rsid w:val="4C2957D7"/>
    <w:rsid w:val="4C297B4D"/>
    <w:rsid w:val="4C2A3DA9"/>
    <w:rsid w:val="4C2B0CD5"/>
    <w:rsid w:val="4C2B3BD5"/>
    <w:rsid w:val="4C2C4634"/>
    <w:rsid w:val="4C2D0BD9"/>
    <w:rsid w:val="4C2D5D72"/>
    <w:rsid w:val="4C2E35FF"/>
    <w:rsid w:val="4C2F4672"/>
    <w:rsid w:val="4C30388B"/>
    <w:rsid w:val="4C3340FA"/>
    <w:rsid w:val="4C34273B"/>
    <w:rsid w:val="4C356334"/>
    <w:rsid w:val="4C361C5F"/>
    <w:rsid w:val="4C366C7E"/>
    <w:rsid w:val="4C3A005E"/>
    <w:rsid w:val="4C3C4BE9"/>
    <w:rsid w:val="4C3D49E9"/>
    <w:rsid w:val="4C405B5F"/>
    <w:rsid w:val="4C424A06"/>
    <w:rsid w:val="4C4268FF"/>
    <w:rsid w:val="4C43011D"/>
    <w:rsid w:val="4C432062"/>
    <w:rsid w:val="4C435792"/>
    <w:rsid w:val="4C4730F3"/>
    <w:rsid w:val="4C480A19"/>
    <w:rsid w:val="4C4A28B0"/>
    <w:rsid w:val="4C4A5008"/>
    <w:rsid w:val="4C4D42BE"/>
    <w:rsid w:val="4C4D68A6"/>
    <w:rsid w:val="4C4E3818"/>
    <w:rsid w:val="4C4F408F"/>
    <w:rsid w:val="4C515123"/>
    <w:rsid w:val="4C551263"/>
    <w:rsid w:val="4C565A55"/>
    <w:rsid w:val="4C567E51"/>
    <w:rsid w:val="4C585DB2"/>
    <w:rsid w:val="4C591EA0"/>
    <w:rsid w:val="4C5D16AD"/>
    <w:rsid w:val="4C5D4638"/>
    <w:rsid w:val="4C615406"/>
    <w:rsid w:val="4C6332C7"/>
    <w:rsid w:val="4C650571"/>
    <w:rsid w:val="4C657221"/>
    <w:rsid w:val="4C6626AA"/>
    <w:rsid w:val="4C6836E0"/>
    <w:rsid w:val="4C6E4E02"/>
    <w:rsid w:val="4C7043F7"/>
    <w:rsid w:val="4C707020"/>
    <w:rsid w:val="4C714D57"/>
    <w:rsid w:val="4C71582A"/>
    <w:rsid w:val="4C740E1F"/>
    <w:rsid w:val="4C76404F"/>
    <w:rsid w:val="4C784E0A"/>
    <w:rsid w:val="4C787794"/>
    <w:rsid w:val="4C7F55DA"/>
    <w:rsid w:val="4C8229F4"/>
    <w:rsid w:val="4C8B0C3D"/>
    <w:rsid w:val="4C923ACB"/>
    <w:rsid w:val="4C9453E8"/>
    <w:rsid w:val="4C9575E1"/>
    <w:rsid w:val="4C977F52"/>
    <w:rsid w:val="4C99273E"/>
    <w:rsid w:val="4C995F8F"/>
    <w:rsid w:val="4C9E7102"/>
    <w:rsid w:val="4C9F3700"/>
    <w:rsid w:val="4C9F7081"/>
    <w:rsid w:val="4CA00A27"/>
    <w:rsid w:val="4CA11E2B"/>
    <w:rsid w:val="4CA17AC3"/>
    <w:rsid w:val="4CA51FD7"/>
    <w:rsid w:val="4CA81694"/>
    <w:rsid w:val="4CA92473"/>
    <w:rsid w:val="4CAA5AA7"/>
    <w:rsid w:val="4CAC57C5"/>
    <w:rsid w:val="4CAD477D"/>
    <w:rsid w:val="4CB175EB"/>
    <w:rsid w:val="4CB32913"/>
    <w:rsid w:val="4CBA033C"/>
    <w:rsid w:val="4CBC689F"/>
    <w:rsid w:val="4CBC6F8F"/>
    <w:rsid w:val="4CBD3D16"/>
    <w:rsid w:val="4CC24582"/>
    <w:rsid w:val="4CC51726"/>
    <w:rsid w:val="4CC74F06"/>
    <w:rsid w:val="4CC76658"/>
    <w:rsid w:val="4CC82EC1"/>
    <w:rsid w:val="4CC87EAC"/>
    <w:rsid w:val="4CC95B80"/>
    <w:rsid w:val="4CCE1D8A"/>
    <w:rsid w:val="4CCF594A"/>
    <w:rsid w:val="4CD37F0E"/>
    <w:rsid w:val="4CD526DF"/>
    <w:rsid w:val="4CD811F7"/>
    <w:rsid w:val="4CD861B4"/>
    <w:rsid w:val="4CDC2B42"/>
    <w:rsid w:val="4CDE523C"/>
    <w:rsid w:val="4CDF4795"/>
    <w:rsid w:val="4CE47978"/>
    <w:rsid w:val="4CE76F3B"/>
    <w:rsid w:val="4CE86817"/>
    <w:rsid w:val="4CE91E2E"/>
    <w:rsid w:val="4CEA0479"/>
    <w:rsid w:val="4CEC66E9"/>
    <w:rsid w:val="4CED66B3"/>
    <w:rsid w:val="4CEE0BBB"/>
    <w:rsid w:val="4CF37532"/>
    <w:rsid w:val="4CF50B2B"/>
    <w:rsid w:val="4CFB364B"/>
    <w:rsid w:val="4CFF0FF9"/>
    <w:rsid w:val="4D0159AA"/>
    <w:rsid w:val="4D025E32"/>
    <w:rsid w:val="4D053C9C"/>
    <w:rsid w:val="4D06327D"/>
    <w:rsid w:val="4D090A1F"/>
    <w:rsid w:val="4D096F05"/>
    <w:rsid w:val="4D0E7126"/>
    <w:rsid w:val="4D10497B"/>
    <w:rsid w:val="4D105F3D"/>
    <w:rsid w:val="4D116E91"/>
    <w:rsid w:val="4D142BED"/>
    <w:rsid w:val="4D1459BE"/>
    <w:rsid w:val="4D1554C9"/>
    <w:rsid w:val="4D156E18"/>
    <w:rsid w:val="4D1600A5"/>
    <w:rsid w:val="4D1610A3"/>
    <w:rsid w:val="4D18796B"/>
    <w:rsid w:val="4D1A70D0"/>
    <w:rsid w:val="4D1B4932"/>
    <w:rsid w:val="4D1B70C7"/>
    <w:rsid w:val="4D1B7F00"/>
    <w:rsid w:val="4D1D162A"/>
    <w:rsid w:val="4D1E1B42"/>
    <w:rsid w:val="4D1E6D1F"/>
    <w:rsid w:val="4D20220D"/>
    <w:rsid w:val="4D220A49"/>
    <w:rsid w:val="4D267E37"/>
    <w:rsid w:val="4D28759E"/>
    <w:rsid w:val="4D296381"/>
    <w:rsid w:val="4D2A6411"/>
    <w:rsid w:val="4D2B7F8F"/>
    <w:rsid w:val="4D2C17D2"/>
    <w:rsid w:val="4D2C314C"/>
    <w:rsid w:val="4D2C62BC"/>
    <w:rsid w:val="4D2C6553"/>
    <w:rsid w:val="4D2F3767"/>
    <w:rsid w:val="4D30342A"/>
    <w:rsid w:val="4D3161C8"/>
    <w:rsid w:val="4D326847"/>
    <w:rsid w:val="4D334E96"/>
    <w:rsid w:val="4D337BE3"/>
    <w:rsid w:val="4D356A11"/>
    <w:rsid w:val="4D3B2E50"/>
    <w:rsid w:val="4D401B13"/>
    <w:rsid w:val="4D412248"/>
    <w:rsid w:val="4D42748D"/>
    <w:rsid w:val="4D4440F9"/>
    <w:rsid w:val="4D453A21"/>
    <w:rsid w:val="4D454179"/>
    <w:rsid w:val="4D477891"/>
    <w:rsid w:val="4D5106EC"/>
    <w:rsid w:val="4D557319"/>
    <w:rsid w:val="4D561C93"/>
    <w:rsid w:val="4D621071"/>
    <w:rsid w:val="4D642E08"/>
    <w:rsid w:val="4D64419E"/>
    <w:rsid w:val="4D65503B"/>
    <w:rsid w:val="4D6640C3"/>
    <w:rsid w:val="4D6868FA"/>
    <w:rsid w:val="4D6D68C6"/>
    <w:rsid w:val="4D702F8C"/>
    <w:rsid w:val="4D71326B"/>
    <w:rsid w:val="4D7414FB"/>
    <w:rsid w:val="4D745C4C"/>
    <w:rsid w:val="4D7762D0"/>
    <w:rsid w:val="4D7825F2"/>
    <w:rsid w:val="4D7A165A"/>
    <w:rsid w:val="4D7A191D"/>
    <w:rsid w:val="4D7A5D81"/>
    <w:rsid w:val="4D7B050D"/>
    <w:rsid w:val="4D7B524D"/>
    <w:rsid w:val="4D7C12CC"/>
    <w:rsid w:val="4D7E2788"/>
    <w:rsid w:val="4D806B3D"/>
    <w:rsid w:val="4D82379C"/>
    <w:rsid w:val="4D825F02"/>
    <w:rsid w:val="4D841580"/>
    <w:rsid w:val="4D886E5E"/>
    <w:rsid w:val="4D891596"/>
    <w:rsid w:val="4D8B1F87"/>
    <w:rsid w:val="4D8C4BDA"/>
    <w:rsid w:val="4D8D76F0"/>
    <w:rsid w:val="4D8E608C"/>
    <w:rsid w:val="4D8F39F6"/>
    <w:rsid w:val="4D900BEA"/>
    <w:rsid w:val="4D930415"/>
    <w:rsid w:val="4D950581"/>
    <w:rsid w:val="4D961C45"/>
    <w:rsid w:val="4D9725CF"/>
    <w:rsid w:val="4D97724E"/>
    <w:rsid w:val="4D9B2259"/>
    <w:rsid w:val="4D9B28F1"/>
    <w:rsid w:val="4D9C2C18"/>
    <w:rsid w:val="4D9D18E2"/>
    <w:rsid w:val="4D9D59B1"/>
    <w:rsid w:val="4D9E6DA3"/>
    <w:rsid w:val="4DA765B5"/>
    <w:rsid w:val="4DA85F82"/>
    <w:rsid w:val="4DA977A5"/>
    <w:rsid w:val="4DAD0A42"/>
    <w:rsid w:val="4DAD1D77"/>
    <w:rsid w:val="4DAD4DE7"/>
    <w:rsid w:val="4DAF092D"/>
    <w:rsid w:val="4DAF4ED7"/>
    <w:rsid w:val="4DB27309"/>
    <w:rsid w:val="4DB453AF"/>
    <w:rsid w:val="4DB8664F"/>
    <w:rsid w:val="4DBC510B"/>
    <w:rsid w:val="4DBD2270"/>
    <w:rsid w:val="4DC63F03"/>
    <w:rsid w:val="4DC96400"/>
    <w:rsid w:val="4DCA5E3E"/>
    <w:rsid w:val="4DCB160E"/>
    <w:rsid w:val="4DCF459E"/>
    <w:rsid w:val="4DD0154B"/>
    <w:rsid w:val="4DD03C33"/>
    <w:rsid w:val="4DD048D9"/>
    <w:rsid w:val="4DD13335"/>
    <w:rsid w:val="4DD252B5"/>
    <w:rsid w:val="4DD3176E"/>
    <w:rsid w:val="4DD322BC"/>
    <w:rsid w:val="4DDC4049"/>
    <w:rsid w:val="4DE4323A"/>
    <w:rsid w:val="4DE436CA"/>
    <w:rsid w:val="4DE85D9C"/>
    <w:rsid w:val="4DEB7AD6"/>
    <w:rsid w:val="4DED6150"/>
    <w:rsid w:val="4DF003DB"/>
    <w:rsid w:val="4DF156AB"/>
    <w:rsid w:val="4DF173B7"/>
    <w:rsid w:val="4DF25443"/>
    <w:rsid w:val="4DF3347D"/>
    <w:rsid w:val="4DF60C80"/>
    <w:rsid w:val="4DF657C7"/>
    <w:rsid w:val="4DF71680"/>
    <w:rsid w:val="4DF72F6D"/>
    <w:rsid w:val="4DF90D45"/>
    <w:rsid w:val="4DF979E2"/>
    <w:rsid w:val="4DFA22E7"/>
    <w:rsid w:val="4DFA6EA9"/>
    <w:rsid w:val="4E005AE4"/>
    <w:rsid w:val="4E010E92"/>
    <w:rsid w:val="4E01138D"/>
    <w:rsid w:val="4E0345AC"/>
    <w:rsid w:val="4E037B64"/>
    <w:rsid w:val="4E046EAD"/>
    <w:rsid w:val="4E062EFF"/>
    <w:rsid w:val="4E091252"/>
    <w:rsid w:val="4E0A1409"/>
    <w:rsid w:val="4E0A1A03"/>
    <w:rsid w:val="4E0C3AB9"/>
    <w:rsid w:val="4E0E69F1"/>
    <w:rsid w:val="4E0F0B27"/>
    <w:rsid w:val="4E112316"/>
    <w:rsid w:val="4E197D95"/>
    <w:rsid w:val="4E1C4284"/>
    <w:rsid w:val="4E2107AB"/>
    <w:rsid w:val="4E241889"/>
    <w:rsid w:val="4E2624FE"/>
    <w:rsid w:val="4E27641D"/>
    <w:rsid w:val="4E283848"/>
    <w:rsid w:val="4E2845E7"/>
    <w:rsid w:val="4E2C3E32"/>
    <w:rsid w:val="4E2C6E06"/>
    <w:rsid w:val="4E2D1F47"/>
    <w:rsid w:val="4E2D7CDF"/>
    <w:rsid w:val="4E2F0959"/>
    <w:rsid w:val="4E2F7AFF"/>
    <w:rsid w:val="4E300F48"/>
    <w:rsid w:val="4E3061FA"/>
    <w:rsid w:val="4E320D52"/>
    <w:rsid w:val="4E33138B"/>
    <w:rsid w:val="4E334F5B"/>
    <w:rsid w:val="4E35378F"/>
    <w:rsid w:val="4E356673"/>
    <w:rsid w:val="4E3B36DF"/>
    <w:rsid w:val="4E3B4F8F"/>
    <w:rsid w:val="4E3C59DC"/>
    <w:rsid w:val="4E3E62C9"/>
    <w:rsid w:val="4E3F63D8"/>
    <w:rsid w:val="4E404871"/>
    <w:rsid w:val="4E404EA0"/>
    <w:rsid w:val="4E413690"/>
    <w:rsid w:val="4E4419A1"/>
    <w:rsid w:val="4E453798"/>
    <w:rsid w:val="4E470E4C"/>
    <w:rsid w:val="4E4A5151"/>
    <w:rsid w:val="4E4A70FE"/>
    <w:rsid w:val="4E4B6CA6"/>
    <w:rsid w:val="4E4D2B6F"/>
    <w:rsid w:val="4E4E09A6"/>
    <w:rsid w:val="4E516576"/>
    <w:rsid w:val="4E554629"/>
    <w:rsid w:val="4E562416"/>
    <w:rsid w:val="4E571C5E"/>
    <w:rsid w:val="4E577EB0"/>
    <w:rsid w:val="4E585396"/>
    <w:rsid w:val="4E590FD3"/>
    <w:rsid w:val="4E594719"/>
    <w:rsid w:val="4E596453"/>
    <w:rsid w:val="4E5D3463"/>
    <w:rsid w:val="4E5F1160"/>
    <w:rsid w:val="4E5F4DBA"/>
    <w:rsid w:val="4E605578"/>
    <w:rsid w:val="4E661EA1"/>
    <w:rsid w:val="4E66301B"/>
    <w:rsid w:val="4E671E84"/>
    <w:rsid w:val="4E68104E"/>
    <w:rsid w:val="4E6C5D89"/>
    <w:rsid w:val="4E6D246A"/>
    <w:rsid w:val="4E6D37FA"/>
    <w:rsid w:val="4E6E510D"/>
    <w:rsid w:val="4E711EEF"/>
    <w:rsid w:val="4E747D09"/>
    <w:rsid w:val="4E760AA1"/>
    <w:rsid w:val="4E795DEF"/>
    <w:rsid w:val="4E795E8C"/>
    <w:rsid w:val="4E8011B5"/>
    <w:rsid w:val="4E8072CC"/>
    <w:rsid w:val="4E8073F4"/>
    <w:rsid w:val="4E807407"/>
    <w:rsid w:val="4E821BC5"/>
    <w:rsid w:val="4E83377B"/>
    <w:rsid w:val="4E8371AA"/>
    <w:rsid w:val="4E852FC7"/>
    <w:rsid w:val="4E884042"/>
    <w:rsid w:val="4E8905E9"/>
    <w:rsid w:val="4E8A79D9"/>
    <w:rsid w:val="4E8B2268"/>
    <w:rsid w:val="4E8E5EA6"/>
    <w:rsid w:val="4E90319A"/>
    <w:rsid w:val="4E9968C0"/>
    <w:rsid w:val="4E9A73AC"/>
    <w:rsid w:val="4E9D2239"/>
    <w:rsid w:val="4E9D5D00"/>
    <w:rsid w:val="4E9D7C6C"/>
    <w:rsid w:val="4EA274EA"/>
    <w:rsid w:val="4EA2768E"/>
    <w:rsid w:val="4EA458F1"/>
    <w:rsid w:val="4EAA777C"/>
    <w:rsid w:val="4EAC1FAA"/>
    <w:rsid w:val="4EAD0746"/>
    <w:rsid w:val="4EAE04A3"/>
    <w:rsid w:val="4EB05C06"/>
    <w:rsid w:val="4EB31BCC"/>
    <w:rsid w:val="4EB31C0D"/>
    <w:rsid w:val="4EB37AC4"/>
    <w:rsid w:val="4EB65219"/>
    <w:rsid w:val="4EB67368"/>
    <w:rsid w:val="4EB87FD9"/>
    <w:rsid w:val="4EB907B1"/>
    <w:rsid w:val="4EBB3F9B"/>
    <w:rsid w:val="4EC23AE5"/>
    <w:rsid w:val="4EC23B25"/>
    <w:rsid w:val="4EC24A7E"/>
    <w:rsid w:val="4EC24EE9"/>
    <w:rsid w:val="4EC319E0"/>
    <w:rsid w:val="4EC8185B"/>
    <w:rsid w:val="4EC95147"/>
    <w:rsid w:val="4ECA5C26"/>
    <w:rsid w:val="4ECC1C5D"/>
    <w:rsid w:val="4ECC7F56"/>
    <w:rsid w:val="4ED70225"/>
    <w:rsid w:val="4ED720A0"/>
    <w:rsid w:val="4ED80E18"/>
    <w:rsid w:val="4ED82B1D"/>
    <w:rsid w:val="4EDA554C"/>
    <w:rsid w:val="4EDB20FF"/>
    <w:rsid w:val="4EDC144B"/>
    <w:rsid w:val="4EDC57C9"/>
    <w:rsid w:val="4EDD3B65"/>
    <w:rsid w:val="4EDE3ABD"/>
    <w:rsid w:val="4EDF1C72"/>
    <w:rsid w:val="4EE226A0"/>
    <w:rsid w:val="4EE735E0"/>
    <w:rsid w:val="4EE85768"/>
    <w:rsid w:val="4EE87F84"/>
    <w:rsid w:val="4EED2B8F"/>
    <w:rsid w:val="4EEF1E97"/>
    <w:rsid w:val="4EF4774D"/>
    <w:rsid w:val="4EF47CB6"/>
    <w:rsid w:val="4EF5359A"/>
    <w:rsid w:val="4EFD1E99"/>
    <w:rsid w:val="4EFE028C"/>
    <w:rsid w:val="4EFE5125"/>
    <w:rsid w:val="4F0201FA"/>
    <w:rsid w:val="4F022099"/>
    <w:rsid w:val="4F025803"/>
    <w:rsid w:val="4F0347B5"/>
    <w:rsid w:val="4F0854DD"/>
    <w:rsid w:val="4F0A0EE8"/>
    <w:rsid w:val="4F0A2E69"/>
    <w:rsid w:val="4F0C183D"/>
    <w:rsid w:val="4F0C4EE8"/>
    <w:rsid w:val="4F0D7664"/>
    <w:rsid w:val="4F0E4C4F"/>
    <w:rsid w:val="4F10709F"/>
    <w:rsid w:val="4F121F27"/>
    <w:rsid w:val="4F141C5B"/>
    <w:rsid w:val="4F155639"/>
    <w:rsid w:val="4F164AB8"/>
    <w:rsid w:val="4F182E60"/>
    <w:rsid w:val="4F1862AA"/>
    <w:rsid w:val="4F191C78"/>
    <w:rsid w:val="4F196EDD"/>
    <w:rsid w:val="4F1A33B7"/>
    <w:rsid w:val="4F1A7168"/>
    <w:rsid w:val="4F1A7F56"/>
    <w:rsid w:val="4F1C0AED"/>
    <w:rsid w:val="4F1F19EE"/>
    <w:rsid w:val="4F206DE7"/>
    <w:rsid w:val="4F210F6E"/>
    <w:rsid w:val="4F220FDA"/>
    <w:rsid w:val="4F221623"/>
    <w:rsid w:val="4F235153"/>
    <w:rsid w:val="4F2470FC"/>
    <w:rsid w:val="4F263849"/>
    <w:rsid w:val="4F272559"/>
    <w:rsid w:val="4F275D65"/>
    <w:rsid w:val="4F2875E1"/>
    <w:rsid w:val="4F29433D"/>
    <w:rsid w:val="4F2E49A4"/>
    <w:rsid w:val="4F31425D"/>
    <w:rsid w:val="4F3171A7"/>
    <w:rsid w:val="4F336227"/>
    <w:rsid w:val="4F337FD5"/>
    <w:rsid w:val="4F346A3B"/>
    <w:rsid w:val="4F3577B2"/>
    <w:rsid w:val="4F3615AC"/>
    <w:rsid w:val="4F37464D"/>
    <w:rsid w:val="4F38129B"/>
    <w:rsid w:val="4F414905"/>
    <w:rsid w:val="4F4411B8"/>
    <w:rsid w:val="4F4467F9"/>
    <w:rsid w:val="4F4641AC"/>
    <w:rsid w:val="4F482D6A"/>
    <w:rsid w:val="4F4A252D"/>
    <w:rsid w:val="4F4E1D13"/>
    <w:rsid w:val="4F4E7F60"/>
    <w:rsid w:val="4F4F4216"/>
    <w:rsid w:val="4F5531BC"/>
    <w:rsid w:val="4F5D0788"/>
    <w:rsid w:val="4F6038A1"/>
    <w:rsid w:val="4F6154E2"/>
    <w:rsid w:val="4F675C8A"/>
    <w:rsid w:val="4F68669F"/>
    <w:rsid w:val="4F6A7899"/>
    <w:rsid w:val="4F6C049C"/>
    <w:rsid w:val="4F745C39"/>
    <w:rsid w:val="4F7539DB"/>
    <w:rsid w:val="4F766B21"/>
    <w:rsid w:val="4F7771C1"/>
    <w:rsid w:val="4F777F82"/>
    <w:rsid w:val="4F786DD6"/>
    <w:rsid w:val="4F7954BE"/>
    <w:rsid w:val="4F7A5AAF"/>
    <w:rsid w:val="4F7B372A"/>
    <w:rsid w:val="4F7C6EB1"/>
    <w:rsid w:val="4F7D2202"/>
    <w:rsid w:val="4F7F20DD"/>
    <w:rsid w:val="4F7F32A8"/>
    <w:rsid w:val="4F7F646E"/>
    <w:rsid w:val="4F8017D5"/>
    <w:rsid w:val="4F8134BB"/>
    <w:rsid w:val="4F835F5E"/>
    <w:rsid w:val="4F8450E7"/>
    <w:rsid w:val="4F854780"/>
    <w:rsid w:val="4F854A94"/>
    <w:rsid w:val="4F8665FF"/>
    <w:rsid w:val="4F87248F"/>
    <w:rsid w:val="4F890180"/>
    <w:rsid w:val="4F8D15B0"/>
    <w:rsid w:val="4F920940"/>
    <w:rsid w:val="4F9306AF"/>
    <w:rsid w:val="4F936B84"/>
    <w:rsid w:val="4F941DDF"/>
    <w:rsid w:val="4F943D14"/>
    <w:rsid w:val="4F974D68"/>
    <w:rsid w:val="4F98418D"/>
    <w:rsid w:val="4F9A7935"/>
    <w:rsid w:val="4F9B0C7A"/>
    <w:rsid w:val="4F9D5C3D"/>
    <w:rsid w:val="4FA07F77"/>
    <w:rsid w:val="4FA32BAF"/>
    <w:rsid w:val="4FA3540B"/>
    <w:rsid w:val="4FA55F1F"/>
    <w:rsid w:val="4FA6016F"/>
    <w:rsid w:val="4FA67DDF"/>
    <w:rsid w:val="4FA9473B"/>
    <w:rsid w:val="4FA96472"/>
    <w:rsid w:val="4FAA3AC5"/>
    <w:rsid w:val="4FAC557B"/>
    <w:rsid w:val="4FB848A8"/>
    <w:rsid w:val="4FB85782"/>
    <w:rsid w:val="4FB948CB"/>
    <w:rsid w:val="4FBA4253"/>
    <w:rsid w:val="4FBE5580"/>
    <w:rsid w:val="4FBF6D05"/>
    <w:rsid w:val="4FC11A85"/>
    <w:rsid w:val="4FC20456"/>
    <w:rsid w:val="4FC32FB6"/>
    <w:rsid w:val="4FC43323"/>
    <w:rsid w:val="4FC60BC5"/>
    <w:rsid w:val="4FC77743"/>
    <w:rsid w:val="4FCA2677"/>
    <w:rsid w:val="4FCE41A2"/>
    <w:rsid w:val="4FD57656"/>
    <w:rsid w:val="4FD667AF"/>
    <w:rsid w:val="4FD85361"/>
    <w:rsid w:val="4FD95B41"/>
    <w:rsid w:val="4FDC70FC"/>
    <w:rsid w:val="4FE374E1"/>
    <w:rsid w:val="4FE57FEE"/>
    <w:rsid w:val="4FE71D34"/>
    <w:rsid w:val="4FE85264"/>
    <w:rsid w:val="4FEA4A0A"/>
    <w:rsid w:val="4FEA5D95"/>
    <w:rsid w:val="4FEB6770"/>
    <w:rsid w:val="4FEF10FC"/>
    <w:rsid w:val="4FF07F6C"/>
    <w:rsid w:val="4FF260E2"/>
    <w:rsid w:val="4FF430D6"/>
    <w:rsid w:val="4FF57F86"/>
    <w:rsid w:val="4FF656A5"/>
    <w:rsid w:val="4FFA4C39"/>
    <w:rsid w:val="4FFC0BAF"/>
    <w:rsid w:val="4FFF435B"/>
    <w:rsid w:val="50014E17"/>
    <w:rsid w:val="5002370F"/>
    <w:rsid w:val="50055E16"/>
    <w:rsid w:val="500A6003"/>
    <w:rsid w:val="500D0205"/>
    <w:rsid w:val="500E45F0"/>
    <w:rsid w:val="50102E9A"/>
    <w:rsid w:val="501047BA"/>
    <w:rsid w:val="50146D3E"/>
    <w:rsid w:val="501477A1"/>
    <w:rsid w:val="50160355"/>
    <w:rsid w:val="5017590F"/>
    <w:rsid w:val="5018322E"/>
    <w:rsid w:val="50193DD2"/>
    <w:rsid w:val="501B4C62"/>
    <w:rsid w:val="501E1FE1"/>
    <w:rsid w:val="502142D2"/>
    <w:rsid w:val="50235289"/>
    <w:rsid w:val="50263807"/>
    <w:rsid w:val="50270106"/>
    <w:rsid w:val="5027C4EF"/>
    <w:rsid w:val="502915E7"/>
    <w:rsid w:val="502A63C6"/>
    <w:rsid w:val="502F27E1"/>
    <w:rsid w:val="5030101E"/>
    <w:rsid w:val="503049A0"/>
    <w:rsid w:val="50322C34"/>
    <w:rsid w:val="5032616F"/>
    <w:rsid w:val="50333CF8"/>
    <w:rsid w:val="503469BD"/>
    <w:rsid w:val="50352C19"/>
    <w:rsid w:val="503718C1"/>
    <w:rsid w:val="5039139F"/>
    <w:rsid w:val="5039290E"/>
    <w:rsid w:val="503A4F32"/>
    <w:rsid w:val="503B1C12"/>
    <w:rsid w:val="503B5167"/>
    <w:rsid w:val="503D2664"/>
    <w:rsid w:val="503D3A61"/>
    <w:rsid w:val="503F16CD"/>
    <w:rsid w:val="50413554"/>
    <w:rsid w:val="50475347"/>
    <w:rsid w:val="50481089"/>
    <w:rsid w:val="504A088F"/>
    <w:rsid w:val="504F6882"/>
    <w:rsid w:val="5051597F"/>
    <w:rsid w:val="50525C38"/>
    <w:rsid w:val="50526B81"/>
    <w:rsid w:val="505446A7"/>
    <w:rsid w:val="50572AE1"/>
    <w:rsid w:val="505E5526"/>
    <w:rsid w:val="5060129E"/>
    <w:rsid w:val="5060227C"/>
    <w:rsid w:val="50646E9B"/>
    <w:rsid w:val="50683C3E"/>
    <w:rsid w:val="506A5255"/>
    <w:rsid w:val="506B12D7"/>
    <w:rsid w:val="506E15AE"/>
    <w:rsid w:val="506F36CA"/>
    <w:rsid w:val="506F45C1"/>
    <w:rsid w:val="506F6282"/>
    <w:rsid w:val="50702CE4"/>
    <w:rsid w:val="507653B6"/>
    <w:rsid w:val="50777432"/>
    <w:rsid w:val="507C4EF5"/>
    <w:rsid w:val="507C5043"/>
    <w:rsid w:val="507C5D79"/>
    <w:rsid w:val="507F6C17"/>
    <w:rsid w:val="507F71CB"/>
    <w:rsid w:val="50805E45"/>
    <w:rsid w:val="50812025"/>
    <w:rsid w:val="50883250"/>
    <w:rsid w:val="508B153E"/>
    <w:rsid w:val="508B6AFC"/>
    <w:rsid w:val="508C0BA8"/>
    <w:rsid w:val="508F20EF"/>
    <w:rsid w:val="509251CF"/>
    <w:rsid w:val="509366F6"/>
    <w:rsid w:val="50940F47"/>
    <w:rsid w:val="50954196"/>
    <w:rsid w:val="50971D46"/>
    <w:rsid w:val="50977DFE"/>
    <w:rsid w:val="5098717C"/>
    <w:rsid w:val="50987D24"/>
    <w:rsid w:val="509A15F7"/>
    <w:rsid w:val="509B22BD"/>
    <w:rsid w:val="509B69CE"/>
    <w:rsid w:val="509C5F79"/>
    <w:rsid w:val="509C70CB"/>
    <w:rsid w:val="509D5178"/>
    <w:rsid w:val="509E18C7"/>
    <w:rsid w:val="50A03442"/>
    <w:rsid w:val="50A20DDC"/>
    <w:rsid w:val="50A32F39"/>
    <w:rsid w:val="50A3770E"/>
    <w:rsid w:val="50A40C37"/>
    <w:rsid w:val="50A83789"/>
    <w:rsid w:val="50AB5DFE"/>
    <w:rsid w:val="50AD2459"/>
    <w:rsid w:val="50AF160E"/>
    <w:rsid w:val="50B01C39"/>
    <w:rsid w:val="50B141E6"/>
    <w:rsid w:val="50B27620"/>
    <w:rsid w:val="50B32433"/>
    <w:rsid w:val="50B40A3A"/>
    <w:rsid w:val="50B45146"/>
    <w:rsid w:val="50BC4785"/>
    <w:rsid w:val="50C10A01"/>
    <w:rsid w:val="50C1630D"/>
    <w:rsid w:val="50C17863"/>
    <w:rsid w:val="50C45D60"/>
    <w:rsid w:val="50C64592"/>
    <w:rsid w:val="50C67436"/>
    <w:rsid w:val="50C81972"/>
    <w:rsid w:val="50C86386"/>
    <w:rsid w:val="50C875D6"/>
    <w:rsid w:val="50C90C6B"/>
    <w:rsid w:val="50CA065B"/>
    <w:rsid w:val="50CA20C9"/>
    <w:rsid w:val="50CC4CCC"/>
    <w:rsid w:val="50D331E9"/>
    <w:rsid w:val="50D47596"/>
    <w:rsid w:val="50D85045"/>
    <w:rsid w:val="50D92DFE"/>
    <w:rsid w:val="50D95074"/>
    <w:rsid w:val="50D95D2C"/>
    <w:rsid w:val="50DD235A"/>
    <w:rsid w:val="50E17DD3"/>
    <w:rsid w:val="50E212B9"/>
    <w:rsid w:val="50E355DC"/>
    <w:rsid w:val="50E35A2B"/>
    <w:rsid w:val="50E368B1"/>
    <w:rsid w:val="50E82B5B"/>
    <w:rsid w:val="50EC68A2"/>
    <w:rsid w:val="50EE7F90"/>
    <w:rsid w:val="50EF0698"/>
    <w:rsid w:val="50F253D8"/>
    <w:rsid w:val="50F5055B"/>
    <w:rsid w:val="50F75D9F"/>
    <w:rsid w:val="50FA6B51"/>
    <w:rsid w:val="50FA7BA0"/>
    <w:rsid w:val="50FD411A"/>
    <w:rsid w:val="50FE0D2D"/>
    <w:rsid w:val="50FF4E8D"/>
    <w:rsid w:val="5102184C"/>
    <w:rsid w:val="51025EB1"/>
    <w:rsid w:val="51056082"/>
    <w:rsid w:val="5105766E"/>
    <w:rsid w:val="5106002A"/>
    <w:rsid w:val="51071719"/>
    <w:rsid w:val="510C30A7"/>
    <w:rsid w:val="510F4A72"/>
    <w:rsid w:val="510F693A"/>
    <w:rsid w:val="51115A89"/>
    <w:rsid w:val="51156C6D"/>
    <w:rsid w:val="511B55AE"/>
    <w:rsid w:val="511F2254"/>
    <w:rsid w:val="51200300"/>
    <w:rsid w:val="51210782"/>
    <w:rsid w:val="51216682"/>
    <w:rsid w:val="51226553"/>
    <w:rsid w:val="51236A4F"/>
    <w:rsid w:val="512433D8"/>
    <w:rsid w:val="512946FC"/>
    <w:rsid w:val="512A0C96"/>
    <w:rsid w:val="512B7A47"/>
    <w:rsid w:val="512C7FDF"/>
    <w:rsid w:val="512D213D"/>
    <w:rsid w:val="512F6EC2"/>
    <w:rsid w:val="51325034"/>
    <w:rsid w:val="51334805"/>
    <w:rsid w:val="51337601"/>
    <w:rsid w:val="513426C5"/>
    <w:rsid w:val="5135190D"/>
    <w:rsid w:val="51371612"/>
    <w:rsid w:val="5137572E"/>
    <w:rsid w:val="5139231B"/>
    <w:rsid w:val="513F7105"/>
    <w:rsid w:val="5140244C"/>
    <w:rsid w:val="5141328F"/>
    <w:rsid w:val="514262CA"/>
    <w:rsid w:val="51426BF5"/>
    <w:rsid w:val="51444119"/>
    <w:rsid w:val="51446CAE"/>
    <w:rsid w:val="514542A0"/>
    <w:rsid w:val="51476172"/>
    <w:rsid w:val="5148417D"/>
    <w:rsid w:val="514B77D6"/>
    <w:rsid w:val="514C0ABF"/>
    <w:rsid w:val="514C35D0"/>
    <w:rsid w:val="514C6FFA"/>
    <w:rsid w:val="514D3A3C"/>
    <w:rsid w:val="514D471D"/>
    <w:rsid w:val="514E7348"/>
    <w:rsid w:val="514F4FC2"/>
    <w:rsid w:val="51511D83"/>
    <w:rsid w:val="51516099"/>
    <w:rsid w:val="51522B28"/>
    <w:rsid w:val="5156285B"/>
    <w:rsid w:val="5158509F"/>
    <w:rsid w:val="515874AD"/>
    <w:rsid w:val="51601795"/>
    <w:rsid w:val="516108AA"/>
    <w:rsid w:val="516239C8"/>
    <w:rsid w:val="51636292"/>
    <w:rsid w:val="51643B91"/>
    <w:rsid w:val="51662C85"/>
    <w:rsid w:val="5166740D"/>
    <w:rsid w:val="516817C0"/>
    <w:rsid w:val="51696ABD"/>
    <w:rsid w:val="51696B0D"/>
    <w:rsid w:val="516B0200"/>
    <w:rsid w:val="516D2D7D"/>
    <w:rsid w:val="516D455F"/>
    <w:rsid w:val="51736D27"/>
    <w:rsid w:val="51783A80"/>
    <w:rsid w:val="517955A4"/>
    <w:rsid w:val="517C549A"/>
    <w:rsid w:val="517E46D9"/>
    <w:rsid w:val="518115B6"/>
    <w:rsid w:val="51817FE5"/>
    <w:rsid w:val="51862020"/>
    <w:rsid w:val="51867F24"/>
    <w:rsid w:val="518A4BF7"/>
    <w:rsid w:val="518C3DA4"/>
    <w:rsid w:val="518C64CF"/>
    <w:rsid w:val="51901936"/>
    <w:rsid w:val="5193742D"/>
    <w:rsid w:val="51950257"/>
    <w:rsid w:val="519531C9"/>
    <w:rsid w:val="51954F77"/>
    <w:rsid w:val="519A02BD"/>
    <w:rsid w:val="519A6C99"/>
    <w:rsid w:val="519D5BDA"/>
    <w:rsid w:val="519F7BA4"/>
    <w:rsid w:val="51A14624"/>
    <w:rsid w:val="51A256E7"/>
    <w:rsid w:val="51A258E6"/>
    <w:rsid w:val="51A724B2"/>
    <w:rsid w:val="51A76A58"/>
    <w:rsid w:val="51A96963"/>
    <w:rsid w:val="51AB7ACF"/>
    <w:rsid w:val="51AC54A6"/>
    <w:rsid w:val="51AD5BD1"/>
    <w:rsid w:val="51B015C5"/>
    <w:rsid w:val="51B14F16"/>
    <w:rsid w:val="51B318A1"/>
    <w:rsid w:val="51B44DED"/>
    <w:rsid w:val="51B552BD"/>
    <w:rsid w:val="51B753BF"/>
    <w:rsid w:val="51BA5ABC"/>
    <w:rsid w:val="51BB160E"/>
    <w:rsid w:val="51BB2CEC"/>
    <w:rsid w:val="51C00861"/>
    <w:rsid w:val="51C148E7"/>
    <w:rsid w:val="51C176CD"/>
    <w:rsid w:val="51C91A0E"/>
    <w:rsid w:val="51CB4BD2"/>
    <w:rsid w:val="51CB4E4E"/>
    <w:rsid w:val="51CE0304"/>
    <w:rsid w:val="51CF46AC"/>
    <w:rsid w:val="51CF4B8A"/>
    <w:rsid w:val="51D25C48"/>
    <w:rsid w:val="51D74DAD"/>
    <w:rsid w:val="51D830B6"/>
    <w:rsid w:val="51DB6396"/>
    <w:rsid w:val="51DC659E"/>
    <w:rsid w:val="51DF14E9"/>
    <w:rsid w:val="51E0364E"/>
    <w:rsid w:val="51E17220"/>
    <w:rsid w:val="51E23F34"/>
    <w:rsid w:val="51E34A40"/>
    <w:rsid w:val="51E36B9D"/>
    <w:rsid w:val="51E378C9"/>
    <w:rsid w:val="51E6266D"/>
    <w:rsid w:val="51E952BB"/>
    <w:rsid w:val="51E973CE"/>
    <w:rsid w:val="51EA32D8"/>
    <w:rsid w:val="51EB32C9"/>
    <w:rsid w:val="51EE0D5B"/>
    <w:rsid w:val="51F12DCE"/>
    <w:rsid w:val="51F143FF"/>
    <w:rsid w:val="51F32A64"/>
    <w:rsid w:val="51F74E74"/>
    <w:rsid w:val="51F85506"/>
    <w:rsid w:val="51F96F66"/>
    <w:rsid w:val="51FA5F4D"/>
    <w:rsid w:val="51FD3143"/>
    <w:rsid w:val="52056CD4"/>
    <w:rsid w:val="52083674"/>
    <w:rsid w:val="520E2829"/>
    <w:rsid w:val="520E5773"/>
    <w:rsid w:val="520E7514"/>
    <w:rsid w:val="520F261A"/>
    <w:rsid w:val="521079CB"/>
    <w:rsid w:val="52121BED"/>
    <w:rsid w:val="52151C14"/>
    <w:rsid w:val="52167B81"/>
    <w:rsid w:val="52174C68"/>
    <w:rsid w:val="521C0288"/>
    <w:rsid w:val="521D2144"/>
    <w:rsid w:val="521D69F4"/>
    <w:rsid w:val="52203CE7"/>
    <w:rsid w:val="52210862"/>
    <w:rsid w:val="52220C9A"/>
    <w:rsid w:val="52245654"/>
    <w:rsid w:val="52261538"/>
    <w:rsid w:val="522B1280"/>
    <w:rsid w:val="522B21F3"/>
    <w:rsid w:val="522D5CE0"/>
    <w:rsid w:val="522F7C83"/>
    <w:rsid w:val="52330117"/>
    <w:rsid w:val="52345CF9"/>
    <w:rsid w:val="52357421"/>
    <w:rsid w:val="52367888"/>
    <w:rsid w:val="52382F86"/>
    <w:rsid w:val="523865C6"/>
    <w:rsid w:val="52395ABE"/>
    <w:rsid w:val="523D116B"/>
    <w:rsid w:val="523E5DD1"/>
    <w:rsid w:val="524045D1"/>
    <w:rsid w:val="52410657"/>
    <w:rsid w:val="52412EB8"/>
    <w:rsid w:val="52443CED"/>
    <w:rsid w:val="524460B0"/>
    <w:rsid w:val="52461BB4"/>
    <w:rsid w:val="524729A7"/>
    <w:rsid w:val="52481AF5"/>
    <w:rsid w:val="524A074F"/>
    <w:rsid w:val="524C0633"/>
    <w:rsid w:val="524E5126"/>
    <w:rsid w:val="5253098E"/>
    <w:rsid w:val="525312BE"/>
    <w:rsid w:val="52532C9B"/>
    <w:rsid w:val="52540CDC"/>
    <w:rsid w:val="525556A5"/>
    <w:rsid w:val="52570A17"/>
    <w:rsid w:val="52575E4D"/>
    <w:rsid w:val="52597C0E"/>
    <w:rsid w:val="525A02B2"/>
    <w:rsid w:val="526267A1"/>
    <w:rsid w:val="526635AC"/>
    <w:rsid w:val="52690B2A"/>
    <w:rsid w:val="52691F60"/>
    <w:rsid w:val="52692B87"/>
    <w:rsid w:val="526C128F"/>
    <w:rsid w:val="526E4546"/>
    <w:rsid w:val="52733A14"/>
    <w:rsid w:val="5273699E"/>
    <w:rsid w:val="52762A77"/>
    <w:rsid w:val="527812DD"/>
    <w:rsid w:val="52786208"/>
    <w:rsid w:val="527A0021"/>
    <w:rsid w:val="527E3C5D"/>
    <w:rsid w:val="52816C33"/>
    <w:rsid w:val="52820F07"/>
    <w:rsid w:val="52834715"/>
    <w:rsid w:val="52845264"/>
    <w:rsid w:val="52846C88"/>
    <w:rsid w:val="52870473"/>
    <w:rsid w:val="52873043"/>
    <w:rsid w:val="52873552"/>
    <w:rsid w:val="52880187"/>
    <w:rsid w:val="528D20F2"/>
    <w:rsid w:val="529214B7"/>
    <w:rsid w:val="52930427"/>
    <w:rsid w:val="52990931"/>
    <w:rsid w:val="529E4030"/>
    <w:rsid w:val="52A019BD"/>
    <w:rsid w:val="52A01E26"/>
    <w:rsid w:val="52A1794C"/>
    <w:rsid w:val="52A17A10"/>
    <w:rsid w:val="52A20B59"/>
    <w:rsid w:val="52A22534"/>
    <w:rsid w:val="52A511EA"/>
    <w:rsid w:val="52A66F68"/>
    <w:rsid w:val="52A71BF1"/>
    <w:rsid w:val="52A7585B"/>
    <w:rsid w:val="52AA21F9"/>
    <w:rsid w:val="52AE4E8F"/>
    <w:rsid w:val="52AE5400"/>
    <w:rsid w:val="52B266C6"/>
    <w:rsid w:val="52B35E66"/>
    <w:rsid w:val="52B41A90"/>
    <w:rsid w:val="52B605FF"/>
    <w:rsid w:val="52B96A43"/>
    <w:rsid w:val="52BC7C45"/>
    <w:rsid w:val="52BF54DD"/>
    <w:rsid w:val="52C06CDD"/>
    <w:rsid w:val="52C131AC"/>
    <w:rsid w:val="52C262B7"/>
    <w:rsid w:val="52C2667B"/>
    <w:rsid w:val="52C41A9D"/>
    <w:rsid w:val="52C75674"/>
    <w:rsid w:val="52C8312A"/>
    <w:rsid w:val="52CA55D2"/>
    <w:rsid w:val="52CA7A8F"/>
    <w:rsid w:val="52CB6A3D"/>
    <w:rsid w:val="52D3361B"/>
    <w:rsid w:val="52D50039"/>
    <w:rsid w:val="52D60393"/>
    <w:rsid w:val="52D61371"/>
    <w:rsid w:val="52D63A99"/>
    <w:rsid w:val="52D719F0"/>
    <w:rsid w:val="52D7511B"/>
    <w:rsid w:val="52D902C0"/>
    <w:rsid w:val="52DC034D"/>
    <w:rsid w:val="52DD1C69"/>
    <w:rsid w:val="52E24384"/>
    <w:rsid w:val="52E31683"/>
    <w:rsid w:val="52E33AC0"/>
    <w:rsid w:val="52E5211B"/>
    <w:rsid w:val="52EB476D"/>
    <w:rsid w:val="52ED75F8"/>
    <w:rsid w:val="52EE102E"/>
    <w:rsid w:val="52EE4989"/>
    <w:rsid w:val="52F308E5"/>
    <w:rsid w:val="52F33332"/>
    <w:rsid w:val="52F427B2"/>
    <w:rsid w:val="52F63F60"/>
    <w:rsid w:val="52F64F7B"/>
    <w:rsid w:val="52F757BE"/>
    <w:rsid w:val="52F93B6B"/>
    <w:rsid w:val="52FB1D65"/>
    <w:rsid w:val="52FB705C"/>
    <w:rsid w:val="52FC55E7"/>
    <w:rsid w:val="52FE4D9E"/>
    <w:rsid w:val="52FF1366"/>
    <w:rsid w:val="52FF457B"/>
    <w:rsid w:val="53056586"/>
    <w:rsid w:val="5309151C"/>
    <w:rsid w:val="530A5E50"/>
    <w:rsid w:val="530B2216"/>
    <w:rsid w:val="530B4A5D"/>
    <w:rsid w:val="530B5EAF"/>
    <w:rsid w:val="530E2213"/>
    <w:rsid w:val="53115BA1"/>
    <w:rsid w:val="5312064C"/>
    <w:rsid w:val="531520CE"/>
    <w:rsid w:val="53156CBC"/>
    <w:rsid w:val="53170441"/>
    <w:rsid w:val="53185741"/>
    <w:rsid w:val="531970E1"/>
    <w:rsid w:val="531E2D4A"/>
    <w:rsid w:val="531F1C61"/>
    <w:rsid w:val="5320311C"/>
    <w:rsid w:val="53222776"/>
    <w:rsid w:val="532242DF"/>
    <w:rsid w:val="53263258"/>
    <w:rsid w:val="53282DE4"/>
    <w:rsid w:val="53295CD2"/>
    <w:rsid w:val="532F7C22"/>
    <w:rsid w:val="5330572E"/>
    <w:rsid w:val="53320489"/>
    <w:rsid w:val="53325FAE"/>
    <w:rsid w:val="53360094"/>
    <w:rsid w:val="533714C9"/>
    <w:rsid w:val="53395DD6"/>
    <w:rsid w:val="53396E0D"/>
    <w:rsid w:val="533C4303"/>
    <w:rsid w:val="533D436A"/>
    <w:rsid w:val="533F1F43"/>
    <w:rsid w:val="53402E7D"/>
    <w:rsid w:val="534252C2"/>
    <w:rsid w:val="53451E6E"/>
    <w:rsid w:val="534613C0"/>
    <w:rsid w:val="534A1D91"/>
    <w:rsid w:val="534A67EF"/>
    <w:rsid w:val="534B3AFE"/>
    <w:rsid w:val="534C3389"/>
    <w:rsid w:val="534D3C68"/>
    <w:rsid w:val="534F5814"/>
    <w:rsid w:val="535016A0"/>
    <w:rsid w:val="53531C87"/>
    <w:rsid w:val="53536E98"/>
    <w:rsid w:val="53542348"/>
    <w:rsid w:val="53567EAC"/>
    <w:rsid w:val="53593086"/>
    <w:rsid w:val="535B5AD6"/>
    <w:rsid w:val="535E65EA"/>
    <w:rsid w:val="535F698F"/>
    <w:rsid w:val="53644FFB"/>
    <w:rsid w:val="536605D3"/>
    <w:rsid w:val="536741C3"/>
    <w:rsid w:val="53727CA6"/>
    <w:rsid w:val="53733096"/>
    <w:rsid w:val="53742065"/>
    <w:rsid w:val="5376218D"/>
    <w:rsid w:val="53776C4A"/>
    <w:rsid w:val="537B348A"/>
    <w:rsid w:val="537E1A3B"/>
    <w:rsid w:val="53834FA2"/>
    <w:rsid w:val="53866045"/>
    <w:rsid w:val="538A7D47"/>
    <w:rsid w:val="538C6665"/>
    <w:rsid w:val="538E30BF"/>
    <w:rsid w:val="538E42A9"/>
    <w:rsid w:val="53914BB9"/>
    <w:rsid w:val="53915C12"/>
    <w:rsid w:val="53921CD3"/>
    <w:rsid w:val="539359CF"/>
    <w:rsid w:val="53936A25"/>
    <w:rsid w:val="53962526"/>
    <w:rsid w:val="539705FA"/>
    <w:rsid w:val="53976136"/>
    <w:rsid w:val="539822F0"/>
    <w:rsid w:val="539A21CC"/>
    <w:rsid w:val="539B6326"/>
    <w:rsid w:val="539D64A3"/>
    <w:rsid w:val="539D7D27"/>
    <w:rsid w:val="539E5689"/>
    <w:rsid w:val="539F7500"/>
    <w:rsid w:val="53A55B2F"/>
    <w:rsid w:val="53A73A68"/>
    <w:rsid w:val="53AC7CED"/>
    <w:rsid w:val="53B52964"/>
    <w:rsid w:val="53B563C6"/>
    <w:rsid w:val="53B715E5"/>
    <w:rsid w:val="53BD7DE7"/>
    <w:rsid w:val="53BF123F"/>
    <w:rsid w:val="53BF452D"/>
    <w:rsid w:val="53C02053"/>
    <w:rsid w:val="53C12BDF"/>
    <w:rsid w:val="53C31382"/>
    <w:rsid w:val="53C77463"/>
    <w:rsid w:val="53C96FE0"/>
    <w:rsid w:val="53CA0593"/>
    <w:rsid w:val="53CF5AFD"/>
    <w:rsid w:val="53D14221"/>
    <w:rsid w:val="53DB3880"/>
    <w:rsid w:val="53DD7A64"/>
    <w:rsid w:val="53DE1B26"/>
    <w:rsid w:val="53DF0B2C"/>
    <w:rsid w:val="53E14A77"/>
    <w:rsid w:val="53E15D12"/>
    <w:rsid w:val="53E61ABA"/>
    <w:rsid w:val="53E87C8F"/>
    <w:rsid w:val="53E87DA7"/>
    <w:rsid w:val="53EA2078"/>
    <w:rsid w:val="53EE5CD3"/>
    <w:rsid w:val="53F00B8B"/>
    <w:rsid w:val="53F02ABD"/>
    <w:rsid w:val="53F1124B"/>
    <w:rsid w:val="53F5503C"/>
    <w:rsid w:val="53F73DAE"/>
    <w:rsid w:val="53F752F2"/>
    <w:rsid w:val="53F802E1"/>
    <w:rsid w:val="53F84B22"/>
    <w:rsid w:val="53F85340"/>
    <w:rsid w:val="53FC5DFC"/>
    <w:rsid w:val="540240C9"/>
    <w:rsid w:val="5405760B"/>
    <w:rsid w:val="54097207"/>
    <w:rsid w:val="540A3DED"/>
    <w:rsid w:val="540B01A2"/>
    <w:rsid w:val="540C4FF2"/>
    <w:rsid w:val="540D2CAD"/>
    <w:rsid w:val="541128AF"/>
    <w:rsid w:val="54122DE0"/>
    <w:rsid w:val="541371C8"/>
    <w:rsid w:val="54187EE0"/>
    <w:rsid w:val="541916D6"/>
    <w:rsid w:val="541F643B"/>
    <w:rsid w:val="542175F5"/>
    <w:rsid w:val="5423488B"/>
    <w:rsid w:val="542645AC"/>
    <w:rsid w:val="54277A39"/>
    <w:rsid w:val="542819FA"/>
    <w:rsid w:val="54282C81"/>
    <w:rsid w:val="54353D5C"/>
    <w:rsid w:val="54366F57"/>
    <w:rsid w:val="54372AB5"/>
    <w:rsid w:val="5439755B"/>
    <w:rsid w:val="543B0020"/>
    <w:rsid w:val="543D7996"/>
    <w:rsid w:val="543E4F96"/>
    <w:rsid w:val="543E5EBE"/>
    <w:rsid w:val="543F78AD"/>
    <w:rsid w:val="54405A4B"/>
    <w:rsid w:val="544325AF"/>
    <w:rsid w:val="54447D11"/>
    <w:rsid w:val="544C15DB"/>
    <w:rsid w:val="544D0FAC"/>
    <w:rsid w:val="544D532C"/>
    <w:rsid w:val="544F023D"/>
    <w:rsid w:val="544F7A75"/>
    <w:rsid w:val="5454165E"/>
    <w:rsid w:val="54570225"/>
    <w:rsid w:val="545D5AF4"/>
    <w:rsid w:val="5460554D"/>
    <w:rsid w:val="54646ADD"/>
    <w:rsid w:val="5465356A"/>
    <w:rsid w:val="54672F89"/>
    <w:rsid w:val="54683078"/>
    <w:rsid w:val="54686357"/>
    <w:rsid w:val="546A30A1"/>
    <w:rsid w:val="546B0211"/>
    <w:rsid w:val="546C7B02"/>
    <w:rsid w:val="546D3F89"/>
    <w:rsid w:val="546F4D09"/>
    <w:rsid w:val="54715CE7"/>
    <w:rsid w:val="547236F0"/>
    <w:rsid w:val="547370C6"/>
    <w:rsid w:val="547434C3"/>
    <w:rsid w:val="547569B7"/>
    <w:rsid w:val="5478229B"/>
    <w:rsid w:val="54791494"/>
    <w:rsid w:val="547A3B99"/>
    <w:rsid w:val="547B7BBC"/>
    <w:rsid w:val="547C41CC"/>
    <w:rsid w:val="547D6790"/>
    <w:rsid w:val="5481297F"/>
    <w:rsid w:val="54832B70"/>
    <w:rsid w:val="5484462F"/>
    <w:rsid w:val="54847ABC"/>
    <w:rsid w:val="548779A1"/>
    <w:rsid w:val="54877F7B"/>
    <w:rsid w:val="54887D06"/>
    <w:rsid w:val="548915F4"/>
    <w:rsid w:val="548968E5"/>
    <w:rsid w:val="548968E9"/>
    <w:rsid w:val="548A2B09"/>
    <w:rsid w:val="548E22AA"/>
    <w:rsid w:val="548F28DC"/>
    <w:rsid w:val="548F48A6"/>
    <w:rsid w:val="5492724A"/>
    <w:rsid w:val="54954B19"/>
    <w:rsid w:val="549865BF"/>
    <w:rsid w:val="549B6608"/>
    <w:rsid w:val="549E57F9"/>
    <w:rsid w:val="54A565FB"/>
    <w:rsid w:val="54AF3C89"/>
    <w:rsid w:val="54B07E25"/>
    <w:rsid w:val="54B10FCD"/>
    <w:rsid w:val="54B81B8E"/>
    <w:rsid w:val="54B96B2A"/>
    <w:rsid w:val="54BC362B"/>
    <w:rsid w:val="54BC4515"/>
    <w:rsid w:val="54BF31CD"/>
    <w:rsid w:val="54BF40B9"/>
    <w:rsid w:val="54C067AF"/>
    <w:rsid w:val="54C359E0"/>
    <w:rsid w:val="54C454F7"/>
    <w:rsid w:val="54C72DC0"/>
    <w:rsid w:val="54C761BB"/>
    <w:rsid w:val="54C83D8D"/>
    <w:rsid w:val="54C87412"/>
    <w:rsid w:val="54CA651E"/>
    <w:rsid w:val="54CD7416"/>
    <w:rsid w:val="54CF539C"/>
    <w:rsid w:val="54D02999"/>
    <w:rsid w:val="54D22F16"/>
    <w:rsid w:val="54D865D1"/>
    <w:rsid w:val="54DB341F"/>
    <w:rsid w:val="54DC5C04"/>
    <w:rsid w:val="54DD2429"/>
    <w:rsid w:val="54DF16BE"/>
    <w:rsid w:val="54DF7457"/>
    <w:rsid w:val="54E07B3D"/>
    <w:rsid w:val="54E25E6E"/>
    <w:rsid w:val="54E43A34"/>
    <w:rsid w:val="54E463CB"/>
    <w:rsid w:val="54EA107A"/>
    <w:rsid w:val="54EB1352"/>
    <w:rsid w:val="54EF0141"/>
    <w:rsid w:val="54EF5CD1"/>
    <w:rsid w:val="54F02068"/>
    <w:rsid w:val="54F16663"/>
    <w:rsid w:val="54F21013"/>
    <w:rsid w:val="54F53A9F"/>
    <w:rsid w:val="54F553F9"/>
    <w:rsid w:val="54FB36E3"/>
    <w:rsid w:val="54FC1C5F"/>
    <w:rsid w:val="54FC355F"/>
    <w:rsid w:val="54FC6DF7"/>
    <w:rsid w:val="55004DFD"/>
    <w:rsid w:val="55026110"/>
    <w:rsid w:val="55034058"/>
    <w:rsid w:val="55062011"/>
    <w:rsid w:val="550806D8"/>
    <w:rsid w:val="55081F04"/>
    <w:rsid w:val="5508705C"/>
    <w:rsid w:val="550C37A5"/>
    <w:rsid w:val="550E112D"/>
    <w:rsid w:val="550F3292"/>
    <w:rsid w:val="550F4571"/>
    <w:rsid w:val="55100E5D"/>
    <w:rsid w:val="5510222A"/>
    <w:rsid w:val="5510294E"/>
    <w:rsid w:val="55110165"/>
    <w:rsid w:val="55132F28"/>
    <w:rsid w:val="55177BD4"/>
    <w:rsid w:val="551C3987"/>
    <w:rsid w:val="551C70C4"/>
    <w:rsid w:val="551C775D"/>
    <w:rsid w:val="551D1D2F"/>
    <w:rsid w:val="551F0A36"/>
    <w:rsid w:val="55200B64"/>
    <w:rsid w:val="55207B2E"/>
    <w:rsid w:val="5524507C"/>
    <w:rsid w:val="55250366"/>
    <w:rsid w:val="5526665A"/>
    <w:rsid w:val="552964D8"/>
    <w:rsid w:val="552C4B32"/>
    <w:rsid w:val="552D7DF5"/>
    <w:rsid w:val="55306211"/>
    <w:rsid w:val="55336501"/>
    <w:rsid w:val="55342A59"/>
    <w:rsid w:val="5534387F"/>
    <w:rsid w:val="55344C2A"/>
    <w:rsid w:val="55354EC6"/>
    <w:rsid w:val="553647F9"/>
    <w:rsid w:val="553705CE"/>
    <w:rsid w:val="55382DBA"/>
    <w:rsid w:val="553A126B"/>
    <w:rsid w:val="553B4087"/>
    <w:rsid w:val="553B68DE"/>
    <w:rsid w:val="553C1EC8"/>
    <w:rsid w:val="553C765B"/>
    <w:rsid w:val="553E1482"/>
    <w:rsid w:val="553F23E6"/>
    <w:rsid w:val="5544004A"/>
    <w:rsid w:val="55475399"/>
    <w:rsid w:val="5547647B"/>
    <w:rsid w:val="55495DFD"/>
    <w:rsid w:val="55496F43"/>
    <w:rsid w:val="554A5A1A"/>
    <w:rsid w:val="554B5679"/>
    <w:rsid w:val="554E1716"/>
    <w:rsid w:val="554F76EE"/>
    <w:rsid w:val="555111B5"/>
    <w:rsid w:val="55513A77"/>
    <w:rsid w:val="55560F75"/>
    <w:rsid w:val="55597239"/>
    <w:rsid w:val="555A2D4F"/>
    <w:rsid w:val="555C581D"/>
    <w:rsid w:val="555E78A8"/>
    <w:rsid w:val="55632286"/>
    <w:rsid w:val="55635D17"/>
    <w:rsid w:val="556449DA"/>
    <w:rsid w:val="556459A7"/>
    <w:rsid w:val="556466E9"/>
    <w:rsid w:val="55654C60"/>
    <w:rsid w:val="55674E7D"/>
    <w:rsid w:val="55687738"/>
    <w:rsid w:val="55691FF1"/>
    <w:rsid w:val="5569461D"/>
    <w:rsid w:val="556A4420"/>
    <w:rsid w:val="556C1C65"/>
    <w:rsid w:val="556D6260"/>
    <w:rsid w:val="556F58B0"/>
    <w:rsid w:val="556F62FC"/>
    <w:rsid w:val="557055BA"/>
    <w:rsid w:val="5571344C"/>
    <w:rsid w:val="55732B4F"/>
    <w:rsid w:val="557C2165"/>
    <w:rsid w:val="557D0530"/>
    <w:rsid w:val="557E2345"/>
    <w:rsid w:val="557E3356"/>
    <w:rsid w:val="5581773C"/>
    <w:rsid w:val="55832127"/>
    <w:rsid w:val="558346BC"/>
    <w:rsid w:val="55836A60"/>
    <w:rsid w:val="558A181F"/>
    <w:rsid w:val="558C5A2C"/>
    <w:rsid w:val="558E0AB9"/>
    <w:rsid w:val="5592584A"/>
    <w:rsid w:val="55966A38"/>
    <w:rsid w:val="55977E16"/>
    <w:rsid w:val="55983C75"/>
    <w:rsid w:val="559925F0"/>
    <w:rsid w:val="559B3D43"/>
    <w:rsid w:val="559C4545"/>
    <w:rsid w:val="55A05104"/>
    <w:rsid w:val="55A25DBA"/>
    <w:rsid w:val="55A51B46"/>
    <w:rsid w:val="55A9508F"/>
    <w:rsid w:val="55A95F18"/>
    <w:rsid w:val="55B13BA4"/>
    <w:rsid w:val="55B355C1"/>
    <w:rsid w:val="55B35E76"/>
    <w:rsid w:val="55B378E8"/>
    <w:rsid w:val="55B41AED"/>
    <w:rsid w:val="55B654BC"/>
    <w:rsid w:val="55B85985"/>
    <w:rsid w:val="55B87513"/>
    <w:rsid w:val="55B9279C"/>
    <w:rsid w:val="55BD2CEE"/>
    <w:rsid w:val="55C1244F"/>
    <w:rsid w:val="55C23E61"/>
    <w:rsid w:val="55C4407D"/>
    <w:rsid w:val="55C73B6D"/>
    <w:rsid w:val="55C85FF0"/>
    <w:rsid w:val="55C93441"/>
    <w:rsid w:val="55CA0F67"/>
    <w:rsid w:val="55CB0169"/>
    <w:rsid w:val="55CC1183"/>
    <w:rsid w:val="55CD6206"/>
    <w:rsid w:val="55CE39BE"/>
    <w:rsid w:val="55D15C3F"/>
    <w:rsid w:val="55D335C0"/>
    <w:rsid w:val="55D551B2"/>
    <w:rsid w:val="55D656D5"/>
    <w:rsid w:val="55D807BF"/>
    <w:rsid w:val="55D95D0B"/>
    <w:rsid w:val="55DB09E3"/>
    <w:rsid w:val="55DF7048"/>
    <w:rsid w:val="55E15B7B"/>
    <w:rsid w:val="55E22922"/>
    <w:rsid w:val="55E265D6"/>
    <w:rsid w:val="55E70393"/>
    <w:rsid w:val="55E864EC"/>
    <w:rsid w:val="55EA237B"/>
    <w:rsid w:val="55EB569D"/>
    <w:rsid w:val="55EC1D9C"/>
    <w:rsid w:val="55EE1255"/>
    <w:rsid w:val="55F029A4"/>
    <w:rsid w:val="55F04D92"/>
    <w:rsid w:val="55F24D46"/>
    <w:rsid w:val="55F45B1C"/>
    <w:rsid w:val="55F674E6"/>
    <w:rsid w:val="55FB5C29"/>
    <w:rsid w:val="55FC75D9"/>
    <w:rsid w:val="55FD133D"/>
    <w:rsid w:val="55FF5E4C"/>
    <w:rsid w:val="55FF62B6"/>
    <w:rsid w:val="5601175C"/>
    <w:rsid w:val="56012174"/>
    <w:rsid w:val="5603310A"/>
    <w:rsid w:val="56047D1E"/>
    <w:rsid w:val="56076A85"/>
    <w:rsid w:val="5609445F"/>
    <w:rsid w:val="56097C3C"/>
    <w:rsid w:val="560A2789"/>
    <w:rsid w:val="560A2798"/>
    <w:rsid w:val="560B1629"/>
    <w:rsid w:val="560B639C"/>
    <w:rsid w:val="56107D6C"/>
    <w:rsid w:val="56110B14"/>
    <w:rsid w:val="56112687"/>
    <w:rsid w:val="561170BC"/>
    <w:rsid w:val="5614369D"/>
    <w:rsid w:val="56150B75"/>
    <w:rsid w:val="561675BB"/>
    <w:rsid w:val="561740FC"/>
    <w:rsid w:val="561B050E"/>
    <w:rsid w:val="561B0C21"/>
    <w:rsid w:val="561D1B3C"/>
    <w:rsid w:val="561D54EE"/>
    <w:rsid w:val="56217542"/>
    <w:rsid w:val="56244B1C"/>
    <w:rsid w:val="56246DA9"/>
    <w:rsid w:val="562548F9"/>
    <w:rsid w:val="562570D4"/>
    <w:rsid w:val="56262642"/>
    <w:rsid w:val="56292132"/>
    <w:rsid w:val="562A19F9"/>
    <w:rsid w:val="562A480D"/>
    <w:rsid w:val="562C108F"/>
    <w:rsid w:val="562E70CC"/>
    <w:rsid w:val="56310FE7"/>
    <w:rsid w:val="56312D95"/>
    <w:rsid w:val="56334C01"/>
    <w:rsid w:val="56354B2F"/>
    <w:rsid w:val="56362DB6"/>
    <w:rsid w:val="56373A45"/>
    <w:rsid w:val="563B034D"/>
    <w:rsid w:val="563D575E"/>
    <w:rsid w:val="563F23E5"/>
    <w:rsid w:val="56443E9D"/>
    <w:rsid w:val="564834F4"/>
    <w:rsid w:val="564D482E"/>
    <w:rsid w:val="564F38D7"/>
    <w:rsid w:val="56521D19"/>
    <w:rsid w:val="565232FC"/>
    <w:rsid w:val="56562082"/>
    <w:rsid w:val="56584704"/>
    <w:rsid w:val="565C575F"/>
    <w:rsid w:val="565D002E"/>
    <w:rsid w:val="565D570D"/>
    <w:rsid w:val="565E0262"/>
    <w:rsid w:val="566112DA"/>
    <w:rsid w:val="566118CC"/>
    <w:rsid w:val="5661598B"/>
    <w:rsid w:val="56626185"/>
    <w:rsid w:val="56665134"/>
    <w:rsid w:val="56666EE2"/>
    <w:rsid w:val="56672528"/>
    <w:rsid w:val="566B28D5"/>
    <w:rsid w:val="566C34F4"/>
    <w:rsid w:val="56707D61"/>
    <w:rsid w:val="5673160C"/>
    <w:rsid w:val="56766379"/>
    <w:rsid w:val="56767031"/>
    <w:rsid w:val="56767CD8"/>
    <w:rsid w:val="567772C3"/>
    <w:rsid w:val="56781680"/>
    <w:rsid w:val="56783D35"/>
    <w:rsid w:val="56791B7F"/>
    <w:rsid w:val="567D5FDA"/>
    <w:rsid w:val="567F32AA"/>
    <w:rsid w:val="5680110D"/>
    <w:rsid w:val="56826B5E"/>
    <w:rsid w:val="56834441"/>
    <w:rsid w:val="56842214"/>
    <w:rsid w:val="5684380C"/>
    <w:rsid w:val="56867D7C"/>
    <w:rsid w:val="56870A65"/>
    <w:rsid w:val="56890E23"/>
    <w:rsid w:val="568B5A4B"/>
    <w:rsid w:val="568C050D"/>
    <w:rsid w:val="56923452"/>
    <w:rsid w:val="56932319"/>
    <w:rsid w:val="569370AD"/>
    <w:rsid w:val="5693727B"/>
    <w:rsid w:val="56990147"/>
    <w:rsid w:val="56995B28"/>
    <w:rsid w:val="5699619A"/>
    <w:rsid w:val="569C2904"/>
    <w:rsid w:val="569D1766"/>
    <w:rsid w:val="56A02587"/>
    <w:rsid w:val="56A04477"/>
    <w:rsid w:val="56A10FC1"/>
    <w:rsid w:val="56A16B7F"/>
    <w:rsid w:val="56A345AC"/>
    <w:rsid w:val="56A417B8"/>
    <w:rsid w:val="56A441D9"/>
    <w:rsid w:val="56A45C5C"/>
    <w:rsid w:val="56A5017F"/>
    <w:rsid w:val="56A61064"/>
    <w:rsid w:val="56A65E86"/>
    <w:rsid w:val="56AA62D2"/>
    <w:rsid w:val="56AB196E"/>
    <w:rsid w:val="56AB2D2A"/>
    <w:rsid w:val="56AB4132"/>
    <w:rsid w:val="56AC18EC"/>
    <w:rsid w:val="56AF2F63"/>
    <w:rsid w:val="56AF540B"/>
    <w:rsid w:val="56AF6A0C"/>
    <w:rsid w:val="56AF6ADB"/>
    <w:rsid w:val="56B002CB"/>
    <w:rsid w:val="56B15E12"/>
    <w:rsid w:val="56B85ADB"/>
    <w:rsid w:val="56B95B10"/>
    <w:rsid w:val="56BB437D"/>
    <w:rsid w:val="56BB5E0C"/>
    <w:rsid w:val="56C11600"/>
    <w:rsid w:val="56C33692"/>
    <w:rsid w:val="56C658B2"/>
    <w:rsid w:val="56C73880"/>
    <w:rsid w:val="56CA5D9D"/>
    <w:rsid w:val="56CD3C9B"/>
    <w:rsid w:val="56CE0B97"/>
    <w:rsid w:val="56D2089C"/>
    <w:rsid w:val="56D26326"/>
    <w:rsid w:val="56D263AF"/>
    <w:rsid w:val="56D36D4C"/>
    <w:rsid w:val="56D53575"/>
    <w:rsid w:val="56D747C4"/>
    <w:rsid w:val="56D975D8"/>
    <w:rsid w:val="56DB1EDC"/>
    <w:rsid w:val="56DC6867"/>
    <w:rsid w:val="56DE116E"/>
    <w:rsid w:val="56DF0A43"/>
    <w:rsid w:val="56DF584E"/>
    <w:rsid w:val="56DF66B6"/>
    <w:rsid w:val="56E32807"/>
    <w:rsid w:val="56E53DA9"/>
    <w:rsid w:val="56E9190D"/>
    <w:rsid w:val="56EB388B"/>
    <w:rsid w:val="56EC56E4"/>
    <w:rsid w:val="56EE56E0"/>
    <w:rsid w:val="56EF5E6A"/>
    <w:rsid w:val="56F24EC6"/>
    <w:rsid w:val="56F36416"/>
    <w:rsid w:val="56F72721"/>
    <w:rsid w:val="56F76355"/>
    <w:rsid w:val="56F84900"/>
    <w:rsid w:val="56F86237"/>
    <w:rsid w:val="56FB2C49"/>
    <w:rsid w:val="56FC6B8F"/>
    <w:rsid w:val="57014DAB"/>
    <w:rsid w:val="570214E7"/>
    <w:rsid w:val="57032055"/>
    <w:rsid w:val="57060DA5"/>
    <w:rsid w:val="570812FD"/>
    <w:rsid w:val="5709733F"/>
    <w:rsid w:val="570A15F8"/>
    <w:rsid w:val="570B5233"/>
    <w:rsid w:val="570B6CCC"/>
    <w:rsid w:val="570E2EFD"/>
    <w:rsid w:val="570E3276"/>
    <w:rsid w:val="570E789C"/>
    <w:rsid w:val="57103D46"/>
    <w:rsid w:val="571450AF"/>
    <w:rsid w:val="571563ED"/>
    <w:rsid w:val="57175383"/>
    <w:rsid w:val="57182C32"/>
    <w:rsid w:val="5719007B"/>
    <w:rsid w:val="571F093C"/>
    <w:rsid w:val="571F4873"/>
    <w:rsid w:val="571F4FB3"/>
    <w:rsid w:val="57203A88"/>
    <w:rsid w:val="57205BD7"/>
    <w:rsid w:val="57210878"/>
    <w:rsid w:val="57217FF9"/>
    <w:rsid w:val="57221E2E"/>
    <w:rsid w:val="57227E94"/>
    <w:rsid w:val="57231813"/>
    <w:rsid w:val="57233025"/>
    <w:rsid w:val="572356A9"/>
    <w:rsid w:val="5724766C"/>
    <w:rsid w:val="5728063B"/>
    <w:rsid w:val="572B2E4C"/>
    <w:rsid w:val="572B581E"/>
    <w:rsid w:val="572B58CF"/>
    <w:rsid w:val="572D5C52"/>
    <w:rsid w:val="57321076"/>
    <w:rsid w:val="57347C06"/>
    <w:rsid w:val="573568B4"/>
    <w:rsid w:val="57362B12"/>
    <w:rsid w:val="57367067"/>
    <w:rsid w:val="573774E8"/>
    <w:rsid w:val="57385A75"/>
    <w:rsid w:val="57391080"/>
    <w:rsid w:val="573B133E"/>
    <w:rsid w:val="573C1B03"/>
    <w:rsid w:val="573C69FD"/>
    <w:rsid w:val="57405BB7"/>
    <w:rsid w:val="574200DA"/>
    <w:rsid w:val="57421607"/>
    <w:rsid w:val="57427F8F"/>
    <w:rsid w:val="57441E9D"/>
    <w:rsid w:val="57455FD9"/>
    <w:rsid w:val="57462F2D"/>
    <w:rsid w:val="574662C5"/>
    <w:rsid w:val="5747780E"/>
    <w:rsid w:val="57487C8C"/>
    <w:rsid w:val="574C355D"/>
    <w:rsid w:val="574C7762"/>
    <w:rsid w:val="574F55C5"/>
    <w:rsid w:val="57505C96"/>
    <w:rsid w:val="57514AC9"/>
    <w:rsid w:val="57521A73"/>
    <w:rsid w:val="5753211C"/>
    <w:rsid w:val="575352A5"/>
    <w:rsid w:val="57536381"/>
    <w:rsid w:val="57546DC1"/>
    <w:rsid w:val="575554FF"/>
    <w:rsid w:val="57576FCB"/>
    <w:rsid w:val="57580F21"/>
    <w:rsid w:val="575E421A"/>
    <w:rsid w:val="575E5615"/>
    <w:rsid w:val="575F8C02"/>
    <w:rsid w:val="57631674"/>
    <w:rsid w:val="57684CCB"/>
    <w:rsid w:val="5769174D"/>
    <w:rsid w:val="576A20A4"/>
    <w:rsid w:val="576C3EF4"/>
    <w:rsid w:val="576C677A"/>
    <w:rsid w:val="576D1FBB"/>
    <w:rsid w:val="576D65D3"/>
    <w:rsid w:val="576F7FB4"/>
    <w:rsid w:val="5770220F"/>
    <w:rsid w:val="5771277B"/>
    <w:rsid w:val="57722168"/>
    <w:rsid w:val="577A173B"/>
    <w:rsid w:val="577A7E5A"/>
    <w:rsid w:val="577B0E5A"/>
    <w:rsid w:val="577C317C"/>
    <w:rsid w:val="577F2E03"/>
    <w:rsid w:val="57820105"/>
    <w:rsid w:val="57835872"/>
    <w:rsid w:val="57871198"/>
    <w:rsid w:val="57875362"/>
    <w:rsid w:val="5789562D"/>
    <w:rsid w:val="578C37AE"/>
    <w:rsid w:val="578C635E"/>
    <w:rsid w:val="578D66F1"/>
    <w:rsid w:val="57911D3D"/>
    <w:rsid w:val="57920C54"/>
    <w:rsid w:val="57945197"/>
    <w:rsid w:val="57947A7F"/>
    <w:rsid w:val="579550DE"/>
    <w:rsid w:val="57963AF9"/>
    <w:rsid w:val="57982A4D"/>
    <w:rsid w:val="579B4C20"/>
    <w:rsid w:val="579C51E6"/>
    <w:rsid w:val="579D776E"/>
    <w:rsid w:val="57A71977"/>
    <w:rsid w:val="57A770FC"/>
    <w:rsid w:val="57A8388F"/>
    <w:rsid w:val="57B00784"/>
    <w:rsid w:val="57B058D9"/>
    <w:rsid w:val="57B13535"/>
    <w:rsid w:val="57B30339"/>
    <w:rsid w:val="57B4468D"/>
    <w:rsid w:val="57B60E14"/>
    <w:rsid w:val="57B60FBE"/>
    <w:rsid w:val="57B64F81"/>
    <w:rsid w:val="57B675EE"/>
    <w:rsid w:val="57BF06F4"/>
    <w:rsid w:val="57C078FC"/>
    <w:rsid w:val="57C20AC5"/>
    <w:rsid w:val="57C45F2F"/>
    <w:rsid w:val="57CC19EF"/>
    <w:rsid w:val="57CF5E08"/>
    <w:rsid w:val="57D47582"/>
    <w:rsid w:val="57D65A49"/>
    <w:rsid w:val="57D72092"/>
    <w:rsid w:val="57DD29A9"/>
    <w:rsid w:val="57E15536"/>
    <w:rsid w:val="57EA1A96"/>
    <w:rsid w:val="57EA39C7"/>
    <w:rsid w:val="57EF3C96"/>
    <w:rsid w:val="57F537CE"/>
    <w:rsid w:val="57F76BFF"/>
    <w:rsid w:val="57FA75FA"/>
    <w:rsid w:val="57FB05B9"/>
    <w:rsid w:val="57FC1BA8"/>
    <w:rsid w:val="57FE19D4"/>
    <w:rsid w:val="58055890"/>
    <w:rsid w:val="580645EF"/>
    <w:rsid w:val="580A4103"/>
    <w:rsid w:val="580A4EE0"/>
    <w:rsid w:val="580B461A"/>
    <w:rsid w:val="5814596E"/>
    <w:rsid w:val="581543C3"/>
    <w:rsid w:val="5816168E"/>
    <w:rsid w:val="581806B0"/>
    <w:rsid w:val="58190FBE"/>
    <w:rsid w:val="58195E4B"/>
    <w:rsid w:val="581D425B"/>
    <w:rsid w:val="581D449C"/>
    <w:rsid w:val="581F472E"/>
    <w:rsid w:val="581F48B8"/>
    <w:rsid w:val="581F71EE"/>
    <w:rsid w:val="5821434E"/>
    <w:rsid w:val="58216E4F"/>
    <w:rsid w:val="58237473"/>
    <w:rsid w:val="582918D7"/>
    <w:rsid w:val="582B645A"/>
    <w:rsid w:val="582C2A47"/>
    <w:rsid w:val="582D720A"/>
    <w:rsid w:val="582F1869"/>
    <w:rsid w:val="58304D0F"/>
    <w:rsid w:val="583136FF"/>
    <w:rsid w:val="58320C57"/>
    <w:rsid w:val="58326CFC"/>
    <w:rsid w:val="5834006D"/>
    <w:rsid w:val="583517C7"/>
    <w:rsid w:val="583A2321"/>
    <w:rsid w:val="583C7729"/>
    <w:rsid w:val="583E7F3E"/>
    <w:rsid w:val="583F006A"/>
    <w:rsid w:val="583F070F"/>
    <w:rsid w:val="58423CCD"/>
    <w:rsid w:val="58430C70"/>
    <w:rsid w:val="58436123"/>
    <w:rsid w:val="58436238"/>
    <w:rsid w:val="58456486"/>
    <w:rsid w:val="58474AF1"/>
    <w:rsid w:val="584B79FF"/>
    <w:rsid w:val="584E7E5C"/>
    <w:rsid w:val="585023A5"/>
    <w:rsid w:val="58564711"/>
    <w:rsid w:val="58566BCC"/>
    <w:rsid w:val="58580895"/>
    <w:rsid w:val="58596F71"/>
    <w:rsid w:val="585A4E42"/>
    <w:rsid w:val="585B2245"/>
    <w:rsid w:val="585B22AC"/>
    <w:rsid w:val="585D5577"/>
    <w:rsid w:val="585F3530"/>
    <w:rsid w:val="58613E76"/>
    <w:rsid w:val="586278DD"/>
    <w:rsid w:val="58634224"/>
    <w:rsid w:val="586B269C"/>
    <w:rsid w:val="586C7961"/>
    <w:rsid w:val="5874225C"/>
    <w:rsid w:val="58756A99"/>
    <w:rsid w:val="58761865"/>
    <w:rsid w:val="58771F01"/>
    <w:rsid w:val="58773D91"/>
    <w:rsid w:val="587C1214"/>
    <w:rsid w:val="587C29ED"/>
    <w:rsid w:val="587D2239"/>
    <w:rsid w:val="587E5241"/>
    <w:rsid w:val="587E5C53"/>
    <w:rsid w:val="587E5EF9"/>
    <w:rsid w:val="587E60EC"/>
    <w:rsid w:val="587F1FCF"/>
    <w:rsid w:val="58801DB1"/>
    <w:rsid w:val="58807338"/>
    <w:rsid w:val="58834092"/>
    <w:rsid w:val="588419AA"/>
    <w:rsid w:val="5886561A"/>
    <w:rsid w:val="58866D67"/>
    <w:rsid w:val="58871492"/>
    <w:rsid w:val="5889438C"/>
    <w:rsid w:val="589046EA"/>
    <w:rsid w:val="58924FE9"/>
    <w:rsid w:val="58932672"/>
    <w:rsid w:val="5897595B"/>
    <w:rsid w:val="58975B15"/>
    <w:rsid w:val="589855E8"/>
    <w:rsid w:val="58990985"/>
    <w:rsid w:val="589C0F28"/>
    <w:rsid w:val="589E3B3E"/>
    <w:rsid w:val="58A05F05"/>
    <w:rsid w:val="58A20E43"/>
    <w:rsid w:val="58A261CC"/>
    <w:rsid w:val="58A3697A"/>
    <w:rsid w:val="58A4639C"/>
    <w:rsid w:val="58A6427D"/>
    <w:rsid w:val="58A70F10"/>
    <w:rsid w:val="58A74D50"/>
    <w:rsid w:val="58A957AC"/>
    <w:rsid w:val="58AB35CE"/>
    <w:rsid w:val="58AC3043"/>
    <w:rsid w:val="58B41188"/>
    <w:rsid w:val="58BD6616"/>
    <w:rsid w:val="58BD674A"/>
    <w:rsid w:val="58BE7437"/>
    <w:rsid w:val="58C30DE9"/>
    <w:rsid w:val="58C649A5"/>
    <w:rsid w:val="58C83E84"/>
    <w:rsid w:val="58CE7A03"/>
    <w:rsid w:val="58CF199E"/>
    <w:rsid w:val="58D30354"/>
    <w:rsid w:val="58D41942"/>
    <w:rsid w:val="58D726D7"/>
    <w:rsid w:val="58D813E5"/>
    <w:rsid w:val="58D970CB"/>
    <w:rsid w:val="58DA19A9"/>
    <w:rsid w:val="58DD0DCC"/>
    <w:rsid w:val="58E10D2D"/>
    <w:rsid w:val="58E2739F"/>
    <w:rsid w:val="58E30CBE"/>
    <w:rsid w:val="58E57D33"/>
    <w:rsid w:val="58E75CFE"/>
    <w:rsid w:val="58EA1465"/>
    <w:rsid w:val="58EC770E"/>
    <w:rsid w:val="58EE2CD1"/>
    <w:rsid w:val="58F222EA"/>
    <w:rsid w:val="58F61860"/>
    <w:rsid w:val="58F80140"/>
    <w:rsid w:val="58FA2405"/>
    <w:rsid w:val="58FB5683"/>
    <w:rsid w:val="58FC3659"/>
    <w:rsid w:val="58FF078F"/>
    <w:rsid w:val="5900424D"/>
    <w:rsid w:val="5901629F"/>
    <w:rsid w:val="59030A18"/>
    <w:rsid w:val="590426BD"/>
    <w:rsid w:val="590450E1"/>
    <w:rsid w:val="59050C47"/>
    <w:rsid w:val="59087C19"/>
    <w:rsid w:val="590C4A07"/>
    <w:rsid w:val="591046BE"/>
    <w:rsid w:val="59123351"/>
    <w:rsid w:val="59162A7D"/>
    <w:rsid w:val="59173D20"/>
    <w:rsid w:val="59174C2E"/>
    <w:rsid w:val="59184018"/>
    <w:rsid w:val="591C150A"/>
    <w:rsid w:val="591E6B84"/>
    <w:rsid w:val="59206520"/>
    <w:rsid w:val="59221C01"/>
    <w:rsid w:val="592310BA"/>
    <w:rsid w:val="59260350"/>
    <w:rsid w:val="59266DFD"/>
    <w:rsid w:val="592A069B"/>
    <w:rsid w:val="592B61C1"/>
    <w:rsid w:val="592D711A"/>
    <w:rsid w:val="592F58DC"/>
    <w:rsid w:val="59301278"/>
    <w:rsid w:val="59305959"/>
    <w:rsid w:val="59336199"/>
    <w:rsid w:val="59342BE6"/>
    <w:rsid w:val="59345C78"/>
    <w:rsid w:val="59360787"/>
    <w:rsid w:val="59397719"/>
    <w:rsid w:val="593E6BAB"/>
    <w:rsid w:val="593F1925"/>
    <w:rsid w:val="594026A3"/>
    <w:rsid w:val="594125E1"/>
    <w:rsid w:val="594159E5"/>
    <w:rsid w:val="594554D5"/>
    <w:rsid w:val="59461BF6"/>
    <w:rsid w:val="59477C50"/>
    <w:rsid w:val="594833EE"/>
    <w:rsid w:val="594A7EEB"/>
    <w:rsid w:val="594B6545"/>
    <w:rsid w:val="594D7B0D"/>
    <w:rsid w:val="594E6229"/>
    <w:rsid w:val="5951676C"/>
    <w:rsid w:val="5954482A"/>
    <w:rsid w:val="59550AB1"/>
    <w:rsid w:val="5957164F"/>
    <w:rsid w:val="59577ABB"/>
    <w:rsid w:val="59597DBA"/>
    <w:rsid w:val="595A38C3"/>
    <w:rsid w:val="595B1EB8"/>
    <w:rsid w:val="595B22DE"/>
    <w:rsid w:val="595C16D5"/>
    <w:rsid w:val="595C2536"/>
    <w:rsid w:val="59612E79"/>
    <w:rsid w:val="59622BC6"/>
    <w:rsid w:val="59645967"/>
    <w:rsid w:val="596C2FCF"/>
    <w:rsid w:val="596E7442"/>
    <w:rsid w:val="59722042"/>
    <w:rsid w:val="59723387"/>
    <w:rsid w:val="59734D95"/>
    <w:rsid w:val="597731B4"/>
    <w:rsid w:val="597A7FDD"/>
    <w:rsid w:val="5980575E"/>
    <w:rsid w:val="59831658"/>
    <w:rsid w:val="598703D8"/>
    <w:rsid w:val="59870FDB"/>
    <w:rsid w:val="598B3F2A"/>
    <w:rsid w:val="598B6821"/>
    <w:rsid w:val="598C4026"/>
    <w:rsid w:val="598C44B0"/>
    <w:rsid w:val="598D0C2A"/>
    <w:rsid w:val="599044B6"/>
    <w:rsid w:val="59914E4A"/>
    <w:rsid w:val="59983B52"/>
    <w:rsid w:val="5999312B"/>
    <w:rsid w:val="599B5948"/>
    <w:rsid w:val="599D382A"/>
    <w:rsid w:val="599D59AD"/>
    <w:rsid w:val="599E5296"/>
    <w:rsid w:val="59A0270B"/>
    <w:rsid w:val="59A10910"/>
    <w:rsid w:val="59A13B60"/>
    <w:rsid w:val="59A30465"/>
    <w:rsid w:val="59A361B7"/>
    <w:rsid w:val="59A53DDA"/>
    <w:rsid w:val="59AA0A20"/>
    <w:rsid w:val="59AB7432"/>
    <w:rsid w:val="59AD69D4"/>
    <w:rsid w:val="59AE761A"/>
    <w:rsid w:val="59B11860"/>
    <w:rsid w:val="59B17C0D"/>
    <w:rsid w:val="59B30CAA"/>
    <w:rsid w:val="59B36F70"/>
    <w:rsid w:val="59B50522"/>
    <w:rsid w:val="59B86899"/>
    <w:rsid w:val="59B90436"/>
    <w:rsid w:val="59B91E25"/>
    <w:rsid w:val="59BA7A48"/>
    <w:rsid w:val="59BC6005"/>
    <w:rsid w:val="59BF3780"/>
    <w:rsid w:val="59C02155"/>
    <w:rsid w:val="59C1220E"/>
    <w:rsid w:val="59C1320E"/>
    <w:rsid w:val="59C31FCF"/>
    <w:rsid w:val="59C52B35"/>
    <w:rsid w:val="59CD36C9"/>
    <w:rsid w:val="59CF1242"/>
    <w:rsid w:val="59CF4FF9"/>
    <w:rsid w:val="59D02176"/>
    <w:rsid w:val="59D10C1F"/>
    <w:rsid w:val="59D176A7"/>
    <w:rsid w:val="59D2351E"/>
    <w:rsid w:val="59D24A2E"/>
    <w:rsid w:val="59D53026"/>
    <w:rsid w:val="59DA244F"/>
    <w:rsid w:val="59DA26B9"/>
    <w:rsid w:val="59DA5D7A"/>
    <w:rsid w:val="59E3141B"/>
    <w:rsid w:val="59E45994"/>
    <w:rsid w:val="59E66946"/>
    <w:rsid w:val="59E720E8"/>
    <w:rsid w:val="59E908D6"/>
    <w:rsid w:val="59EE5A26"/>
    <w:rsid w:val="59EF6007"/>
    <w:rsid w:val="59F26811"/>
    <w:rsid w:val="59F30149"/>
    <w:rsid w:val="59F425B6"/>
    <w:rsid w:val="59F4357B"/>
    <w:rsid w:val="59F50037"/>
    <w:rsid w:val="59F51480"/>
    <w:rsid w:val="59F73D73"/>
    <w:rsid w:val="59F801D9"/>
    <w:rsid w:val="59FB2037"/>
    <w:rsid w:val="59FE2F10"/>
    <w:rsid w:val="59FF17A5"/>
    <w:rsid w:val="5A007AAD"/>
    <w:rsid w:val="5A010E1A"/>
    <w:rsid w:val="5A011CD8"/>
    <w:rsid w:val="5A034F96"/>
    <w:rsid w:val="5A04026A"/>
    <w:rsid w:val="5A0426AD"/>
    <w:rsid w:val="5A060571"/>
    <w:rsid w:val="5A097840"/>
    <w:rsid w:val="5A0F4817"/>
    <w:rsid w:val="5A111452"/>
    <w:rsid w:val="5A12339D"/>
    <w:rsid w:val="5A137381"/>
    <w:rsid w:val="5A144D9D"/>
    <w:rsid w:val="5A1A1787"/>
    <w:rsid w:val="5A1B1B50"/>
    <w:rsid w:val="5A1B739C"/>
    <w:rsid w:val="5A1D16D7"/>
    <w:rsid w:val="5A1D629C"/>
    <w:rsid w:val="5A200E76"/>
    <w:rsid w:val="5A261DD4"/>
    <w:rsid w:val="5A290952"/>
    <w:rsid w:val="5A2B72EC"/>
    <w:rsid w:val="5A2B7566"/>
    <w:rsid w:val="5A2F3A8F"/>
    <w:rsid w:val="5A313344"/>
    <w:rsid w:val="5A342934"/>
    <w:rsid w:val="5A347D6B"/>
    <w:rsid w:val="5A365AFA"/>
    <w:rsid w:val="5A3B2434"/>
    <w:rsid w:val="5A3E09AB"/>
    <w:rsid w:val="5A400196"/>
    <w:rsid w:val="5A423875"/>
    <w:rsid w:val="5A427C66"/>
    <w:rsid w:val="5A447AF7"/>
    <w:rsid w:val="5A474302"/>
    <w:rsid w:val="5A47527D"/>
    <w:rsid w:val="5A475BA4"/>
    <w:rsid w:val="5A48321A"/>
    <w:rsid w:val="5A49113B"/>
    <w:rsid w:val="5A492DA3"/>
    <w:rsid w:val="5A4B1EDE"/>
    <w:rsid w:val="5A4B4C09"/>
    <w:rsid w:val="5A4F4499"/>
    <w:rsid w:val="5A51252E"/>
    <w:rsid w:val="5A56726E"/>
    <w:rsid w:val="5A5947AF"/>
    <w:rsid w:val="5A5A162F"/>
    <w:rsid w:val="5A5F4135"/>
    <w:rsid w:val="5A601E9A"/>
    <w:rsid w:val="5A62046F"/>
    <w:rsid w:val="5A6220B6"/>
    <w:rsid w:val="5A637AA5"/>
    <w:rsid w:val="5A637CC1"/>
    <w:rsid w:val="5A641A7F"/>
    <w:rsid w:val="5A676E46"/>
    <w:rsid w:val="5A6B2458"/>
    <w:rsid w:val="5A6B572A"/>
    <w:rsid w:val="5A6C3EF9"/>
    <w:rsid w:val="5A6D6CD2"/>
    <w:rsid w:val="5A6F2608"/>
    <w:rsid w:val="5A6F28B6"/>
    <w:rsid w:val="5A721487"/>
    <w:rsid w:val="5A725AFB"/>
    <w:rsid w:val="5A731F7F"/>
    <w:rsid w:val="5A741512"/>
    <w:rsid w:val="5A753B98"/>
    <w:rsid w:val="5A774E6E"/>
    <w:rsid w:val="5A787929"/>
    <w:rsid w:val="5A797606"/>
    <w:rsid w:val="5A7A7EAE"/>
    <w:rsid w:val="5A813313"/>
    <w:rsid w:val="5A8137F7"/>
    <w:rsid w:val="5A813930"/>
    <w:rsid w:val="5A8738CB"/>
    <w:rsid w:val="5A8A6DA2"/>
    <w:rsid w:val="5A8C6A14"/>
    <w:rsid w:val="5A91210E"/>
    <w:rsid w:val="5A9230C8"/>
    <w:rsid w:val="5A9247E9"/>
    <w:rsid w:val="5A9271F4"/>
    <w:rsid w:val="5A927621"/>
    <w:rsid w:val="5A934782"/>
    <w:rsid w:val="5A941147"/>
    <w:rsid w:val="5A9702EC"/>
    <w:rsid w:val="5A983CF5"/>
    <w:rsid w:val="5A99318A"/>
    <w:rsid w:val="5A993297"/>
    <w:rsid w:val="5A9A2EA7"/>
    <w:rsid w:val="5A9B1CE5"/>
    <w:rsid w:val="5A9B7D39"/>
    <w:rsid w:val="5A9C4D5C"/>
    <w:rsid w:val="5A9D5EE9"/>
    <w:rsid w:val="5A9E1F2C"/>
    <w:rsid w:val="5A9E595B"/>
    <w:rsid w:val="5A9F45EF"/>
    <w:rsid w:val="5AA007EA"/>
    <w:rsid w:val="5AA70F72"/>
    <w:rsid w:val="5AA7161B"/>
    <w:rsid w:val="5AA758C5"/>
    <w:rsid w:val="5AA85A67"/>
    <w:rsid w:val="5AA95B36"/>
    <w:rsid w:val="5AAB4DA6"/>
    <w:rsid w:val="5AAC1414"/>
    <w:rsid w:val="5AB107D2"/>
    <w:rsid w:val="5AB13C9A"/>
    <w:rsid w:val="5AB4557C"/>
    <w:rsid w:val="5AB47AF5"/>
    <w:rsid w:val="5AB51DC3"/>
    <w:rsid w:val="5AB97C85"/>
    <w:rsid w:val="5ABA5A4E"/>
    <w:rsid w:val="5ABB5323"/>
    <w:rsid w:val="5ABD3571"/>
    <w:rsid w:val="5ABD563E"/>
    <w:rsid w:val="5ABD7910"/>
    <w:rsid w:val="5ABE5F02"/>
    <w:rsid w:val="5ABE7FB2"/>
    <w:rsid w:val="5AC30A2D"/>
    <w:rsid w:val="5AC46AAA"/>
    <w:rsid w:val="5AC64659"/>
    <w:rsid w:val="5AC87EB9"/>
    <w:rsid w:val="5AC920AF"/>
    <w:rsid w:val="5AC97A40"/>
    <w:rsid w:val="5ACD3DBE"/>
    <w:rsid w:val="5AD13F55"/>
    <w:rsid w:val="5AD4446C"/>
    <w:rsid w:val="5AD87798"/>
    <w:rsid w:val="5AD919C3"/>
    <w:rsid w:val="5ADA7193"/>
    <w:rsid w:val="5ADF2269"/>
    <w:rsid w:val="5AE25039"/>
    <w:rsid w:val="5AE26965"/>
    <w:rsid w:val="5AE3240A"/>
    <w:rsid w:val="5AE4534D"/>
    <w:rsid w:val="5AE64108"/>
    <w:rsid w:val="5AE7330E"/>
    <w:rsid w:val="5AE825BC"/>
    <w:rsid w:val="5AE8436A"/>
    <w:rsid w:val="5AEB7DA9"/>
    <w:rsid w:val="5AED7F7A"/>
    <w:rsid w:val="5AF034F8"/>
    <w:rsid w:val="5AF06DC4"/>
    <w:rsid w:val="5AF2663A"/>
    <w:rsid w:val="5AF63CA6"/>
    <w:rsid w:val="5AF7231B"/>
    <w:rsid w:val="5AF90C7E"/>
    <w:rsid w:val="5AFA3F3C"/>
    <w:rsid w:val="5AFC6A73"/>
    <w:rsid w:val="5AFD0B7E"/>
    <w:rsid w:val="5B0172F8"/>
    <w:rsid w:val="5B056AD7"/>
    <w:rsid w:val="5B087784"/>
    <w:rsid w:val="5B0A0813"/>
    <w:rsid w:val="5B0A50E6"/>
    <w:rsid w:val="5B0C352E"/>
    <w:rsid w:val="5B0F069C"/>
    <w:rsid w:val="5B182775"/>
    <w:rsid w:val="5B182ACC"/>
    <w:rsid w:val="5B186073"/>
    <w:rsid w:val="5B1A7880"/>
    <w:rsid w:val="5B1D1022"/>
    <w:rsid w:val="5B1D27A8"/>
    <w:rsid w:val="5B200D5A"/>
    <w:rsid w:val="5B202E4F"/>
    <w:rsid w:val="5B235395"/>
    <w:rsid w:val="5B235F57"/>
    <w:rsid w:val="5B2417A0"/>
    <w:rsid w:val="5B2D4231"/>
    <w:rsid w:val="5B334B40"/>
    <w:rsid w:val="5B342435"/>
    <w:rsid w:val="5B3536CD"/>
    <w:rsid w:val="5B3577C2"/>
    <w:rsid w:val="5B3833D8"/>
    <w:rsid w:val="5B3C6C63"/>
    <w:rsid w:val="5B3D360C"/>
    <w:rsid w:val="5B3E784D"/>
    <w:rsid w:val="5B4133DB"/>
    <w:rsid w:val="5B430254"/>
    <w:rsid w:val="5B435A44"/>
    <w:rsid w:val="5B446540"/>
    <w:rsid w:val="5B461B06"/>
    <w:rsid w:val="5B4832D7"/>
    <w:rsid w:val="5B484B70"/>
    <w:rsid w:val="5B490F56"/>
    <w:rsid w:val="5B4C64FA"/>
    <w:rsid w:val="5B4D284F"/>
    <w:rsid w:val="5B4E7953"/>
    <w:rsid w:val="5B4F263B"/>
    <w:rsid w:val="5B502842"/>
    <w:rsid w:val="5B564D12"/>
    <w:rsid w:val="5B5844A1"/>
    <w:rsid w:val="5B587682"/>
    <w:rsid w:val="5B592E61"/>
    <w:rsid w:val="5B6000B8"/>
    <w:rsid w:val="5B63790F"/>
    <w:rsid w:val="5B651F03"/>
    <w:rsid w:val="5B6747F6"/>
    <w:rsid w:val="5B6F6839"/>
    <w:rsid w:val="5B6F74B9"/>
    <w:rsid w:val="5B743E4F"/>
    <w:rsid w:val="5B7569F8"/>
    <w:rsid w:val="5B7C11FA"/>
    <w:rsid w:val="5B7C334A"/>
    <w:rsid w:val="5B7C5DBB"/>
    <w:rsid w:val="5B7D512A"/>
    <w:rsid w:val="5B7E1C39"/>
    <w:rsid w:val="5B823136"/>
    <w:rsid w:val="5B8314F5"/>
    <w:rsid w:val="5B846200"/>
    <w:rsid w:val="5B89229B"/>
    <w:rsid w:val="5B8B705E"/>
    <w:rsid w:val="5B8F2A37"/>
    <w:rsid w:val="5B8F33AF"/>
    <w:rsid w:val="5B9417C1"/>
    <w:rsid w:val="5B953642"/>
    <w:rsid w:val="5B962A24"/>
    <w:rsid w:val="5B96774F"/>
    <w:rsid w:val="5B9718EC"/>
    <w:rsid w:val="5B985205"/>
    <w:rsid w:val="5B9E2C7A"/>
    <w:rsid w:val="5B9E4CD5"/>
    <w:rsid w:val="5BA01642"/>
    <w:rsid w:val="5BA113F4"/>
    <w:rsid w:val="5BA13CC9"/>
    <w:rsid w:val="5BA2664B"/>
    <w:rsid w:val="5BA6373A"/>
    <w:rsid w:val="5BA652E6"/>
    <w:rsid w:val="5BA71B78"/>
    <w:rsid w:val="5BAA5340"/>
    <w:rsid w:val="5BAE2125"/>
    <w:rsid w:val="5BB404A9"/>
    <w:rsid w:val="5BB57101"/>
    <w:rsid w:val="5BB63BA0"/>
    <w:rsid w:val="5BB71F8E"/>
    <w:rsid w:val="5BB72C81"/>
    <w:rsid w:val="5BB82683"/>
    <w:rsid w:val="5BB93B16"/>
    <w:rsid w:val="5BBA18EB"/>
    <w:rsid w:val="5BBC0ACF"/>
    <w:rsid w:val="5BBD4FCA"/>
    <w:rsid w:val="5BBE0A6F"/>
    <w:rsid w:val="5BBF58A9"/>
    <w:rsid w:val="5BC1340B"/>
    <w:rsid w:val="5BC13C84"/>
    <w:rsid w:val="5BC268A0"/>
    <w:rsid w:val="5BC52FB6"/>
    <w:rsid w:val="5BC64717"/>
    <w:rsid w:val="5BC93AA3"/>
    <w:rsid w:val="5BCF1086"/>
    <w:rsid w:val="5BCF64FE"/>
    <w:rsid w:val="5BD47036"/>
    <w:rsid w:val="5BD60666"/>
    <w:rsid w:val="5BD632D6"/>
    <w:rsid w:val="5BD82630"/>
    <w:rsid w:val="5BDC3AB5"/>
    <w:rsid w:val="5BDC714B"/>
    <w:rsid w:val="5BDD3A16"/>
    <w:rsid w:val="5BDF30A7"/>
    <w:rsid w:val="5BE154BD"/>
    <w:rsid w:val="5BE23CDC"/>
    <w:rsid w:val="5BE34B31"/>
    <w:rsid w:val="5BE540B1"/>
    <w:rsid w:val="5BE73D15"/>
    <w:rsid w:val="5BEA4111"/>
    <w:rsid w:val="5BEB0B75"/>
    <w:rsid w:val="5BEB30C4"/>
    <w:rsid w:val="5BED0EE5"/>
    <w:rsid w:val="5BED2A9C"/>
    <w:rsid w:val="5BEE5921"/>
    <w:rsid w:val="5BF03E62"/>
    <w:rsid w:val="5BF1724E"/>
    <w:rsid w:val="5BF222A1"/>
    <w:rsid w:val="5BF54731"/>
    <w:rsid w:val="5BFA3ABC"/>
    <w:rsid w:val="5BFB43CA"/>
    <w:rsid w:val="5BFC55B2"/>
    <w:rsid w:val="5BFD3E45"/>
    <w:rsid w:val="5BFE07AD"/>
    <w:rsid w:val="5C007491"/>
    <w:rsid w:val="5C013209"/>
    <w:rsid w:val="5C026343"/>
    <w:rsid w:val="5C092D39"/>
    <w:rsid w:val="5C0E09EC"/>
    <w:rsid w:val="5C1123A5"/>
    <w:rsid w:val="5C132525"/>
    <w:rsid w:val="5C140F5D"/>
    <w:rsid w:val="5C1442F1"/>
    <w:rsid w:val="5C1476C5"/>
    <w:rsid w:val="5C160BE3"/>
    <w:rsid w:val="5C17567D"/>
    <w:rsid w:val="5C1971D0"/>
    <w:rsid w:val="5C1A34AA"/>
    <w:rsid w:val="5C1B61BC"/>
    <w:rsid w:val="5C1E4F02"/>
    <w:rsid w:val="5C1E588E"/>
    <w:rsid w:val="5C1E5C38"/>
    <w:rsid w:val="5C210500"/>
    <w:rsid w:val="5C221FC7"/>
    <w:rsid w:val="5C266986"/>
    <w:rsid w:val="5C292E8C"/>
    <w:rsid w:val="5C2A0999"/>
    <w:rsid w:val="5C2B06FC"/>
    <w:rsid w:val="5C2B6F55"/>
    <w:rsid w:val="5C2C46A2"/>
    <w:rsid w:val="5C2F01CC"/>
    <w:rsid w:val="5C3834CE"/>
    <w:rsid w:val="5C393C05"/>
    <w:rsid w:val="5C3E726B"/>
    <w:rsid w:val="5C3E7FB9"/>
    <w:rsid w:val="5C3F26AF"/>
    <w:rsid w:val="5C3F7996"/>
    <w:rsid w:val="5C473FC2"/>
    <w:rsid w:val="5C477EBE"/>
    <w:rsid w:val="5C481D36"/>
    <w:rsid w:val="5C491F4F"/>
    <w:rsid w:val="5C49241F"/>
    <w:rsid w:val="5C50091C"/>
    <w:rsid w:val="5C512C21"/>
    <w:rsid w:val="5C5138B0"/>
    <w:rsid w:val="5C515B6B"/>
    <w:rsid w:val="5C5305A9"/>
    <w:rsid w:val="5C5535EE"/>
    <w:rsid w:val="5C574209"/>
    <w:rsid w:val="5C58107B"/>
    <w:rsid w:val="5C59225E"/>
    <w:rsid w:val="5C595A19"/>
    <w:rsid w:val="5C5A6D58"/>
    <w:rsid w:val="5C5D5692"/>
    <w:rsid w:val="5C6647D6"/>
    <w:rsid w:val="5C667397"/>
    <w:rsid w:val="5C6930B6"/>
    <w:rsid w:val="5C693259"/>
    <w:rsid w:val="5C6C6072"/>
    <w:rsid w:val="5C6C6A28"/>
    <w:rsid w:val="5C6E0E30"/>
    <w:rsid w:val="5C6F4617"/>
    <w:rsid w:val="5C6F4C26"/>
    <w:rsid w:val="5C6F7147"/>
    <w:rsid w:val="5C7533A1"/>
    <w:rsid w:val="5C7533AC"/>
    <w:rsid w:val="5C757E7F"/>
    <w:rsid w:val="5C772AE1"/>
    <w:rsid w:val="5C79222F"/>
    <w:rsid w:val="5C7E4749"/>
    <w:rsid w:val="5C7F57FD"/>
    <w:rsid w:val="5C8016DB"/>
    <w:rsid w:val="5C814547"/>
    <w:rsid w:val="5C8259C0"/>
    <w:rsid w:val="5C825DBF"/>
    <w:rsid w:val="5C827987"/>
    <w:rsid w:val="5C8400C2"/>
    <w:rsid w:val="5C8553D7"/>
    <w:rsid w:val="5C856F6A"/>
    <w:rsid w:val="5C871A80"/>
    <w:rsid w:val="5C8856F8"/>
    <w:rsid w:val="5C890369"/>
    <w:rsid w:val="5C8A5301"/>
    <w:rsid w:val="5C8C472E"/>
    <w:rsid w:val="5C8E48C7"/>
    <w:rsid w:val="5C8F58D8"/>
    <w:rsid w:val="5C9001CA"/>
    <w:rsid w:val="5C904BF6"/>
    <w:rsid w:val="5C9127DF"/>
    <w:rsid w:val="5C92790F"/>
    <w:rsid w:val="5C936B03"/>
    <w:rsid w:val="5C94288E"/>
    <w:rsid w:val="5C95016F"/>
    <w:rsid w:val="5C970495"/>
    <w:rsid w:val="5C974816"/>
    <w:rsid w:val="5C9822FE"/>
    <w:rsid w:val="5C9D664E"/>
    <w:rsid w:val="5CA218A7"/>
    <w:rsid w:val="5CA46982"/>
    <w:rsid w:val="5CA520FB"/>
    <w:rsid w:val="5CA77C2A"/>
    <w:rsid w:val="5CAD5F7D"/>
    <w:rsid w:val="5CB062C2"/>
    <w:rsid w:val="5CB25FAA"/>
    <w:rsid w:val="5CB43732"/>
    <w:rsid w:val="5CB441E0"/>
    <w:rsid w:val="5CB611D3"/>
    <w:rsid w:val="5CB65A2F"/>
    <w:rsid w:val="5CB71058"/>
    <w:rsid w:val="5CB76FF7"/>
    <w:rsid w:val="5CB83C2C"/>
    <w:rsid w:val="5CBD3EB0"/>
    <w:rsid w:val="5CBE4D3C"/>
    <w:rsid w:val="5CBF0010"/>
    <w:rsid w:val="5CBF5DBB"/>
    <w:rsid w:val="5CC00EE5"/>
    <w:rsid w:val="5CC06FB6"/>
    <w:rsid w:val="5CC44962"/>
    <w:rsid w:val="5CC873DC"/>
    <w:rsid w:val="5CCB5FD0"/>
    <w:rsid w:val="5CCC1A69"/>
    <w:rsid w:val="5CCD358E"/>
    <w:rsid w:val="5CCE6EAF"/>
    <w:rsid w:val="5CD00250"/>
    <w:rsid w:val="5CD31D20"/>
    <w:rsid w:val="5CD37665"/>
    <w:rsid w:val="5CD43849"/>
    <w:rsid w:val="5CD50EBF"/>
    <w:rsid w:val="5CDA597E"/>
    <w:rsid w:val="5CE01187"/>
    <w:rsid w:val="5CE33707"/>
    <w:rsid w:val="5CE70651"/>
    <w:rsid w:val="5CE8111E"/>
    <w:rsid w:val="5CE92781"/>
    <w:rsid w:val="5CEA180A"/>
    <w:rsid w:val="5CEB47CE"/>
    <w:rsid w:val="5CEE404B"/>
    <w:rsid w:val="5CF214D0"/>
    <w:rsid w:val="5CF30FDA"/>
    <w:rsid w:val="5CF4125C"/>
    <w:rsid w:val="5CF50FC0"/>
    <w:rsid w:val="5CF60D2A"/>
    <w:rsid w:val="5CFE2E54"/>
    <w:rsid w:val="5D007E51"/>
    <w:rsid w:val="5D0574F6"/>
    <w:rsid w:val="5D0726D6"/>
    <w:rsid w:val="5D0B1795"/>
    <w:rsid w:val="5D0B5C23"/>
    <w:rsid w:val="5D0C5457"/>
    <w:rsid w:val="5D0F2C9A"/>
    <w:rsid w:val="5D0F6255"/>
    <w:rsid w:val="5D115337"/>
    <w:rsid w:val="5D127DF8"/>
    <w:rsid w:val="5D184521"/>
    <w:rsid w:val="5D1A65A7"/>
    <w:rsid w:val="5D1B144E"/>
    <w:rsid w:val="5D1D7D59"/>
    <w:rsid w:val="5D2364F1"/>
    <w:rsid w:val="5D245B4E"/>
    <w:rsid w:val="5D25515D"/>
    <w:rsid w:val="5D284EF1"/>
    <w:rsid w:val="5D2F1815"/>
    <w:rsid w:val="5D2F6DED"/>
    <w:rsid w:val="5D303DA6"/>
    <w:rsid w:val="5D337DF5"/>
    <w:rsid w:val="5D347B66"/>
    <w:rsid w:val="5D354C8F"/>
    <w:rsid w:val="5D370E05"/>
    <w:rsid w:val="5D38089C"/>
    <w:rsid w:val="5D3B466B"/>
    <w:rsid w:val="5D3C2ECF"/>
    <w:rsid w:val="5D3C4F3B"/>
    <w:rsid w:val="5D3D3D76"/>
    <w:rsid w:val="5D3D40A7"/>
    <w:rsid w:val="5D415069"/>
    <w:rsid w:val="5D442E17"/>
    <w:rsid w:val="5D4431FA"/>
    <w:rsid w:val="5D450590"/>
    <w:rsid w:val="5D4808FA"/>
    <w:rsid w:val="5D494FFC"/>
    <w:rsid w:val="5D4B58B4"/>
    <w:rsid w:val="5D4D53CE"/>
    <w:rsid w:val="5D4E1AA5"/>
    <w:rsid w:val="5D4E3C3F"/>
    <w:rsid w:val="5D502852"/>
    <w:rsid w:val="5D515D12"/>
    <w:rsid w:val="5D522817"/>
    <w:rsid w:val="5D5314BC"/>
    <w:rsid w:val="5D532A94"/>
    <w:rsid w:val="5D535CE6"/>
    <w:rsid w:val="5D553BE3"/>
    <w:rsid w:val="5D584A04"/>
    <w:rsid w:val="5D5A5837"/>
    <w:rsid w:val="5D5B064E"/>
    <w:rsid w:val="5D5B226E"/>
    <w:rsid w:val="5D5C2CB5"/>
    <w:rsid w:val="5D5C7944"/>
    <w:rsid w:val="5D5D4BCA"/>
    <w:rsid w:val="5D5F6E24"/>
    <w:rsid w:val="5D6061DE"/>
    <w:rsid w:val="5D631B09"/>
    <w:rsid w:val="5D641F8A"/>
    <w:rsid w:val="5D665A1A"/>
    <w:rsid w:val="5D69348E"/>
    <w:rsid w:val="5D6A1FF5"/>
    <w:rsid w:val="5D6A42BA"/>
    <w:rsid w:val="5D6D16CD"/>
    <w:rsid w:val="5D7212F5"/>
    <w:rsid w:val="5D731472"/>
    <w:rsid w:val="5D7513E4"/>
    <w:rsid w:val="5D7739CD"/>
    <w:rsid w:val="5D774FBA"/>
    <w:rsid w:val="5D784712"/>
    <w:rsid w:val="5D78492D"/>
    <w:rsid w:val="5D7C2EDF"/>
    <w:rsid w:val="5D7C3F31"/>
    <w:rsid w:val="5D7C7976"/>
    <w:rsid w:val="5D8124D1"/>
    <w:rsid w:val="5D814957"/>
    <w:rsid w:val="5D887D08"/>
    <w:rsid w:val="5D8E05F5"/>
    <w:rsid w:val="5D8E070B"/>
    <w:rsid w:val="5D8F584A"/>
    <w:rsid w:val="5D91627F"/>
    <w:rsid w:val="5D916D3F"/>
    <w:rsid w:val="5D94143F"/>
    <w:rsid w:val="5D941AFB"/>
    <w:rsid w:val="5D9479D7"/>
    <w:rsid w:val="5D951411"/>
    <w:rsid w:val="5D9575D6"/>
    <w:rsid w:val="5D9A63D7"/>
    <w:rsid w:val="5D9B1A46"/>
    <w:rsid w:val="5DA14734"/>
    <w:rsid w:val="5DA24D87"/>
    <w:rsid w:val="5DA43384"/>
    <w:rsid w:val="5DA5324C"/>
    <w:rsid w:val="5DA84027"/>
    <w:rsid w:val="5DB015BC"/>
    <w:rsid w:val="5DB01B51"/>
    <w:rsid w:val="5DB369DC"/>
    <w:rsid w:val="5DB8536A"/>
    <w:rsid w:val="5DB90C9C"/>
    <w:rsid w:val="5DBA1AF2"/>
    <w:rsid w:val="5DBD1031"/>
    <w:rsid w:val="5DBD3964"/>
    <w:rsid w:val="5DC0761C"/>
    <w:rsid w:val="5DC2061F"/>
    <w:rsid w:val="5DC35068"/>
    <w:rsid w:val="5DC60514"/>
    <w:rsid w:val="5DC82FD1"/>
    <w:rsid w:val="5DC83D9E"/>
    <w:rsid w:val="5DC85A6F"/>
    <w:rsid w:val="5DC8707D"/>
    <w:rsid w:val="5DCA5683"/>
    <w:rsid w:val="5DCB472A"/>
    <w:rsid w:val="5DCE7C2C"/>
    <w:rsid w:val="5DCF0F38"/>
    <w:rsid w:val="5DD111F8"/>
    <w:rsid w:val="5DD15E3A"/>
    <w:rsid w:val="5DD4165E"/>
    <w:rsid w:val="5DD44C9F"/>
    <w:rsid w:val="5DD63B9C"/>
    <w:rsid w:val="5DD80A62"/>
    <w:rsid w:val="5DD827DC"/>
    <w:rsid w:val="5DE14959"/>
    <w:rsid w:val="5DE227C9"/>
    <w:rsid w:val="5DE26692"/>
    <w:rsid w:val="5DE874E0"/>
    <w:rsid w:val="5DE87F65"/>
    <w:rsid w:val="5DE90410"/>
    <w:rsid w:val="5DE912A6"/>
    <w:rsid w:val="5DEB1BD6"/>
    <w:rsid w:val="5DEE1EAC"/>
    <w:rsid w:val="5DF20DF5"/>
    <w:rsid w:val="5DF37C59"/>
    <w:rsid w:val="5DF9688E"/>
    <w:rsid w:val="5DFB0858"/>
    <w:rsid w:val="5DFB736A"/>
    <w:rsid w:val="5DFC1EDA"/>
    <w:rsid w:val="5DFE21BA"/>
    <w:rsid w:val="5E050670"/>
    <w:rsid w:val="5E067CD3"/>
    <w:rsid w:val="5E070E18"/>
    <w:rsid w:val="5E0C0B5B"/>
    <w:rsid w:val="5E0C594B"/>
    <w:rsid w:val="5E0C5ED4"/>
    <w:rsid w:val="5E0C6E69"/>
    <w:rsid w:val="5E0E5573"/>
    <w:rsid w:val="5E1035AD"/>
    <w:rsid w:val="5E104A70"/>
    <w:rsid w:val="5E16178C"/>
    <w:rsid w:val="5E17293B"/>
    <w:rsid w:val="5E1C170B"/>
    <w:rsid w:val="5E220573"/>
    <w:rsid w:val="5E226780"/>
    <w:rsid w:val="5E230DD6"/>
    <w:rsid w:val="5E236258"/>
    <w:rsid w:val="5E245A60"/>
    <w:rsid w:val="5E251370"/>
    <w:rsid w:val="5E255457"/>
    <w:rsid w:val="5E287173"/>
    <w:rsid w:val="5E2A53C6"/>
    <w:rsid w:val="5E2B02C1"/>
    <w:rsid w:val="5E2B11A7"/>
    <w:rsid w:val="5E2C1098"/>
    <w:rsid w:val="5E3043B8"/>
    <w:rsid w:val="5E323322"/>
    <w:rsid w:val="5E344234"/>
    <w:rsid w:val="5E352FD0"/>
    <w:rsid w:val="5E3646D1"/>
    <w:rsid w:val="5E375E60"/>
    <w:rsid w:val="5E385608"/>
    <w:rsid w:val="5E390D65"/>
    <w:rsid w:val="5E3E0D29"/>
    <w:rsid w:val="5E403418"/>
    <w:rsid w:val="5E404A39"/>
    <w:rsid w:val="5E42420A"/>
    <w:rsid w:val="5E425CBE"/>
    <w:rsid w:val="5E452A86"/>
    <w:rsid w:val="5E467E61"/>
    <w:rsid w:val="5E4915C3"/>
    <w:rsid w:val="5E4B6DAA"/>
    <w:rsid w:val="5E4C4C10"/>
    <w:rsid w:val="5E4D0181"/>
    <w:rsid w:val="5E4D781F"/>
    <w:rsid w:val="5E4E7F57"/>
    <w:rsid w:val="5E532442"/>
    <w:rsid w:val="5E590E80"/>
    <w:rsid w:val="5E5A1C15"/>
    <w:rsid w:val="5E604088"/>
    <w:rsid w:val="5E60643B"/>
    <w:rsid w:val="5E6333D1"/>
    <w:rsid w:val="5E633A82"/>
    <w:rsid w:val="5E63480F"/>
    <w:rsid w:val="5E6364AC"/>
    <w:rsid w:val="5E6401BB"/>
    <w:rsid w:val="5E641E3D"/>
    <w:rsid w:val="5E660C4E"/>
    <w:rsid w:val="5E663419"/>
    <w:rsid w:val="5E693945"/>
    <w:rsid w:val="5E6C313C"/>
    <w:rsid w:val="5E6F19B0"/>
    <w:rsid w:val="5E7128C8"/>
    <w:rsid w:val="5E730AC9"/>
    <w:rsid w:val="5E7419FC"/>
    <w:rsid w:val="5E75636D"/>
    <w:rsid w:val="5E783C56"/>
    <w:rsid w:val="5E785A05"/>
    <w:rsid w:val="5E7A1E95"/>
    <w:rsid w:val="5E7D63CC"/>
    <w:rsid w:val="5E7E5D4F"/>
    <w:rsid w:val="5E825DAE"/>
    <w:rsid w:val="5E827D0F"/>
    <w:rsid w:val="5E8343A9"/>
    <w:rsid w:val="5E8754C6"/>
    <w:rsid w:val="5E877259"/>
    <w:rsid w:val="5E8A775C"/>
    <w:rsid w:val="5E9046F3"/>
    <w:rsid w:val="5E90784E"/>
    <w:rsid w:val="5E925646"/>
    <w:rsid w:val="5E95132E"/>
    <w:rsid w:val="5E964E80"/>
    <w:rsid w:val="5E9A7503"/>
    <w:rsid w:val="5E9B76DB"/>
    <w:rsid w:val="5E9F61D2"/>
    <w:rsid w:val="5EA04DFA"/>
    <w:rsid w:val="5EA525C4"/>
    <w:rsid w:val="5EA54729"/>
    <w:rsid w:val="5EA84F4D"/>
    <w:rsid w:val="5EAB152C"/>
    <w:rsid w:val="5EAC1B52"/>
    <w:rsid w:val="5EAD1E20"/>
    <w:rsid w:val="5EB420C5"/>
    <w:rsid w:val="5EB50A07"/>
    <w:rsid w:val="5EB66AB7"/>
    <w:rsid w:val="5EB67FA6"/>
    <w:rsid w:val="5EB76619"/>
    <w:rsid w:val="5EB84053"/>
    <w:rsid w:val="5EB85D64"/>
    <w:rsid w:val="5EB86DA0"/>
    <w:rsid w:val="5EBA426F"/>
    <w:rsid w:val="5EBC1292"/>
    <w:rsid w:val="5EBC7D2E"/>
    <w:rsid w:val="5EBD1FEE"/>
    <w:rsid w:val="5EBE28BA"/>
    <w:rsid w:val="5EC2651D"/>
    <w:rsid w:val="5EC7569F"/>
    <w:rsid w:val="5EC836C0"/>
    <w:rsid w:val="5ECA2749"/>
    <w:rsid w:val="5ECC4034"/>
    <w:rsid w:val="5ED012D4"/>
    <w:rsid w:val="5ED1780A"/>
    <w:rsid w:val="5EDC6AED"/>
    <w:rsid w:val="5EDC7B5B"/>
    <w:rsid w:val="5EDF21E5"/>
    <w:rsid w:val="5EE85214"/>
    <w:rsid w:val="5EEA6421"/>
    <w:rsid w:val="5EEC33FF"/>
    <w:rsid w:val="5EED6F3B"/>
    <w:rsid w:val="5EF018F7"/>
    <w:rsid w:val="5EF157B7"/>
    <w:rsid w:val="5EF2433E"/>
    <w:rsid w:val="5EF25FC7"/>
    <w:rsid w:val="5EF758ED"/>
    <w:rsid w:val="5EFA0B0F"/>
    <w:rsid w:val="5EFC10AB"/>
    <w:rsid w:val="5EFC55AB"/>
    <w:rsid w:val="5EFF6BFE"/>
    <w:rsid w:val="5F0217C1"/>
    <w:rsid w:val="5F04475A"/>
    <w:rsid w:val="5F0454EA"/>
    <w:rsid w:val="5F076D88"/>
    <w:rsid w:val="5F094E6C"/>
    <w:rsid w:val="5F141EE3"/>
    <w:rsid w:val="5F18187B"/>
    <w:rsid w:val="5F184142"/>
    <w:rsid w:val="5F1B29B5"/>
    <w:rsid w:val="5F1B4D9F"/>
    <w:rsid w:val="5F1B5D1B"/>
    <w:rsid w:val="5F1E41B6"/>
    <w:rsid w:val="5F1E7054"/>
    <w:rsid w:val="5F1F30EB"/>
    <w:rsid w:val="5F201EFD"/>
    <w:rsid w:val="5F21071B"/>
    <w:rsid w:val="5F2169AB"/>
    <w:rsid w:val="5F2219D6"/>
    <w:rsid w:val="5F224956"/>
    <w:rsid w:val="5F230066"/>
    <w:rsid w:val="5F256E2A"/>
    <w:rsid w:val="5F2702BF"/>
    <w:rsid w:val="5F2710A6"/>
    <w:rsid w:val="5F2913F5"/>
    <w:rsid w:val="5F2A30B6"/>
    <w:rsid w:val="5F2A32FA"/>
    <w:rsid w:val="5F2B7096"/>
    <w:rsid w:val="5F2F1BB6"/>
    <w:rsid w:val="5F2F7911"/>
    <w:rsid w:val="5F342BD8"/>
    <w:rsid w:val="5F3511D6"/>
    <w:rsid w:val="5F370EF1"/>
    <w:rsid w:val="5F37366C"/>
    <w:rsid w:val="5F3A73D5"/>
    <w:rsid w:val="5F3B45AD"/>
    <w:rsid w:val="5F3D0103"/>
    <w:rsid w:val="5F3E0E9A"/>
    <w:rsid w:val="5F4203D3"/>
    <w:rsid w:val="5F425C4D"/>
    <w:rsid w:val="5F437DD6"/>
    <w:rsid w:val="5F443B39"/>
    <w:rsid w:val="5F444ADF"/>
    <w:rsid w:val="5F445340"/>
    <w:rsid w:val="5F4745F3"/>
    <w:rsid w:val="5F476294"/>
    <w:rsid w:val="5F4955F3"/>
    <w:rsid w:val="5F4A3920"/>
    <w:rsid w:val="5F4B4C5E"/>
    <w:rsid w:val="5F4F5A51"/>
    <w:rsid w:val="5F50072F"/>
    <w:rsid w:val="5F56076A"/>
    <w:rsid w:val="5F562AFD"/>
    <w:rsid w:val="5F5C0D03"/>
    <w:rsid w:val="5F5C5C12"/>
    <w:rsid w:val="5F5D65E5"/>
    <w:rsid w:val="5F5F2DA3"/>
    <w:rsid w:val="5F600C6E"/>
    <w:rsid w:val="5F666149"/>
    <w:rsid w:val="5F675291"/>
    <w:rsid w:val="5F68702C"/>
    <w:rsid w:val="5F6B7E70"/>
    <w:rsid w:val="5F702A1B"/>
    <w:rsid w:val="5F702B80"/>
    <w:rsid w:val="5F70492E"/>
    <w:rsid w:val="5F724503"/>
    <w:rsid w:val="5F7268F8"/>
    <w:rsid w:val="5F746293"/>
    <w:rsid w:val="5F762360"/>
    <w:rsid w:val="5F793725"/>
    <w:rsid w:val="5F7A5F1F"/>
    <w:rsid w:val="5F8101C5"/>
    <w:rsid w:val="5F883A54"/>
    <w:rsid w:val="5F884F11"/>
    <w:rsid w:val="5F886A3D"/>
    <w:rsid w:val="5F8B77D7"/>
    <w:rsid w:val="5F8C4244"/>
    <w:rsid w:val="5F8D6A5A"/>
    <w:rsid w:val="5F8F4BA4"/>
    <w:rsid w:val="5F903137"/>
    <w:rsid w:val="5F9659BE"/>
    <w:rsid w:val="5F98364A"/>
    <w:rsid w:val="5F9B0EFE"/>
    <w:rsid w:val="5F9B77F9"/>
    <w:rsid w:val="5F9E7F02"/>
    <w:rsid w:val="5F9F3465"/>
    <w:rsid w:val="5FA03C93"/>
    <w:rsid w:val="5FA04FAF"/>
    <w:rsid w:val="5FA10AD0"/>
    <w:rsid w:val="5FA173B4"/>
    <w:rsid w:val="5FA243E3"/>
    <w:rsid w:val="5FA30A78"/>
    <w:rsid w:val="5FA36E32"/>
    <w:rsid w:val="5FA93E05"/>
    <w:rsid w:val="5FAB7B30"/>
    <w:rsid w:val="5FAE7F32"/>
    <w:rsid w:val="5FAF18FA"/>
    <w:rsid w:val="5FB32A6C"/>
    <w:rsid w:val="5FB40CBE"/>
    <w:rsid w:val="5FB57FCA"/>
    <w:rsid w:val="5FBA01E9"/>
    <w:rsid w:val="5FBB31E4"/>
    <w:rsid w:val="5FBE1B3D"/>
    <w:rsid w:val="5FC058B5"/>
    <w:rsid w:val="5FC06106"/>
    <w:rsid w:val="5FC6225A"/>
    <w:rsid w:val="5FC65CD4"/>
    <w:rsid w:val="5FC73138"/>
    <w:rsid w:val="5FC92831"/>
    <w:rsid w:val="5FD07AA7"/>
    <w:rsid w:val="5FD50CB5"/>
    <w:rsid w:val="5FD7210C"/>
    <w:rsid w:val="5FD82BFC"/>
    <w:rsid w:val="5FD841CC"/>
    <w:rsid w:val="5FDA531D"/>
    <w:rsid w:val="5FDA6E90"/>
    <w:rsid w:val="5FDB0843"/>
    <w:rsid w:val="5FDB4624"/>
    <w:rsid w:val="5FDC5F05"/>
    <w:rsid w:val="5FDF018E"/>
    <w:rsid w:val="5FE02144"/>
    <w:rsid w:val="5FE07587"/>
    <w:rsid w:val="5FE81028"/>
    <w:rsid w:val="5FE837D9"/>
    <w:rsid w:val="5FEA6703"/>
    <w:rsid w:val="5FED5F7E"/>
    <w:rsid w:val="5FEE5D2D"/>
    <w:rsid w:val="5FF10856"/>
    <w:rsid w:val="5FF11483"/>
    <w:rsid w:val="5FF167D9"/>
    <w:rsid w:val="5FF2040A"/>
    <w:rsid w:val="5FF217E7"/>
    <w:rsid w:val="5FF24D49"/>
    <w:rsid w:val="5FF30C46"/>
    <w:rsid w:val="5FF612D7"/>
    <w:rsid w:val="5FF6304F"/>
    <w:rsid w:val="5FF6690F"/>
    <w:rsid w:val="5FF716A0"/>
    <w:rsid w:val="5FF773A9"/>
    <w:rsid w:val="5FF87226"/>
    <w:rsid w:val="5FF87F07"/>
    <w:rsid w:val="5FFA6B6D"/>
    <w:rsid w:val="5FFC4D8F"/>
    <w:rsid w:val="5FFD6985"/>
    <w:rsid w:val="600037DF"/>
    <w:rsid w:val="6003359C"/>
    <w:rsid w:val="60084C10"/>
    <w:rsid w:val="60090A9D"/>
    <w:rsid w:val="600A2FD4"/>
    <w:rsid w:val="600B4656"/>
    <w:rsid w:val="600B47F8"/>
    <w:rsid w:val="600C47B5"/>
    <w:rsid w:val="600C6F4E"/>
    <w:rsid w:val="6011017B"/>
    <w:rsid w:val="60116111"/>
    <w:rsid w:val="60116340"/>
    <w:rsid w:val="60166ECE"/>
    <w:rsid w:val="60173EAF"/>
    <w:rsid w:val="60193C38"/>
    <w:rsid w:val="6019584A"/>
    <w:rsid w:val="601B2499"/>
    <w:rsid w:val="601B2AEB"/>
    <w:rsid w:val="601C1876"/>
    <w:rsid w:val="601C58C0"/>
    <w:rsid w:val="601D3E3E"/>
    <w:rsid w:val="60286C8F"/>
    <w:rsid w:val="602933AC"/>
    <w:rsid w:val="602B6D44"/>
    <w:rsid w:val="602D4860"/>
    <w:rsid w:val="602E5259"/>
    <w:rsid w:val="602F2F28"/>
    <w:rsid w:val="603110D2"/>
    <w:rsid w:val="60313464"/>
    <w:rsid w:val="60320BA9"/>
    <w:rsid w:val="60327E35"/>
    <w:rsid w:val="603B36BB"/>
    <w:rsid w:val="603C634C"/>
    <w:rsid w:val="603D3403"/>
    <w:rsid w:val="603F43FE"/>
    <w:rsid w:val="60400D9C"/>
    <w:rsid w:val="60401DC2"/>
    <w:rsid w:val="604333B5"/>
    <w:rsid w:val="60433436"/>
    <w:rsid w:val="60443927"/>
    <w:rsid w:val="60446369"/>
    <w:rsid w:val="604526C6"/>
    <w:rsid w:val="604A332D"/>
    <w:rsid w:val="604B11D7"/>
    <w:rsid w:val="604B411E"/>
    <w:rsid w:val="604C56D7"/>
    <w:rsid w:val="604D184F"/>
    <w:rsid w:val="604D4C6F"/>
    <w:rsid w:val="605217B7"/>
    <w:rsid w:val="60527D17"/>
    <w:rsid w:val="60545EBF"/>
    <w:rsid w:val="60546B54"/>
    <w:rsid w:val="605500A8"/>
    <w:rsid w:val="60570B09"/>
    <w:rsid w:val="6058302A"/>
    <w:rsid w:val="605A1CA2"/>
    <w:rsid w:val="605B0F6C"/>
    <w:rsid w:val="605D6CB4"/>
    <w:rsid w:val="605D7F9C"/>
    <w:rsid w:val="6061138C"/>
    <w:rsid w:val="6067160D"/>
    <w:rsid w:val="60672E3D"/>
    <w:rsid w:val="60673282"/>
    <w:rsid w:val="606A641B"/>
    <w:rsid w:val="606A7D1B"/>
    <w:rsid w:val="606B1DF1"/>
    <w:rsid w:val="606C3032"/>
    <w:rsid w:val="606F1770"/>
    <w:rsid w:val="607718BD"/>
    <w:rsid w:val="6077263F"/>
    <w:rsid w:val="60781A62"/>
    <w:rsid w:val="60793965"/>
    <w:rsid w:val="607B17DC"/>
    <w:rsid w:val="607E12CC"/>
    <w:rsid w:val="607E36D9"/>
    <w:rsid w:val="607F43FC"/>
    <w:rsid w:val="60805EA2"/>
    <w:rsid w:val="60807E43"/>
    <w:rsid w:val="608243EF"/>
    <w:rsid w:val="60825893"/>
    <w:rsid w:val="608541D1"/>
    <w:rsid w:val="60857255"/>
    <w:rsid w:val="60862102"/>
    <w:rsid w:val="60870F46"/>
    <w:rsid w:val="60871286"/>
    <w:rsid w:val="608C1B06"/>
    <w:rsid w:val="608C37A8"/>
    <w:rsid w:val="608D383C"/>
    <w:rsid w:val="608E1034"/>
    <w:rsid w:val="608E59B3"/>
    <w:rsid w:val="608F1F35"/>
    <w:rsid w:val="608F3871"/>
    <w:rsid w:val="60900AA3"/>
    <w:rsid w:val="609333AD"/>
    <w:rsid w:val="60936574"/>
    <w:rsid w:val="60953D18"/>
    <w:rsid w:val="609645E1"/>
    <w:rsid w:val="609E5FD7"/>
    <w:rsid w:val="60A01243"/>
    <w:rsid w:val="60A12862"/>
    <w:rsid w:val="60A31481"/>
    <w:rsid w:val="60A548F1"/>
    <w:rsid w:val="60A57DBD"/>
    <w:rsid w:val="60A62EEC"/>
    <w:rsid w:val="60A63F8C"/>
    <w:rsid w:val="60A725D1"/>
    <w:rsid w:val="60A83531"/>
    <w:rsid w:val="60AA20C1"/>
    <w:rsid w:val="60AA7783"/>
    <w:rsid w:val="60AB5CC5"/>
    <w:rsid w:val="60AF2E27"/>
    <w:rsid w:val="60AF3E7B"/>
    <w:rsid w:val="60B05F1E"/>
    <w:rsid w:val="60B27461"/>
    <w:rsid w:val="60B33F29"/>
    <w:rsid w:val="60B46A9C"/>
    <w:rsid w:val="60B70109"/>
    <w:rsid w:val="60BC083F"/>
    <w:rsid w:val="60C13565"/>
    <w:rsid w:val="60C41097"/>
    <w:rsid w:val="60C5411F"/>
    <w:rsid w:val="60C72719"/>
    <w:rsid w:val="60C8175F"/>
    <w:rsid w:val="60CB12E8"/>
    <w:rsid w:val="60CB2672"/>
    <w:rsid w:val="60CE00C1"/>
    <w:rsid w:val="60CE2364"/>
    <w:rsid w:val="60CF1B28"/>
    <w:rsid w:val="60D2173A"/>
    <w:rsid w:val="60D50FDB"/>
    <w:rsid w:val="60E363FE"/>
    <w:rsid w:val="60E72DBA"/>
    <w:rsid w:val="60E733D0"/>
    <w:rsid w:val="60ED6BE8"/>
    <w:rsid w:val="60EE6121"/>
    <w:rsid w:val="60F148A8"/>
    <w:rsid w:val="60F43549"/>
    <w:rsid w:val="60F5158E"/>
    <w:rsid w:val="60F54132"/>
    <w:rsid w:val="60F55597"/>
    <w:rsid w:val="60F56DD4"/>
    <w:rsid w:val="60FA043D"/>
    <w:rsid w:val="60FA04DF"/>
    <w:rsid w:val="60FA6A4A"/>
    <w:rsid w:val="60FB0EF0"/>
    <w:rsid w:val="60FB4C99"/>
    <w:rsid w:val="60FD29D1"/>
    <w:rsid w:val="60FD2EFB"/>
    <w:rsid w:val="60FE09A5"/>
    <w:rsid w:val="60FE3532"/>
    <w:rsid w:val="60FE54EA"/>
    <w:rsid w:val="60FF53CE"/>
    <w:rsid w:val="60FF7A8F"/>
    <w:rsid w:val="61001FF1"/>
    <w:rsid w:val="61014EA8"/>
    <w:rsid w:val="610244FE"/>
    <w:rsid w:val="610653A5"/>
    <w:rsid w:val="61065495"/>
    <w:rsid w:val="610801E8"/>
    <w:rsid w:val="610A5692"/>
    <w:rsid w:val="610C5D86"/>
    <w:rsid w:val="610D50DB"/>
    <w:rsid w:val="610D7514"/>
    <w:rsid w:val="610F7659"/>
    <w:rsid w:val="61133760"/>
    <w:rsid w:val="611820F2"/>
    <w:rsid w:val="61190239"/>
    <w:rsid w:val="61192F49"/>
    <w:rsid w:val="611D0BB6"/>
    <w:rsid w:val="611E2F2D"/>
    <w:rsid w:val="61212D43"/>
    <w:rsid w:val="612604E4"/>
    <w:rsid w:val="612C2AD6"/>
    <w:rsid w:val="612C423C"/>
    <w:rsid w:val="612F4DD3"/>
    <w:rsid w:val="612F631E"/>
    <w:rsid w:val="61302958"/>
    <w:rsid w:val="61373AFC"/>
    <w:rsid w:val="61385D00"/>
    <w:rsid w:val="613A2F7C"/>
    <w:rsid w:val="61406582"/>
    <w:rsid w:val="6142135E"/>
    <w:rsid w:val="61421DAB"/>
    <w:rsid w:val="61450CFA"/>
    <w:rsid w:val="614B11AE"/>
    <w:rsid w:val="614C2895"/>
    <w:rsid w:val="614F58D1"/>
    <w:rsid w:val="614F7FDC"/>
    <w:rsid w:val="615328F0"/>
    <w:rsid w:val="6153586B"/>
    <w:rsid w:val="615450DE"/>
    <w:rsid w:val="61560996"/>
    <w:rsid w:val="6157271E"/>
    <w:rsid w:val="61593B20"/>
    <w:rsid w:val="615B1022"/>
    <w:rsid w:val="615C02C3"/>
    <w:rsid w:val="615D4EF8"/>
    <w:rsid w:val="615E7523"/>
    <w:rsid w:val="615F3DEF"/>
    <w:rsid w:val="61603930"/>
    <w:rsid w:val="61603A38"/>
    <w:rsid w:val="61614E76"/>
    <w:rsid w:val="616401C6"/>
    <w:rsid w:val="616404C2"/>
    <w:rsid w:val="61641246"/>
    <w:rsid w:val="6164168D"/>
    <w:rsid w:val="61642270"/>
    <w:rsid w:val="61683CE6"/>
    <w:rsid w:val="616A7F28"/>
    <w:rsid w:val="616D54C0"/>
    <w:rsid w:val="616F1F6E"/>
    <w:rsid w:val="6172087B"/>
    <w:rsid w:val="61723128"/>
    <w:rsid w:val="61733132"/>
    <w:rsid w:val="6174779E"/>
    <w:rsid w:val="617A0F33"/>
    <w:rsid w:val="617A5E38"/>
    <w:rsid w:val="617E72A4"/>
    <w:rsid w:val="61842912"/>
    <w:rsid w:val="6188424F"/>
    <w:rsid w:val="6189456E"/>
    <w:rsid w:val="618C1B5C"/>
    <w:rsid w:val="618C27F7"/>
    <w:rsid w:val="618D2CD6"/>
    <w:rsid w:val="618F5E4B"/>
    <w:rsid w:val="619123A5"/>
    <w:rsid w:val="61921BF9"/>
    <w:rsid w:val="61960094"/>
    <w:rsid w:val="61962E3C"/>
    <w:rsid w:val="61980270"/>
    <w:rsid w:val="619A6F6F"/>
    <w:rsid w:val="619C56DD"/>
    <w:rsid w:val="619E0931"/>
    <w:rsid w:val="619E0B47"/>
    <w:rsid w:val="61A32D72"/>
    <w:rsid w:val="61A41AFC"/>
    <w:rsid w:val="61A56DED"/>
    <w:rsid w:val="61A74B6D"/>
    <w:rsid w:val="61A90AED"/>
    <w:rsid w:val="61AB7E06"/>
    <w:rsid w:val="61AC4A0E"/>
    <w:rsid w:val="61AE1473"/>
    <w:rsid w:val="61B1187C"/>
    <w:rsid w:val="61B12CAC"/>
    <w:rsid w:val="61B16594"/>
    <w:rsid w:val="61B33DF2"/>
    <w:rsid w:val="61B34000"/>
    <w:rsid w:val="61BA3681"/>
    <w:rsid w:val="61BD10B7"/>
    <w:rsid w:val="61C4117C"/>
    <w:rsid w:val="61C71D1B"/>
    <w:rsid w:val="61C93BED"/>
    <w:rsid w:val="61CC3C49"/>
    <w:rsid w:val="61CD343B"/>
    <w:rsid w:val="61CE0BB0"/>
    <w:rsid w:val="61CE3F16"/>
    <w:rsid w:val="61CE7D34"/>
    <w:rsid w:val="61D02DCF"/>
    <w:rsid w:val="61D1252C"/>
    <w:rsid w:val="61D22D3C"/>
    <w:rsid w:val="61D2367E"/>
    <w:rsid w:val="61D75138"/>
    <w:rsid w:val="61D84F5F"/>
    <w:rsid w:val="61DA291E"/>
    <w:rsid w:val="61DC58E0"/>
    <w:rsid w:val="61DC7FC5"/>
    <w:rsid w:val="61DE7B37"/>
    <w:rsid w:val="61DF5842"/>
    <w:rsid w:val="61DF7C25"/>
    <w:rsid w:val="61E02020"/>
    <w:rsid w:val="61E1690F"/>
    <w:rsid w:val="61E17F4C"/>
    <w:rsid w:val="61E229CB"/>
    <w:rsid w:val="61E23BD9"/>
    <w:rsid w:val="61E45CC0"/>
    <w:rsid w:val="61E7474E"/>
    <w:rsid w:val="61EF0E15"/>
    <w:rsid w:val="61F06179"/>
    <w:rsid w:val="61F12391"/>
    <w:rsid w:val="61F374DD"/>
    <w:rsid w:val="61F41846"/>
    <w:rsid w:val="61F53810"/>
    <w:rsid w:val="61F73DA9"/>
    <w:rsid w:val="61F8591F"/>
    <w:rsid w:val="61F968ED"/>
    <w:rsid w:val="61FA2EB8"/>
    <w:rsid w:val="61FB5A8A"/>
    <w:rsid w:val="61FC2030"/>
    <w:rsid w:val="61FE5C0F"/>
    <w:rsid w:val="620000E1"/>
    <w:rsid w:val="6200769B"/>
    <w:rsid w:val="620310AE"/>
    <w:rsid w:val="62037CDB"/>
    <w:rsid w:val="62091A30"/>
    <w:rsid w:val="620C2296"/>
    <w:rsid w:val="62107FB3"/>
    <w:rsid w:val="621152E4"/>
    <w:rsid w:val="621455E0"/>
    <w:rsid w:val="62160BF8"/>
    <w:rsid w:val="621620CC"/>
    <w:rsid w:val="62180201"/>
    <w:rsid w:val="62180434"/>
    <w:rsid w:val="621918C6"/>
    <w:rsid w:val="621C2B4B"/>
    <w:rsid w:val="621E17B1"/>
    <w:rsid w:val="621F13AF"/>
    <w:rsid w:val="621F7DCB"/>
    <w:rsid w:val="6222102A"/>
    <w:rsid w:val="62265778"/>
    <w:rsid w:val="6227291A"/>
    <w:rsid w:val="622C569B"/>
    <w:rsid w:val="622C5D5F"/>
    <w:rsid w:val="622C7E1A"/>
    <w:rsid w:val="622D7DE1"/>
    <w:rsid w:val="622E0B2C"/>
    <w:rsid w:val="62346189"/>
    <w:rsid w:val="623700A1"/>
    <w:rsid w:val="623861CE"/>
    <w:rsid w:val="623936E6"/>
    <w:rsid w:val="623A61A3"/>
    <w:rsid w:val="623C31ED"/>
    <w:rsid w:val="623D3C5A"/>
    <w:rsid w:val="623D6281"/>
    <w:rsid w:val="62415496"/>
    <w:rsid w:val="624221F0"/>
    <w:rsid w:val="624364FC"/>
    <w:rsid w:val="62465BA6"/>
    <w:rsid w:val="624C111E"/>
    <w:rsid w:val="624C1682"/>
    <w:rsid w:val="624D6013"/>
    <w:rsid w:val="624E6B0F"/>
    <w:rsid w:val="624F130B"/>
    <w:rsid w:val="624F28C1"/>
    <w:rsid w:val="62514D1B"/>
    <w:rsid w:val="62574B25"/>
    <w:rsid w:val="62575F44"/>
    <w:rsid w:val="625A3B8B"/>
    <w:rsid w:val="625B18C5"/>
    <w:rsid w:val="625B4D27"/>
    <w:rsid w:val="625C7540"/>
    <w:rsid w:val="62614327"/>
    <w:rsid w:val="62622853"/>
    <w:rsid w:val="6267026A"/>
    <w:rsid w:val="62691311"/>
    <w:rsid w:val="626F6C8D"/>
    <w:rsid w:val="6272432B"/>
    <w:rsid w:val="62731C17"/>
    <w:rsid w:val="627450F4"/>
    <w:rsid w:val="627739CD"/>
    <w:rsid w:val="627B7E06"/>
    <w:rsid w:val="627C0502"/>
    <w:rsid w:val="627E106F"/>
    <w:rsid w:val="627F2979"/>
    <w:rsid w:val="627F4A9D"/>
    <w:rsid w:val="628017CE"/>
    <w:rsid w:val="62802F43"/>
    <w:rsid w:val="62820B56"/>
    <w:rsid w:val="628679C7"/>
    <w:rsid w:val="62877F00"/>
    <w:rsid w:val="62884FF7"/>
    <w:rsid w:val="628D1E9E"/>
    <w:rsid w:val="628D3A49"/>
    <w:rsid w:val="62923FA8"/>
    <w:rsid w:val="62934646"/>
    <w:rsid w:val="62935DB1"/>
    <w:rsid w:val="629411C2"/>
    <w:rsid w:val="62976675"/>
    <w:rsid w:val="62996B6D"/>
    <w:rsid w:val="629B3415"/>
    <w:rsid w:val="629B45CA"/>
    <w:rsid w:val="629D6397"/>
    <w:rsid w:val="629F39F1"/>
    <w:rsid w:val="62A0552A"/>
    <w:rsid w:val="62A203BB"/>
    <w:rsid w:val="62A368C8"/>
    <w:rsid w:val="62A60FB0"/>
    <w:rsid w:val="62A92A20"/>
    <w:rsid w:val="62B02EA6"/>
    <w:rsid w:val="62B22165"/>
    <w:rsid w:val="62B44118"/>
    <w:rsid w:val="62B53CE5"/>
    <w:rsid w:val="62B572F8"/>
    <w:rsid w:val="62B83E51"/>
    <w:rsid w:val="62B965EC"/>
    <w:rsid w:val="62BD6956"/>
    <w:rsid w:val="62BE1781"/>
    <w:rsid w:val="62BE40B4"/>
    <w:rsid w:val="62BF5B23"/>
    <w:rsid w:val="62C00EF6"/>
    <w:rsid w:val="62C05BCC"/>
    <w:rsid w:val="62C21A0F"/>
    <w:rsid w:val="62C746AE"/>
    <w:rsid w:val="62C82A8B"/>
    <w:rsid w:val="62CC292C"/>
    <w:rsid w:val="62D246FA"/>
    <w:rsid w:val="62D3078F"/>
    <w:rsid w:val="62D31971"/>
    <w:rsid w:val="62D41677"/>
    <w:rsid w:val="62D535D8"/>
    <w:rsid w:val="62D551D6"/>
    <w:rsid w:val="62D6745D"/>
    <w:rsid w:val="62DE6A59"/>
    <w:rsid w:val="62DF055D"/>
    <w:rsid w:val="62E010C3"/>
    <w:rsid w:val="62E077E3"/>
    <w:rsid w:val="62E418BB"/>
    <w:rsid w:val="62E649FF"/>
    <w:rsid w:val="62E775FD"/>
    <w:rsid w:val="62E81158"/>
    <w:rsid w:val="62E95123"/>
    <w:rsid w:val="62EA77FB"/>
    <w:rsid w:val="62EC10ED"/>
    <w:rsid w:val="62EE4962"/>
    <w:rsid w:val="62EF46D9"/>
    <w:rsid w:val="62F26F57"/>
    <w:rsid w:val="62F3053E"/>
    <w:rsid w:val="62F309A7"/>
    <w:rsid w:val="62F317A7"/>
    <w:rsid w:val="62F453C3"/>
    <w:rsid w:val="62F81EC9"/>
    <w:rsid w:val="62FD20BD"/>
    <w:rsid w:val="630541D0"/>
    <w:rsid w:val="63061445"/>
    <w:rsid w:val="63063C0B"/>
    <w:rsid w:val="630C248B"/>
    <w:rsid w:val="630E2DDB"/>
    <w:rsid w:val="630F4479"/>
    <w:rsid w:val="63101862"/>
    <w:rsid w:val="631063DD"/>
    <w:rsid w:val="63114FA7"/>
    <w:rsid w:val="63150D42"/>
    <w:rsid w:val="63155F18"/>
    <w:rsid w:val="63170B14"/>
    <w:rsid w:val="631A399F"/>
    <w:rsid w:val="631B4149"/>
    <w:rsid w:val="631C0411"/>
    <w:rsid w:val="631D4DCC"/>
    <w:rsid w:val="631F36B0"/>
    <w:rsid w:val="63220635"/>
    <w:rsid w:val="632616EF"/>
    <w:rsid w:val="63262D83"/>
    <w:rsid w:val="632868C5"/>
    <w:rsid w:val="632A287B"/>
    <w:rsid w:val="632A3C61"/>
    <w:rsid w:val="632C5010"/>
    <w:rsid w:val="632E15CD"/>
    <w:rsid w:val="633262F7"/>
    <w:rsid w:val="63343D53"/>
    <w:rsid w:val="633C08FE"/>
    <w:rsid w:val="633F6D9D"/>
    <w:rsid w:val="63405F7C"/>
    <w:rsid w:val="63450083"/>
    <w:rsid w:val="634503B3"/>
    <w:rsid w:val="63452137"/>
    <w:rsid w:val="63455572"/>
    <w:rsid w:val="6347009B"/>
    <w:rsid w:val="63471784"/>
    <w:rsid w:val="634A35D7"/>
    <w:rsid w:val="634A36E8"/>
    <w:rsid w:val="634B7BE0"/>
    <w:rsid w:val="634D3154"/>
    <w:rsid w:val="634E031E"/>
    <w:rsid w:val="634E568F"/>
    <w:rsid w:val="63504763"/>
    <w:rsid w:val="63512CC8"/>
    <w:rsid w:val="6354297B"/>
    <w:rsid w:val="635B509E"/>
    <w:rsid w:val="635D3E7A"/>
    <w:rsid w:val="635F7712"/>
    <w:rsid w:val="63657A74"/>
    <w:rsid w:val="63666773"/>
    <w:rsid w:val="636669DF"/>
    <w:rsid w:val="63670032"/>
    <w:rsid w:val="636A0739"/>
    <w:rsid w:val="636B440F"/>
    <w:rsid w:val="636B5F0A"/>
    <w:rsid w:val="636D380C"/>
    <w:rsid w:val="636E387A"/>
    <w:rsid w:val="636F6AA8"/>
    <w:rsid w:val="63730E90"/>
    <w:rsid w:val="63795D78"/>
    <w:rsid w:val="637B3858"/>
    <w:rsid w:val="637C03D9"/>
    <w:rsid w:val="637C64BB"/>
    <w:rsid w:val="637E3088"/>
    <w:rsid w:val="637F15E3"/>
    <w:rsid w:val="63802EA3"/>
    <w:rsid w:val="63807AB4"/>
    <w:rsid w:val="63833E4B"/>
    <w:rsid w:val="638359F0"/>
    <w:rsid w:val="6386532D"/>
    <w:rsid w:val="63866D30"/>
    <w:rsid w:val="63871866"/>
    <w:rsid w:val="63880AAF"/>
    <w:rsid w:val="638B3037"/>
    <w:rsid w:val="63923BAE"/>
    <w:rsid w:val="63937D08"/>
    <w:rsid w:val="639437C0"/>
    <w:rsid w:val="639556EB"/>
    <w:rsid w:val="6398304E"/>
    <w:rsid w:val="639B4DAE"/>
    <w:rsid w:val="639D46CF"/>
    <w:rsid w:val="63A15A39"/>
    <w:rsid w:val="63A22BB3"/>
    <w:rsid w:val="63A453D1"/>
    <w:rsid w:val="63A51BC0"/>
    <w:rsid w:val="63A66A0A"/>
    <w:rsid w:val="63A81231"/>
    <w:rsid w:val="63A8499C"/>
    <w:rsid w:val="63A93C83"/>
    <w:rsid w:val="63B133DE"/>
    <w:rsid w:val="63B36ED5"/>
    <w:rsid w:val="63B91237"/>
    <w:rsid w:val="63BB18C5"/>
    <w:rsid w:val="63BC6393"/>
    <w:rsid w:val="63BD4766"/>
    <w:rsid w:val="63BF3594"/>
    <w:rsid w:val="63C17BCE"/>
    <w:rsid w:val="63C2205A"/>
    <w:rsid w:val="63C3639C"/>
    <w:rsid w:val="63C5490A"/>
    <w:rsid w:val="63C6638D"/>
    <w:rsid w:val="63C74D38"/>
    <w:rsid w:val="63C90AB0"/>
    <w:rsid w:val="63C94F54"/>
    <w:rsid w:val="63CB2A7A"/>
    <w:rsid w:val="63CD2C9B"/>
    <w:rsid w:val="63CD6C80"/>
    <w:rsid w:val="63CD7503"/>
    <w:rsid w:val="63CE2259"/>
    <w:rsid w:val="63D26A9A"/>
    <w:rsid w:val="63D3192F"/>
    <w:rsid w:val="63D67525"/>
    <w:rsid w:val="63D767BD"/>
    <w:rsid w:val="63D97B7A"/>
    <w:rsid w:val="63DA2CBD"/>
    <w:rsid w:val="63DA64E5"/>
    <w:rsid w:val="63DB2E25"/>
    <w:rsid w:val="63DD7D00"/>
    <w:rsid w:val="63DF0511"/>
    <w:rsid w:val="63DF4776"/>
    <w:rsid w:val="63E078A8"/>
    <w:rsid w:val="63E1229E"/>
    <w:rsid w:val="63E32463"/>
    <w:rsid w:val="63E453B6"/>
    <w:rsid w:val="63E45475"/>
    <w:rsid w:val="63E51BED"/>
    <w:rsid w:val="63E66033"/>
    <w:rsid w:val="63E86BC5"/>
    <w:rsid w:val="63E87CF5"/>
    <w:rsid w:val="63E95239"/>
    <w:rsid w:val="63EA73A4"/>
    <w:rsid w:val="63ED2A31"/>
    <w:rsid w:val="63F31706"/>
    <w:rsid w:val="63F4090D"/>
    <w:rsid w:val="63F46906"/>
    <w:rsid w:val="63F51AC6"/>
    <w:rsid w:val="63F82321"/>
    <w:rsid w:val="63FA6D7A"/>
    <w:rsid w:val="63FB0642"/>
    <w:rsid w:val="64044FE1"/>
    <w:rsid w:val="64065861"/>
    <w:rsid w:val="640B7255"/>
    <w:rsid w:val="64155866"/>
    <w:rsid w:val="6416711E"/>
    <w:rsid w:val="64167533"/>
    <w:rsid w:val="64167A83"/>
    <w:rsid w:val="641C271B"/>
    <w:rsid w:val="641D1635"/>
    <w:rsid w:val="641E3575"/>
    <w:rsid w:val="64203D44"/>
    <w:rsid w:val="64211EE5"/>
    <w:rsid w:val="64214DCD"/>
    <w:rsid w:val="642306A7"/>
    <w:rsid w:val="64243DFB"/>
    <w:rsid w:val="642503DD"/>
    <w:rsid w:val="642679CB"/>
    <w:rsid w:val="642933E3"/>
    <w:rsid w:val="642A5993"/>
    <w:rsid w:val="642B0AF0"/>
    <w:rsid w:val="642C7EEC"/>
    <w:rsid w:val="642D4408"/>
    <w:rsid w:val="642D6466"/>
    <w:rsid w:val="642E152C"/>
    <w:rsid w:val="64305151"/>
    <w:rsid w:val="64316B75"/>
    <w:rsid w:val="64322072"/>
    <w:rsid w:val="64335CA8"/>
    <w:rsid w:val="64336DBB"/>
    <w:rsid w:val="64344DCF"/>
    <w:rsid w:val="64346872"/>
    <w:rsid w:val="64363EE4"/>
    <w:rsid w:val="64373621"/>
    <w:rsid w:val="64376477"/>
    <w:rsid w:val="643C1282"/>
    <w:rsid w:val="643C18AE"/>
    <w:rsid w:val="643D6F24"/>
    <w:rsid w:val="643F69ED"/>
    <w:rsid w:val="6440233C"/>
    <w:rsid w:val="644056C1"/>
    <w:rsid w:val="644840CB"/>
    <w:rsid w:val="644944FC"/>
    <w:rsid w:val="644F6B11"/>
    <w:rsid w:val="64502F80"/>
    <w:rsid w:val="64542FC7"/>
    <w:rsid w:val="64550596"/>
    <w:rsid w:val="64571CEB"/>
    <w:rsid w:val="64577FDD"/>
    <w:rsid w:val="645836B9"/>
    <w:rsid w:val="64590086"/>
    <w:rsid w:val="645A209B"/>
    <w:rsid w:val="645B2050"/>
    <w:rsid w:val="645B6495"/>
    <w:rsid w:val="645C37B0"/>
    <w:rsid w:val="645D564C"/>
    <w:rsid w:val="64602170"/>
    <w:rsid w:val="646A15BE"/>
    <w:rsid w:val="646E04D7"/>
    <w:rsid w:val="646E1577"/>
    <w:rsid w:val="64730CEA"/>
    <w:rsid w:val="6473612A"/>
    <w:rsid w:val="64765828"/>
    <w:rsid w:val="64770367"/>
    <w:rsid w:val="64771EEB"/>
    <w:rsid w:val="64775765"/>
    <w:rsid w:val="6478767E"/>
    <w:rsid w:val="64796419"/>
    <w:rsid w:val="647B5EA6"/>
    <w:rsid w:val="64806889"/>
    <w:rsid w:val="648319FA"/>
    <w:rsid w:val="64833FA5"/>
    <w:rsid w:val="64847849"/>
    <w:rsid w:val="64883158"/>
    <w:rsid w:val="648A5476"/>
    <w:rsid w:val="648C2BEE"/>
    <w:rsid w:val="64920516"/>
    <w:rsid w:val="64921E0C"/>
    <w:rsid w:val="64925346"/>
    <w:rsid w:val="6495449E"/>
    <w:rsid w:val="64972F6E"/>
    <w:rsid w:val="64974F64"/>
    <w:rsid w:val="64976101"/>
    <w:rsid w:val="649808AC"/>
    <w:rsid w:val="649908A3"/>
    <w:rsid w:val="64996188"/>
    <w:rsid w:val="649A64AB"/>
    <w:rsid w:val="649E0091"/>
    <w:rsid w:val="649F20D5"/>
    <w:rsid w:val="649F3C75"/>
    <w:rsid w:val="64A2285E"/>
    <w:rsid w:val="64A4079E"/>
    <w:rsid w:val="64A82DA2"/>
    <w:rsid w:val="64AC465A"/>
    <w:rsid w:val="64AD455B"/>
    <w:rsid w:val="64AD4ECC"/>
    <w:rsid w:val="64AD547D"/>
    <w:rsid w:val="64AF593B"/>
    <w:rsid w:val="64B12030"/>
    <w:rsid w:val="64B1248B"/>
    <w:rsid w:val="64B249D0"/>
    <w:rsid w:val="64B45621"/>
    <w:rsid w:val="64B558C9"/>
    <w:rsid w:val="64B56A6F"/>
    <w:rsid w:val="64B76199"/>
    <w:rsid w:val="64BA13D3"/>
    <w:rsid w:val="64BC33E7"/>
    <w:rsid w:val="64BE4C1B"/>
    <w:rsid w:val="64BF007C"/>
    <w:rsid w:val="64BF4C0D"/>
    <w:rsid w:val="64C26822"/>
    <w:rsid w:val="64C64FF0"/>
    <w:rsid w:val="64C717A8"/>
    <w:rsid w:val="64C810AF"/>
    <w:rsid w:val="64CA0F84"/>
    <w:rsid w:val="64CB3469"/>
    <w:rsid w:val="64CC6867"/>
    <w:rsid w:val="64CE0D33"/>
    <w:rsid w:val="64CE5274"/>
    <w:rsid w:val="64D03351"/>
    <w:rsid w:val="64D12312"/>
    <w:rsid w:val="64D867E1"/>
    <w:rsid w:val="64D960C3"/>
    <w:rsid w:val="64DD4053"/>
    <w:rsid w:val="64DE67DD"/>
    <w:rsid w:val="64DF6D0F"/>
    <w:rsid w:val="64E21E2A"/>
    <w:rsid w:val="64E64002"/>
    <w:rsid w:val="64E95A73"/>
    <w:rsid w:val="64EC3180"/>
    <w:rsid w:val="64ED07F6"/>
    <w:rsid w:val="64EE530D"/>
    <w:rsid w:val="64EF46BB"/>
    <w:rsid w:val="64F0408F"/>
    <w:rsid w:val="64F4721C"/>
    <w:rsid w:val="64F70F11"/>
    <w:rsid w:val="64F93CE2"/>
    <w:rsid w:val="64FA760D"/>
    <w:rsid w:val="64FB0998"/>
    <w:rsid w:val="64FF2EA9"/>
    <w:rsid w:val="65024013"/>
    <w:rsid w:val="65026BA0"/>
    <w:rsid w:val="650301FD"/>
    <w:rsid w:val="65044B48"/>
    <w:rsid w:val="65087BBA"/>
    <w:rsid w:val="650A2D8C"/>
    <w:rsid w:val="650C6EA7"/>
    <w:rsid w:val="650D0802"/>
    <w:rsid w:val="650F6997"/>
    <w:rsid w:val="65112BFB"/>
    <w:rsid w:val="65142BBE"/>
    <w:rsid w:val="6514452A"/>
    <w:rsid w:val="65172ABC"/>
    <w:rsid w:val="65174933"/>
    <w:rsid w:val="65180FFD"/>
    <w:rsid w:val="65185903"/>
    <w:rsid w:val="65197353"/>
    <w:rsid w:val="65197815"/>
    <w:rsid w:val="651C0CF3"/>
    <w:rsid w:val="65221E2A"/>
    <w:rsid w:val="65235E65"/>
    <w:rsid w:val="65270E6C"/>
    <w:rsid w:val="65297CC8"/>
    <w:rsid w:val="652A1A23"/>
    <w:rsid w:val="652B181A"/>
    <w:rsid w:val="652B5738"/>
    <w:rsid w:val="652D675B"/>
    <w:rsid w:val="652E0C8F"/>
    <w:rsid w:val="652E230B"/>
    <w:rsid w:val="652E4690"/>
    <w:rsid w:val="652F1BCA"/>
    <w:rsid w:val="652F467F"/>
    <w:rsid w:val="65325D31"/>
    <w:rsid w:val="6533170A"/>
    <w:rsid w:val="653409C3"/>
    <w:rsid w:val="653463FD"/>
    <w:rsid w:val="653528A1"/>
    <w:rsid w:val="6536747C"/>
    <w:rsid w:val="65384887"/>
    <w:rsid w:val="653A1C66"/>
    <w:rsid w:val="653B0BD2"/>
    <w:rsid w:val="653B1C11"/>
    <w:rsid w:val="65405CA1"/>
    <w:rsid w:val="65414297"/>
    <w:rsid w:val="6543591F"/>
    <w:rsid w:val="65440900"/>
    <w:rsid w:val="65450DC9"/>
    <w:rsid w:val="65462C6A"/>
    <w:rsid w:val="65466B11"/>
    <w:rsid w:val="654A7301"/>
    <w:rsid w:val="654C3747"/>
    <w:rsid w:val="654E157A"/>
    <w:rsid w:val="654E3657"/>
    <w:rsid w:val="654E6400"/>
    <w:rsid w:val="65512EEB"/>
    <w:rsid w:val="65523C20"/>
    <w:rsid w:val="65530655"/>
    <w:rsid w:val="655429DA"/>
    <w:rsid w:val="65550183"/>
    <w:rsid w:val="655651F7"/>
    <w:rsid w:val="65580EA4"/>
    <w:rsid w:val="655964BE"/>
    <w:rsid w:val="655D07DA"/>
    <w:rsid w:val="6561111B"/>
    <w:rsid w:val="656565F1"/>
    <w:rsid w:val="65674922"/>
    <w:rsid w:val="65676A2C"/>
    <w:rsid w:val="656B03F5"/>
    <w:rsid w:val="65704CCD"/>
    <w:rsid w:val="65706DEE"/>
    <w:rsid w:val="65773BDA"/>
    <w:rsid w:val="657803CC"/>
    <w:rsid w:val="657B0794"/>
    <w:rsid w:val="657C5E55"/>
    <w:rsid w:val="657C7CB7"/>
    <w:rsid w:val="657E5562"/>
    <w:rsid w:val="658050C2"/>
    <w:rsid w:val="65826562"/>
    <w:rsid w:val="65826C1E"/>
    <w:rsid w:val="65834AA0"/>
    <w:rsid w:val="6583773F"/>
    <w:rsid w:val="65894B90"/>
    <w:rsid w:val="658A1808"/>
    <w:rsid w:val="658B5040"/>
    <w:rsid w:val="658E2DCB"/>
    <w:rsid w:val="659221EB"/>
    <w:rsid w:val="65962C14"/>
    <w:rsid w:val="6597795B"/>
    <w:rsid w:val="659E5677"/>
    <w:rsid w:val="65A002F1"/>
    <w:rsid w:val="65A054C8"/>
    <w:rsid w:val="65A05787"/>
    <w:rsid w:val="65A551D1"/>
    <w:rsid w:val="65A766C7"/>
    <w:rsid w:val="65A8016B"/>
    <w:rsid w:val="65A95DD0"/>
    <w:rsid w:val="65A96944"/>
    <w:rsid w:val="65A974F0"/>
    <w:rsid w:val="65AA2DD9"/>
    <w:rsid w:val="65AB7489"/>
    <w:rsid w:val="65AB7D97"/>
    <w:rsid w:val="65B16214"/>
    <w:rsid w:val="65B17A4E"/>
    <w:rsid w:val="65B2086D"/>
    <w:rsid w:val="65B269AE"/>
    <w:rsid w:val="65BC398B"/>
    <w:rsid w:val="65BD3D49"/>
    <w:rsid w:val="65BD73C2"/>
    <w:rsid w:val="65C10F6E"/>
    <w:rsid w:val="65C30A7F"/>
    <w:rsid w:val="65C507F2"/>
    <w:rsid w:val="65C53949"/>
    <w:rsid w:val="65C56685"/>
    <w:rsid w:val="65C631B3"/>
    <w:rsid w:val="65C673DA"/>
    <w:rsid w:val="65C7265E"/>
    <w:rsid w:val="65C84DD4"/>
    <w:rsid w:val="65C92AFE"/>
    <w:rsid w:val="65CB0B10"/>
    <w:rsid w:val="65CE13F6"/>
    <w:rsid w:val="65CF3391"/>
    <w:rsid w:val="65D03420"/>
    <w:rsid w:val="65D16C8F"/>
    <w:rsid w:val="65D40717"/>
    <w:rsid w:val="65D86EA8"/>
    <w:rsid w:val="65DC17C5"/>
    <w:rsid w:val="65DE4146"/>
    <w:rsid w:val="65DF52DD"/>
    <w:rsid w:val="65E001D4"/>
    <w:rsid w:val="65E028F1"/>
    <w:rsid w:val="65E32E8B"/>
    <w:rsid w:val="65E40E9F"/>
    <w:rsid w:val="65E53104"/>
    <w:rsid w:val="65E7278A"/>
    <w:rsid w:val="65E80806"/>
    <w:rsid w:val="65E84427"/>
    <w:rsid w:val="65E863A9"/>
    <w:rsid w:val="65E90C23"/>
    <w:rsid w:val="65EE60FC"/>
    <w:rsid w:val="65F30067"/>
    <w:rsid w:val="65F65151"/>
    <w:rsid w:val="65FD17CD"/>
    <w:rsid w:val="65FE2039"/>
    <w:rsid w:val="65FF175C"/>
    <w:rsid w:val="660032AC"/>
    <w:rsid w:val="66057DBE"/>
    <w:rsid w:val="66061C3B"/>
    <w:rsid w:val="66074953"/>
    <w:rsid w:val="66081D64"/>
    <w:rsid w:val="66083824"/>
    <w:rsid w:val="660852AC"/>
    <w:rsid w:val="660B3A10"/>
    <w:rsid w:val="660C4C38"/>
    <w:rsid w:val="66103F1E"/>
    <w:rsid w:val="661162CD"/>
    <w:rsid w:val="661767EB"/>
    <w:rsid w:val="6618187B"/>
    <w:rsid w:val="66182A4B"/>
    <w:rsid w:val="6618696D"/>
    <w:rsid w:val="661872E8"/>
    <w:rsid w:val="661A3845"/>
    <w:rsid w:val="661A7973"/>
    <w:rsid w:val="661C086F"/>
    <w:rsid w:val="661C536B"/>
    <w:rsid w:val="661D0E28"/>
    <w:rsid w:val="661E7B12"/>
    <w:rsid w:val="66244AAB"/>
    <w:rsid w:val="66266ED5"/>
    <w:rsid w:val="662750F9"/>
    <w:rsid w:val="66277BE2"/>
    <w:rsid w:val="66277FF7"/>
    <w:rsid w:val="66283A40"/>
    <w:rsid w:val="6628760C"/>
    <w:rsid w:val="662F24E9"/>
    <w:rsid w:val="66301BF3"/>
    <w:rsid w:val="663118E9"/>
    <w:rsid w:val="6635067F"/>
    <w:rsid w:val="663D4C8C"/>
    <w:rsid w:val="66407842"/>
    <w:rsid w:val="66421CC8"/>
    <w:rsid w:val="6644497A"/>
    <w:rsid w:val="664672EE"/>
    <w:rsid w:val="66476133"/>
    <w:rsid w:val="664C2299"/>
    <w:rsid w:val="664D26BE"/>
    <w:rsid w:val="664D4F2D"/>
    <w:rsid w:val="664E34EF"/>
    <w:rsid w:val="664F6761"/>
    <w:rsid w:val="66506D52"/>
    <w:rsid w:val="665624F3"/>
    <w:rsid w:val="665636DE"/>
    <w:rsid w:val="665F0E9D"/>
    <w:rsid w:val="66650A72"/>
    <w:rsid w:val="66666A8A"/>
    <w:rsid w:val="66681138"/>
    <w:rsid w:val="6668334E"/>
    <w:rsid w:val="666C0933"/>
    <w:rsid w:val="666C4893"/>
    <w:rsid w:val="666F07F8"/>
    <w:rsid w:val="666F4C42"/>
    <w:rsid w:val="6670711B"/>
    <w:rsid w:val="66713628"/>
    <w:rsid w:val="6676141F"/>
    <w:rsid w:val="66774E26"/>
    <w:rsid w:val="6677525D"/>
    <w:rsid w:val="66791FA3"/>
    <w:rsid w:val="66795CE5"/>
    <w:rsid w:val="667B5237"/>
    <w:rsid w:val="667B5858"/>
    <w:rsid w:val="667D62DD"/>
    <w:rsid w:val="668315C4"/>
    <w:rsid w:val="66833819"/>
    <w:rsid w:val="66834CC3"/>
    <w:rsid w:val="66835660"/>
    <w:rsid w:val="66840F47"/>
    <w:rsid w:val="66854872"/>
    <w:rsid w:val="66857E1E"/>
    <w:rsid w:val="668742FC"/>
    <w:rsid w:val="66883EA7"/>
    <w:rsid w:val="668A1954"/>
    <w:rsid w:val="668B5319"/>
    <w:rsid w:val="668D04BB"/>
    <w:rsid w:val="668D24E9"/>
    <w:rsid w:val="668D41EE"/>
    <w:rsid w:val="66903C1E"/>
    <w:rsid w:val="66921EF4"/>
    <w:rsid w:val="66935A4E"/>
    <w:rsid w:val="66962B1F"/>
    <w:rsid w:val="669730E8"/>
    <w:rsid w:val="669A61A8"/>
    <w:rsid w:val="669A7B0A"/>
    <w:rsid w:val="669B5F55"/>
    <w:rsid w:val="669C1708"/>
    <w:rsid w:val="669C2967"/>
    <w:rsid w:val="669D0401"/>
    <w:rsid w:val="669D4D40"/>
    <w:rsid w:val="669E22B9"/>
    <w:rsid w:val="669F04E7"/>
    <w:rsid w:val="669F3CC7"/>
    <w:rsid w:val="66A01F9C"/>
    <w:rsid w:val="66A06980"/>
    <w:rsid w:val="66A31A8D"/>
    <w:rsid w:val="66A4146F"/>
    <w:rsid w:val="66A561DC"/>
    <w:rsid w:val="66A575B3"/>
    <w:rsid w:val="66A57E48"/>
    <w:rsid w:val="66A7127C"/>
    <w:rsid w:val="66A71ABE"/>
    <w:rsid w:val="66AA04F7"/>
    <w:rsid w:val="66AD140D"/>
    <w:rsid w:val="66AE3EF8"/>
    <w:rsid w:val="66B7467B"/>
    <w:rsid w:val="66B75538"/>
    <w:rsid w:val="66B772E6"/>
    <w:rsid w:val="66B96B79"/>
    <w:rsid w:val="66B97E69"/>
    <w:rsid w:val="66BC309C"/>
    <w:rsid w:val="66BE1BC6"/>
    <w:rsid w:val="66BE2614"/>
    <w:rsid w:val="66BF0B9F"/>
    <w:rsid w:val="66BF3679"/>
    <w:rsid w:val="66C0619B"/>
    <w:rsid w:val="66C14376"/>
    <w:rsid w:val="66C43534"/>
    <w:rsid w:val="66C56237"/>
    <w:rsid w:val="66C814F3"/>
    <w:rsid w:val="66C82E4E"/>
    <w:rsid w:val="66C91A24"/>
    <w:rsid w:val="66C97F7B"/>
    <w:rsid w:val="66CB00A6"/>
    <w:rsid w:val="66CB4FD3"/>
    <w:rsid w:val="66CB5DEA"/>
    <w:rsid w:val="66CD1F4A"/>
    <w:rsid w:val="66CF1453"/>
    <w:rsid w:val="66CF2882"/>
    <w:rsid w:val="66CF713B"/>
    <w:rsid w:val="66D00C2D"/>
    <w:rsid w:val="66D34535"/>
    <w:rsid w:val="66D427EC"/>
    <w:rsid w:val="66D55F9A"/>
    <w:rsid w:val="66D76179"/>
    <w:rsid w:val="66D951ED"/>
    <w:rsid w:val="66DA4ED9"/>
    <w:rsid w:val="66DB8E58"/>
    <w:rsid w:val="66DD0AB7"/>
    <w:rsid w:val="66DE3B0B"/>
    <w:rsid w:val="66E06E00"/>
    <w:rsid w:val="66E21048"/>
    <w:rsid w:val="66E23FF7"/>
    <w:rsid w:val="66E909DB"/>
    <w:rsid w:val="66E91F6B"/>
    <w:rsid w:val="66E97011"/>
    <w:rsid w:val="66EA53C3"/>
    <w:rsid w:val="66EB13FE"/>
    <w:rsid w:val="66EB2EDB"/>
    <w:rsid w:val="66EB303B"/>
    <w:rsid w:val="66EC3427"/>
    <w:rsid w:val="66EE1B7C"/>
    <w:rsid w:val="66EF1632"/>
    <w:rsid w:val="66F05066"/>
    <w:rsid w:val="66F13F98"/>
    <w:rsid w:val="66F25A60"/>
    <w:rsid w:val="66F42721"/>
    <w:rsid w:val="66F51210"/>
    <w:rsid w:val="66F5304F"/>
    <w:rsid w:val="66F5609B"/>
    <w:rsid w:val="66F95B50"/>
    <w:rsid w:val="66FA2FF4"/>
    <w:rsid w:val="66FB3651"/>
    <w:rsid w:val="66FB62CB"/>
    <w:rsid w:val="66FC2F4B"/>
    <w:rsid w:val="66FC7595"/>
    <w:rsid w:val="670267B3"/>
    <w:rsid w:val="67026964"/>
    <w:rsid w:val="6704728C"/>
    <w:rsid w:val="67066593"/>
    <w:rsid w:val="670925A7"/>
    <w:rsid w:val="670A3E1F"/>
    <w:rsid w:val="670C7632"/>
    <w:rsid w:val="670E458C"/>
    <w:rsid w:val="67114F7B"/>
    <w:rsid w:val="671169F6"/>
    <w:rsid w:val="67152C13"/>
    <w:rsid w:val="671604B0"/>
    <w:rsid w:val="67165345"/>
    <w:rsid w:val="67166437"/>
    <w:rsid w:val="671666BF"/>
    <w:rsid w:val="67172EE4"/>
    <w:rsid w:val="67177E44"/>
    <w:rsid w:val="671D4B7F"/>
    <w:rsid w:val="67203F1B"/>
    <w:rsid w:val="67220924"/>
    <w:rsid w:val="67236729"/>
    <w:rsid w:val="67236E36"/>
    <w:rsid w:val="67241E24"/>
    <w:rsid w:val="672428EA"/>
    <w:rsid w:val="67245741"/>
    <w:rsid w:val="672622B6"/>
    <w:rsid w:val="6727300D"/>
    <w:rsid w:val="6727347D"/>
    <w:rsid w:val="67281F92"/>
    <w:rsid w:val="67285397"/>
    <w:rsid w:val="672D4548"/>
    <w:rsid w:val="672F6937"/>
    <w:rsid w:val="67313EF6"/>
    <w:rsid w:val="67315100"/>
    <w:rsid w:val="67322711"/>
    <w:rsid w:val="673510B7"/>
    <w:rsid w:val="67372338"/>
    <w:rsid w:val="67376AE8"/>
    <w:rsid w:val="673B7EEE"/>
    <w:rsid w:val="673D6D3E"/>
    <w:rsid w:val="673E2CFC"/>
    <w:rsid w:val="674072DB"/>
    <w:rsid w:val="67421B2F"/>
    <w:rsid w:val="674260EB"/>
    <w:rsid w:val="674377FE"/>
    <w:rsid w:val="67437FE6"/>
    <w:rsid w:val="67440921"/>
    <w:rsid w:val="67461B8C"/>
    <w:rsid w:val="67473ADE"/>
    <w:rsid w:val="6747402E"/>
    <w:rsid w:val="674749F3"/>
    <w:rsid w:val="67507AD2"/>
    <w:rsid w:val="67517BEA"/>
    <w:rsid w:val="675900D0"/>
    <w:rsid w:val="67590A32"/>
    <w:rsid w:val="675C0CF6"/>
    <w:rsid w:val="676034DA"/>
    <w:rsid w:val="676074F4"/>
    <w:rsid w:val="676167FE"/>
    <w:rsid w:val="67654F94"/>
    <w:rsid w:val="67670C79"/>
    <w:rsid w:val="676905C3"/>
    <w:rsid w:val="676A35B8"/>
    <w:rsid w:val="676B2A40"/>
    <w:rsid w:val="677221E1"/>
    <w:rsid w:val="6773066D"/>
    <w:rsid w:val="67743B5A"/>
    <w:rsid w:val="677722D1"/>
    <w:rsid w:val="677B59DE"/>
    <w:rsid w:val="677C1F03"/>
    <w:rsid w:val="677C4F3A"/>
    <w:rsid w:val="677D7800"/>
    <w:rsid w:val="677F0247"/>
    <w:rsid w:val="677F0DEC"/>
    <w:rsid w:val="678102B0"/>
    <w:rsid w:val="67815DAD"/>
    <w:rsid w:val="67840873"/>
    <w:rsid w:val="678449C8"/>
    <w:rsid w:val="67847984"/>
    <w:rsid w:val="678614DC"/>
    <w:rsid w:val="67871B3E"/>
    <w:rsid w:val="67883EEB"/>
    <w:rsid w:val="67892A30"/>
    <w:rsid w:val="67893040"/>
    <w:rsid w:val="678A645A"/>
    <w:rsid w:val="678B32EF"/>
    <w:rsid w:val="678B6DF5"/>
    <w:rsid w:val="678C0773"/>
    <w:rsid w:val="678C43B0"/>
    <w:rsid w:val="678D1BEA"/>
    <w:rsid w:val="678F047B"/>
    <w:rsid w:val="679059CF"/>
    <w:rsid w:val="67917269"/>
    <w:rsid w:val="67917B37"/>
    <w:rsid w:val="6793108A"/>
    <w:rsid w:val="67956DB6"/>
    <w:rsid w:val="67981B1F"/>
    <w:rsid w:val="679C2574"/>
    <w:rsid w:val="679F1F42"/>
    <w:rsid w:val="679F7B34"/>
    <w:rsid w:val="67A12703"/>
    <w:rsid w:val="67A1761E"/>
    <w:rsid w:val="67A51ADD"/>
    <w:rsid w:val="67A5563A"/>
    <w:rsid w:val="67A770D8"/>
    <w:rsid w:val="67A94F32"/>
    <w:rsid w:val="67AA6913"/>
    <w:rsid w:val="67AB1DFD"/>
    <w:rsid w:val="67B43DEC"/>
    <w:rsid w:val="67B4607F"/>
    <w:rsid w:val="67B62D66"/>
    <w:rsid w:val="67B90A67"/>
    <w:rsid w:val="67BC0BA1"/>
    <w:rsid w:val="67BD5958"/>
    <w:rsid w:val="67BF4F73"/>
    <w:rsid w:val="67C509D3"/>
    <w:rsid w:val="67C82307"/>
    <w:rsid w:val="67C86A69"/>
    <w:rsid w:val="67CA4DF7"/>
    <w:rsid w:val="67CB56DC"/>
    <w:rsid w:val="67CC3155"/>
    <w:rsid w:val="67CC5A29"/>
    <w:rsid w:val="67CE4FFE"/>
    <w:rsid w:val="67D67C7B"/>
    <w:rsid w:val="67D72644"/>
    <w:rsid w:val="67E01FFD"/>
    <w:rsid w:val="67E22715"/>
    <w:rsid w:val="67E26722"/>
    <w:rsid w:val="67E533F1"/>
    <w:rsid w:val="67E55C77"/>
    <w:rsid w:val="67EA2484"/>
    <w:rsid w:val="67EA33F2"/>
    <w:rsid w:val="67EA7C52"/>
    <w:rsid w:val="67EC4646"/>
    <w:rsid w:val="67EE2501"/>
    <w:rsid w:val="67EF7B06"/>
    <w:rsid w:val="67F01BFB"/>
    <w:rsid w:val="67F20868"/>
    <w:rsid w:val="67F339C7"/>
    <w:rsid w:val="67F3564C"/>
    <w:rsid w:val="67F36345"/>
    <w:rsid w:val="67F4324E"/>
    <w:rsid w:val="67F570A6"/>
    <w:rsid w:val="67F72C73"/>
    <w:rsid w:val="67F759B1"/>
    <w:rsid w:val="67F80EC8"/>
    <w:rsid w:val="67F81799"/>
    <w:rsid w:val="67F96F07"/>
    <w:rsid w:val="67FA2F79"/>
    <w:rsid w:val="67FB520C"/>
    <w:rsid w:val="67FC7D3A"/>
    <w:rsid w:val="67FE43C2"/>
    <w:rsid w:val="68040D41"/>
    <w:rsid w:val="68057DA9"/>
    <w:rsid w:val="680603BF"/>
    <w:rsid w:val="68064081"/>
    <w:rsid w:val="680778B0"/>
    <w:rsid w:val="680A5D8D"/>
    <w:rsid w:val="680E73DA"/>
    <w:rsid w:val="680E767C"/>
    <w:rsid w:val="680E78BC"/>
    <w:rsid w:val="680F38D8"/>
    <w:rsid w:val="68106E7C"/>
    <w:rsid w:val="6811286F"/>
    <w:rsid w:val="681203B1"/>
    <w:rsid w:val="68140B4D"/>
    <w:rsid w:val="6815681E"/>
    <w:rsid w:val="68166316"/>
    <w:rsid w:val="68186C50"/>
    <w:rsid w:val="68192A7D"/>
    <w:rsid w:val="68194B90"/>
    <w:rsid w:val="68197B36"/>
    <w:rsid w:val="68210EC3"/>
    <w:rsid w:val="68220903"/>
    <w:rsid w:val="682358ED"/>
    <w:rsid w:val="6823747D"/>
    <w:rsid w:val="682944B5"/>
    <w:rsid w:val="682D3B7C"/>
    <w:rsid w:val="682F0095"/>
    <w:rsid w:val="682F03AA"/>
    <w:rsid w:val="682F4B6A"/>
    <w:rsid w:val="6830312A"/>
    <w:rsid w:val="68364820"/>
    <w:rsid w:val="683776BB"/>
    <w:rsid w:val="683924C8"/>
    <w:rsid w:val="683A0637"/>
    <w:rsid w:val="683C7AA3"/>
    <w:rsid w:val="683F3A37"/>
    <w:rsid w:val="683F5B0D"/>
    <w:rsid w:val="683F6E3E"/>
    <w:rsid w:val="683F7593"/>
    <w:rsid w:val="6840532C"/>
    <w:rsid w:val="68413C1E"/>
    <w:rsid w:val="684203F1"/>
    <w:rsid w:val="684234C1"/>
    <w:rsid w:val="68426562"/>
    <w:rsid w:val="68471321"/>
    <w:rsid w:val="68474A04"/>
    <w:rsid w:val="68494C81"/>
    <w:rsid w:val="684954AC"/>
    <w:rsid w:val="684A372C"/>
    <w:rsid w:val="684B396E"/>
    <w:rsid w:val="684D541C"/>
    <w:rsid w:val="684D5EBA"/>
    <w:rsid w:val="684E0E91"/>
    <w:rsid w:val="684E77D6"/>
    <w:rsid w:val="685017A0"/>
    <w:rsid w:val="68512B82"/>
    <w:rsid w:val="685179D9"/>
    <w:rsid w:val="685816F7"/>
    <w:rsid w:val="6859634A"/>
    <w:rsid w:val="685C4C91"/>
    <w:rsid w:val="685D15F4"/>
    <w:rsid w:val="685E1ABE"/>
    <w:rsid w:val="685F1DCB"/>
    <w:rsid w:val="68614C9B"/>
    <w:rsid w:val="68622397"/>
    <w:rsid w:val="686364DC"/>
    <w:rsid w:val="68692862"/>
    <w:rsid w:val="686A6607"/>
    <w:rsid w:val="686C2E00"/>
    <w:rsid w:val="686E1AD0"/>
    <w:rsid w:val="6871001E"/>
    <w:rsid w:val="68736F0E"/>
    <w:rsid w:val="687436E1"/>
    <w:rsid w:val="68774F7F"/>
    <w:rsid w:val="687C6368"/>
    <w:rsid w:val="68804229"/>
    <w:rsid w:val="68822FE2"/>
    <w:rsid w:val="68853CE0"/>
    <w:rsid w:val="6885450A"/>
    <w:rsid w:val="6888715D"/>
    <w:rsid w:val="68890017"/>
    <w:rsid w:val="688A01D7"/>
    <w:rsid w:val="688A080D"/>
    <w:rsid w:val="688D02FE"/>
    <w:rsid w:val="688D1A48"/>
    <w:rsid w:val="688D47A2"/>
    <w:rsid w:val="688F14B5"/>
    <w:rsid w:val="68925090"/>
    <w:rsid w:val="689577F2"/>
    <w:rsid w:val="689A06CB"/>
    <w:rsid w:val="689A322D"/>
    <w:rsid w:val="689A5F7A"/>
    <w:rsid w:val="689B63E2"/>
    <w:rsid w:val="689B734C"/>
    <w:rsid w:val="689C3927"/>
    <w:rsid w:val="689E706D"/>
    <w:rsid w:val="689F49CE"/>
    <w:rsid w:val="68A028B4"/>
    <w:rsid w:val="68A21F3E"/>
    <w:rsid w:val="68A357EB"/>
    <w:rsid w:val="68A4773C"/>
    <w:rsid w:val="68A638E6"/>
    <w:rsid w:val="68A73CCF"/>
    <w:rsid w:val="68A75B2B"/>
    <w:rsid w:val="68A825E7"/>
    <w:rsid w:val="68AB024D"/>
    <w:rsid w:val="68AD6BF3"/>
    <w:rsid w:val="68AF64C7"/>
    <w:rsid w:val="68B124A5"/>
    <w:rsid w:val="68B15880"/>
    <w:rsid w:val="68B71C03"/>
    <w:rsid w:val="68B74517"/>
    <w:rsid w:val="68BB4100"/>
    <w:rsid w:val="68BE17E3"/>
    <w:rsid w:val="68BE19F5"/>
    <w:rsid w:val="68C07006"/>
    <w:rsid w:val="68C108E6"/>
    <w:rsid w:val="68C42E2F"/>
    <w:rsid w:val="68C918EF"/>
    <w:rsid w:val="68CB4B45"/>
    <w:rsid w:val="68CD40D9"/>
    <w:rsid w:val="68CE6E31"/>
    <w:rsid w:val="68CF39CE"/>
    <w:rsid w:val="68CF55A8"/>
    <w:rsid w:val="68D510D9"/>
    <w:rsid w:val="68D777CC"/>
    <w:rsid w:val="68D849B7"/>
    <w:rsid w:val="68DC503A"/>
    <w:rsid w:val="68DD6236"/>
    <w:rsid w:val="68E03C41"/>
    <w:rsid w:val="68E13E9D"/>
    <w:rsid w:val="68E23AD3"/>
    <w:rsid w:val="68E32614"/>
    <w:rsid w:val="68E35C3E"/>
    <w:rsid w:val="68E43349"/>
    <w:rsid w:val="68E46117"/>
    <w:rsid w:val="68E86BFA"/>
    <w:rsid w:val="68EE69B2"/>
    <w:rsid w:val="68F05575"/>
    <w:rsid w:val="68F07F7A"/>
    <w:rsid w:val="68F16ADF"/>
    <w:rsid w:val="68F20115"/>
    <w:rsid w:val="68F21FDD"/>
    <w:rsid w:val="68F52F80"/>
    <w:rsid w:val="68F57727"/>
    <w:rsid w:val="68F94312"/>
    <w:rsid w:val="68F94CB0"/>
    <w:rsid w:val="68FA0C85"/>
    <w:rsid w:val="68FC5F87"/>
    <w:rsid w:val="68FC6722"/>
    <w:rsid w:val="68FD0A88"/>
    <w:rsid w:val="68FD36D6"/>
    <w:rsid w:val="690470C1"/>
    <w:rsid w:val="69047DB7"/>
    <w:rsid w:val="69055B05"/>
    <w:rsid w:val="69061B58"/>
    <w:rsid w:val="6907473E"/>
    <w:rsid w:val="690761B3"/>
    <w:rsid w:val="69082805"/>
    <w:rsid w:val="690836B5"/>
    <w:rsid w:val="6909610A"/>
    <w:rsid w:val="690C5FC3"/>
    <w:rsid w:val="690C6464"/>
    <w:rsid w:val="690D5315"/>
    <w:rsid w:val="690E2711"/>
    <w:rsid w:val="691530DB"/>
    <w:rsid w:val="69157E85"/>
    <w:rsid w:val="69161CB2"/>
    <w:rsid w:val="691A0D0E"/>
    <w:rsid w:val="691A5C47"/>
    <w:rsid w:val="691E4967"/>
    <w:rsid w:val="691F55F3"/>
    <w:rsid w:val="692073C4"/>
    <w:rsid w:val="6921508A"/>
    <w:rsid w:val="69276287"/>
    <w:rsid w:val="69277E0B"/>
    <w:rsid w:val="69281E7C"/>
    <w:rsid w:val="69282A71"/>
    <w:rsid w:val="692A29EE"/>
    <w:rsid w:val="692D173B"/>
    <w:rsid w:val="6930208E"/>
    <w:rsid w:val="693115D2"/>
    <w:rsid w:val="693254B6"/>
    <w:rsid w:val="69325D88"/>
    <w:rsid w:val="693445B3"/>
    <w:rsid w:val="69351D63"/>
    <w:rsid w:val="693673DC"/>
    <w:rsid w:val="693B5943"/>
    <w:rsid w:val="693C428A"/>
    <w:rsid w:val="693C6A86"/>
    <w:rsid w:val="693F510E"/>
    <w:rsid w:val="693F5BE1"/>
    <w:rsid w:val="69411FFE"/>
    <w:rsid w:val="694330B3"/>
    <w:rsid w:val="69434071"/>
    <w:rsid w:val="694341E7"/>
    <w:rsid w:val="69440409"/>
    <w:rsid w:val="694573C5"/>
    <w:rsid w:val="6948196A"/>
    <w:rsid w:val="694E1963"/>
    <w:rsid w:val="694E45D9"/>
    <w:rsid w:val="694F1A58"/>
    <w:rsid w:val="69511A7E"/>
    <w:rsid w:val="6953779A"/>
    <w:rsid w:val="69554F33"/>
    <w:rsid w:val="6956181E"/>
    <w:rsid w:val="695769BC"/>
    <w:rsid w:val="695A1F55"/>
    <w:rsid w:val="695A5F7D"/>
    <w:rsid w:val="695B345F"/>
    <w:rsid w:val="695B423A"/>
    <w:rsid w:val="695C0367"/>
    <w:rsid w:val="695D1DE4"/>
    <w:rsid w:val="695F0B78"/>
    <w:rsid w:val="695F3A4F"/>
    <w:rsid w:val="695F683E"/>
    <w:rsid w:val="69612E3F"/>
    <w:rsid w:val="69615219"/>
    <w:rsid w:val="69621E25"/>
    <w:rsid w:val="696279DD"/>
    <w:rsid w:val="69627C3D"/>
    <w:rsid w:val="6965127B"/>
    <w:rsid w:val="6967367D"/>
    <w:rsid w:val="69676067"/>
    <w:rsid w:val="69676771"/>
    <w:rsid w:val="69691F97"/>
    <w:rsid w:val="696B45BD"/>
    <w:rsid w:val="696D0DB3"/>
    <w:rsid w:val="696D2927"/>
    <w:rsid w:val="696D7603"/>
    <w:rsid w:val="696F1405"/>
    <w:rsid w:val="697E2392"/>
    <w:rsid w:val="697F75FA"/>
    <w:rsid w:val="698165B0"/>
    <w:rsid w:val="69825989"/>
    <w:rsid w:val="69836C35"/>
    <w:rsid w:val="69837C06"/>
    <w:rsid w:val="69851D8C"/>
    <w:rsid w:val="69882865"/>
    <w:rsid w:val="698B5007"/>
    <w:rsid w:val="698B7086"/>
    <w:rsid w:val="698C05B6"/>
    <w:rsid w:val="698D40CC"/>
    <w:rsid w:val="698E5F24"/>
    <w:rsid w:val="69947FE2"/>
    <w:rsid w:val="69951B60"/>
    <w:rsid w:val="69991D13"/>
    <w:rsid w:val="69995660"/>
    <w:rsid w:val="699B7174"/>
    <w:rsid w:val="699D0A15"/>
    <w:rsid w:val="699F1195"/>
    <w:rsid w:val="69A072D2"/>
    <w:rsid w:val="69A27F90"/>
    <w:rsid w:val="69A41DA4"/>
    <w:rsid w:val="69A428CC"/>
    <w:rsid w:val="69A71282"/>
    <w:rsid w:val="69A901D4"/>
    <w:rsid w:val="69AB6A0C"/>
    <w:rsid w:val="69AC2880"/>
    <w:rsid w:val="69AC6EAA"/>
    <w:rsid w:val="69AE1C8D"/>
    <w:rsid w:val="69AF12D8"/>
    <w:rsid w:val="69AF5085"/>
    <w:rsid w:val="69AF50F2"/>
    <w:rsid w:val="69AF73BD"/>
    <w:rsid w:val="69B34B71"/>
    <w:rsid w:val="69B37459"/>
    <w:rsid w:val="69B8584F"/>
    <w:rsid w:val="69C03FC2"/>
    <w:rsid w:val="69C067B8"/>
    <w:rsid w:val="69C0797E"/>
    <w:rsid w:val="69C128DC"/>
    <w:rsid w:val="69C23CB9"/>
    <w:rsid w:val="69C51F08"/>
    <w:rsid w:val="69C72B58"/>
    <w:rsid w:val="69C72EF8"/>
    <w:rsid w:val="69C958B0"/>
    <w:rsid w:val="69CA7B55"/>
    <w:rsid w:val="69CB0F0F"/>
    <w:rsid w:val="69CB15B7"/>
    <w:rsid w:val="69CB4F70"/>
    <w:rsid w:val="69CC09C6"/>
    <w:rsid w:val="69D14666"/>
    <w:rsid w:val="69D40771"/>
    <w:rsid w:val="69D44150"/>
    <w:rsid w:val="69D461C8"/>
    <w:rsid w:val="69D74453"/>
    <w:rsid w:val="69D76444"/>
    <w:rsid w:val="69D903CE"/>
    <w:rsid w:val="69DB6535"/>
    <w:rsid w:val="69DE5492"/>
    <w:rsid w:val="69DF2031"/>
    <w:rsid w:val="69E24CAF"/>
    <w:rsid w:val="69E255CD"/>
    <w:rsid w:val="69E41BEE"/>
    <w:rsid w:val="69E9646C"/>
    <w:rsid w:val="69EB6C96"/>
    <w:rsid w:val="69EC54F9"/>
    <w:rsid w:val="69ED08B3"/>
    <w:rsid w:val="69EE0F98"/>
    <w:rsid w:val="69F037B6"/>
    <w:rsid w:val="69F87AFF"/>
    <w:rsid w:val="69F93869"/>
    <w:rsid w:val="69FA7FCD"/>
    <w:rsid w:val="69FD3DB4"/>
    <w:rsid w:val="6A040A94"/>
    <w:rsid w:val="6A040C86"/>
    <w:rsid w:val="6A040E60"/>
    <w:rsid w:val="6A0521F8"/>
    <w:rsid w:val="6A055CD7"/>
    <w:rsid w:val="6A06677A"/>
    <w:rsid w:val="6A08100B"/>
    <w:rsid w:val="6A083EB1"/>
    <w:rsid w:val="6A094121"/>
    <w:rsid w:val="6A0A0E02"/>
    <w:rsid w:val="6A0A104C"/>
    <w:rsid w:val="6A0A3899"/>
    <w:rsid w:val="6A0A6CFF"/>
    <w:rsid w:val="6A0B7828"/>
    <w:rsid w:val="6A0C7949"/>
    <w:rsid w:val="6A0E0F73"/>
    <w:rsid w:val="6A123BD7"/>
    <w:rsid w:val="6A130CD7"/>
    <w:rsid w:val="6A18721E"/>
    <w:rsid w:val="6A193FAA"/>
    <w:rsid w:val="6A1A02B8"/>
    <w:rsid w:val="6A1C19E1"/>
    <w:rsid w:val="6A202CE2"/>
    <w:rsid w:val="6A2140B7"/>
    <w:rsid w:val="6A227FFE"/>
    <w:rsid w:val="6A2861B4"/>
    <w:rsid w:val="6A296F92"/>
    <w:rsid w:val="6A2C12F0"/>
    <w:rsid w:val="6A2F6353"/>
    <w:rsid w:val="6A301889"/>
    <w:rsid w:val="6A344153"/>
    <w:rsid w:val="6A3448ED"/>
    <w:rsid w:val="6A350C4E"/>
    <w:rsid w:val="6A36331F"/>
    <w:rsid w:val="6A3A69BA"/>
    <w:rsid w:val="6A3D1E28"/>
    <w:rsid w:val="6A3D3589"/>
    <w:rsid w:val="6A3F755E"/>
    <w:rsid w:val="6A400891"/>
    <w:rsid w:val="6A425BBE"/>
    <w:rsid w:val="6A4334C1"/>
    <w:rsid w:val="6A4738D7"/>
    <w:rsid w:val="6A4946F9"/>
    <w:rsid w:val="6A4950BA"/>
    <w:rsid w:val="6A4A12B5"/>
    <w:rsid w:val="6A4C3CF6"/>
    <w:rsid w:val="6A4E3218"/>
    <w:rsid w:val="6A4E36A3"/>
    <w:rsid w:val="6A50337B"/>
    <w:rsid w:val="6A503C25"/>
    <w:rsid w:val="6A506095"/>
    <w:rsid w:val="6A516554"/>
    <w:rsid w:val="6A537326"/>
    <w:rsid w:val="6A593A53"/>
    <w:rsid w:val="6A5A35E7"/>
    <w:rsid w:val="6A5C58AC"/>
    <w:rsid w:val="6A5C75A4"/>
    <w:rsid w:val="6A600F7C"/>
    <w:rsid w:val="6A6010B2"/>
    <w:rsid w:val="6A625219"/>
    <w:rsid w:val="6A62620D"/>
    <w:rsid w:val="6A65204C"/>
    <w:rsid w:val="6A671015"/>
    <w:rsid w:val="6A684C63"/>
    <w:rsid w:val="6A6B1564"/>
    <w:rsid w:val="6A6C085A"/>
    <w:rsid w:val="6A6C4BA4"/>
    <w:rsid w:val="6A6F6504"/>
    <w:rsid w:val="6A7218F4"/>
    <w:rsid w:val="6A723EEA"/>
    <w:rsid w:val="6A7259FE"/>
    <w:rsid w:val="6A735061"/>
    <w:rsid w:val="6A76695A"/>
    <w:rsid w:val="6A78158C"/>
    <w:rsid w:val="6A794FDE"/>
    <w:rsid w:val="6A7B7F20"/>
    <w:rsid w:val="6A7E0847"/>
    <w:rsid w:val="6A7F43CB"/>
    <w:rsid w:val="6A823CEF"/>
    <w:rsid w:val="6A896885"/>
    <w:rsid w:val="6A8A0D2E"/>
    <w:rsid w:val="6A8D4ED1"/>
    <w:rsid w:val="6A902328"/>
    <w:rsid w:val="6A932074"/>
    <w:rsid w:val="6A9545A5"/>
    <w:rsid w:val="6A971025"/>
    <w:rsid w:val="6A97133D"/>
    <w:rsid w:val="6A9D5083"/>
    <w:rsid w:val="6A9E114C"/>
    <w:rsid w:val="6A9E2C97"/>
    <w:rsid w:val="6A9F5903"/>
    <w:rsid w:val="6AA2035E"/>
    <w:rsid w:val="6AA22DB0"/>
    <w:rsid w:val="6AA660B7"/>
    <w:rsid w:val="6AA91FDF"/>
    <w:rsid w:val="6AAD2D6B"/>
    <w:rsid w:val="6AAD37AC"/>
    <w:rsid w:val="6AB03A06"/>
    <w:rsid w:val="6AB37DC4"/>
    <w:rsid w:val="6AB61F67"/>
    <w:rsid w:val="6AB621F0"/>
    <w:rsid w:val="6AB9483E"/>
    <w:rsid w:val="6AB9525A"/>
    <w:rsid w:val="6AB97E6D"/>
    <w:rsid w:val="6ABA05F0"/>
    <w:rsid w:val="6ABB3515"/>
    <w:rsid w:val="6ABB65AF"/>
    <w:rsid w:val="6ABC3375"/>
    <w:rsid w:val="6ABC6231"/>
    <w:rsid w:val="6ABD1B73"/>
    <w:rsid w:val="6ABE29EE"/>
    <w:rsid w:val="6ABF271C"/>
    <w:rsid w:val="6AC16985"/>
    <w:rsid w:val="6AC16C04"/>
    <w:rsid w:val="6AC27E70"/>
    <w:rsid w:val="6AC50822"/>
    <w:rsid w:val="6AC5423B"/>
    <w:rsid w:val="6AC63475"/>
    <w:rsid w:val="6AC644A2"/>
    <w:rsid w:val="6AC72232"/>
    <w:rsid w:val="6ACA1682"/>
    <w:rsid w:val="6ACB09AD"/>
    <w:rsid w:val="6ACB15B2"/>
    <w:rsid w:val="6ACB43AF"/>
    <w:rsid w:val="6ACE5270"/>
    <w:rsid w:val="6AD225F3"/>
    <w:rsid w:val="6AD25CB5"/>
    <w:rsid w:val="6AD87D6B"/>
    <w:rsid w:val="6ADA4944"/>
    <w:rsid w:val="6ADE5DDB"/>
    <w:rsid w:val="6AE23BA8"/>
    <w:rsid w:val="6AE23DF2"/>
    <w:rsid w:val="6AE306AA"/>
    <w:rsid w:val="6AE3168F"/>
    <w:rsid w:val="6AE33BE9"/>
    <w:rsid w:val="6AE54C11"/>
    <w:rsid w:val="6AE557B9"/>
    <w:rsid w:val="6AEA4505"/>
    <w:rsid w:val="6AEA5430"/>
    <w:rsid w:val="6AEC28F9"/>
    <w:rsid w:val="6AEC3574"/>
    <w:rsid w:val="6AED3054"/>
    <w:rsid w:val="6AED4357"/>
    <w:rsid w:val="6AEF1545"/>
    <w:rsid w:val="6AEF3C35"/>
    <w:rsid w:val="6AF065DC"/>
    <w:rsid w:val="6AF428B7"/>
    <w:rsid w:val="6AF65C44"/>
    <w:rsid w:val="6AF75811"/>
    <w:rsid w:val="6AF80F47"/>
    <w:rsid w:val="6AFD3540"/>
    <w:rsid w:val="6AFF756B"/>
    <w:rsid w:val="6B032AFA"/>
    <w:rsid w:val="6B034409"/>
    <w:rsid w:val="6B051C4A"/>
    <w:rsid w:val="6B055E7A"/>
    <w:rsid w:val="6B0A2BFB"/>
    <w:rsid w:val="6B0C0BFE"/>
    <w:rsid w:val="6B0D526B"/>
    <w:rsid w:val="6B0F72CE"/>
    <w:rsid w:val="6B113E19"/>
    <w:rsid w:val="6B125A3B"/>
    <w:rsid w:val="6B13731F"/>
    <w:rsid w:val="6B1472E1"/>
    <w:rsid w:val="6B161E2D"/>
    <w:rsid w:val="6B18152E"/>
    <w:rsid w:val="6B187B3C"/>
    <w:rsid w:val="6B1B7F74"/>
    <w:rsid w:val="6B1E16E2"/>
    <w:rsid w:val="6B21139E"/>
    <w:rsid w:val="6B22249D"/>
    <w:rsid w:val="6B253C72"/>
    <w:rsid w:val="6B273613"/>
    <w:rsid w:val="6B275658"/>
    <w:rsid w:val="6B2A2B75"/>
    <w:rsid w:val="6B2C157A"/>
    <w:rsid w:val="6B2E2B2F"/>
    <w:rsid w:val="6B340F05"/>
    <w:rsid w:val="6B361121"/>
    <w:rsid w:val="6B376845"/>
    <w:rsid w:val="6B3B237E"/>
    <w:rsid w:val="6B3F2A3B"/>
    <w:rsid w:val="6B4220F3"/>
    <w:rsid w:val="6B453112"/>
    <w:rsid w:val="6B46020D"/>
    <w:rsid w:val="6B463E9E"/>
    <w:rsid w:val="6B473F31"/>
    <w:rsid w:val="6B476E8A"/>
    <w:rsid w:val="6B4A697B"/>
    <w:rsid w:val="6B4C0E64"/>
    <w:rsid w:val="6B4C26F3"/>
    <w:rsid w:val="6B4C29BB"/>
    <w:rsid w:val="6B4C6AF4"/>
    <w:rsid w:val="6B4F06E8"/>
    <w:rsid w:val="6B510A4A"/>
    <w:rsid w:val="6B5119DD"/>
    <w:rsid w:val="6B553BE5"/>
    <w:rsid w:val="6B5670CE"/>
    <w:rsid w:val="6B572E46"/>
    <w:rsid w:val="6B594688"/>
    <w:rsid w:val="6B5A1A74"/>
    <w:rsid w:val="6B5C045C"/>
    <w:rsid w:val="6B5D6477"/>
    <w:rsid w:val="6B5D67D5"/>
    <w:rsid w:val="6B616AC3"/>
    <w:rsid w:val="6B6712DB"/>
    <w:rsid w:val="6B68191D"/>
    <w:rsid w:val="6B681BB3"/>
    <w:rsid w:val="6B6932A5"/>
    <w:rsid w:val="6B6B59DA"/>
    <w:rsid w:val="6B6C04AA"/>
    <w:rsid w:val="6B6E3108"/>
    <w:rsid w:val="6B711162"/>
    <w:rsid w:val="6B712D95"/>
    <w:rsid w:val="6B7220F1"/>
    <w:rsid w:val="6B730090"/>
    <w:rsid w:val="6B74766B"/>
    <w:rsid w:val="6B755852"/>
    <w:rsid w:val="6B762CA1"/>
    <w:rsid w:val="6B7803D4"/>
    <w:rsid w:val="6B796374"/>
    <w:rsid w:val="6B7A7912"/>
    <w:rsid w:val="6B7C3AB5"/>
    <w:rsid w:val="6B7E001F"/>
    <w:rsid w:val="6B7E1BDD"/>
    <w:rsid w:val="6B7F0A5F"/>
    <w:rsid w:val="6B7F54B3"/>
    <w:rsid w:val="6B80239C"/>
    <w:rsid w:val="6B8404A4"/>
    <w:rsid w:val="6B857613"/>
    <w:rsid w:val="6B865D22"/>
    <w:rsid w:val="6B8974A3"/>
    <w:rsid w:val="6B8B512D"/>
    <w:rsid w:val="6B8C39B4"/>
    <w:rsid w:val="6B8C5821"/>
    <w:rsid w:val="6B8D0D5A"/>
    <w:rsid w:val="6B8D22DC"/>
    <w:rsid w:val="6B8E3B8A"/>
    <w:rsid w:val="6B8F210E"/>
    <w:rsid w:val="6B9131F6"/>
    <w:rsid w:val="6B96571C"/>
    <w:rsid w:val="6B973DBC"/>
    <w:rsid w:val="6B981517"/>
    <w:rsid w:val="6B9B04F3"/>
    <w:rsid w:val="6B9E3DD9"/>
    <w:rsid w:val="6BA02C2D"/>
    <w:rsid w:val="6BA26175"/>
    <w:rsid w:val="6BA31C51"/>
    <w:rsid w:val="6BA355FA"/>
    <w:rsid w:val="6BA4101E"/>
    <w:rsid w:val="6BAA7419"/>
    <w:rsid w:val="6BAC4E3E"/>
    <w:rsid w:val="6BAD2BD7"/>
    <w:rsid w:val="6BB106FE"/>
    <w:rsid w:val="6BB1295A"/>
    <w:rsid w:val="6BB16E0A"/>
    <w:rsid w:val="6BB20558"/>
    <w:rsid w:val="6BB22BFD"/>
    <w:rsid w:val="6BB467FF"/>
    <w:rsid w:val="6BB521B8"/>
    <w:rsid w:val="6BB6210C"/>
    <w:rsid w:val="6BB91AD1"/>
    <w:rsid w:val="6BB93F66"/>
    <w:rsid w:val="6BBA4557"/>
    <w:rsid w:val="6BBB6BF0"/>
    <w:rsid w:val="6BBD071B"/>
    <w:rsid w:val="6BBD539F"/>
    <w:rsid w:val="6BBE1105"/>
    <w:rsid w:val="6BBE4803"/>
    <w:rsid w:val="6BBF1117"/>
    <w:rsid w:val="6BC350F9"/>
    <w:rsid w:val="6BC359A8"/>
    <w:rsid w:val="6BC374EF"/>
    <w:rsid w:val="6BC80EBB"/>
    <w:rsid w:val="6BC84A9E"/>
    <w:rsid w:val="6BC95A10"/>
    <w:rsid w:val="6BCB3561"/>
    <w:rsid w:val="6BCC2C9C"/>
    <w:rsid w:val="6BCD28A5"/>
    <w:rsid w:val="6BCE1BF4"/>
    <w:rsid w:val="6BCE4EB6"/>
    <w:rsid w:val="6BD00D10"/>
    <w:rsid w:val="6BD0122C"/>
    <w:rsid w:val="6BD36F6B"/>
    <w:rsid w:val="6BD410F3"/>
    <w:rsid w:val="6BD4136F"/>
    <w:rsid w:val="6BD55E91"/>
    <w:rsid w:val="6BD6180C"/>
    <w:rsid w:val="6BD72B5B"/>
    <w:rsid w:val="6BD823CE"/>
    <w:rsid w:val="6BD91AAD"/>
    <w:rsid w:val="6BDA24CA"/>
    <w:rsid w:val="6BDC5375"/>
    <w:rsid w:val="6BDC71C6"/>
    <w:rsid w:val="6BDD334B"/>
    <w:rsid w:val="6BDF15D5"/>
    <w:rsid w:val="6BE03A15"/>
    <w:rsid w:val="6BE12FD4"/>
    <w:rsid w:val="6BE9139B"/>
    <w:rsid w:val="6BED370F"/>
    <w:rsid w:val="6BEE5595"/>
    <w:rsid w:val="6BF115DD"/>
    <w:rsid w:val="6BF15719"/>
    <w:rsid w:val="6BF417B5"/>
    <w:rsid w:val="6BF66679"/>
    <w:rsid w:val="6BF72C60"/>
    <w:rsid w:val="6BFA2BAF"/>
    <w:rsid w:val="6BFB37D1"/>
    <w:rsid w:val="6BFD34F8"/>
    <w:rsid w:val="6BFE065D"/>
    <w:rsid w:val="6C025EEA"/>
    <w:rsid w:val="6C037DFF"/>
    <w:rsid w:val="6C040188"/>
    <w:rsid w:val="6C046B39"/>
    <w:rsid w:val="6C072121"/>
    <w:rsid w:val="6C07245F"/>
    <w:rsid w:val="6C072BCA"/>
    <w:rsid w:val="6C073355"/>
    <w:rsid w:val="6C07458F"/>
    <w:rsid w:val="6C0B0B52"/>
    <w:rsid w:val="6C0B7BC7"/>
    <w:rsid w:val="6C100AC3"/>
    <w:rsid w:val="6C104851"/>
    <w:rsid w:val="6C107B8E"/>
    <w:rsid w:val="6C134FDD"/>
    <w:rsid w:val="6C135D91"/>
    <w:rsid w:val="6C145B9E"/>
    <w:rsid w:val="6C152B1D"/>
    <w:rsid w:val="6C153858"/>
    <w:rsid w:val="6C157D40"/>
    <w:rsid w:val="6C172584"/>
    <w:rsid w:val="6C183D49"/>
    <w:rsid w:val="6C184383"/>
    <w:rsid w:val="6C19660E"/>
    <w:rsid w:val="6C1B47B5"/>
    <w:rsid w:val="6C1F2469"/>
    <w:rsid w:val="6C2052C5"/>
    <w:rsid w:val="6C225202"/>
    <w:rsid w:val="6C250295"/>
    <w:rsid w:val="6C262F44"/>
    <w:rsid w:val="6C296EB8"/>
    <w:rsid w:val="6C2B411C"/>
    <w:rsid w:val="6C2C12A5"/>
    <w:rsid w:val="6C2E004A"/>
    <w:rsid w:val="6C2F124B"/>
    <w:rsid w:val="6C304F80"/>
    <w:rsid w:val="6C334340"/>
    <w:rsid w:val="6C336B0C"/>
    <w:rsid w:val="6C341C42"/>
    <w:rsid w:val="6C3712A7"/>
    <w:rsid w:val="6C376EFF"/>
    <w:rsid w:val="6C3926FD"/>
    <w:rsid w:val="6C3962E0"/>
    <w:rsid w:val="6C3B3FCC"/>
    <w:rsid w:val="6C3F4548"/>
    <w:rsid w:val="6C4019C0"/>
    <w:rsid w:val="6C407E26"/>
    <w:rsid w:val="6C422846"/>
    <w:rsid w:val="6C434DA6"/>
    <w:rsid w:val="6C456772"/>
    <w:rsid w:val="6C457CC6"/>
    <w:rsid w:val="6C4A1ABE"/>
    <w:rsid w:val="6C4B3B1D"/>
    <w:rsid w:val="6C4E2C5A"/>
    <w:rsid w:val="6C516213"/>
    <w:rsid w:val="6C541536"/>
    <w:rsid w:val="6C5774A5"/>
    <w:rsid w:val="6C58099B"/>
    <w:rsid w:val="6C5851F6"/>
    <w:rsid w:val="6C5A5116"/>
    <w:rsid w:val="6C5B3D66"/>
    <w:rsid w:val="6C5E0930"/>
    <w:rsid w:val="6C5F4DE8"/>
    <w:rsid w:val="6C5F6CCA"/>
    <w:rsid w:val="6C60435A"/>
    <w:rsid w:val="6C67530A"/>
    <w:rsid w:val="6C686F06"/>
    <w:rsid w:val="6C692772"/>
    <w:rsid w:val="6C69580B"/>
    <w:rsid w:val="6C6D22A5"/>
    <w:rsid w:val="6C6E6699"/>
    <w:rsid w:val="6C734C23"/>
    <w:rsid w:val="6C743D4C"/>
    <w:rsid w:val="6C78154B"/>
    <w:rsid w:val="6C790B9C"/>
    <w:rsid w:val="6C7C430F"/>
    <w:rsid w:val="6C7D068A"/>
    <w:rsid w:val="6C800B84"/>
    <w:rsid w:val="6C805E09"/>
    <w:rsid w:val="6C812002"/>
    <w:rsid w:val="6C824A40"/>
    <w:rsid w:val="6C852734"/>
    <w:rsid w:val="6C864FB3"/>
    <w:rsid w:val="6C876495"/>
    <w:rsid w:val="6C8812C0"/>
    <w:rsid w:val="6C887C28"/>
    <w:rsid w:val="6C8C0106"/>
    <w:rsid w:val="6C8D62D7"/>
    <w:rsid w:val="6C8F2A66"/>
    <w:rsid w:val="6C931329"/>
    <w:rsid w:val="6C95604E"/>
    <w:rsid w:val="6C975BF0"/>
    <w:rsid w:val="6C9834B3"/>
    <w:rsid w:val="6C9B4D34"/>
    <w:rsid w:val="6C9C0F17"/>
    <w:rsid w:val="6C9D2595"/>
    <w:rsid w:val="6C9D28EC"/>
    <w:rsid w:val="6C9D663E"/>
    <w:rsid w:val="6C9E0AC3"/>
    <w:rsid w:val="6C9E2E40"/>
    <w:rsid w:val="6C9E3592"/>
    <w:rsid w:val="6C9F26B1"/>
    <w:rsid w:val="6CA136B8"/>
    <w:rsid w:val="6CA233F3"/>
    <w:rsid w:val="6CA30EBC"/>
    <w:rsid w:val="6CA31089"/>
    <w:rsid w:val="6CA41B20"/>
    <w:rsid w:val="6CA7428B"/>
    <w:rsid w:val="6CAC759F"/>
    <w:rsid w:val="6CAE651E"/>
    <w:rsid w:val="6CAF2F6C"/>
    <w:rsid w:val="6CAF68A6"/>
    <w:rsid w:val="6CB1658D"/>
    <w:rsid w:val="6CB16FAB"/>
    <w:rsid w:val="6CB502B7"/>
    <w:rsid w:val="6CB70040"/>
    <w:rsid w:val="6CB72F30"/>
    <w:rsid w:val="6CBB6C66"/>
    <w:rsid w:val="6CBD0103"/>
    <w:rsid w:val="6CBD4FB6"/>
    <w:rsid w:val="6CBD5745"/>
    <w:rsid w:val="6CBD7F48"/>
    <w:rsid w:val="6CBF0CA2"/>
    <w:rsid w:val="6CC12BA2"/>
    <w:rsid w:val="6CC47AEA"/>
    <w:rsid w:val="6CC52AB7"/>
    <w:rsid w:val="6CC56FF7"/>
    <w:rsid w:val="6CC60283"/>
    <w:rsid w:val="6CC64CA2"/>
    <w:rsid w:val="6CCA7D73"/>
    <w:rsid w:val="6CCC25C2"/>
    <w:rsid w:val="6CCE08DF"/>
    <w:rsid w:val="6CD37C87"/>
    <w:rsid w:val="6CD5227F"/>
    <w:rsid w:val="6CD55837"/>
    <w:rsid w:val="6CD56549"/>
    <w:rsid w:val="6CD66BFA"/>
    <w:rsid w:val="6CD87E67"/>
    <w:rsid w:val="6CD96353"/>
    <w:rsid w:val="6CDA5ADC"/>
    <w:rsid w:val="6CDF2AE4"/>
    <w:rsid w:val="6CE50429"/>
    <w:rsid w:val="6CE727A8"/>
    <w:rsid w:val="6CE74C15"/>
    <w:rsid w:val="6CE8370B"/>
    <w:rsid w:val="6CE90966"/>
    <w:rsid w:val="6CE91492"/>
    <w:rsid w:val="6CEA34B7"/>
    <w:rsid w:val="6CEB6512"/>
    <w:rsid w:val="6CEC7183"/>
    <w:rsid w:val="6CEE6334"/>
    <w:rsid w:val="6CF332D0"/>
    <w:rsid w:val="6CF33C46"/>
    <w:rsid w:val="6CF403D2"/>
    <w:rsid w:val="6CF54BCB"/>
    <w:rsid w:val="6CF77892"/>
    <w:rsid w:val="6CFA2D5D"/>
    <w:rsid w:val="6D040739"/>
    <w:rsid w:val="6D05366E"/>
    <w:rsid w:val="6D062D75"/>
    <w:rsid w:val="6D082649"/>
    <w:rsid w:val="6D114EE5"/>
    <w:rsid w:val="6D124DA3"/>
    <w:rsid w:val="6D150762"/>
    <w:rsid w:val="6D155A0E"/>
    <w:rsid w:val="6D176D30"/>
    <w:rsid w:val="6D1A0849"/>
    <w:rsid w:val="6D212385"/>
    <w:rsid w:val="6D217B8B"/>
    <w:rsid w:val="6D234CE3"/>
    <w:rsid w:val="6D235510"/>
    <w:rsid w:val="6D2356D5"/>
    <w:rsid w:val="6D292B16"/>
    <w:rsid w:val="6D2A45EE"/>
    <w:rsid w:val="6D2A6960"/>
    <w:rsid w:val="6D2B1A15"/>
    <w:rsid w:val="6D2F19C5"/>
    <w:rsid w:val="6D2F22B0"/>
    <w:rsid w:val="6D30146B"/>
    <w:rsid w:val="6D305F2E"/>
    <w:rsid w:val="6D335C90"/>
    <w:rsid w:val="6D351736"/>
    <w:rsid w:val="6D386149"/>
    <w:rsid w:val="6D3B5916"/>
    <w:rsid w:val="6D3D4480"/>
    <w:rsid w:val="6D403CC8"/>
    <w:rsid w:val="6D424BE7"/>
    <w:rsid w:val="6D437B25"/>
    <w:rsid w:val="6D4507F9"/>
    <w:rsid w:val="6D476090"/>
    <w:rsid w:val="6D4A2C62"/>
    <w:rsid w:val="6D4D4B8A"/>
    <w:rsid w:val="6D4D62AE"/>
    <w:rsid w:val="6D4E1BE6"/>
    <w:rsid w:val="6D505D9E"/>
    <w:rsid w:val="6D540564"/>
    <w:rsid w:val="6D5835D1"/>
    <w:rsid w:val="6D5A1EC1"/>
    <w:rsid w:val="6D5B4BDB"/>
    <w:rsid w:val="6D5C105E"/>
    <w:rsid w:val="6D604097"/>
    <w:rsid w:val="6D613D08"/>
    <w:rsid w:val="6D6278AA"/>
    <w:rsid w:val="6D632E70"/>
    <w:rsid w:val="6D66428A"/>
    <w:rsid w:val="6D66C981"/>
    <w:rsid w:val="6D677A04"/>
    <w:rsid w:val="6D686335"/>
    <w:rsid w:val="6D693611"/>
    <w:rsid w:val="6D694B74"/>
    <w:rsid w:val="6D6C6EB1"/>
    <w:rsid w:val="6D6D0FF0"/>
    <w:rsid w:val="6D71496A"/>
    <w:rsid w:val="6D725BD7"/>
    <w:rsid w:val="6D7372F7"/>
    <w:rsid w:val="6D747355"/>
    <w:rsid w:val="6D7571F6"/>
    <w:rsid w:val="6D765805"/>
    <w:rsid w:val="6D785A21"/>
    <w:rsid w:val="6D792392"/>
    <w:rsid w:val="6D7C5752"/>
    <w:rsid w:val="6D7E328B"/>
    <w:rsid w:val="6D8000B9"/>
    <w:rsid w:val="6D824297"/>
    <w:rsid w:val="6D826EC9"/>
    <w:rsid w:val="6D8429AF"/>
    <w:rsid w:val="6D857901"/>
    <w:rsid w:val="6D8C026B"/>
    <w:rsid w:val="6D8C265E"/>
    <w:rsid w:val="6D8C327A"/>
    <w:rsid w:val="6D8E0B45"/>
    <w:rsid w:val="6D8E6BBC"/>
    <w:rsid w:val="6D9058ED"/>
    <w:rsid w:val="6D9074D8"/>
    <w:rsid w:val="6D952FF8"/>
    <w:rsid w:val="6D954BD2"/>
    <w:rsid w:val="6D9653D7"/>
    <w:rsid w:val="6D990F65"/>
    <w:rsid w:val="6D9F23F2"/>
    <w:rsid w:val="6DA13330"/>
    <w:rsid w:val="6DA2355F"/>
    <w:rsid w:val="6DA32640"/>
    <w:rsid w:val="6DA400E5"/>
    <w:rsid w:val="6DA5433C"/>
    <w:rsid w:val="6DA8132E"/>
    <w:rsid w:val="6DAD5CFB"/>
    <w:rsid w:val="6DAD786C"/>
    <w:rsid w:val="6DAF478A"/>
    <w:rsid w:val="6DAF4B3B"/>
    <w:rsid w:val="6DB048F8"/>
    <w:rsid w:val="6DB12CE1"/>
    <w:rsid w:val="6DB177FB"/>
    <w:rsid w:val="6DB462EF"/>
    <w:rsid w:val="6DB92902"/>
    <w:rsid w:val="6DB97E09"/>
    <w:rsid w:val="6DBA2B90"/>
    <w:rsid w:val="6DBC0B4D"/>
    <w:rsid w:val="6DBD07AF"/>
    <w:rsid w:val="6DBE21C0"/>
    <w:rsid w:val="6DBE7502"/>
    <w:rsid w:val="6DBF306D"/>
    <w:rsid w:val="6DC01A95"/>
    <w:rsid w:val="6DC12308"/>
    <w:rsid w:val="6DC16D2D"/>
    <w:rsid w:val="6DC50DE7"/>
    <w:rsid w:val="6DC67D62"/>
    <w:rsid w:val="6DCB463F"/>
    <w:rsid w:val="6DCB497A"/>
    <w:rsid w:val="6DCD4CED"/>
    <w:rsid w:val="6DCE100D"/>
    <w:rsid w:val="6DCE6A25"/>
    <w:rsid w:val="6DCF1B48"/>
    <w:rsid w:val="6DD41545"/>
    <w:rsid w:val="6DD56D53"/>
    <w:rsid w:val="6DD62060"/>
    <w:rsid w:val="6DD64AB5"/>
    <w:rsid w:val="6DD80F51"/>
    <w:rsid w:val="6DD90C8C"/>
    <w:rsid w:val="6DDA1B81"/>
    <w:rsid w:val="6DDA3E95"/>
    <w:rsid w:val="6DDD1802"/>
    <w:rsid w:val="6DE035C6"/>
    <w:rsid w:val="6DE32B95"/>
    <w:rsid w:val="6DE36C13"/>
    <w:rsid w:val="6DE63C88"/>
    <w:rsid w:val="6DE704A1"/>
    <w:rsid w:val="6DE74E12"/>
    <w:rsid w:val="6DE85FD7"/>
    <w:rsid w:val="6DEA71D3"/>
    <w:rsid w:val="6DED1DB3"/>
    <w:rsid w:val="6DEE3E10"/>
    <w:rsid w:val="6DEE7BA0"/>
    <w:rsid w:val="6DF0025E"/>
    <w:rsid w:val="6DF37CC3"/>
    <w:rsid w:val="6DF756C5"/>
    <w:rsid w:val="6DF9075E"/>
    <w:rsid w:val="6DF92757"/>
    <w:rsid w:val="6DF96657"/>
    <w:rsid w:val="6DFA221D"/>
    <w:rsid w:val="6DFA4228"/>
    <w:rsid w:val="6DFA5CDB"/>
    <w:rsid w:val="6DFA5FB9"/>
    <w:rsid w:val="6DFB1AD9"/>
    <w:rsid w:val="6DFB3C15"/>
    <w:rsid w:val="6DFE57FA"/>
    <w:rsid w:val="6E0077C5"/>
    <w:rsid w:val="6E022281"/>
    <w:rsid w:val="6E0313D8"/>
    <w:rsid w:val="6E031D1E"/>
    <w:rsid w:val="6E034FF9"/>
    <w:rsid w:val="6E03783A"/>
    <w:rsid w:val="6E061BDB"/>
    <w:rsid w:val="6E063BE6"/>
    <w:rsid w:val="6E081728"/>
    <w:rsid w:val="6E096B0A"/>
    <w:rsid w:val="6E0B2E69"/>
    <w:rsid w:val="6E0C34E6"/>
    <w:rsid w:val="6E0D1D71"/>
    <w:rsid w:val="6E0D7D55"/>
    <w:rsid w:val="6E107895"/>
    <w:rsid w:val="6E1119D2"/>
    <w:rsid w:val="6E112850"/>
    <w:rsid w:val="6E115EF1"/>
    <w:rsid w:val="6E1239BC"/>
    <w:rsid w:val="6E153296"/>
    <w:rsid w:val="6E1600D0"/>
    <w:rsid w:val="6E197452"/>
    <w:rsid w:val="6E1E40DA"/>
    <w:rsid w:val="6E227645"/>
    <w:rsid w:val="6E2519DC"/>
    <w:rsid w:val="6E274F1B"/>
    <w:rsid w:val="6E290A29"/>
    <w:rsid w:val="6E2C6902"/>
    <w:rsid w:val="6E2D0C79"/>
    <w:rsid w:val="6E2E06C9"/>
    <w:rsid w:val="6E2E60E0"/>
    <w:rsid w:val="6E301F09"/>
    <w:rsid w:val="6E320267"/>
    <w:rsid w:val="6E345C3E"/>
    <w:rsid w:val="6E356F33"/>
    <w:rsid w:val="6E360AC8"/>
    <w:rsid w:val="6E3734C7"/>
    <w:rsid w:val="6E377D58"/>
    <w:rsid w:val="6E3C5AED"/>
    <w:rsid w:val="6E3F5331"/>
    <w:rsid w:val="6E410874"/>
    <w:rsid w:val="6E437CCC"/>
    <w:rsid w:val="6E443548"/>
    <w:rsid w:val="6E4759EE"/>
    <w:rsid w:val="6E4763E1"/>
    <w:rsid w:val="6E486F8A"/>
    <w:rsid w:val="6E49405E"/>
    <w:rsid w:val="6E4C1EB3"/>
    <w:rsid w:val="6E4C4CB5"/>
    <w:rsid w:val="6E4C6C06"/>
    <w:rsid w:val="6E522B2E"/>
    <w:rsid w:val="6E58315D"/>
    <w:rsid w:val="6E586077"/>
    <w:rsid w:val="6E5920BB"/>
    <w:rsid w:val="6E5924FD"/>
    <w:rsid w:val="6E5B2C4D"/>
    <w:rsid w:val="6E5D189F"/>
    <w:rsid w:val="6E5E1F50"/>
    <w:rsid w:val="6E5F6A3C"/>
    <w:rsid w:val="6E61789B"/>
    <w:rsid w:val="6E6206A9"/>
    <w:rsid w:val="6E622C4A"/>
    <w:rsid w:val="6E644473"/>
    <w:rsid w:val="6E647B05"/>
    <w:rsid w:val="6E6D2AD3"/>
    <w:rsid w:val="6E6E3347"/>
    <w:rsid w:val="6E6F7807"/>
    <w:rsid w:val="6E714D36"/>
    <w:rsid w:val="6E720BF5"/>
    <w:rsid w:val="6E724C82"/>
    <w:rsid w:val="6E736E7C"/>
    <w:rsid w:val="6E752C75"/>
    <w:rsid w:val="6E7536BB"/>
    <w:rsid w:val="6E763764"/>
    <w:rsid w:val="6E777A87"/>
    <w:rsid w:val="6E783F62"/>
    <w:rsid w:val="6E784C53"/>
    <w:rsid w:val="6E7921E2"/>
    <w:rsid w:val="6E7A0106"/>
    <w:rsid w:val="6E7A450E"/>
    <w:rsid w:val="6E7B6567"/>
    <w:rsid w:val="6E7D0E15"/>
    <w:rsid w:val="6E7D0EE4"/>
    <w:rsid w:val="6E80464C"/>
    <w:rsid w:val="6E817485"/>
    <w:rsid w:val="6E823758"/>
    <w:rsid w:val="6E841276"/>
    <w:rsid w:val="6E8B4A99"/>
    <w:rsid w:val="6E8C4AB1"/>
    <w:rsid w:val="6E8D2E5E"/>
    <w:rsid w:val="6E8E6B7E"/>
    <w:rsid w:val="6E93052D"/>
    <w:rsid w:val="6E9323E7"/>
    <w:rsid w:val="6E944FAC"/>
    <w:rsid w:val="6E987E15"/>
    <w:rsid w:val="6E996587"/>
    <w:rsid w:val="6E997DE5"/>
    <w:rsid w:val="6E9A4F58"/>
    <w:rsid w:val="6E9B281C"/>
    <w:rsid w:val="6E9C6B78"/>
    <w:rsid w:val="6E9C74ED"/>
    <w:rsid w:val="6E9D3265"/>
    <w:rsid w:val="6E9E6C81"/>
    <w:rsid w:val="6EA11A48"/>
    <w:rsid w:val="6EA42A58"/>
    <w:rsid w:val="6EA4488C"/>
    <w:rsid w:val="6EA53042"/>
    <w:rsid w:val="6EA55463"/>
    <w:rsid w:val="6EA60A85"/>
    <w:rsid w:val="6EA849AA"/>
    <w:rsid w:val="6EA94425"/>
    <w:rsid w:val="6EAD15A5"/>
    <w:rsid w:val="6EAE097E"/>
    <w:rsid w:val="6EAE690B"/>
    <w:rsid w:val="6EAF6748"/>
    <w:rsid w:val="6EB13A36"/>
    <w:rsid w:val="6EB22991"/>
    <w:rsid w:val="6EB256E8"/>
    <w:rsid w:val="6EB27613"/>
    <w:rsid w:val="6EB7468E"/>
    <w:rsid w:val="6EB807CB"/>
    <w:rsid w:val="6EBC169B"/>
    <w:rsid w:val="6EBC31C7"/>
    <w:rsid w:val="6EBC75A3"/>
    <w:rsid w:val="6EBE25BF"/>
    <w:rsid w:val="6EBE56B6"/>
    <w:rsid w:val="6EBE72E0"/>
    <w:rsid w:val="6EC22CAF"/>
    <w:rsid w:val="6EC27130"/>
    <w:rsid w:val="6EC30B2F"/>
    <w:rsid w:val="6EC5275F"/>
    <w:rsid w:val="6EC53842"/>
    <w:rsid w:val="6EC61DEB"/>
    <w:rsid w:val="6EC62834"/>
    <w:rsid w:val="6ECE4806"/>
    <w:rsid w:val="6ECF35EB"/>
    <w:rsid w:val="6ED42EE3"/>
    <w:rsid w:val="6ED51D11"/>
    <w:rsid w:val="6ED521F1"/>
    <w:rsid w:val="6ED53650"/>
    <w:rsid w:val="6ED61B26"/>
    <w:rsid w:val="6EDA0016"/>
    <w:rsid w:val="6EDA38B5"/>
    <w:rsid w:val="6EDB2FD4"/>
    <w:rsid w:val="6EDC18C7"/>
    <w:rsid w:val="6EE020A5"/>
    <w:rsid w:val="6EE047EB"/>
    <w:rsid w:val="6EE125D5"/>
    <w:rsid w:val="6EE16E26"/>
    <w:rsid w:val="6EE261F0"/>
    <w:rsid w:val="6EE52260"/>
    <w:rsid w:val="6EE91E80"/>
    <w:rsid w:val="6EEA526B"/>
    <w:rsid w:val="6EEE6F5E"/>
    <w:rsid w:val="6EF41608"/>
    <w:rsid w:val="6EF8045F"/>
    <w:rsid w:val="6EF82133"/>
    <w:rsid w:val="6EF966EE"/>
    <w:rsid w:val="6EFA5FDD"/>
    <w:rsid w:val="6EFB6D71"/>
    <w:rsid w:val="6F03131A"/>
    <w:rsid w:val="6F060E0B"/>
    <w:rsid w:val="6F061B7F"/>
    <w:rsid w:val="6F062BB9"/>
    <w:rsid w:val="6F065080"/>
    <w:rsid w:val="6F0E2D2B"/>
    <w:rsid w:val="6F1043FC"/>
    <w:rsid w:val="6F13470C"/>
    <w:rsid w:val="6F1426FE"/>
    <w:rsid w:val="6F194F70"/>
    <w:rsid w:val="6F1A57CA"/>
    <w:rsid w:val="6F1B10D6"/>
    <w:rsid w:val="6F1B2B08"/>
    <w:rsid w:val="6F1F10E3"/>
    <w:rsid w:val="6F20222C"/>
    <w:rsid w:val="6F280765"/>
    <w:rsid w:val="6F2B0693"/>
    <w:rsid w:val="6F2B2108"/>
    <w:rsid w:val="6F2C413C"/>
    <w:rsid w:val="6F2D6397"/>
    <w:rsid w:val="6F2E1782"/>
    <w:rsid w:val="6F30298C"/>
    <w:rsid w:val="6F333E36"/>
    <w:rsid w:val="6F341B31"/>
    <w:rsid w:val="6F360DA4"/>
    <w:rsid w:val="6F3614EB"/>
    <w:rsid w:val="6F3767B0"/>
    <w:rsid w:val="6F382004"/>
    <w:rsid w:val="6F390C60"/>
    <w:rsid w:val="6F3A711F"/>
    <w:rsid w:val="6F3B4662"/>
    <w:rsid w:val="6F3B6D9C"/>
    <w:rsid w:val="6F4436E1"/>
    <w:rsid w:val="6F455A37"/>
    <w:rsid w:val="6F482183"/>
    <w:rsid w:val="6F483920"/>
    <w:rsid w:val="6F4871A1"/>
    <w:rsid w:val="6F4A3F32"/>
    <w:rsid w:val="6F4B3477"/>
    <w:rsid w:val="6F4E550A"/>
    <w:rsid w:val="6F5117F6"/>
    <w:rsid w:val="6F5140BE"/>
    <w:rsid w:val="6F517281"/>
    <w:rsid w:val="6F527126"/>
    <w:rsid w:val="6F543924"/>
    <w:rsid w:val="6F56447F"/>
    <w:rsid w:val="6F58402A"/>
    <w:rsid w:val="6F5A0F72"/>
    <w:rsid w:val="6F5A2F0D"/>
    <w:rsid w:val="6F5D065F"/>
    <w:rsid w:val="6F5D76BA"/>
    <w:rsid w:val="6F604420"/>
    <w:rsid w:val="6F613504"/>
    <w:rsid w:val="6F62407E"/>
    <w:rsid w:val="6F651FD5"/>
    <w:rsid w:val="6F652C34"/>
    <w:rsid w:val="6F6728AD"/>
    <w:rsid w:val="6F6A1F65"/>
    <w:rsid w:val="6F6B01A8"/>
    <w:rsid w:val="6F6B0C6F"/>
    <w:rsid w:val="6F6C784F"/>
    <w:rsid w:val="6F6C7CD6"/>
    <w:rsid w:val="6F6D2C38"/>
    <w:rsid w:val="6F6F261E"/>
    <w:rsid w:val="6F704CBA"/>
    <w:rsid w:val="6F70640A"/>
    <w:rsid w:val="6F707A6C"/>
    <w:rsid w:val="6F721541"/>
    <w:rsid w:val="6F747913"/>
    <w:rsid w:val="6F747E9F"/>
    <w:rsid w:val="6F756738"/>
    <w:rsid w:val="6F76696D"/>
    <w:rsid w:val="6F774874"/>
    <w:rsid w:val="6F792068"/>
    <w:rsid w:val="6F7A52FC"/>
    <w:rsid w:val="6F7A7A29"/>
    <w:rsid w:val="6F7D7088"/>
    <w:rsid w:val="6F7E18A2"/>
    <w:rsid w:val="6F7E5489"/>
    <w:rsid w:val="6F843DDB"/>
    <w:rsid w:val="6F880A8C"/>
    <w:rsid w:val="6F8A7DEA"/>
    <w:rsid w:val="6F8A7FDB"/>
    <w:rsid w:val="6F8B1389"/>
    <w:rsid w:val="6F8B4C79"/>
    <w:rsid w:val="6F8C4A7D"/>
    <w:rsid w:val="6F8C57B4"/>
    <w:rsid w:val="6F8C7022"/>
    <w:rsid w:val="6F902E5B"/>
    <w:rsid w:val="6F913DD5"/>
    <w:rsid w:val="6F931D60"/>
    <w:rsid w:val="6F937DCB"/>
    <w:rsid w:val="6F9441FF"/>
    <w:rsid w:val="6F9541F7"/>
    <w:rsid w:val="6F971EF1"/>
    <w:rsid w:val="6F975436"/>
    <w:rsid w:val="6F9C52CB"/>
    <w:rsid w:val="6F9E7664"/>
    <w:rsid w:val="6F9F4AD7"/>
    <w:rsid w:val="6FA07A5F"/>
    <w:rsid w:val="6FA07C18"/>
    <w:rsid w:val="6FA464A6"/>
    <w:rsid w:val="6FA54D5B"/>
    <w:rsid w:val="6FA703AA"/>
    <w:rsid w:val="6FA72EE3"/>
    <w:rsid w:val="6FA766AA"/>
    <w:rsid w:val="6FAD5DBD"/>
    <w:rsid w:val="6FAE625C"/>
    <w:rsid w:val="6FAE6265"/>
    <w:rsid w:val="6FB14721"/>
    <w:rsid w:val="6FB865A9"/>
    <w:rsid w:val="6FBA4829"/>
    <w:rsid w:val="6FBD0A3E"/>
    <w:rsid w:val="6FBD3BBF"/>
    <w:rsid w:val="6FBF77AD"/>
    <w:rsid w:val="6FC24974"/>
    <w:rsid w:val="6FC34F4E"/>
    <w:rsid w:val="6FC80D31"/>
    <w:rsid w:val="6FCF227B"/>
    <w:rsid w:val="6FD44DC6"/>
    <w:rsid w:val="6FD71542"/>
    <w:rsid w:val="6FD7411A"/>
    <w:rsid w:val="6FD761BB"/>
    <w:rsid w:val="6FD94BBA"/>
    <w:rsid w:val="6FDC0D3D"/>
    <w:rsid w:val="6FDC2686"/>
    <w:rsid w:val="6FDD0CA2"/>
    <w:rsid w:val="6FDF06AC"/>
    <w:rsid w:val="6FDF3EDD"/>
    <w:rsid w:val="6FDF6147"/>
    <w:rsid w:val="6FE1428D"/>
    <w:rsid w:val="6FE366A2"/>
    <w:rsid w:val="6FE61BFF"/>
    <w:rsid w:val="6FE721D4"/>
    <w:rsid w:val="6FE74FA6"/>
    <w:rsid w:val="6FEA3139"/>
    <w:rsid w:val="6FEA4F55"/>
    <w:rsid w:val="6FED2F16"/>
    <w:rsid w:val="6FEE268F"/>
    <w:rsid w:val="6FEE4069"/>
    <w:rsid w:val="6FEF5CC1"/>
    <w:rsid w:val="6FF029B8"/>
    <w:rsid w:val="6FF06080"/>
    <w:rsid w:val="6FF3191B"/>
    <w:rsid w:val="6FF80CF8"/>
    <w:rsid w:val="6FF96B4E"/>
    <w:rsid w:val="6FFB041E"/>
    <w:rsid w:val="6FFF6D1F"/>
    <w:rsid w:val="70002D3B"/>
    <w:rsid w:val="70004411"/>
    <w:rsid w:val="70016C16"/>
    <w:rsid w:val="700272FA"/>
    <w:rsid w:val="700309A7"/>
    <w:rsid w:val="70034F4F"/>
    <w:rsid w:val="70037F39"/>
    <w:rsid w:val="700510D5"/>
    <w:rsid w:val="700725A7"/>
    <w:rsid w:val="700A011C"/>
    <w:rsid w:val="700A108E"/>
    <w:rsid w:val="700A66D9"/>
    <w:rsid w:val="700A6D03"/>
    <w:rsid w:val="700B6F7A"/>
    <w:rsid w:val="700D1071"/>
    <w:rsid w:val="70121A63"/>
    <w:rsid w:val="70133E7D"/>
    <w:rsid w:val="701348AD"/>
    <w:rsid w:val="701354B1"/>
    <w:rsid w:val="70136916"/>
    <w:rsid w:val="7014189F"/>
    <w:rsid w:val="70162455"/>
    <w:rsid w:val="70183037"/>
    <w:rsid w:val="70196F07"/>
    <w:rsid w:val="701B0DA6"/>
    <w:rsid w:val="701C7DBA"/>
    <w:rsid w:val="701E0A0D"/>
    <w:rsid w:val="701E4290"/>
    <w:rsid w:val="701E5115"/>
    <w:rsid w:val="70202136"/>
    <w:rsid w:val="70205EFC"/>
    <w:rsid w:val="70230A91"/>
    <w:rsid w:val="7023336A"/>
    <w:rsid w:val="702459EC"/>
    <w:rsid w:val="702A5CAA"/>
    <w:rsid w:val="702B70FF"/>
    <w:rsid w:val="702C4143"/>
    <w:rsid w:val="702E681D"/>
    <w:rsid w:val="702E7090"/>
    <w:rsid w:val="7031248B"/>
    <w:rsid w:val="70342263"/>
    <w:rsid w:val="70343E11"/>
    <w:rsid w:val="70384FF4"/>
    <w:rsid w:val="70387839"/>
    <w:rsid w:val="70393B7D"/>
    <w:rsid w:val="70396951"/>
    <w:rsid w:val="703B2193"/>
    <w:rsid w:val="703F1E1D"/>
    <w:rsid w:val="703F4457"/>
    <w:rsid w:val="70407CAF"/>
    <w:rsid w:val="70410EB0"/>
    <w:rsid w:val="70432532"/>
    <w:rsid w:val="704659C6"/>
    <w:rsid w:val="7047792D"/>
    <w:rsid w:val="704A4D27"/>
    <w:rsid w:val="704D421D"/>
    <w:rsid w:val="7054385F"/>
    <w:rsid w:val="7054502F"/>
    <w:rsid w:val="705506CF"/>
    <w:rsid w:val="70550B7B"/>
    <w:rsid w:val="7055578D"/>
    <w:rsid w:val="705617A9"/>
    <w:rsid w:val="7056499F"/>
    <w:rsid w:val="7057259E"/>
    <w:rsid w:val="705725B6"/>
    <w:rsid w:val="705B3C93"/>
    <w:rsid w:val="70606DB1"/>
    <w:rsid w:val="70637E7B"/>
    <w:rsid w:val="706411C2"/>
    <w:rsid w:val="70682EF4"/>
    <w:rsid w:val="70696811"/>
    <w:rsid w:val="706E6C67"/>
    <w:rsid w:val="706F1232"/>
    <w:rsid w:val="706F1C55"/>
    <w:rsid w:val="70720FD2"/>
    <w:rsid w:val="70732518"/>
    <w:rsid w:val="70741A48"/>
    <w:rsid w:val="70742FA6"/>
    <w:rsid w:val="70771AF6"/>
    <w:rsid w:val="70785C4E"/>
    <w:rsid w:val="707876FF"/>
    <w:rsid w:val="707E38CF"/>
    <w:rsid w:val="70840239"/>
    <w:rsid w:val="70860CB6"/>
    <w:rsid w:val="70885C7A"/>
    <w:rsid w:val="708A25CF"/>
    <w:rsid w:val="708A6DBD"/>
    <w:rsid w:val="708B7819"/>
    <w:rsid w:val="708C2143"/>
    <w:rsid w:val="708C341B"/>
    <w:rsid w:val="708C3FE6"/>
    <w:rsid w:val="708C623E"/>
    <w:rsid w:val="70950DBD"/>
    <w:rsid w:val="709537CF"/>
    <w:rsid w:val="709608F6"/>
    <w:rsid w:val="709654BD"/>
    <w:rsid w:val="70986E33"/>
    <w:rsid w:val="70996706"/>
    <w:rsid w:val="709A3F28"/>
    <w:rsid w:val="709F1517"/>
    <w:rsid w:val="70A3288C"/>
    <w:rsid w:val="70A47B76"/>
    <w:rsid w:val="70A57359"/>
    <w:rsid w:val="70A67126"/>
    <w:rsid w:val="70A74533"/>
    <w:rsid w:val="70A8077B"/>
    <w:rsid w:val="70A852D9"/>
    <w:rsid w:val="70A85F7D"/>
    <w:rsid w:val="70A931D1"/>
    <w:rsid w:val="70AB3AEA"/>
    <w:rsid w:val="70B12FF8"/>
    <w:rsid w:val="70B34613"/>
    <w:rsid w:val="70B42B52"/>
    <w:rsid w:val="70B47338"/>
    <w:rsid w:val="70B51A37"/>
    <w:rsid w:val="70B608A3"/>
    <w:rsid w:val="70B663CB"/>
    <w:rsid w:val="70B7645B"/>
    <w:rsid w:val="70BC036A"/>
    <w:rsid w:val="70BC66E1"/>
    <w:rsid w:val="70BC7759"/>
    <w:rsid w:val="70BD08C1"/>
    <w:rsid w:val="70BD1B31"/>
    <w:rsid w:val="70BE2DDD"/>
    <w:rsid w:val="70C26FB3"/>
    <w:rsid w:val="70C44AD9"/>
    <w:rsid w:val="70C635E9"/>
    <w:rsid w:val="70C63C40"/>
    <w:rsid w:val="70C6555B"/>
    <w:rsid w:val="70C8281B"/>
    <w:rsid w:val="70C9781D"/>
    <w:rsid w:val="70CB32EF"/>
    <w:rsid w:val="70CF0918"/>
    <w:rsid w:val="70D016D0"/>
    <w:rsid w:val="70D11900"/>
    <w:rsid w:val="70D222DA"/>
    <w:rsid w:val="70D50559"/>
    <w:rsid w:val="70D9157E"/>
    <w:rsid w:val="70DA1185"/>
    <w:rsid w:val="70DA1962"/>
    <w:rsid w:val="70DD7058"/>
    <w:rsid w:val="70DD7E46"/>
    <w:rsid w:val="70DE1FAE"/>
    <w:rsid w:val="70DF077D"/>
    <w:rsid w:val="70E16BCA"/>
    <w:rsid w:val="70E3107B"/>
    <w:rsid w:val="70E40BE1"/>
    <w:rsid w:val="70E46284"/>
    <w:rsid w:val="70E555C6"/>
    <w:rsid w:val="70E6731C"/>
    <w:rsid w:val="70E707C8"/>
    <w:rsid w:val="70E8416C"/>
    <w:rsid w:val="70EB717A"/>
    <w:rsid w:val="70F02DA4"/>
    <w:rsid w:val="70F03D5F"/>
    <w:rsid w:val="70F5177C"/>
    <w:rsid w:val="70F57389"/>
    <w:rsid w:val="70F77806"/>
    <w:rsid w:val="70FB30FC"/>
    <w:rsid w:val="70FB44CB"/>
    <w:rsid w:val="70FC15B6"/>
    <w:rsid w:val="70FC5365"/>
    <w:rsid w:val="71013FCE"/>
    <w:rsid w:val="71015D2D"/>
    <w:rsid w:val="71024B44"/>
    <w:rsid w:val="71027982"/>
    <w:rsid w:val="7104107D"/>
    <w:rsid w:val="71066EA0"/>
    <w:rsid w:val="710805B5"/>
    <w:rsid w:val="710812D5"/>
    <w:rsid w:val="710845B7"/>
    <w:rsid w:val="71096F1A"/>
    <w:rsid w:val="710A2284"/>
    <w:rsid w:val="710A679E"/>
    <w:rsid w:val="710B63A1"/>
    <w:rsid w:val="710E67DC"/>
    <w:rsid w:val="71113DD9"/>
    <w:rsid w:val="71160323"/>
    <w:rsid w:val="71197DB5"/>
    <w:rsid w:val="711B0532"/>
    <w:rsid w:val="711C3263"/>
    <w:rsid w:val="711D243B"/>
    <w:rsid w:val="711D6CA0"/>
    <w:rsid w:val="711E1C64"/>
    <w:rsid w:val="711E53D0"/>
    <w:rsid w:val="711E606D"/>
    <w:rsid w:val="711F0659"/>
    <w:rsid w:val="712030EE"/>
    <w:rsid w:val="71233EF6"/>
    <w:rsid w:val="712379B9"/>
    <w:rsid w:val="71237A52"/>
    <w:rsid w:val="712454A3"/>
    <w:rsid w:val="71271A8C"/>
    <w:rsid w:val="712824FF"/>
    <w:rsid w:val="712934B7"/>
    <w:rsid w:val="712C5A9C"/>
    <w:rsid w:val="712D3676"/>
    <w:rsid w:val="712D5F45"/>
    <w:rsid w:val="712D752E"/>
    <w:rsid w:val="712D774F"/>
    <w:rsid w:val="713670EB"/>
    <w:rsid w:val="7142011F"/>
    <w:rsid w:val="714237C6"/>
    <w:rsid w:val="714338F2"/>
    <w:rsid w:val="71437DC5"/>
    <w:rsid w:val="714564F6"/>
    <w:rsid w:val="714B15D8"/>
    <w:rsid w:val="714E0F4A"/>
    <w:rsid w:val="71524302"/>
    <w:rsid w:val="71543557"/>
    <w:rsid w:val="715444D7"/>
    <w:rsid w:val="715556F0"/>
    <w:rsid w:val="71564C89"/>
    <w:rsid w:val="71573849"/>
    <w:rsid w:val="71577D20"/>
    <w:rsid w:val="715B0D51"/>
    <w:rsid w:val="71601AD1"/>
    <w:rsid w:val="716249CF"/>
    <w:rsid w:val="716554FF"/>
    <w:rsid w:val="7169397A"/>
    <w:rsid w:val="716B17BA"/>
    <w:rsid w:val="716D3CED"/>
    <w:rsid w:val="716E2A18"/>
    <w:rsid w:val="716F3224"/>
    <w:rsid w:val="71701144"/>
    <w:rsid w:val="717604C9"/>
    <w:rsid w:val="717678D7"/>
    <w:rsid w:val="71790FE7"/>
    <w:rsid w:val="717E2EDA"/>
    <w:rsid w:val="717F260B"/>
    <w:rsid w:val="7180212D"/>
    <w:rsid w:val="718329E1"/>
    <w:rsid w:val="71847B2A"/>
    <w:rsid w:val="7185070D"/>
    <w:rsid w:val="718523F9"/>
    <w:rsid w:val="71855FAC"/>
    <w:rsid w:val="718715E1"/>
    <w:rsid w:val="71872BC7"/>
    <w:rsid w:val="718A0C36"/>
    <w:rsid w:val="718A13BF"/>
    <w:rsid w:val="718A444E"/>
    <w:rsid w:val="718F3C48"/>
    <w:rsid w:val="71931CAE"/>
    <w:rsid w:val="71934C2A"/>
    <w:rsid w:val="71977703"/>
    <w:rsid w:val="719858F7"/>
    <w:rsid w:val="71987D6B"/>
    <w:rsid w:val="719921F1"/>
    <w:rsid w:val="719A4FED"/>
    <w:rsid w:val="719B7F30"/>
    <w:rsid w:val="719E17CE"/>
    <w:rsid w:val="71A1260E"/>
    <w:rsid w:val="71A21DC9"/>
    <w:rsid w:val="71A25546"/>
    <w:rsid w:val="71A53C81"/>
    <w:rsid w:val="71A91493"/>
    <w:rsid w:val="71AC2314"/>
    <w:rsid w:val="71B0505E"/>
    <w:rsid w:val="71B11757"/>
    <w:rsid w:val="71B1626A"/>
    <w:rsid w:val="71B26855"/>
    <w:rsid w:val="71B54993"/>
    <w:rsid w:val="71B91357"/>
    <w:rsid w:val="71B94977"/>
    <w:rsid w:val="71BA4D31"/>
    <w:rsid w:val="71BD21EF"/>
    <w:rsid w:val="71C34D91"/>
    <w:rsid w:val="71C4360E"/>
    <w:rsid w:val="71C5645F"/>
    <w:rsid w:val="71C80303"/>
    <w:rsid w:val="71CB29CC"/>
    <w:rsid w:val="71CD15D8"/>
    <w:rsid w:val="71CF42B4"/>
    <w:rsid w:val="71D2153D"/>
    <w:rsid w:val="71D21EFE"/>
    <w:rsid w:val="71D6082B"/>
    <w:rsid w:val="71D60E16"/>
    <w:rsid w:val="71D7319F"/>
    <w:rsid w:val="71D7385A"/>
    <w:rsid w:val="71D96D62"/>
    <w:rsid w:val="71DB20DB"/>
    <w:rsid w:val="71DB6D13"/>
    <w:rsid w:val="71DC316B"/>
    <w:rsid w:val="71DC6C7D"/>
    <w:rsid w:val="71DD2893"/>
    <w:rsid w:val="71DD3A0F"/>
    <w:rsid w:val="71DE6CB7"/>
    <w:rsid w:val="71DF5AF6"/>
    <w:rsid w:val="71E00DC6"/>
    <w:rsid w:val="71E13469"/>
    <w:rsid w:val="71E17339"/>
    <w:rsid w:val="71E630B8"/>
    <w:rsid w:val="71E82A49"/>
    <w:rsid w:val="71E8421E"/>
    <w:rsid w:val="71E8423E"/>
    <w:rsid w:val="71E85AB9"/>
    <w:rsid w:val="71EB74E4"/>
    <w:rsid w:val="71EC0A84"/>
    <w:rsid w:val="71F25676"/>
    <w:rsid w:val="71F34FF5"/>
    <w:rsid w:val="71F754E6"/>
    <w:rsid w:val="71F7611A"/>
    <w:rsid w:val="71F8193A"/>
    <w:rsid w:val="71F82C3D"/>
    <w:rsid w:val="71F91763"/>
    <w:rsid w:val="71FE78CA"/>
    <w:rsid w:val="720069A9"/>
    <w:rsid w:val="72023356"/>
    <w:rsid w:val="72031B5F"/>
    <w:rsid w:val="720328AE"/>
    <w:rsid w:val="72034947"/>
    <w:rsid w:val="7206120D"/>
    <w:rsid w:val="72093A05"/>
    <w:rsid w:val="720C5761"/>
    <w:rsid w:val="721018B9"/>
    <w:rsid w:val="7212571E"/>
    <w:rsid w:val="72143708"/>
    <w:rsid w:val="721615BF"/>
    <w:rsid w:val="721745F7"/>
    <w:rsid w:val="721A08E0"/>
    <w:rsid w:val="721A3476"/>
    <w:rsid w:val="721C50BE"/>
    <w:rsid w:val="721D3D9B"/>
    <w:rsid w:val="721D7656"/>
    <w:rsid w:val="72205D59"/>
    <w:rsid w:val="7222763F"/>
    <w:rsid w:val="722433EF"/>
    <w:rsid w:val="72243FDE"/>
    <w:rsid w:val="72247ABB"/>
    <w:rsid w:val="72250972"/>
    <w:rsid w:val="722A5AED"/>
    <w:rsid w:val="722B6EE0"/>
    <w:rsid w:val="722C30F3"/>
    <w:rsid w:val="722E55ED"/>
    <w:rsid w:val="722F5F63"/>
    <w:rsid w:val="72321385"/>
    <w:rsid w:val="7232276A"/>
    <w:rsid w:val="7232510E"/>
    <w:rsid w:val="72327C37"/>
    <w:rsid w:val="723315A5"/>
    <w:rsid w:val="72340726"/>
    <w:rsid w:val="723437FD"/>
    <w:rsid w:val="7234745C"/>
    <w:rsid w:val="723B032F"/>
    <w:rsid w:val="723B5AF8"/>
    <w:rsid w:val="723D5238"/>
    <w:rsid w:val="723E1176"/>
    <w:rsid w:val="72425265"/>
    <w:rsid w:val="72443BFB"/>
    <w:rsid w:val="72446411"/>
    <w:rsid w:val="724539A0"/>
    <w:rsid w:val="724759C2"/>
    <w:rsid w:val="724A7260"/>
    <w:rsid w:val="724E2CAC"/>
    <w:rsid w:val="724F1DB1"/>
    <w:rsid w:val="724F63AA"/>
    <w:rsid w:val="725042A8"/>
    <w:rsid w:val="725050D3"/>
    <w:rsid w:val="72506B64"/>
    <w:rsid w:val="725128B5"/>
    <w:rsid w:val="72537A81"/>
    <w:rsid w:val="725400DF"/>
    <w:rsid w:val="725455B8"/>
    <w:rsid w:val="725506F6"/>
    <w:rsid w:val="72550C11"/>
    <w:rsid w:val="72576561"/>
    <w:rsid w:val="72582350"/>
    <w:rsid w:val="725828DD"/>
    <w:rsid w:val="725C0AE9"/>
    <w:rsid w:val="725C2BEA"/>
    <w:rsid w:val="725C78C0"/>
    <w:rsid w:val="725D26E2"/>
    <w:rsid w:val="725D395A"/>
    <w:rsid w:val="725D51E5"/>
    <w:rsid w:val="72601A0E"/>
    <w:rsid w:val="7263503A"/>
    <w:rsid w:val="726500C8"/>
    <w:rsid w:val="72650EAE"/>
    <w:rsid w:val="72675AB7"/>
    <w:rsid w:val="726779D7"/>
    <w:rsid w:val="7268174C"/>
    <w:rsid w:val="72683A48"/>
    <w:rsid w:val="72693B8A"/>
    <w:rsid w:val="72695278"/>
    <w:rsid w:val="726A3783"/>
    <w:rsid w:val="726C7AC4"/>
    <w:rsid w:val="72743A48"/>
    <w:rsid w:val="7276037A"/>
    <w:rsid w:val="727638FA"/>
    <w:rsid w:val="72773864"/>
    <w:rsid w:val="727A71ED"/>
    <w:rsid w:val="727C3784"/>
    <w:rsid w:val="7281020C"/>
    <w:rsid w:val="72821BC4"/>
    <w:rsid w:val="72847C1A"/>
    <w:rsid w:val="728648FA"/>
    <w:rsid w:val="72874010"/>
    <w:rsid w:val="72884305"/>
    <w:rsid w:val="728964C1"/>
    <w:rsid w:val="728B460B"/>
    <w:rsid w:val="728B5733"/>
    <w:rsid w:val="728C2577"/>
    <w:rsid w:val="728D0323"/>
    <w:rsid w:val="728F49D6"/>
    <w:rsid w:val="72930A8F"/>
    <w:rsid w:val="72950D57"/>
    <w:rsid w:val="72957B20"/>
    <w:rsid w:val="7296444E"/>
    <w:rsid w:val="72966B8E"/>
    <w:rsid w:val="72993725"/>
    <w:rsid w:val="729A3F32"/>
    <w:rsid w:val="729B6821"/>
    <w:rsid w:val="729D35F7"/>
    <w:rsid w:val="72A124B4"/>
    <w:rsid w:val="72A26748"/>
    <w:rsid w:val="72A367E0"/>
    <w:rsid w:val="72A42DB7"/>
    <w:rsid w:val="72A62DE1"/>
    <w:rsid w:val="72A964D8"/>
    <w:rsid w:val="72A978CC"/>
    <w:rsid w:val="72AB41A3"/>
    <w:rsid w:val="72B035F8"/>
    <w:rsid w:val="72B06CEF"/>
    <w:rsid w:val="72B50B7E"/>
    <w:rsid w:val="72B64402"/>
    <w:rsid w:val="72B820EC"/>
    <w:rsid w:val="72BA40C4"/>
    <w:rsid w:val="72BC3984"/>
    <w:rsid w:val="72BE1E9A"/>
    <w:rsid w:val="72BF0A63"/>
    <w:rsid w:val="72C04874"/>
    <w:rsid w:val="72C058DE"/>
    <w:rsid w:val="72C2599E"/>
    <w:rsid w:val="72C4652F"/>
    <w:rsid w:val="72C56C79"/>
    <w:rsid w:val="72CC540C"/>
    <w:rsid w:val="72D134DE"/>
    <w:rsid w:val="72D46B7D"/>
    <w:rsid w:val="72D5381D"/>
    <w:rsid w:val="72D76034"/>
    <w:rsid w:val="72D94ED6"/>
    <w:rsid w:val="72DA543D"/>
    <w:rsid w:val="72DB435C"/>
    <w:rsid w:val="72DC61FC"/>
    <w:rsid w:val="72E11783"/>
    <w:rsid w:val="72E351C0"/>
    <w:rsid w:val="72E51C15"/>
    <w:rsid w:val="72E57E09"/>
    <w:rsid w:val="72E6178C"/>
    <w:rsid w:val="72E73482"/>
    <w:rsid w:val="72E97972"/>
    <w:rsid w:val="72EB459F"/>
    <w:rsid w:val="72EE2610"/>
    <w:rsid w:val="72EF76DD"/>
    <w:rsid w:val="72F10F84"/>
    <w:rsid w:val="72F316A6"/>
    <w:rsid w:val="72F35B4A"/>
    <w:rsid w:val="72F451A5"/>
    <w:rsid w:val="72F74884"/>
    <w:rsid w:val="72FB250C"/>
    <w:rsid w:val="72FC7503"/>
    <w:rsid w:val="72FE3DC6"/>
    <w:rsid w:val="72FF41B3"/>
    <w:rsid w:val="73041B05"/>
    <w:rsid w:val="73051433"/>
    <w:rsid w:val="730515C3"/>
    <w:rsid w:val="73051FA7"/>
    <w:rsid w:val="73071B75"/>
    <w:rsid w:val="7308510D"/>
    <w:rsid w:val="730A5F50"/>
    <w:rsid w:val="730D4C70"/>
    <w:rsid w:val="73114EBF"/>
    <w:rsid w:val="73125DB2"/>
    <w:rsid w:val="73126B37"/>
    <w:rsid w:val="73167D5E"/>
    <w:rsid w:val="73171E04"/>
    <w:rsid w:val="73180827"/>
    <w:rsid w:val="731824D6"/>
    <w:rsid w:val="73183C9B"/>
    <w:rsid w:val="731B4D7B"/>
    <w:rsid w:val="73247AB1"/>
    <w:rsid w:val="73282BF4"/>
    <w:rsid w:val="732C6966"/>
    <w:rsid w:val="732D04DD"/>
    <w:rsid w:val="732D2359"/>
    <w:rsid w:val="732E427C"/>
    <w:rsid w:val="733168E9"/>
    <w:rsid w:val="73364090"/>
    <w:rsid w:val="73481BFA"/>
    <w:rsid w:val="73497BEA"/>
    <w:rsid w:val="734B3D62"/>
    <w:rsid w:val="734B6166"/>
    <w:rsid w:val="734D0CCF"/>
    <w:rsid w:val="734F7024"/>
    <w:rsid w:val="73517D1D"/>
    <w:rsid w:val="7353001D"/>
    <w:rsid w:val="73541614"/>
    <w:rsid w:val="7354197B"/>
    <w:rsid w:val="73565DA4"/>
    <w:rsid w:val="735A60AC"/>
    <w:rsid w:val="736042B9"/>
    <w:rsid w:val="73611454"/>
    <w:rsid w:val="7362109D"/>
    <w:rsid w:val="736312CB"/>
    <w:rsid w:val="73670FF3"/>
    <w:rsid w:val="73684216"/>
    <w:rsid w:val="73691968"/>
    <w:rsid w:val="736A772C"/>
    <w:rsid w:val="736B0EEA"/>
    <w:rsid w:val="736C548E"/>
    <w:rsid w:val="736D084F"/>
    <w:rsid w:val="736E1F9B"/>
    <w:rsid w:val="736F517F"/>
    <w:rsid w:val="736F690F"/>
    <w:rsid w:val="73715DAA"/>
    <w:rsid w:val="737433CF"/>
    <w:rsid w:val="73746DA9"/>
    <w:rsid w:val="737766E4"/>
    <w:rsid w:val="737B11DC"/>
    <w:rsid w:val="737C309D"/>
    <w:rsid w:val="737D67BE"/>
    <w:rsid w:val="7381160C"/>
    <w:rsid w:val="73816D79"/>
    <w:rsid w:val="73822063"/>
    <w:rsid w:val="73835907"/>
    <w:rsid w:val="738E6C1E"/>
    <w:rsid w:val="73903501"/>
    <w:rsid w:val="739066AB"/>
    <w:rsid w:val="73955BDF"/>
    <w:rsid w:val="7396142F"/>
    <w:rsid w:val="73966A07"/>
    <w:rsid w:val="739813D0"/>
    <w:rsid w:val="7399148A"/>
    <w:rsid w:val="739A7D73"/>
    <w:rsid w:val="739B32F3"/>
    <w:rsid w:val="739C5BE2"/>
    <w:rsid w:val="73A1289F"/>
    <w:rsid w:val="73A42F3C"/>
    <w:rsid w:val="73A67822"/>
    <w:rsid w:val="73AA3CCB"/>
    <w:rsid w:val="73AC0046"/>
    <w:rsid w:val="73AC23FA"/>
    <w:rsid w:val="73AC7281"/>
    <w:rsid w:val="73AF2AB0"/>
    <w:rsid w:val="73AF537B"/>
    <w:rsid w:val="73B70925"/>
    <w:rsid w:val="73B77C1A"/>
    <w:rsid w:val="73B838BD"/>
    <w:rsid w:val="73BD109A"/>
    <w:rsid w:val="73BD22EB"/>
    <w:rsid w:val="73BF1144"/>
    <w:rsid w:val="73C372CA"/>
    <w:rsid w:val="73C43202"/>
    <w:rsid w:val="73C74101"/>
    <w:rsid w:val="73CB26E5"/>
    <w:rsid w:val="73CB3DB8"/>
    <w:rsid w:val="73CC2623"/>
    <w:rsid w:val="73D250EC"/>
    <w:rsid w:val="73D3629E"/>
    <w:rsid w:val="73D616A1"/>
    <w:rsid w:val="73D67B05"/>
    <w:rsid w:val="73D822D3"/>
    <w:rsid w:val="73DA593E"/>
    <w:rsid w:val="73DD6D17"/>
    <w:rsid w:val="73DE7983"/>
    <w:rsid w:val="73DF20EF"/>
    <w:rsid w:val="73DF28E1"/>
    <w:rsid w:val="73E037F1"/>
    <w:rsid w:val="73E1064D"/>
    <w:rsid w:val="73E370AB"/>
    <w:rsid w:val="73E92763"/>
    <w:rsid w:val="73E979FA"/>
    <w:rsid w:val="73EA05AF"/>
    <w:rsid w:val="73EA5890"/>
    <w:rsid w:val="73ED7E30"/>
    <w:rsid w:val="73EF1C68"/>
    <w:rsid w:val="73F07479"/>
    <w:rsid w:val="73F17538"/>
    <w:rsid w:val="73F351B3"/>
    <w:rsid w:val="73FB5872"/>
    <w:rsid w:val="73FB5DAB"/>
    <w:rsid w:val="73FC27DC"/>
    <w:rsid w:val="73FC3404"/>
    <w:rsid w:val="73FC34A2"/>
    <w:rsid w:val="73FD5D85"/>
    <w:rsid w:val="740004EF"/>
    <w:rsid w:val="740056CC"/>
    <w:rsid w:val="74026CD5"/>
    <w:rsid w:val="74030425"/>
    <w:rsid w:val="74070402"/>
    <w:rsid w:val="740A0BA6"/>
    <w:rsid w:val="740B3FAE"/>
    <w:rsid w:val="740C68DD"/>
    <w:rsid w:val="740E4F5B"/>
    <w:rsid w:val="740E7208"/>
    <w:rsid w:val="740F250F"/>
    <w:rsid w:val="740F4AA0"/>
    <w:rsid w:val="74162334"/>
    <w:rsid w:val="7417397D"/>
    <w:rsid w:val="741A2D0E"/>
    <w:rsid w:val="741A61D3"/>
    <w:rsid w:val="741C40DB"/>
    <w:rsid w:val="741D710C"/>
    <w:rsid w:val="741E2752"/>
    <w:rsid w:val="74230670"/>
    <w:rsid w:val="74254740"/>
    <w:rsid w:val="74260C0D"/>
    <w:rsid w:val="74270F1B"/>
    <w:rsid w:val="74275C12"/>
    <w:rsid w:val="74282A00"/>
    <w:rsid w:val="7428537F"/>
    <w:rsid w:val="7429225F"/>
    <w:rsid w:val="742A7349"/>
    <w:rsid w:val="742B0636"/>
    <w:rsid w:val="742B12A8"/>
    <w:rsid w:val="742C0EA9"/>
    <w:rsid w:val="742D4161"/>
    <w:rsid w:val="742D74EF"/>
    <w:rsid w:val="743261FE"/>
    <w:rsid w:val="74333FDB"/>
    <w:rsid w:val="7433607B"/>
    <w:rsid w:val="74353480"/>
    <w:rsid w:val="7437465D"/>
    <w:rsid w:val="74397316"/>
    <w:rsid w:val="743C2AA1"/>
    <w:rsid w:val="743E2DF5"/>
    <w:rsid w:val="743E30A2"/>
    <w:rsid w:val="743F3C9C"/>
    <w:rsid w:val="743F6C3D"/>
    <w:rsid w:val="7440646F"/>
    <w:rsid w:val="74414007"/>
    <w:rsid w:val="74443D36"/>
    <w:rsid w:val="744C3764"/>
    <w:rsid w:val="744F361C"/>
    <w:rsid w:val="74501B17"/>
    <w:rsid w:val="74527A93"/>
    <w:rsid w:val="745327DF"/>
    <w:rsid w:val="745A5ACD"/>
    <w:rsid w:val="745F71BC"/>
    <w:rsid w:val="746034F8"/>
    <w:rsid w:val="74611E19"/>
    <w:rsid w:val="7463315E"/>
    <w:rsid w:val="74675EA7"/>
    <w:rsid w:val="7467725D"/>
    <w:rsid w:val="74681C20"/>
    <w:rsid w:val="746877B8"/>
    <w:rsid w:val="746A5998"/>
    <w:rsid w:val="746B01AE"/>
    <w:rsid w:val="746B4089"/>
    <w:rsid w:val="746B6077"/>
    <w:rsid w:val="746D630D"/>
    <w:rsid w:val="746E72CE"/>
    <w:rsid w:val="746F4202"/>
    <w:rsid w:val="747146DD"/>
    <w:rsid w:val="74760AD9"/>
    <w:rsid w:val="7476456C"/>
    <w:rsid w:val="7477506F"/>
    <w:rsid w:val="747D32CF"/>
    <w:rsid w:val="747D426F"/>
    <w:rsid w:val="747F4791"/>
    <w:rsid w:val="7480340D"/>
    <w:rsid w:val="74814F96"/>
    <w:rsid w:val="74832BCF"/>
    <w:rsid w:val="74874C7B"/>
    <w:rsid w:val="7488695B"/>
    <w:rsid w:val="7489374F"/>
    <w:rsid w:val="748D0A8A"/>
    <w:rsid w:val="748D6F87"/>
    <w:rsid w:val="748E7A2C"/>
    <w:rsid w:val="74904C7B"/>
    <w:rsid w:val="74934EEE"/>
    <w:rsid w:val="749351F6"/>
    <w:rsid w:val="74976752"/>
    <w:rsid w:val="749A547A"/>
    <w:rsid w:val="749D18CA"/>
    <w:rsid w:val="749E773A"/>
    <w:rsid w:val="74A17C01"/>
    <w:rsid w:val="74A25A0F"/>
    <w:rsid w:val="74A31C0C"/>
    <w:rsid w:val="74A60AFD"/>
    <w:rsid w:val="74A7099A"/>
    <w:rsid w:val="74AB0514"/>
    <w:rsid w:val="74AB66DC"/>
    <w:rsid w:val="74AB7B8C"/>
    <w:rsid w:val="74AC7027"/>
    <w:rsid w:val="74AE0264"/>
    <w:rsid w:val="74B017D1"/>
    <w:rsid w:val="74B02A26"/>
    <w:rsid w:val="74B508BA"/>
    <w:rsid w:val="74B57D1A"/>
    <w:rsid w:val="74BE43C6"/>
    <w:rsid w:val="74BF0A38"/>
    <w:rsid w:val="74BF3F35"/>
    <w:rsid w:val="74C26BAF"/>
    <w:rsid w:val="74C33EDD"/>
    <w:rsid w:val="74C35352"/>
    <w:rsid w:val="74C50FB7"/>
    <w:rsid w:val="74CF7D09"/>
    <w:rsid w:val="74D35E18"/>
    <w:rsid w:val="74D3674F"/>
    <w:rsid w:val="74D96013"/>
    <w:rsid w:val="74DB2147"/>
    <w:rsid w:val="74DB65D9"/>
    <w:rsid w:val="74DC3B68"/>
    <w:rsid w:val="74E21F0E"/>
    <w:rsid w:val="74E409DF"/>
    <w:rsid w:val="74E546AD"/>
    <w:rsid w:val="74EB374F"/>
    <w:rsid w:val="74EB6AD9"/>
    <w:rsid w:val="74ED1715"/>
    <w:rsid w:val="74ED652D"/>
    <w:rsid w:val="74F00EC7"/>
    <w:rsid w:val="74F02B8C"/>
    <w:rsid w:val="74F204A8"/>
    <w:rsid w:val="74F541B1"/>
    <w:rsid w:val="74F83C5F"/>
    <w:rsid w:val="74F841F7"/>
    <w:rsid w:val="74FC4224"/>
    <w:rsid w:val="7500791B"/>
    <w:rsid w:val="75034A41"/>
    <w:rsid w:val="75041948"/>
    <w:rsid w:val="7504501D"/>
    <w:rsid w:val="750929E8"/>
    <w:rsid w:val="750B304C"/>
    <w:rsid w:val="750F676A"/>
    <w:rsid w:val="7511317A"/>
    <w:rsid w:val="75133FEA"/>
    <w:rsid w:val="751371E7"/>
    <w:rsid w:val="75175143"/>
    <w:rsid w:val="75184CF9"/>
    <w:rsid w:val="75196927"/>
    <w:rsid w:val="751A2C99"/>
    <w:rsid w:val="751E30AA"/>
    <w:rsid w:val="75233C31"/>
    <w:rsid w:val="75250D55"/>
    <w:rsid w:val="75264D10"/>
    <w:rsid w:val="75282E81"/>
    <w:rsid w:val="75287D2D"/>
    <w:rsid w:val="752C29A9"/>
    <w:rsid w:val="75315CE9"/>
    <w:rsid w:val="75317F5C"/>
    <w:rsid w:val="75323C4B"/>
    <w:rsid w:val="7534588D"/>
    <w:rsid w:val="75406A76"/>
    <w:rsid w:val="75420D77"/>
    <w:rsid w:val="7543193E"/>
    <w:rsid w:val="75457D07"/>
    <w:rsid w:val="75461F61"/>
    <w:rsid w:val="754708D1"/>
    <w:rsid w:val="754752F4"/>
    <w:rsid w:val="75487539"/>
    <w:rsid w:val="754915BC"/>
    <w:rsid w:val="754B6EC8"/>
    <w:rsid w:val="755167D3"/>
    <w:rsid w:val="75521072"/>
    <w:rsid w:val="75521D82"/>
    <w:rsid w:val="755623B2"/>
    <w:rsid w:val="75581223"/>
    <w:rsid w:val="7559107E"/>
    <w:rsid w:val="755B6C36"/>
    <w:rsid w:val="755C1784"/>
    <w:rsid w:val="755D3A38"/>
    <w:rsid w:val="755D54FC"/>
    <w:rsid w:val="75612422"/>
    <w:rsid w:val="75613CB7"/>
    <w:rsid w:val="756379E8"/>
    <w:rsid w:val="75651DC8"/>
    <w:rsid w:val="75660D6E"/>
    <w:rsid w:val="7566210E"/>
    <w:rsid w:val="75665F8F"/>
    <w:rsid w:val="756845CD"/>
    <w:rsid w:val="75692F06"/>
    <w:rsid w:val="75693340"/>
    <w:rsid w:val="756B27BA"/>
    <w:rsid w:val="756B599F"/>
    <w:rsid w:val="756C0C0D"/>
    <w:rsid w:val="756C361A"/>
    <w:rsid w:val="7570344A"/>
    <w:rsid w:val="7571221D"/>
    <w:rsid w:val="75716F6B"/>
    <w:rsid w:val="75732CEF"/>
    <w:rsid w:val="75744E34"/>
    <w:rsid w:val="7574580A"/>
    <w:rsid w:val="7577590B"/>
    <w:rsid w:val="757A2BCA"/>
    <w:rsid w:val="757F1849"/>
    <w:rsid w:val="757F1917"/>
    <w:rsid w:val="757F3182"/>
    <w:rsid w:val="757F370A"/>
    <w:rsid w:val="75860F95"/>
    <w:rsid w:val="75861751"/>
    <w:rsid w:val="75891396"/>
    <w:rsid w:val="758B19F1"/>
    <w:rsid w:val="758B47A2"/>
    <w:rsid w:val="758F1B5A"/>
    <w:rsid w:val="75916CA7"/>
    <w:rsid w:val="7594591A"/>
    <w:rsid w:val="759665B4"/>
    <w:rsid w:val="75982217"/>
    <w:rsid w:val="75991447"/>
    <w:rsid w:val="7599505D"/>
    <w:rsid w:val="759A49E2"/>
    <w:rsid w:val="759C7DD3"/>
    <w:rsid w:val="759E3647"/>
    <w:rsid w:val="759F054A"/>
    <w:rsid w:val="759F66AF"/>
    <w:rsid w:val="75A41020"/>
    <w:rsid w:val="75A42989"/>
    <w:rsid w:val="75A634FC"/>
    <w:rsid w:val="75A6440A"/>
    <w:rsid w:val="75A66EA3"/>
    <w:rsid w:val="75A924F0"/>
    <w:rsid w:val="75AB044D"/>
    <w:rsid w:val="75AE5B7C"/>
    <w:rsid w:val="75B06A36"/>
    <w:rsid w:val="75B07897"/>
    <w:rsid w:val="75B33866"/>
    <w:rsid w:val="75B354B9"/>
    <w:rsid w:val="75B47C90"/>
    <w:rsid w:val="75B57685"/>
    <w:rsid w:val="75B832E3"/>
    <w:rsid w:val="75B86B88"/>
    <w:rsid w:val="75B96A7F"/>
    <w:rsid w:val="75B96BD7"/>
    <w:rsid w:val="75BA16C1"/>
    <w:rsid w:val="75BF0552"/>
    <w:rsid w:val="75BF1436"/>
    <w:rsid w:val="75C27CC7"/>
    <w:rsid w:val="75C37A55"/>
    <w:rsid w:val="75C47F95"/>
    <w:rsid w:val="75C63E07"/>
    <w:rsid w:val="75C70E6D"/>
    <w:rsid w:val="75C901D1"/>
    <w:rsid w:val="75C90CBA"/>
    <w:rsid w:val="75C91C83"/>
    <w:rsid w:val="75CB690A"/>
    <w:rsid w:val="75CE2195"/>
    <w:rsid w:val="75CE44A6"/>
    <w:rsid w:val="75D00EB3"/>
    <w:rsid w:val="75D321FC"/>
    <w:rsid w:val="75D83E08"/>
    <w:rsid w:val="75D92DD5"/>
    <w:rsid w:val="75E14288"/>
    <w:rsid w:val="75E1729A"/>
    <w:rsid w:val="75E2465F"/>
    <w:rsid w:val="75E31EA6"/>
    <w:rsid w:val="75E462DE"/>
    <w:rsid w:val="75E5067B"/>
    <w:rsid w:val="75E73FBD"/>
    <w:rsid w:val="75E74688"/>
    <w:rsid w:val="75E80839"/>
    <w:rsid w:val="75E86567"/>
    <w:rsid w:val="75EF14C8"/>
    <w:rsid w:val="75F21423"/>
    <w:rsid w:val="75F419AB"/>
    <w:rsid w:val="75F45E61"/>
    <w:rsid w:val="75F47EB2"/>
    <w:rsid w:val="75F93477"/>
    <w:rsid w:val="75FE6D15"/>
    <w:rsid w:val="75FF2C62"/>
    <w:rsid w:val="76005B26"/>
    <w:rsid w:val="76036F89"/>
    <w:rsid w:val="7604111C"/>
    <w:rsid w:val="76060659"/>
    <w:rsid w:val="760732F3"/>
    <w:rsid w:val="76074678"/>
    <w:rsid w:val="760C2EC1"/>
    <w:rsid w:val="76104D90"/>
    <w:rsid w:val="76135922"/>
    <w:rsid w:val="76153214"/>
    <w:rsid w:val="76157536"/>
    <w:rsid w:val="7617282D"/>
    <w:rsid w:val="7619779C"/>
    <w:rsid w:val="761A271D"/>
    <w:rsid w:val="761A77CC"/>
    <w:rsid w:val="761C3378"/>
    <w:rsid w:val="761E154B"/>
    <w:rsid w:val="761E3019"/>
    <w:rsid w:val="761E48D6"/>
    <w:rsid w:val="76205527"/>
    <w:rsid w:val="7622097C"/>
    <w:rsid w:val="7622555B"/>
    <w:rsid w:val="76236523"/>
    <w:rsid w:val="762430BC"/>
    <w:rsid w:val="762644CF"/>
    <w:rsid w:val="76273908"/>
    <w:rsid w:val="76286D3F"/>
    <w:rsid w:val="762957AB"/>
    <w:rsid w:val="762C41E3"/>
    <w:rsid w:val="762D1CC9"/>
    <w:rsid w:val="762D3121"/>
    <w:rsid w:val="76304FB3"/>
    <w:rsid w:val="763150B0"/>
    <w:rsid w:val="76326989"/>
    <w:rsid w:val="76341907"/>
    <w:rsid w:val="76355831"/>
    <w:rsid w:val="76362ED2"/>
    <w:rsid w:val="763B025C"/>
    <w:rsid w:val="763B5CF0"/>
    <w:rsid w:val="763E0DD9"/>
    <w:rsid w:val="764170CD"/>
    <w:rsid w:val="76450B0F"/>
    <w:rsid w:val="76452218"/>
    <w:rsid w:val="76463C08"/>
    <w:rsid w:val="764741E2"/>
    <w:rsid w:val="76486DEA"/>
    <w:rsid w:val="76497CAD"/>
    <w:rsid w:val="764A459F"/>
    <w:rsid w:val="764E6134"/>
    <w:rsid w:val="764E6D27"/>
    <w:rsid w:val="764F54F5"/>
    <w:rsid w:val="764F57EB"/>
    <w:rsid w:val="7651361B"/>
    <w:rsid w:val="76524935"/>
    <w:rsid w:val="765C363E"/>
    <w:rsid w:val="765F940F"/>
    <w:rsid w:val="76600B35"/>
    <w:rsid w:val="76631818"/>
    <w:rsid w:val="766353B6"/>
    <w:rsid w:val="76664DA5"/>
    <w:rsid w:val="766715E6"/>
    <w:rsid w:val="76693B11"/>
    <w:rsid w:val="766C56F7"/>
    <w:rsid w:val="766D1176"/>
    <w:rsid w:val="76707A8C"/>
    <w:rsid w:val="76745A7F"/>
    <w:rsid w:val="76750029"/>
    <w:rsid w:val="76775737"/>
    <w:rsid w:val="76787551"/>
    <w:rsid w:val="76787F90"/>
    <w:rsid w:val="767A0200"/>
    <w:rsid w:val="767A1CEF"/>
    <w:rsid w:val="767C4676"/>
    <w:rsid w:val="767E36F6"/>
    <w:rsid w:val="7680187C"/>
    <w:rsid w:val="768216BE"/>
    <w:rsid w:val="76847CE5"/>
    <w:rsid w:val="7686733D"/>
    <w:rsid w:val="76872FE2"/>
    <w:rsid w:val="76874AE5"/>
    <w:rsid w:val="768966E1"/>
    <w:rsid w:val="768C49E7"/>
    <w:rsid w:val="768C62EC"/>
    <w:rsid w:val="768C7E47"/>
    <w:rsid w:val="76927641"/>
    <w:rsid w:val="769610BE"/>
    <w:rsid w:val="76966458"/>
    <w:rsid w:val="7699313E"/>
    <w:rsid w:val="769A3543"/>
    <w:rsid w:val="769B0042"/>
    <w:rsid w:val="769B452E"/>
    <w:rsid w:val="76A066BA"/>
    <w:rsid w:val="76A15ED3"/>
    <w:rsid w:val="76A331EF"/>
    <w:rsid w:val="76A34020"/>
    <w:rsid w:val="76A47FF1"/>
    <w:rsid w:val="76A52819"/>
    <w:rsid w:val="76A53A10"/>
    <w:rsid w:val="76A562A8"/>
    <w:rsid w:val="76A5715B"/>
    <w:rsid w:val="76A57B4E"/>
    <w:rsid w:val="76A6631A"/>
    <w:rsid w:val="76A808A2"/>
    <w:rsid w:val="76AB4988"/>
    <w:rsid w:val="76AB682A"/>
    <w:rsid w:val="76AC673B"/>
    <w:rsid w:val="76AD4E36"/>
    <w:rsid w:val="76AD7DBE"/>
    <w:rsid w:val="76B13D52"/>
    <w:rsid w:val="76B15B70"/>
    <w:rsid w:val="76B309B0"/>
    <w:rsid w:val="76B5204E"/>
    <w:rsid w:val="76B913FC"/>
    <w:rsid w:val="76BA2F71"/>
    <w:rsid w:val="76BA6D78"/>
    <w:rsid w:val="76BA780F"/>
    <w:rsid w:val="76BB24DB"/>
    <w:rsid w:val="76BF646F"/>
    <w:rsid w:val="76C02B9C"/>
    <w:rsid w:val="76C26C82"/>
    <w:rsid w:val="76C34FC4"/>
    <w:rsid w:val="76C47DAA"/>
    <w:rsid w:val="76C5614F"/>
    <w:rsid w:val="76CA5017"/>
    <w:rsid w:val="76CC293A"/>
    <w:rsid w:val="76D00268"/>
    <w:rsid w:val="76D33DB5"/>
    <w:rsid w:val="76D51669"/>
    <w:rsid w:val="76D53650"/>
    <w:rsid w:val="76D73613"/>
    <w:rsid w:val="76DC222A"/>
    <w:rsid w:val="76DD62F4"/>
    <w:rsid w:val="76DF2D12"/>
    <w:rsid w:val="76DF3FFD"/>
    <w:rsid w:val="76E11169"/>
    <w:rsid w:val="76E2215D"/>
    <w:rsid w:val="76E949D9"/>
    <w:rsid w:val="76E96D7D"/>
    <w:rsid w:val="76EC049F"/>
    <w:rsid w:val="76EC48A2"/>
    <w:rsid w:val="76EC4D8A"/>
    <w:rsid w:val="76ED6818"/>
    <w:rsid w:val="76EE1C54"/>
    <w:rsid w:val="76F03316"/>
    <w:rsid w:val="76F1130B"/>
    <w:rsid w:val="76F45266"/>
    <w:rsid w:val="76F60B8A"/>
    <w:rsid w:val="76F6143F"/>
    <w:rsid w:val="76F728EE"/>
    <w:rsid w:val="76F77036"/>
    <w:rsid w:val="76FA4719"/>
    <w:rsid w:val="76FB6D7B"/>
    <w:rsid w:val="76FC66BF"/>
    <w:rsid w:val="77012536"/>
    <w:rsid w:val="77027597"/>
    <w:rsid w:val="770575CA"/>
    <w:rsid w:val="77060595"/>
    <w:rsid w:val="77062EE4"/>
    <w:rsid w:val="77065E4C"/>
    <w:rsid w:val="770B26AC"/>
    <w:rsid w:val="770B5432"/>
    <w:rsid w:val="770E3516"/>
    <w:rsid w:val="77107E9F"/>
    <w:rsid w:val="77122878"/>
    <w:rsid w:val="7714348F"/>
    <w:rsid w:val="7716454C"/>
    <w:rsid w:val="77181FD1"/>
    <w:rsid w:val="7718494F"/>
    <w:rsid w:val="771963C8"/>
    <w:rsid w:val="771B7E3D"/>
    <w:rsid w:val="771D4783"/>
    <w:rsid w:val="77207B54"/>
    <w:rsid w:val="77214BC1"/>
    <w:rsid w:val="77221CC0"/>
    <w:rsid w:val="77225229"/>
    <w:rsid w:val="77232D2D"/>
    <w:rsid w:val="77234A94"/>
    <w:rsid w:val="77262305"/>
    <w:rsid w:val="772D7F1A"/>
    <w:rsid w:val="772F6403"/>
    <w:rsid w:val="77301EB0"/>
    <w:rsid w:val="77322D4F"/>
    <w:rsid w:val="773357AF"/>
    <w:rsid w:val="773C186D"/>
    <w:rsid w:val="773D6DBF"/>
    <w:rsid w:val="77414FB4"/>
    <w:rsid w:val="77453D20"/>
    <w:rsid w:val="77470BDA"/>
    <w:rsid w:val="77473A1D"/>
    <w:rsid w:val="774909E1"/>
    <w:rsid w:val="774C27C8"/>
    <w:rsid w:val="774C5829"/>
    <w:rsid w:val="774D7488"/>
    <w:rsid w:val="775234C1"/>
    <w:rsid w:val="7754511D"/>
    <w:rsid w:val="7756518C"/>
    <w:rsid w:val="77584421"/>
    <w:rsid w:val="775853A3"/>
    <w:rsid w:val="77585F7B"/>
    <w:rsid w:val="775A1CF3"/>
    <w:rsid w:val="775C3E42"/>
    <w:rsid w:val="775D6704"/>
    <w:rsid w:val="77602986"/>
    <w:rsid w:val="776126DF"/>
    <w:rsid w:val="77660454"/>
    <w:rsid w:val="77672662"/>
    <w:rsid w:val="77674FF7"/>
    <w:rsid w:val="776C0BA6"/>
    <w:rsid w:val="776C52D3"/>
    <w:rsid w:val="77700FA9"/>
    <w:rsid w:val="77715F27"/>
    <w:rsid w:val="77735716"/>
    <w:rsid w:val="77750822"/>
    <w:rsid w:val="77756B2D"/>
    <w:rsid w:val="77765702"/>
    <w:rsid w:val="777E1F7B"/>
    <w:rsid w:val="77886FF1"/>
    <w:rsid w:val="778C1EB5"/>
    <w:rsid w:val="778D20C9"/>
    <w:rsid w:val="778D7BD9"/>
    <w:rsid w:val="778E6371"/>
    <w:rsid w:val="77924998"/>
    <w:rsid w:val="779279C1"/>
    <w:rsid w:val="77943F5F"/>
    <w:rsid w:val="779459B6"/>
    <w:rsid w:val="779571D0"/>
    <w:rsid w:val="779810CC"/>
    <w:rsid w:val="779B1FB6"/>
    <w:rsid w:val="779F004E"/>
    <w:rsid w:val="779F4183"/>
    <w:rsid w:val="77A123DD"/>
    <w:rsid w:val="77A17922"/>
    <w:rsid w:val="77A221AD"/>
    <w:rsid w:val="77A802C9"/>
    <w:rsid w:val="77A92F68"/>
    <w:rsid w:val="77AB0ECE"/>
    <w:rsid w:val="77AB1C52"/>
    <w:rsid w:val="77AB3510"/>
    <w:rsid w:val="77AB69F3"/>
    <w:rsid w:val="77B00F2D"/>
    <w:rsid w:val="77B26EFF"/>
    <w:rsid w:val="77B35C0E"/>
    <w:rsid w:val="77B471C6"/>
    <w:rsid w:val="77B515D1"/>
    <w:rsid w:val="77B533CE"/>
    <w:rsid w:val="77B73B3D"/>
    <w:rsid w:val="77B818C6"/>
    <w:rsid w:val="77BF424C"/>
    <w:rsid w:val="77BF6143"/>
    <w:rsid w:val="77C0334F"/>
    <w:rsid w:val="77C07E12"/>
    <w:rsid w:val="77C23EE6"/>
    <w:rsid w:val="77C24C5A"/>
    <w:rsid w:val="77C305B8"/>
    <w:rsid w:val="77C562B3"/>
    <w:rsid w:val="77C875A5"/>
    <w:rsid w:val="77C87F87"/>
    <w:rsid w:val="77C949CB"/>
    <w:rsid w:val="77CA50AE"/>
    <w:rsid w:val="77CC25B3"/>
    <w:rsid w:val="77CD1548"/>
    <w:rsid w:val="77D123F4"/>
    <w:rsid w:val="77D45CFC"/>
    <w:rsid w:val="77D53A70"/>
    <w:rsid w:val="77D543B8"/>
    <w:rsid w:val="77D75717"/>
    <w:rsid w:val="77DA50E3"/>
    <w:rsid w:val="77DE4A67"/>
    <w:rsid w:val="77DF4B02"/>
    <w:rsid w:val="77E25CE9"/>
    <w:rsid w:val="77E6282C"/>
    <w:rsid w:val="77E6296A"/>
    <w:rsid w:val="77E64D1B"/>
    <w:rsid w:val="77E67CBB"/>
    <w:rsid w:val="77E72801"/>
    <w:rsid w:val="77E84BEC"/>
    <w:rsid w:val="77E84F4C"/>
    <w:rsid w:val="77E87EEC"/>
    <w:rsid w:val="77E9282A"/>
    <w:rsid w:val="77EA3A1B"/>
    <w:rsid w:val="77EE6656"/>
    <w:rsid w:val="77F04406"/>
    <w:rsid w:val="77F048B8"/>
    <w:rsid w:val="77F06609"/>
    <w:rsid w:val="77F4565E"/>
    <w:rsid w:val="77F87DC0"/>
    <w:rsid w:val="77FC19DE"/>
    <w:rsid w:val="77FC542F"/>
    <w:rsid w:val="77FF1415"/>
    <w:rsid w:val="7802486B"/>
    <w:rsid w:val="780431A5"/>
    <w:rsid w:val="780449C4"/>
    <w:rsid w:val="78047818"/>
    <w:rsid w:val="780600CD"/>
    <w:rsid w:val="7806441B"/>
    <w:rsid w:val="78095DF4"/>
    <w:rsid w:val="78096184"/>
    <w:rsid w:val="780C2DEC"/>
    <w:rsid w:val="780E497A"/>
    <w:rsid w:val="7812701B"/>
    <w:rsid w:val="78137942"/>
    <w:rsid w:val="78176408"/>
    <w:rsid w:val="781A35A6"/>
    <w:rsid w:val="781E5742"/>
    <w:rsid w:val="781F294E"/>
    <w:rsid w:val="78203B25"/>
    <w:rsid w:val="7824011E"/>
    <w:rsid w:val="78262CDA"/>
    <w:rsid w:val="782A7B9B"/>
    <w:rsid w:val="782B54D7"/>
    <w:rsid w:val="782C2EDE"/>
    <w:rsid w:val="7830537F"/>
    <w:rsid w:val="783242EA"/>
    <w:rsid w:val="7833516A"/>
    <w:rsid w:val="78336EF4"/>
    <w:rsid w:val="78343BB9"/>
    <w:rsid w:val="78345321"/>
    <w:rsid w:val="7837175E"/>
    <w:rsid w:val="78376055"/>
    <w:rsid w:val="7838145C"/>
    <w:rsid w:val="78382D1A"/>
    <w:rsid w:val="78384104"/>
    <w:rsid w:val="78393FFF"/>
    <w:rsid w:val="783A65F3"/>
    <w:rsid w:val="783A6F83"/>
    <w:rsid w:val="783E5549"/>
    <w:rsid w:val="783F6446"/>
    <w:rsid w:val="7840451A"/>
    <w:rsid w:val="78411A0A"/>
    <w:rsid w:val="7842011E"/>
    <w:rsid w:val="7842613D"/>
    <w:rsid w:val="78434BF4"/>
    <w:rsid w:val="78461318"/>
    <w:rsid w:val="78485A62"/>
    <w:rsid w:val="784C1A73"/>
    <w:rsid w:val="784C4069"/>
    <w:rsid w:val="784F0875"/>
    <w:rsid w:val="78526E6F"/>
    <w:rsid w:val="78530F54"/>
    <w:rsid w:val="78544501"/>
    <w:rsid w:val="78544EC7"/>
    <w:rsid w:val="785901FD"/>
    <w:rsid w:val="785B41AE"/>
    <w:rsid w:val="7864108F"/>
    <w:rsid w:val="78651EEE"/>
    <w:rsid w:val="78656988"/>
    <w:rsid w:val="78660710"/>
    <w:rsid w:val="78663D2E"/>
    <w:rsid w:val="786646C8"/>
    <w:rsid w:val="78664B90"/>
    <w:rsid w:val="786D7986"/>
    <w:rsid w:val="786F5DA7"/>
    <w:rsid w:val="786F6499"/>
    <w:rsid w:val="78721C30"/>
    <w:rsid w:val="78756C99"/>
    <w:rsid w:val="787701A6"/>
    <w:rsid w:val="787A409D"/>
    <w:rsid w:val="787B5D7D"/>
    <w:rsid w:val="78810124"/>
    <w:rsid w:val="78822056"/>
    <w:rsid w:val="7882514D"/>
    <w:rsid w:val="7885123E"/>
    <w:rsid w:val="7885557B"/>
    <w:rsid w:val="78857244"/>
    <w:rsid w:val="788743A6"/>
    <w:rsid w:val="7887770B"/>
    <w:rsid w:val="788C67CD"/>
    <w:rsid w:val="78931961"/>
    <w:rsid w:val="789336DE"/>
    <w:rsid w:val="78940CFD"/>
    <w:rsid w:val="789679C9"/>
    <w:rsid w:val="789B51C3"/>
    <w:rsid w:val="789D1F88"/>
    <w:rsid w:val="789D548A"/>
    <w:rsid w:val="789E6417"/>
    <w:rsid w:val="78A03677"/>
    <w:rsid w:val="78A37EB7"/>
    <w:rsid w:val="78A458F5"/>
    <w:rsid w:val="78A7167A"/>
    <w:rsid w:val="78A9684C"/>
    <w:rsid w:val="78AA0E6B"/>
    <w:rsid w:val="78AA1612"/>
    <w:rsid w:val="78AA3D3E"/>
    <w:rsid w:val="78B01EB3"/>
    <w:rsid w:val="78B07EE0"/>
    <w:rsid w:val="78B74F24"/>
    <w:rsid w:val="78B807FB"/>
    <w:rsid w:val="78B95140"/>
    <w:rsid w:val="78B96EEE"/>
    <w:rsid w:val="78BB197B"/>
    <w:rsid w:val="78BD5EA1"/>
    <w:rsid w:val="78BE6DF0"/>
    <w:rsid w:val="78C46F34"/>
    <w:rsid w:val="78C475A8"/>
    <w:rsid w:val="78C55892"/>
    <w:rsid w:val="78C565BF"/>
    <w:rsid w:val="78C84378"/>
    <w:rsid w:val="78C93937"/>
    <w:rsid w:val="78CA3D09"/>
    <w:rsid w:val="78CE2353"/>
    <w:rsid w:val="78D2662B"/>
    <w:rsid w:val="78D44EE8"/>
    <w:rsid w:val="78D62D55"/>
    <w:rsid w:val="78DD03DB"/>
    <w:rsid w:val="78DE65E7"/>
    <w:rsid w:val="78E026F2"/>
    <w:rsid w:val="78E071E9"/>
    <w:rsid w:val="78E22D2E"/>
    <w:rsid w:val="78E62E3A"/>
    <w:rsid w:val="78EA6660"/>
    <w:rsid w:val="78ED323B"/>
    <w:rsid w:val="78F1757D"/>
    <w:rsid w:val="78F358DC"/>
    <w:rsid w:val="78F4000B"/>
    <w:rsid w:val="78F754E1"/>
    <w:rsid w:val="78FC53FA"/>
    <w:rsid w:val="78FC7816"/>
    <w:rsid w:val="7901291A"/>
    <w:rsid w:val="79016346"/>
    <w:rsid w:val="7902095C"/>
    <w:rsid w:val="79032B47"/>
    <w:rsid w:val="790466BB"/>
    <w:rsid w:val="79085F71"/>
    <w:rsid w:val="79094182"/>
    <w:rsid w:val="790B7E02"/>
    <w:rsid w:val="791259E9"/>
    <w:rsid w:val="791878D7"/>
    <w:rsid w:val="791F67B4"/>
    <w:rsid w:val="79227D51"/>
    <w:rsid w:val="79240A6F"/>
    <w:rsid w:val="792417A2"/>
    <w:rsid w:val="79290DEE"/>
    <w:rsid w:val="79297761"/>
    <w:rsid w:val="792A1B99"/>
    <w:rsid w:val="792B653D"/>
    <w:rsid w:val="792C687F"/>
    <w:rsid w:val="792C7209"/>
    <w:rsid w:val="792F334F"/>
    <w:rsid w:val="79312F28"/>
    <w:rsid w:val="79317E7F"/>
    <w:rsid w:val="793278FC"/>
    <w:rsid w:val="793560B6"/>
    <w:rsid w:val="79362AA8"/>
    <w:rsid w:val="793A6280"/>
    <w:rsid w:val="793B4A10"/>
    <w:rsid w:val="793D0C8D"/>
    <w:rsid w:val="793D18CD"/>
    <w:rsid w:val="793E15E4"/>
    <w:rsid w:val="79427075"/>
    <w:rsid w:val="79427D50"/>
    <w:rsid w:val="79464447"/>
    <w:rsid w:val="794A265B"/>
    <w:rsid w:val="794B2734"/>
    <w:rsid w:val="794B3FEA"/>
    <w:rsid w:val="794E4A8A"/>
    <w:rsid w:val="79511487"/>
    <w:rsid w:val="795211C0"/>
    <w:rsid w:val="79531CD0"/>
    <w:rsid w:val="79550322"/>
    <w:rsid w:val="79593294"/>
    <w:rsid w:val="795D3587"/>
    <w:rsid w:val="795E3BC6"/>
    <w:rsid w:val="796432FD"/>
    <w:rsid w:val="796531D3"/>
    <w:rsid w:val="79653A72"/>
    <w:rsid w:val="79660E24"/>
    <w:rsid w:val="796D30AB"/>
    <w:rsid w:val="796D41E4"/>
    <w:rsid w:val="79703AAB"/>
    <w:rsid w:val="797205C1"/>
    <w:rsid w:val="7974364E"/>
    <w:rsid w:val="797625BE"/>
    <w:rsid w:val="797A01B2"/>
    <w:rsid w:val="797A6D14"/>
    <w:rsid w:val="797D24A2"/>
    <w:rsid w:val="797D4961"/>
    <w:rsid w:val="797D5138"/>
    <w:rsid w:val="797F6C59"/>
    <w:rsid w:val="79801325"/>
    <w:rsid w:val="7981342A"/>
    <w:rsid w:val="79827230"/>
    <w:rsid w:val="79847A8C"/>
    <w:rsid w:val="79852716"/>
    <w:rsid w:val="79892A5E"/>
    <w:rsid w:val="798E28CA"/>
    <w:rsid w:val="79906A58"/>
    <w:rsid w:val="7995616F"/>
    <w:rsid w:val="79956606"/>
    <w:rsid w:val="79993706"/>
    <w:rsid w:val="799C1372"/>
    <w:rsid w:val="799D21D8"/>
    <w:rsid w:val="799D3498"/>
    <w:rsid w:val="799D5ED9"/>
    <w:rsid w:val="799D7C19"/>
    <w:rsid w:val="799F1189"/>
    <w:rsid w:val="799F58FB"/>
    <w:rsid w:val="79A00A36"/>
    <w:rsid w:val="79A11E5C"/>
    <w:rsid w:val="79A15368"/>
    <w:rsid w:val="79A57CAE"/>
    <w:rsid w:val="79A63953"/>
    <w:rsid w:val="79A95D11"/>
    <w:rsid w:val="79AB3449"/>
    <w:rsid w:val="79AF6F0D"/>
    <w:rsid w:val="79B156BF"/>
    <w:rsid w:val="79B24069"/>
    <w:rsid w:val="79B32D6F"/>
    <w:rsid w:val="79B40925"/>
    <w:rsid w:val="79B416E2"/>
    <w:rsid w:val="79B67EF4"/>
    <w:rsid w:val="79B91109"/>
    <w:rsid w:val="79BC7920"/>
    <w:rsid w:val="79BD5EA3"/>
    <w:rsid w:val="79BE0DA5"/>
    <w:rsid w:val="79C42A5F"/>
    <w:rsid w:val="79C45B4A"/>
    <w:rsid w:val="79CA5238"/>
    <w:rsid w:val="79CC40F1"/>
    <w:rsid w:val="79CF2749"/>
    <w:rsid w:val="79CF379C"/>
    <w:rsid w:val="79CF47A7"/>
    <w:rsid w:val="79D040B3"/>
    <w:rsid w:val="79D36B10"/>
    <w:rsid w:val="79D4539F"/>
    <w:rsid w:val="79D64224"/>
    <w:rsid w:val="79D64C16"/>
    <w:rsid w:val="79D77377"/>
    <w:rsid w:val="79DA711C"/>
    <w:rsid w:val="79DF445A"/>
    <w:rsid w:val="79DF62DD"/>
    <w:rsid w:val="79E1199E"/>
    <w:rsid w:val="79E21D31"/>
    <w:rsid w:val="79E30F58"/>
    <w:rsid w:val="79E52ACE"/>
    <w:rsid w:val="79E70B88"/>
    <w:rsid w:val="79EF6B22"/>
    <w:rsid w:val="79F146D8"/>
    <w:rsid w:val="79F23D4C"/>
    <w:rsid w:val="79F406AF"/>
    <w:rsid w:val="79FC43DF"/>
    <w:rsid w:val="79FD34F7"/>
    <w:rsid w:val="7A024204"/>
    <w:rsid w:val="7A033E57"/>
    <w:rsid w:val="7A046168"/>
    <w:rsid w:val="7A064282"/>
    <w:rsid w:val="7A0741F0"/>
    <w:rsid w:val="7A0744B7"/>
    <w:rsid w:val="7A0925F2"/>
    <w:rsid w:val="7A096F0B"/>
    <w:rsid w:val="7A0A02FA"/>
    <w:rsid w:val="7A0A7CB2"/>
    <w:rsid w:val="7A0C11FF"/>
    <w:rsid w:val="7A0D2BB6"/>
    <w:rsid w:val="7A0E2AA9"/>
    <w:rsid w:val="7A11240F"/>
    <w:rsid w:val="7A117812"/>
    <w:rsid w:val="7A145366"/>
    <w:rsid w:val="7A1D3B4A"/>
    <w:rsid w:val="7A227524"/>
    <w:rsid w:val="7A284EB1"/>
    <w:rsid w:val="7A291462"/>
    <w:rsid w:val="7A30651B"/>
    <w:rsid w:val="7A321560"/>
    <w:rsid w:val="7A356A48"/>
    <w:rsid w:val="7A3820C4"/>
    <w:rsid w:val="7A391008"/>
    <w:rsid w:val="7A3A669A"/>
    <w:rsid w:val="7A3C1B84"/>
    <w:rsid w:val="7A3D4D84"/>
    <w:rsid w:val="7A3E15F9"/>
    <w:rsid w:val="7A3E4BC1"/>
    <w:rsid w:val="7A3F2136"/>
    <w:rsid w:val="7A403DA7"/>
    <w:rsid w:val="7A45539C"/>
    <w:rsid w:val="7A456A85"/>
    <w:rsid w:val="7A48489B"/>
    <w:rsid w:val="7A4A5AB8"/>
    <w:rsid w:val="7A4A6BA2"/>
    <w:rsid w:val="7A4B2DE5"/>
    <w:rsid w:val="7A4D21AC"/>
    <w:rsid w:val="7A4D45D0"/>
    <w:rsid w:val="7A4E42C3"/>
    <w:rsid w:val="7A4F37B1"/>
    <w:rsid w:val="7A5073DE"/>
    <w:rsid w:val="7A51455D"/>
    <w:rsid w:val="7A54386A"/>
    <w:rsid w:val="7A545B1C"/>
    <w:rsid w:val="7A554078"/>
    <w:rsid w:val="7A5624CF"/>
    <w:rsid w:val="7A58173F"/>
    <w:rsid w:val="7A5B30BD"/>
    <w:rsid w:val="7A5D0695"/>
    <w:rsid w:val="7A5E5F9F"/>
    <w:rsid w:val="7A624A44"/>
    <w:rsid w:val="7A64247B"/>
    <w:rsid w:val="7A646BFF"/>
    <w:rsid w:val="7A65347F"/>
    <w:rsid w:val="7A6A20D4"/>
    <w:rsid w:val="7A6E38D2"/>
    <w:rsid w:val="7A717A9D"/>
    <w:rsid w:val="7A722096"/>
    <w:rsid w:val="7A7303BD"/>
    <w:rsid w:val="7A7A50EE"/>
    <w:rsid w:val="7A7D517D"/>
    <w:rsid w:val="7A7D557F"/>
    <w:rsid w:val="7A7E03EF"/>
    <w:rsid w:val="7A7E0693"/>
    <w:rsid w:val="7A802C6E"/>
    <w:rsid w:val="7A810FFC"/>
    <w:rsid w:val="7A8127D8"/>
    <w:rsid w:val="7A813F58"/>
    <w:rsid w:val="7A8607E3"/>
    <w:rsid w:val="7A884734"/>
    <w:rsid w:val="7A887398"/>
    <w:rsid w:val="7A894128"/>
    <w:rsid w:val="7A8B0018"/>
    <w:rsid w:val="7A8C656D"/>
    <w:rsid w:val="7A8D0956"/>
    <w:rsid w:val="7A8F5BC9"/>
    <w:rsid w:val="7A923E9A"/>
    <w:rsid w:val="7A936326"/>
    <w:rsid w:val="7A9C0875"/>
    <w:rsid w:val="7A9C2F51"/>
    <w:rsid w:val="7A9C45BE"/>
    <w:rsid w:val="7A9C606A"/>
    <w:rsid w:val="7A9E1B78"/>
    <w:rsid w:val="7A9E283F"/>
    <w:rsid w:val="7A9E639B"/>
    <w:rsid w:val="7A9F19E4"/>
    <w:rsid w:val="7AA667BA"/>
    <w:rsid w:val="7AA85BAC"/>
    <w:rsid w:val="7AAA3402"/>
    <w:rsid w:val="7AAB1068"/>
    <w:rsid w:val="7AAF126F"/>
    <w:rsid w:val="7AAF2B28"/>
    <w:rsid w:val="7AB00272"/>
    <w:rsid w:val="7AB00D77"/>
    <w:rsid w:val="7AB4798B"/>
    <w:rsid w:val="7AB56713"/>
    <w:rsid w:val="7AB61FB1"/>
    <w:rsid w:val="7AB7224E"/>
    <w:rsid w:val="7ABD31DB"/>
    <w:rsid w:val="7ABD694F"/>
    <w:rsid w:val="7ABE3B50"/>
    <w:rsid w:val="7ABE4C8F"/>
    <w:rsid w:val="7AC16D2D"/>
    <w:rsid w:val="7AC5601E"/>
    <w:rsid w:val="7AC72F0B"/>
    <w:rsid w:val="7AC8487B"/>
    <w:rsid w:val="7AC94EC1"/>
    <w:rsid w:val="7ACA1C02"/>
    <w:rsid w:val="7ACA3FF8"/>
    <w:rsid w:val="7ACA58B9"/>
    <w:rsid w:val="7ACC0CD4"/>
    <w:rsid w:val="7ACD49F1"/>
    <w:rsid w:val="7AD1051F"/>
    <w:rsid w:val="7AD520FD"/>
    <w:rsid w:val="7AD7627A"/>
    <w:rsid w:val="7AD84AD6"/>
    <w:rsid w:val="7AD87149"/>
    <w:rsid w:val="7ADB139A"/>
    <w:rsid w:val="7ADB3954"/>
    <w:rsid w:val="7ADB5D1B"/>
    <w:rsid w:val="7ADC533C"/>
    <w:rsid w:val="7ADC6EC3"/>
    <w:rsid w:val="7AE04C06"/>
    <w:rsid w:val="7AE2205F"/>
    <w:rsid w:val="7AE30D33"/>
    <w:rsid w:val="7AE51B18"/>
    <w:rsid w:val="7AE549A1"/>
    <w:rsid w:val="7AE6016A"/>
    <w:rsid w:val="7AE733A1"/>
    <w:rsid w:val="7AE768DF"/>
    <w:rsid w:val="7AEA01C2"/>
    <w:rsid w:val="7AEA50D4"/>
    <w:rsid w:val="7AED4B8C"/>
    <w:rsid w:val="7AEF375A"/>
    <w:rsid w:val="7AF301B3"/>
    <w:rsid w:val="7AF4420D"/>
    <w:rsid w:val="7AF57F88"/>
    <w:rsid w:val="7AF655DA"/>
    <w:rsid w:val="7AF94273"/>
    <w:rsid w:val="7AF95CC7"/>
    <w:rsid w:val="7AFC395D"/>
    <w:rsid w:val="7AFE39B1"/>
    <w:rsid w:val="7B0017BB"/>
    <w:rsid w:val="7B010120"/>
    <w:rsid w:val="7B022222"/>
    <w:rsid w:val="7B024B7C"/>
    <w:rsid w:val="7B03137F"/>
    <w:rsid w:val="7B04301F"/>
    <w:rsid w:val="7B053C1F"/>
    <w:rsid w:val="7B057C6D"/>
    <w:rsid w:val="7B072BBD"/>
    <w:rsid w:val="7B077CAB"/>
    <w:rsid w:val="7B09415C"/>
    <w:rsid w:val="7B0B1D02"/>
    <w:rsid w:val="7B0D1BC6"/>
    <w:rsid w:val="7B0F54EB"/>
    <w:rsid w:val="7B103816"/>
    <w:rsid w:val="7B104440"/>
    <w:rsid w:val="7B114D9D"/>
    <w:rsid w:val="7B130697"/>
    <w:rsid w:val="7B130958"/>
    <w:rsid w:val="7B1372A9"/>
    <w:rsid w:val="7B167964"/>
    <w:rsid w:val="7B19321C"/>
    <w:rsid w:val="7B19649F"/>
    <w:rsid w:val="7B1A4C6E"/>
    <w:rsid w:val="7B1E2FC7"/>
    <w:rsid w:val="7B235B42"/>
    <w:rsid w:val="7B244DA9"/>
    <w:rsid w:val="7B252CAA"/>
    <w:rsid w:val="7B281B50"/>
    <w:rsid w:val="7B2974B1"/>
    <w:rsid w:val="7B2A61D2"/>
    <w:rsid w:val="7B2B4BFE"/>
    <w:rsid w:val="7B2D01B0"/>
    <w:rsid w:val="7B2E1C1D"/>
    <w:rsid w:val="7B2F16E9"/>
    <w:rsid w:val="7B2F3497"/>
    <w:rsid w:val="7B31754F"/>
    <w:rsid w:val="7B33757D"/>
    <w:rsid w:val="7B363B2C"/>
    <w:rsid w:val="7B365999"/>
    <w:rsid w:val="7B38700F"/>
    <w:rsid w:val="7B396DF9"/>
    <w:rsid w:val="7B3A2568"/>
    <w:rsid w:val="7B3B47E1"/>
    <w:rsid w:val="7B3D1DCC"/>
    <w:rsid w:val="7B3E3042"/>
    <w:rsid w:val="7B3E3E16"/>
    <w:rsid w:val="7B411825"/>
    <w:rsid w:val="7B435B12"/>
    <w:rsid w:val="7B4402DC"/>
    <w:rsid w:val="7B440B31"/>
    <w:rsid w:val="7B446D33"/>
    <w:rsid w:val="7B462C48"/>
    <w:rsid w:val="7B4864BE"/>
    <w:rsid w:val="7B4B2E41"/>
    <w:rsid w:val="7B4C04A5"/>
    <w:rsid w:val="7B546A33"/>
    <w:rsid w:val="7B5614F4"/>
    <w:rsid w:val="7B5715AA"/>
    <w:rsid w:val="7B591DE8"/>
    <w:rsid w:val="7B5C5899"/>
    <w:rsid w:val="7B5D0A94"/>
    <w:rsid w:val="7B5D4016"/>
    <w:rsid w:val="7B60006F"/>
    <w:rsid w:val="7B600686"/>
    <w:rsid w:val="7B605D33"/>
    <w:rsid w:val="7B654FCB"/>
    <w:rsid w:val="7B655FF0"/>
    <w:rsid w:val="7B6827C3"/>
    <w:rsid w:val="7B6868CB"/>
    <w:rsid w:val="7B691F4A"/>
    <w:rsid w:val="7B6B6F57"/>
    <w:rsid w:val="7B734CEE"/>
    <w:rsid w:val="7B762699"/>
    <w:rsid w:val="7B7B018C"/>
    <w:rsid w:val="7B7D245F"/>
    <w:rsid w:val="7B7E7058"/>
    <w:rsid w:val="7B7E72B3"/>
    <w:rsid w:val="7B7F2591"/>
    <w:rsid w:val="7B7F5104"/>
    <w:rsid w:val="7B811F45"/>
    <w:rsid w:val="7B8171DA"/>
    <w:rsid w:val="7B87299F"/>
    <w:rsid w:val="7B873E43"/>
    <w:rsid w:val="7B876744"/>
    <w:rsid w:val="7B894CC5"/>
    <w:rsid w:val="7B8C0C4D"/>
    <w:rsid w:val="7B8E31BC"/>
    <w:rsid w:val="7B8E4662"/>
    <w:rsid w:val="7B966089"/>
    <w:rsid w:val="7B9B0DD5"/>
    <w:rsid w:val="7B9B28DB"/>
    <w:rsid w:val="7B9C15D8"/>
    <w:rsid w:val="7B9C7A5D"/>
    <w:rsid w:val="7BA27083"/>
    <w:rsid w:val="7BA479E1"/>
    <w:rsid w:val="7BA62ACE"/>
    <w:rsid w:val="7BA63759"/>
    <w:rsid w:val="7BA66396"/>
    <w:rsid w:val="7BA940BA"/>
    <w:rsid w:val="7BAC47C3"/>
    <w:rsid w:val="7BAE075A"/>
    <w:rsid w:val="7BB311CE"/>
    <w:rsid w:val="7BB31795"/>
    <w:rsid w:val="7BB340C8"/>
    <w:rsid w:val="7BB36358"/>
    <w:rsid w:val="7BB4636E"/>
    <w:rsid w:val="7BB67714"/>
    <w:rsid w:val="7BB71138"/>
    <w:rsid w:val="7BBC2212"/>
    <w:rsid w:val="7BBE12D3"/>
    <w:rsid w:val="7BC026BA"/>
    <w:rsid w:val="7BC274EC"/>
    <w:rsid w:val="7BC57AE7"/>
    <w:rsid w:val="7BC70B76"/>
    <w:rsid w:val="7BC77B74"/>
    <w:rsid w:val="7BC8735E"/>
    <w:rsid w:val="7BC92B70"/>
    <w:rsid w:val="7BCB1412"/>
    <w:rsid w:val="7BCC0C6F"/>
    <w:rsid w:val="7BCC6F38"/>
    <w:rsid w:val="7BCF0B8F"/>
    <w:rsid w:val="7BCF5149"/>
    <w:rsid w:val="7BD0448F"/>
    <w:rsid w:val="7BD14506"/>
    <w:rsid w:val="7BD1454E"/>
    <w:rsid w:val="7BD64C91"/>
    <w:rsid w:val="7BD8369B"/>
    <w:rsid w:val="7BDA78A7"/>
    <w:rsid w:val="7BE24C0D"/>
    <w:rsid w:val="7BE52037"/>
    <w:rsid w:val="7BE90D09"/>
    <w:rsid w:val="7BEB5289"/>
    <w:rsid w:val="7BEE0EF7"/>
    <w:rsid w:val="7BF04E97"/>
    <w:rsid w:val="7BF20396"/>
    <w:rsid w:val="7BF21DD9"/>
    <w:rsid w:val="7BF61269"/>
    <w:rsid w:val="7BF8383D"/>
    <w:rsid w:val="7BFA32B2"/>
    <w:rsid w:val="7BFC781D"/>
    <w:rsid w:val="7BFE0922"/>
    <w:rsid w:val="7BFF1869"/>
    <w:rsid w:val="7BFF7116"/>
    <w:rsid w:val="7C020B0E"/>
    <w:rsid w:val="7C036174"/>
    <w:rsid w:val="7C051336"/>
    <w:rsid w:val="7C051C8C"/>
    <w:rsid w:val="7C05596B"/>
    <w:rsid w:val="7C0600D3"/>
    <w:rsid w:val="7C071C25"/>
    <w:rsid w:val="7C07717F"/>
    <w:rsid w:val="7C083C23"/>
    <w:rsid w:val="7C0C0456"/>
    <w:rsid w:val="7C14395C"/>
    <w:rsid w:val="7C157D0C"/>
    <w:rsid w:val="7C16707B"/>
    <w:rsid w:val="7C174BBA"/>
    <w:rsid w:val="7C190397"/>
    <w:rsid w:val="7C1A0A8B"/>
    <w:rsid w:val="7C1E5DAB"/>
    <w:rsid w:val="7C233E54"/>
    <w:rsid w:val="7C24755A"/>
    <w:rsid w:val="7C265FAB"/>
    <w:rsid w:val="7C2A4461"/>
    <w:rsid w:val="7C2B2953"/>
    <w:rsid w:val="7C2E11D1"/>
    <w:rsid w:val="7C2E4C05"/>
    <w:rsid w:val="7C362E05"/>
    <w:rsid w:val="7C381B26"/>
    <w:rsid w:val="7C417926"/>
    <w:rsid w:val="7C4206CA"/>
    <w:rsid w:val="7C431B77"/>
    <w:rsid w:val="7C4405AD"/>
    <w:rsid w:val="7C444D20"/>
    <w:rsid w:val="7C4471FF"/>
    <w:rsid w:val="7C4B60B7"/>
    <w:rsid w:val="7C4C2507"/>
    <w:rsid w:val="7C4D6AEF"/>
    <w:rsid w:val="7C4E5B9F"/>
    <w:rsid w:val="7C582BC3"/>
    <w:rsid w:val="7C58312B"/>
    <w:rsid w:val="7C59642B"/>
    <w:rsid w:val="7C596D68"/>
    <w:rsid w:val="7C5B1473"/>
    <w:rsid w:val="7C5E0A09"/>
    <w:rsid w:val="7C642E27"/>
    <w:rsid w:val="7C657F34"/>
    <w:rsid w:val="7C683105"/>
    <w:rsid w:val="7C6846CF"/>
    <w:rsid w:val="7C6972C9"/>
    <w:rsid w:val="7C6B0F69"/>
    <w:rsid w:val="7C6F6CC0"/>
    <w:rsid w:val="7C6F7FEF"/>
    <w:rsid w:val="7C701FB9"/>
    <w:rsid w:val="7C726BF3"/>
    <w:rsid w:val="7C7403A5"/>
    <w:rsid w:val="7C794EF7"/>
    <w:rsid w:val="7C7D003D"/>
    <w:rsid w:val="7C7E0732"/>
    <w:rsid w:val="7C7E437E"/>
    <w:rsid w:val="7C7F01D3"/>
    <w:rsid w:val="7C8021FC"/>
    <w:rsid w:val="7C831CEC"/>
    <w:rsid w:val="7C832E29"/>
    <w:rsid w:val="7C870DDD"/>
    <w:rsid w:val="7C8A4E29"/>
    <w:rsid w:val="7C8F69F8"/>
    <w:rsid w:val="7C90735D"/>
    <w:rsid w:val="7C920AD3"/>
    <w:rsid w:val="7C9337F2"/>
    <w:rsid w:val="7C977330"/>
    <w:rsid w:val="7C98179C"/>
    <w:rsid w:val="7C9C1B99"/>
    <w:rsid w:val="7C9E27EC"/>
    <w:rsid w:val="7CA46850"/>
    <w:rsid w:val="7CA57FF8"/>
    <w:rsid w:val="7CA633B5"/>
    <w:rsid w:val="7CA81817"/>
    <w:rsid w:val="7CA871DB"/>
    <w:rsid w:val="7CA876D9"/>
    <w:rsid w:val="7CAA1027"/>
    <w:rsid w:val="7CAC4E5A"/>
    <w:rsid w:val="7CB1600D"/>
    <w:rsid w:val="7CB16675"/>
    <w:rsid w:val="7CB24380"/>
    <w:rsid w:val="7CB8081F"/>
    <w:rsid w:val="7CB83BCD"/>
    <w:rsid w:val="7CB92469"/>
    <w:rsid w:val="7CBB3234"/>
    <w:rsid w:val="7CBB76D8"/>
    <w:rsid w:val="7CBD0BFC"/>
    <w:rsid w:val="7CBD2E67"/>
    <w:rsid w:val="7CBE1957"/>
    <w:rsid w:val="7CBE5F6F"/>
    <w:rsid w:val="7CC0084B"/>
    <w:rsid w:val="7CC026A5"/>
    <w:rsid w:val="7CC12815"/>
    <w:rsid w:val="7CC353D8"/>
    <w:rsid w:val="7CC540B3"/>
    <w:rsid w:val="7CCE4371"/>
    <w:rsid w:val="7CD10417"/>
    <w:rsid w:val="7CD2057E"/>
    <w:rsid w:val="7CD52DA3"/>
    <w:rsid w:val="7CD77786"/>
    <w:rsid w:val="7CDA7676"/>
    <w:rsid w:val="7CDB5523"/>
    <w:rsid w:val="7CDC0D04"/>
    <w:rsid w:val="7CE023BF"/>
    <w:rsid w:val="7CE07FFA"/>
    <w:rsid w:val="7CE31A14"/>
    <w:rsid w:val="7CE32222"/>
    <w:rsid w:val="7CE37E8D"/>
    <w:rsid w:val="7CE7694D"/>
    <w:rsid w:val="7CE948BE"/>
    <w:rsid w:val="7CEA03BC"/>
    <w:rsid w:val="7CEA3C6D"/>
    <w:rsid w:val="7CF00468"/>
    <w:rsid w:val="7CF051FA"/>
    <w:rsid w:val="7CF15EC2"/>
    <w:rsid w:val="7CF160B0"/>
    <w:rsid w:val="7CF77FE5"/>
    <w:rsid w:val="7CF85E76"/>
    <w:rsid w:val="7CFA20F2"/>
    <w:rsid w:val="7CFE391B"/>
    <w:rsid w:val="7CFF46EB"/>
    <w:rsid w:val="7D036989"/>
    <w:rsid w:val="7D041B88"/>
    <w:rsid w:val="7D0623ED"/>
    <w:rsid w:val="7D087AD4"/>
    <w:rsid w:val="7D0C474F"/>
    <w:rsid w:val="7D0F5AF4"/>
    <w:rsid w:val="7D100251"/>
    <w:rsid w:val="7D1032D5"/>
    <w:rsid w:val="7D137281"/>
    <w:rsid w:val="7D14161A"/>
    <w:rsid w:val="7D150FE7"/>
    <w:rsid w:val="7D1610B4"/>
    <w:rsid w:val="7D172D55"/>
    <w:rsid w:val="7D194019"/>
    <w:rsid w:val="7D1B4AD3"/>
    <w:rsid w:val="7D1D74BA"/>
    <w:rsid w:val="7D1E3E87"/>
    <w:rsid w:val="7D205226"/>
    <w:rsid w:val="7D226E3F"/>
    <w:rsid w:val="7D2413A1"/>
    <w:rsid w:val="7D2433CE"/>
    <w:rsid w:val="7D254B52"/>
    <w:rsid w:val="7D282CF4"/>
    <w:rsid w:val="7D282F2C"/>
    <w:rsid w:val="7D2928D3"/>
    <w:rsid w:val="7D2949B2"/>
    <w:rsid w:val="7D2D3919"/>
    <w:rsid w:val="7D2E0A6D"/>
    <w:rsid w:val="7D2E5E20"/>
    <w:rsid w:val="7D2F041B"/>
    <w:rsid w:val="7D2F7E89"/>
    <w:rsid w:val="7D3172B6"/>
    <w:rsid w:val="7D32295A"/>
    <w:rsid w:val="7D366D5F"/>
    <w:rsid w:val="7D3C148F"/>
    <w:rsid w:val="7D3C79DA"/>
    <w:rsid w:val="7D3D54A3"/>
    <w:rsid w:val="7D3F3185"/>
    <w:rsid w:val="7D4005CE"/>
    <w:rsid w:val="7D405B06"/>
    <w:rsid w:val="7D4068D0"/>
    <w:rsid w:val="7D423956"/>
    <w:rsid w:val="7D447752"/>
    <w:rsid w:val="7D45444D"/>
    <w:rsid w:val="7D49485E"/>
    <w:rsid w:val="7D496A92"/>
    <w:rsid w:val="7D4A2416"/>
    <w:rsid w:val="7D596BC9"/>
    <w:rsid w:val="7D5B4355"/>
    <w:rsid w:val="7D5C667C"/>
    <w:rsid w:val="7D5E1E12"/>
    <w:rsid w:val="7D5F453A"/>
    <w:rsid w:val="7D625F17"/>
    <w:rsid w:val="7D6518E7"/>
    <w:rsid w:val="7D6531A0"/>
    <w:rsid w:val="7D653C59"/>
    <w:rsid w:val="7D667E12"/>
    <w:rsid w:val="7D6920F2"/>
    <w:rsid w:val="7D692526"/>
    <w:rsid w:val="7D6A3E41"/>
    <w:rsid w:val="7D6A5D34"/>
    <w:rsid w:val="7D6B6782"/>
    <w:rsid w:val="7D6C581D"/>
    <w:rsid w:val="7D6E02A7"/>
    <w:rsid w:val="7D6F1F51"/>
    <w:rsid w:val="7D6F577A"/>
    <w:rsid w:val="7D73534E"/>
    <w:rsid w:val="7D735EC4"/>
    <w:rsid w:val="7D741099"/>
    <w:rsid w:val="7D7556C5"/>
    <w:rsid w:val="7D756590"/>
    <w:rsid w:val="7D767F7A"/>
    <w:rsid w:val="7D794B4C"/>
    <w:rsid w:val="7D7C484B"/>
    <w:rsid w:val="7D834AB5"/>
    <w:rsid w:val="7D87584A"/>
    <w:rsid w:val="7D895536"/>
    <w:rsid w:val="7D8A58F8"/>
    <w:rsid w:val="7D8C697F"/>
    <w:rsid w:val="7D91734A"/>
    <w:rsid w:val="7D94392C"/>
    <w:rsid w:val="7D9473AC"/>
    <w:rsid w:val="7D965236"/>
    <w:rsid w:val="7D973539"/>
    <w:rsid w:val="7D9809B8"/>
    <w:rsid w:val="7D986D63"/>
    <w:rsid w:val="7D99109C"/>
    <w:rsid w:val="7D994D61"/>
    <w:rsid w:val="7D9A4ADC"/>
    <w:rsid w:val="7D9D36B9"/>
    <w:rsid w:val="7D9E2933"/>
    <w:rsid w:val="7D9E558B"/>
    <w:rsid w:val="7D9F7C69"/>
    <w:rsid w:val="7DA07C2E"/>
    <w:rsid w:val="7DA21751"/>
    <w:rsid w:val="7DA22B03"/>
    <w:rsid w:val="7DA610C4"/>
    <w:rsid w:val="7DA63D37"/>
    <w:rsid w:val="7DA85433"/>
    <w:rsid w:val="7DAB775C"/>
    <w:rsid w:val="7DAC0D46"/>
    <w:rsid w:val="7DAC5273"/>
    <w:rsid w:val="7DAD1242"/>
    <w:rsid w:val="7DAE5B19"/>
    <w:rsid w:val="7DAF9532"/>
    <w:rsid w:val="7DB0017A"/>
    <w:rsid w:val="7DB150DA"/>
    <w:rsid w:val="7DB54C47"/>
    <w:rsid w:val="7DB639FC"/>
    <w:rsid w:val="7DB7FD2F"/>
    <w:rsid w:val="7DB83422"/>
    <w:rsid w:val="7DB956F5"/>
    <w:rsid w:val="7DBA6CB5"/>
    <w:rsid w:val="7DC15B2F"/>
    <w:rsid w:val="7DC20013"/>
    <w:rsid w:val="7DC2443F"/>
    <w:rsid w:val="7DC47434"/>
    <w:rsid w:val="7DC600E3"/>
    <w:rsid w:val="7DC84039"/>
    <w:rsid w:val="7DCB0BE8"/>
    <w:rsid w:val="7DD17A86"/>
    <w:rsid w:val="7DD25A43"/>
    <w:rsid w:val="7DD512BB"/>
    <w:rsid w:val="7DD51A42"/>
    <w:rsid w:val="7DD57568"/>
    <w:rsid w:val="7DDC3C40"/>
    <w:rsid w:val="7DDD7D75"/>
    <w:rsid w:val="7DDF16C1"/>
    <w:rsid w:val="7DDFCA44"/>
    <w:rsid w:val="7DE1316F"/>
    <w:rsid w:val="7DE2340C"/>
    <w:rsid w:val="7DE25105"/>
    <w:rsid w:val="7DE27BF1"/>
    <w:rsid w:val="7DE27C7B"/>
    <w:rsid w:val="7DE67036"/>
    <w:rsid w:val="7DE76D3F"/>
    <w:rsid w:val="7DE844FD"/>
    <w:rsid w:val="7DE86092"/>
    <w:rsid w:val="7DEA7EF6"/>
    <w:rsid w:val="7DEB5C73"/>
    <w:rsid w:val="7DEB66EF"/>
    <w:rsid w:val="7DEE33E6"/>
    <w:rsid w:val="7DEE4AD8"/>
    <w:rsid w:val="7DF00B29"/>
    <w:rsid w:val="7DF23639"/>
    <w:rsid w:val="7DF36268"/>
    <w:rsid w:val="7DF427BE"/>
    <w:rsid w:val="7DF503F7"/>
    <w:rsid w:val="7DF65698"/>
    <w:rsid w:val="7DF84014"/>
    <w:rsid w:val="7DFA62FA"/>
    <w:rsid w:val="7DFD5133"/>
    <w:rsid w:val="7DFF35F5"/>
    <w:rsid w:val="7E013A9C"/>
    <w:rsid w:val="7E0167DE"/>
    <w:rsid w:val="7E026C41"/>
    <w:rsid w:val="7E060008"/>
    <w:rsid w:val="7E0806FB"/>
    <w:rsid w:val="7E0F3C65"/>
    <w:rsid w:val="7E0F5EFD"/>
    <w:rsid w:val="7E1046A8"/>
    <w:rsid w:val="7E1571DF"/>
    <w:rsid w:val="7E157606"/>
    <w:rsid w:val="7E1E03BE"/>
    <w:rsid w:val="7E1E60DD"/>
    <w:rsid w:val="7E1F0692"/>
    <w:rsid w:val="7E1F5B39"/>
    <w:rsid w:val="7E207C02"/>
    <w:rsid w:val="7E230D16"/>
    <w:rsid w:val="7E23128B"/>
    <w:rsid w:val="7E244EA5"/>
    <w:rsid w:val="7E2460B8"/>
    <w:rsid w:val="7E261F86"/>
    <w:rsid w:val="7E2633C7"/>
    <w:rsid w:val="7E270DB3"/>
    <w:rsid w:val="7E2B2F84"/>
    <w:rsid w:val="7E2C51C9"/>
    <w:rsid w:val="7E2F4BC9"/>
    <w:rsid w:val="7E3004A5"/>
    <w:rsid w:val="7E307BDA"/>
    <w:rsid w:val="7E374E17"/>
    <w:rsid w:val="7E376F4A"/>
    <w:rsid w:val="7E3976BD"/>
    <w:rsid w:val="7E3A287F"/>
    <w:rsid w:val="7E3B6D37"/>
    <w:rsid w:val="7E3C738A"/>
    <w:rsid w:val="7E3D1C72"/>
    <w:rsid w:val="7E3F3006"/>
    <w:rsid w:val="7E405DFA"/>
    <w:rsid w:val="7E41081D"/>
    <w:rsid w:val="7E435F80"/>
    <w:rsid w:val="7E445F66"/>
    <w:rsid w:val="7E4505AE"/>
    <w:rsid w:val="7E451BA5"/>
    <w:rsid w:val="7E465532"/>
    <w:rsid w:val="7E4941C5"/>
    <w:rsid w:val="7E4959D0"/>
    <w:rsid w:val="7E4B153F"/>
    <w:rsid w:val="7E4D7E45"/>
    <w:rsid w:val="7E4F6CA4"/>
    <w:rsid w:val="7E502693"/>
    <w:rsid w:val="7E5410E3"/>
    <w:rsid w:val="7E544334"/>
    <w:rsid w:val="7E545540"/>
    <w:rsid w:val="7E551467"/>
    <w:rsid w:val="7E5714A9"/>
    <w:rsid w:val="7E5A1A48"/>
    <w:rsid w:val="7E5A64D4"/>
    <w:rsid w:val="7E5D031B"/>
    <w:rsid w:val="7E5E6DCA"/>
    <w:rsid w:val="7E5F18CA"/>
    <w:rsid w:val="7E5F7E73"/>
    <w:rsid w:val="7E627AEE"/>
    <w:rsid w:val="7E6414AB"/>
    <w:rsid w:val="7E662128"/>
    <w:rsid w:val="7E6769AE"/>
    <w:rsid w:val="7E6873EC"/>
    <w:rsid w:val="7E6A34D7"/>
    <w:rsid w:val="7E6A4AAB"/>
    <w:rsid w:val="7E6B1157"/>
    <w:rsid w:val="7E6F5622"/>
    <w:rsid w:val="7E7232ED"/>
    <w:rsid w:val="7E724889"/>
    <w:rsid w:val="7E7254B5"/>
    <w:rsid w:val="7E725B75"/>
    <w:rsid w:val="7E733DF2"/>
    <w:rsid w:val="7E7B4290"/>
    <w:rsid w:val="7E7E59AA"/>
    <w:rsid w:val="7E8028DC"/>
    <w:rsid w:val="7E810BAE"/>
    <w:rsid w:val="7E823463"/>
    <w:rsid w:val="7E834AF4"/>
    <w:rsid w:val="7E836833"/>
    <w:rsid w:val="7E861B37"/>
    <w:rsid w:val="7E8651FB"/>
    <w:rsid w:val="7E8727F8"/>
    <w:rsid w:val="7E8A7362"/>
    <w:rsid w:val="7E8B3D1A"/>
    <w:rsid w:val="7E8E0E07"/>
    <w:rsid w:val="7E8F1DA9"/>
    <w:rsid w:val="7E906943"/>
    <w:rsid w:val="7E9430D3"/>
    <w:rsid w:val="7E945424"/>
    <w:rsid w:val="7E954B49"/>
    <w:rsid w:val="7E955D07"/>
    <w:rsid w:val="7E982871"/>
    <w:rsid w:val="7EA06058"/>
    <w:rsid w:val="7EA42BC7"/>
    <w:rsid w:val="7EA433C8"/>
    <w:rsid w:val="7EA6141F"/>
    <w:rsid w:val="7EA6385A"/>
    <w:rsid w:val="7EA752A6"/>
    <w:rsid w:val="7EA757BD"/>
    <w:rsid w:val="7EA8520C"/>
    <w:rsid w:val="7EAB4521"/>
    <w:rsid w:val="7EAC4489"/>
    <w:rsid w:val="7EAD5D34"/>
    <w:rsid w:val="7EAF1930"/>
    <w:rsid w:val="7EAF501B"/>
    <w:rsid w:val="7EB1171A"/>
    <w:rsid w:val="7EB245D9"/>
    <w:rsid w:val="7EB6372D"/>
    <w:rsid w:val="7EB66B34"/>
    <w:rsid w:val="7EB73473"/>
    <w:rsid w:val="7EB75F0F"/>
    <w:rsid w:val="7EBA3883"/>
    <w:rsid w:val="7EBD3FAA"/>
    <w:rsid w:val="7EBD4424"/>
    <w:rsid w:val="7EBD64D9"/>
    <w:rsid w:val="7EBE0A23"/>
    <w:rsid w:val="7EBF4B32"/>
    <w:rsid w:val="7EC05BC9"/>
    <w:rsid w:val="7EC10A40"/>
    <w:rsid w:val="7EC15D4C"/>
    <w:rsid w:val="7EC4011F"/>
    <w:rsid w:val="7EC565EC"/>
    <w:rsid w:val="7EC67398"/>
    <w:rsid w:val="7EC75C7E"/>
    <w:rsid w:val="7EC8052B"/>
    <w:rsid w:val="7EC8612B"/>
    <w:rsid w:val="7ECA3300"/>
    <w:rsid w:val="7ECB34D7"/>
    <w:rsid w:val="7ECB6282"/>
    <w:rsid w:val="7ECC095A"/>
    <w:rsid w:val="7ECD6CCB"/>
    <w:rsid w:val="7ECF1219"/>
    <w:rsid w:val="7ED03769"/>
    <w:rsid w:val="7ED36250"/>
    <w:rsid w:val="7ED4519B"/>
    <w:rsid w:val="7ED56104"/>
    <w:rsid w:val="7ED86CE5"/>
    <w:rsid w:val="7ED92C06"/>
    <w:rsid w:val="7ED95C94"/>
    <w:rsid w:val="7EDD7904"/>
    <w:rsid w:val="7EDF265D"/>
    <w:rsid w:val="7EE04C31"/>
    <w:rsid w:val="7EE07DCE"/>
    <w:rsid w:val="7EE211A5"/>
    <w:rsid w:val="7EE54544"/>
    <w:rsid w:val="7EE563EF"/>
    <w:rsid w:val="7EE65274"/>
    <w:rsid w:val="7EE77660"/>
    <w:rsid w:val="7EE83545"/>
    <w:rsid w:val="7EEB62D1"/>
    <w:rsid w:val="7EEC3EB8"/>
    <w:rsid w:val="7EEE2637"/>
    <w:rsid w:val="7EEE3219"/>
    <w:rsid w:val="7EEF1391"/>
    <w:rsid w:val="7EF0118F"/>
    <w:rsid w:val="7EF03A4A"/>
    <w:rsid w:val="7EF306F0"/>
    <w:rsid w:val="7EF327C1"/>
    <w:rsid w:val="7EF601F9"/>
    <w:rsid w:val="7EF60626"/>
    <w:rsid w:val="7EF87B52"/>
    <w:rsid w:val="7EF944E8"/>
    <w:rsid w:val="7EF950B8"/>
    <w:rsid w:val="7EFA6F0C"/>
    <w:rsid w:val="7EFB3D09"/>
    <w:rsid w:val="7EFC2303"/>
    <w:rsid w:val="7EFD2CCB"/>
    <w:rsid w:val="7EFD5D90"/>
    <w:rsid w:val="7F0133CA"/>
    <w:rsid w:val="7F040ED5"/>
    <w:rsid w:val="7F062BE6"/>
    <w:rsid w:val="7F0806AD"/>
    <w:rsid w:val="7F081BE5"/>
    <w:rsid w:val="7F086530"/>
    <w:rsid w:val="7F09731F"/>
    <w:rsid w:val="7F0B7D77"/>
    <w:rsid w:val="7F0C51C8"/>
    <w:rsid w:val="7F0E1E21"/>
    <w:rsid w:val="7F0E5257"/>
    <w:rsid w:val="7F1135E0"/>
    <w:rsid w:val="7F124F35"/>
    <w:rsid w:val="7F127358"/>
    <w:rsid w:val="7F143608"/>
    <w:rsid w:val="7F19523B"/>
    <w:rsid w:val="7F197563"/>
    <w:rsid w:val="7F1A2B80"/>
    <w:rsid w:val="7F207262"/>
    <w:rsid w:val="7F223A6F"/>
    <w:rsid w:val="7F23200A"/>
    <w:rsid w:val="7F236920"/>
    <w:rsid w:val="7F261EC2"/>
    <w:rsid w:val="7F273134"/>
    <w:rsid w:val="7F27497F"/>
    <w:rsid w:val="7F286F83"/>
    <w:rsid w:val="7F294677"/>
    <w:rsid w:val="7F2C64C5"/>
    <w:rsid w:val="7F2D18B5"/>
    <w:rsid w:val="7F2D29B6"/>
    <w:rsid w:val="7F2D4191"/>
    <w:rsid w:val="7F2D596A"/>
    <w:rsid w:val="7F2E24B1"/>
    <w:rsid w:val="7F2F43FE"/>
    <w:rsid w:val="7F324AE8"/>
    <w:rsid w:val="7F34107C"/>
    <w:rsid w:val="7F3671E8"/>
    <w:rsid w:val="7F3B2A1A"/>
    <w:rsid w:val="7F3E639F"/>
    <w:rsid w:val="7F3E6BB5"/>
    <w:rsid w:val="7F3F12C4"/>
    <w:rsid w:val="7F403D57"/>
    <w:rsid w:val="7F41679D"/>
    <w:rsid w:val="7F427C90"/>
    <w:rsid w:val="7F451ECA"/>
    <w:rsid w:val="7F456A70"/>
    <w:rsid w:val="7F473B14"/>
    <w:rsid w:val="7F485F51"/>
    <w:rsid w:val="7F4A4192"/>
    <w:rsid w:val="7F4C66BC"/>
    <w:rsid w:val="7F50477E"/>
    <w:rsid w:val="7F505AC5"/>
    <w:rsid w:val="7F533352"/>
    <w:rsid w:val="7F555048"/>
    <w:rsid w:val="7F5635CF"/>
    <w:rsid w:val="7F57003A"/>
    <w:rsid w:val="7F570B6E"/>
    <w:rsid w:val="7F583FC9"/>
    <w:rsid w:val="7F5A289C"/>
    <w:rsid w:val="7F5A2D79"/>
    <w:rsid w:val="7F5A323A"/>
    <w:rsid w:val="7F5C171F"/>
    <w:rsid w:val="7F603A61"/>
    <w:rsid w:val="7F60666F"/>
    <w:rsid w:val="7F612672"/>
    <w:rsid w:val="7F6137C9"/>
    <w:rsid w:val="7F623DC0"/>
    <w:rsid w:val="7F624426"/>
    <w:rsid w:val="7F682817"/>
    <w:rsid w:val="7F695C8C"/>
    <w:rsid w:val="7F6D3762"/>
    <w:rsid w:val="7F6E3E49"/>
    <w:rsid w:val="7F7035D5"/>
    <w:rsid w:val="7F761F29"/>
    <w:rsid w:val="7F7843A8"/>
    <w:rsid w:val="7F7C56B7"/>
    <w:rsid w:val="7F7E348E"/>
    <w:rsid w:val="7F7E6DFA"/>
    <w:rsid w:val="7F7F49AA"/>
    <w:rsid w:val="7F7F5D9F"/>
    <w:rsid w:val="7F800ACC"/>
    <w:rsid w:val="7F800ECC"/>
    <w:rsid w:val="7F822533"/>
    <w:rsid w:val="7F826A67"/>
    <w:rsid w:val="7F846DF5"/>
    <w:rsid w:val="7F860F80"/>
    <w:rsid w:val="7F864BDE"/>
    <w:rsid w:val="7F873399"/>
    <w:rsid w:val="7F896287"/>
    <w:rsid w:val="7F8D558A"/>
    <w:rsid w:val="7F8D73ED"/>
    <w:rsid w:val="7F9050EF"/>
    <w:rsid w:val="7F920FB0"/>
    <w:rsid w:val="7F927F19"/>
    <w:rsid w:val="7F932D28"/>
    <w:rsid w:val="7F945CD7"/>
    <w:rsid w:val="7F9663BA"/>
    <w:rsid w:val="7F967F89"/>
    <w:rsid w:val="7F973A22"/>
    <w:rsid w:val="7F992C9A"/>
    <w:rsid w:val="7F9B106C"/>
    <w:rsid w:val="7F9B971E"/>
    <w:rsid w:val="7F9C3D26"/>
    <w:rsid w:val="7F9D1C37"/>
    <w:rsid w:val="7F9F537B"/>
    <w:rsid w:val="7FA038FF"/>
    <w:rsid w:val="7FA132E1"/>
    <w:rsid w:val="7FA23996"/>
    <w:rsid w:val="7FA67483"/>
    <w:rsid w:val="7FA912F8"/>
    <w:rsid w:val="7FAA2B2C"/>
    <w:rsid w:val="7FAA3B96"/>
    <w:rsid w:val="7FAA5C22"/>
    <w:rsid w:val="7FAA5E38"/>
    <w:rsid w:val="7FAE7080"/>
    <w:rsid w:val="7FB01F24"/>
    <w:rsid w:val="7FB20940"/>
    <w:rsid w:val="7FB3417C"/>
    <w:rsid w:val="7FB36445"/>
    <w:rsid w:val="7FB87351"/>
    <w:rsid w:val="7FBA3C3D"/>
    <w:rsid w:val="7FBC0057"/>
    <w:rsid w:val="7FC25570"/>
    <w:rsid w:val="7FC71D6E"/>
    <w:rsid w:val="7FCA19E0"/>
    <w:rsid w:val="7FCB256A"/>
    <w:rsid w:val="7FCB459C"/>
    <w:rsid w:val="7FCB7429"/>
    <w:rsid w:val="7FCD05F8"/>
    <w:rsid w:val="7FCE0E63"/>
    <w:rsid w:val="7FCF61C1"/>
    <w:rsid w:val="7FD806AB"/>
    <w:rsid w:val="7FDD34C2"/>
    <w:rsid w:val="7FDF9884"/>
    <w:rsid w:val="7FE06276"/>
    <w:rsid w:val="7FE54C0E"/>
    <w:rsid w:val="7FE605AB"/>
    <w:rsid w:val="7FE76222"/>
    <w:rsid w:val="7FE915A1"/>
    <w:rsid w:val="7FE9455C"/>
    <w:rsid w:val="7FE955BC"/>
    <w:rsid w:val="7FE95EDC"/>
    <w:rsid w:val="7FEEA360"/>
    <w:rsid w:val="7FF04B2C"/>
    <w:rsid w:val="7FF652A4"/>
    <w:rsid w:val="7FF66E13"/>
    <w:rsid w:val="7FF76C79"/>
    <w:rsid w:val="7FF76F24"/>
    <w:rsid w:val="7FF90151"/>
    <w:rsid w:val="7FF966F9"/>
    <w:rsid w:val="7FFA26C1"/>
    <w:rsid w:val="7FFA3687"/>
    <w:rsid w:val="7FFE1E8E"/>
    <w:rsid w:val="87DA22F7"/>
    <w:rsid w:val="ABF4FC28"/>
    <w:rsid w:val="ADBF6826"/>
    <w:rsid w:val="AFBB5441"/>
    <w:rsid w:val="B7FCAD0A"/>
    <w:rsid w:val="BDBDDA50"/>
    <w:rsid w:val="C7F20ED5"/>
    <w:rsid w:val="D8DE51A7"/>
    <w:rsid w:val="E2EE2432"/>
    <w:rsid w:val="E7F65F1B"/>
    <w:rsid w:val="ECC7AFC9"/>
    <w:rsid w:val="EEFFAD3D"/>
    <w:rsid w:val="F6D7DDCD"/>
    <w:rsid w:val="FAF54E84"/>
    <w:rsid w:val="FBDE564C"/>
    <w:rsid w:val="FDC7A9BC"/>
    <w:rsid w:val="FE7D6FF2"/>
    <w:rsid w:val="FEBFDFD2"/>
    <w:rsid w:val="FF6F5E6D"/>
    <w:rsid w:val="FF8F6663"/>
    <w:rsid w:val="FFB4E038"/>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opacity="32768f" focussize="0,0"/>
      <v:stroke weight="0.5pt" color="#FF0000" endarrow="block"/>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semiHidden="0" w:name="index 2"/>
    <w:lsdException w:qFormat="1"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qFormat="1" w:unhideWhenUsed="0" w:uiPriority="0" w:semiHidden="0" w:name="table of figures"/>
    <w:lsdException w:qFormat="1" w:unhideWhenUsed="0" w:uiPriority="0" w:name="envelope address"/>
    <w:lsdException w:qFormat="1" w:unhideWhenUsed="0" w:uiPriority="0" w:name="envelope return"/>
    <w:lsdException w:qFormat="1" w:unhideWhenUsed="0" w:uiPriority="0" w:semiHidden="0" w:name="footnote reference"/>
    <w:lsdException w:qFormat="1" w:unhideWhenUsed="0" w:uiPriority="0" w:semiHidden="0" w:name="annotation reference"/>
    <w:lsdException w:qFormat="1" w:unhideWhenUsed="0" w:uiPriority="0" w:name="line number"/>
    <w:lsdException w:qFormat="1" w:unhideWhenUsed="0" w:uiPriority="0" w:semiHidden="0" w:name="page number"/>
    <w:lsdException w:unhideWhenUsed="0" w:uiPriority="0" w:semiHidden="0" w:name="endnote reference"/>
    <w:lsdException w:qFormat="1" w:unhideWhenUsed="0" w:uiPriority="0" w:name="endnote text"/>
    <w:lsdException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name="List Bullet 4"/>
    <w:lsdException w:qFormat="1" w:unhideWhenUsed="0" w:uiPriority="0" w:name="List Bullet 5"/>
    <w:lsdException w:qFormat="1" w:unhideWhenUsed="0" w:uiPriority="0" w:name="List Number 2"/>
    <w:lsdException w:qFormat="1" w:unhideWhenUsed="0" w:uiPriority="0" w:name="List Number 3"/>
    <w:lsdException w:qFormat="1" w:unhideWhenUsed="0" w:uiPriority="0" w:semiHidden="0" w:name="List Number 4"/>
    <w:lsdException w:qFormat="1" w:unhideWhenUsed="0" w:uiPriority="0" w:name="List Number 5"/>
    <w:lsdException w:qFormat="1" w:unhideWhenUsed="0" w:uiPriority="0" w:semiHidden="0" w:name="Title"/>
    <w:lsdException w:qFormat="1" w:unhideWhenUsed="0" w:uiPriority="0" w:name="Closing"/>
    <w:lsdException w:qFormat="1" w:unhideWhenUsed="0" w:uiPriority="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qFormat="1" w:unhideWhenUsed="0" w:uiPriority="0" w:name="E-mail Signature"/>
    <w:lsdException w:qFormat="1" w:unhideWhenUsed="0" w:uiPriority="0" w:semiHidden="0" w:name="Normal (Web)"/>
    <w:lsdException w:qFormat="1" w:unhideWhenUsed="0" w:uiPriority="0" w:name="HTML Acronym"/>
    <w:lsdException w:qFormat="1" w:unhideWhenUsed="0" w:uiPriority="0" w:name="HTML Address"/>
    <w:lsdException w:qFormat="1" w:unhideWhenUsed="0" w:uiPriority="0" w:name="HTML Cite"/>
    <w:lsdException w:qFormat="1" w:unhideWhenUsed="0" w:uiPriority="0" w:name="HTML Code"/>
    <w:lsdException w:qFormat="1" w:unhideWhenUsed="0" w:uiPriority="0" w:name="HTML Definition"/>
    <w:lsdException w:qFormat="1" w:unhideWhenUsed="0" w:uiPriority="0" w:name="HTML Keyboard"/>
    <w:lsdException w:qFormat="1" w:unhideWhenUsed="0" w:uiPriority="0" w:semiHidden="0" w:name="HTML Preformatted"/>
    <w:lsdException w:qFormat="1" w:unhideWhenUsed="0" w:uiPriority="0" w:name="HTML Sample"/>
    <w:lsdException w:qFormat="1" w:unhideWhenUsed="0" w:uiPriority="0" w:semiHidden="0" w:name="HTML Typewriter"/>
    <w:lsdException w:qFormat="1" w:unhideWhenUsed="0" w:uiPriority="0" w:name="HTML Variable"/>
    <w:lsdException w:qFormat="1" w:unhideWhenUsed="0" w:uiPriority="0" w:name="Normal Table"/>
    <w:lsdException w:qFormat="1" w:unhideWhenUsed="0" w:uiPriority="0" w:semiHidden="0" w:name="annotation subject"/>
    <w:lsdException w:qFormat="1" w:unhideWhenUsed="0" w:uiPriority="0" w:name="Table Simple 1"/>
    <w:lsdException w:qFormat="1" w:unhideWhenUsed="0" w:uiPriority="0" w:name="Table Simple 2"/>
    <w:lsdException w:qFormat="1" w:unhideWhenUsed="0" w:uiPriority="0" w:name="Table Simple 3"/>
    <w:lsdException w:qFormat="1" w:unhideWhenUsed="0" w:uiPriority="0" w:name="Table Classic 1"/>
    <w:lsdException w:qFormat="1" w:unhideWhenUsed="0" w:uiPriority="0" w:name="Table Classic 2"/>
    <w:lsdException w:qFormat="1" w:unhideWhenUsed="0" w:uiPriority="0" w:name="Table Classic 3"/>
    <w:lsdException w:qFormat="1" w:unhideWhenUsed="0" w:uiPriority="0" w:name="Table Classic 4"/>
    <w:lsdException w:qFormat="1" w:unhideWhenUsed="0" w:uiPriority="0" w:name="Table Colorful 1"/>
    <w:lsdException w:qFormat="1" w:unhideWhenUsed="0" w:uiPriority="0" w:name="Table Colorful 2"/>
    <w:lsdException w:qFormat="1" w:unhideWhenUsed="0" w:uiPriority="0" w:name="Table Colorful 3"/>
    <w:lsdException w:qFormat="1" w:unhideWhenUsed="0" w:uiPriority="0" w:name="Table Columns 1"/>
    <w:lsdException w:qFormat="1" w:unhideWhenUsed="0" w:uiPriority="0" w:name="Table Columns 2"/>
    <w:lsdException w:qFormat="1" w:unhideWhenUsed="0" w:uiPriority="0" w:name="Table Columns 3"/>
    <w:lsdException w:qFormat="1" w:unhideWhenUsed="0" w:uiPriority="0" w:name="Table Columns 4"/>
    <w:lsdException w:qFormat="1" w:unhideWhenUsed="0" w:uiPriority="0" w:name="Table Columns 5"/>
    <w:lsdException w:qFormat="1" w:unhideWhenUsed="0" w:uiPriority="0" w:name="Table Grid 1"/>
    <w:lsdException w:qFormat="1" w:unhideWhenUsed="0" w:uiPriority="0" w:name="Table Grid 2"/>
    <w:lsdException w:qFormat="1" w:unhideWhenUsed="0" w:uiPriority="0" w:name="Table Grid 3"/>
    <w:lsdException w:qFormat="1" w:unhideWhenUsed="0" w:uiPriority="0" w:name="Table Grid 4"/>
    <w:lsdException w:qFormat="1" w:unhideWhenUsed="0" w:uiPriority="0" w:semiHidden="0" w:name="Table Grid 5"/>
    <w:lsdException w:qFormat="1" w:unhideWhenUsed="0" w:uiPriority="0" w:name="Table Grid 6"/>
    <w:lsdException w:qFormat="1" w:unhideWhenUsed="0" w:uiPriority="0" w:name="Table Grid 7"/>
    <w:lsdException w:qFormat="1" w:unhideWhenUsed="0" w:uiPriority="0" w:name="Table Grid 8"/>
    <w:lsdException w:qFormat="1" w:unhideWhenUsed="0" w:uiPriority="0" w:name="Table List 1"/>
    <w:lsdException w:qFormat="1" w:unhideWhenUsed="0" w:uiPriority="0" w:name="Table List 2"/>
    <w:lsdException w:qFormat="1" w:unhideWhenUsed="0" w:uiPriority="0" w:name="Table List 3"/>
    <w:lsdException w:qFormat="1" w:unhideWhenUsed="0" w:uiPriority="0" w:name="Table List 4"/>
    <w:lsdException w:qFormat="1" w:unhideWhenUsed="0" w:uiPriority="0" w:semiHidden="0" w:name="Table List 5"/>
    <w:lsdException w:qFormat="1" w:unhideWhenUsed="0" w:uiPriority="0" w:name="Table List 6"/>
    <w:lsdException w:qFormat="1" w:unhideWhenUsed="0" w:uiPriority="0" w:name="Table List 7"/>
    <w:lsdException w:qFormat="1" w:unhideWhenUsed="0" w:uiPriority="0" w:name="Table List 8"/>
    <w:lsdException w:qFormat="1" w:unhideWhenUsed="0" w:uiPriority="0" w:name="Table 3D effects 1"/>
    <w:lsdException w:qFormat="1" w:unhideWhenUsed="0" w:uiPriority="0" w:name="Table 3D effects 2"/>
    <w:lsdException w:qFormat="1" w:unhideWhenUsed="0" w:uiPriority="0" w:name="Table 3D effects 3"/>
    <w:lsdException w:qFormat="1" w:unhideWhenUsed="0" w:uiPriority="0" w:name="Table Contemporary"/>
    <w:lsdException w:qFormat="1" w:unhideWhenUsed="0" w:uiPriority="0" w:semiHidden="0" w:name="Table Elegant"/>
    <w:lsdException w:qFormat="1" w:unhideWhenUsed="0" w:uiPriority="0" w:name="Table Professional"/>
    <w:lsdException w:qFormat="1" w:unhideWhenUsed="0" w:uiPriority="0" w:name="Table Subtle 1"/>
    <w:lsdException w:qFormat="1" w:unhideWhenUsed="0" w:uiPriority="0" w:name="Table Subtle 2"/>
    <w:lsdException w:qFormat="1" w:unhideWhenUsed="0" w:uiPriority="0" w:name="Table Web 1"/>
    <w:lsdException w:qFormat="1" w:unhideWhenUsed="0" w:uiPriority="0" w:name="Table Web 2"/>
    <w:lsdException w:qFormat="1" w:unhideWhenUsed="0" w:uiPriority="0" w:name="Table Web 3"/>
    <w:lsdException w:qFormat="1" w:unhideWhenUsed="0" w:uiPriority="0" w:name="Balloon Text"/>
    <w:lsdException w:qFormat="1" w:unhideWhenUsed="0" w:uiPriority="0" w:semiHidden="0" w:name="Table Grid"/>
    <w:lsdException w:qFormat="1" w:unhideWhenUsed="0" w:uiPriority="0" w:semiHidden="0" w:name="Table Theme"/>
    <w:lsdException w:qFormat="1" w:unhideWhenUsed="0" w:uiPriority="0" w:name="Placeholder Text"/>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宋体" w:hAnsi="Times New Roman" w:eastAsia="宋体" w:cs="Times New Roman"/>
      <w:kern w:val="2"/>
      <w:sz w:val="24"/>
      <w:szCs w:val="24"/>
      <w:lang w:val="en-US" w:eastAsia="zh-CN" w:bidi="ar-SA"/>
    </w:rPr>
  </w:style>
  <w:style w:type="paragraph" w:styleId="5">
    <w:name w:val="heading 1"/>
    <w:basedOn w:val="1"/>
    <w:next w:val="1"/>
    <w:link w:val="157"/>
    <w:qFormat/>
    <w:uiPriority w:val="0"/>
    <w:pPr>
      <w:keepNext/>
      <w:keepLines/>
      <w:spacing w:line="360" w:lineRule="auto"/>
      <w:outlineLvl w:val="0"/>
    </w:pPr>
    <w:rPr>
      <w:rFonts w:ascii="Times New Roman" w:hAnsi="Times New Roman" w:eastAsia="宋体" w:cs="Times New Roman"/>
      <w:b/>
      <w:bCs/>
      <w:kern w:val="44"/>
      <w:sz w:val="32"/>
      <w:szCs w:val="32"/>
    </w:rPr>
  </w:style>
  <w:style w:type="paragraph" w:styleId="6">
    <w:name w:val="heading 2"/>
    <w:basedOn w:val="1"/>
    <w:next w:val="1"/>
    <w:link w:val="158"/>
    <w:qFormat/>
    <w:uiPriority w:val="0"/>
    <w:pPr>
      <w:keepNext/>
      <w:keepLines/>
      <w:spacing w:line="360" w:lineRule="auto"/>
      <w:outlineLvl w:val="1"/>
    </w:pPr>
    <w:rPr>
      <w:rFonts w:ascii="Times New Roman" w:hAnsi="Times New Roman" w:eastAsia="宋体"/>
      <w:b/>
      <w:bCs/>
      <w:sz w:val="30"/>
      <w:szCs w:val="30"/>
    </w:rPr>
  </w:style>
  <w:style w:type="paragraph" w:styleId="7">
    <w:name w:val="heading 3"/>
    <w:basedOn w:val="1"/>
    <w:next w:val="1"/>
    <w:link w:val="159"/>
    <w:qFormat/>
    <w:uiPriority w:val="0"/>
    <w:pPr>
      <w:keepNext/>
      <w:keepLines/>
      <w:numPr>
        <w:ilvl w:val="2"/>
        <w:numId w:val="1"/>
      </w:numPr>
      <w:spacing w:line="360" w:lineRule="auto"/>
      <w:ind w:left="0" w:firstLine="0"/>
      <w:outlineLvl w:val="2"/>
    </w:pPr>
    <w:rPr>
      <w:rFonts w:ascii="Times New Roman" w:hAnsi="Times New Roman" w:eastAsia="宋体"/>
      <w:b/>
      <w:bCs/>
      <w:sz w:val="28"/>
      <w:szCs w:val="28"/>
    </w:rPr>
  </w:style>
  <w:style w:type="paragraph" w:styleId="8">
    <w:name w:val="heading 4"/>
    <w:basedOn w:val="1"/>
    <w:next w:val="1"/>
    <w:link w:val="160"/>
    <w:qFormat/>
    <w:uiPriority w:val="0"/>
    <w:pPr>
      <w:keepNext/>
      <w:keepLines/>
      <w:numPr>
        <w:ilvl w:val="3"/>
        <w:numId w:val="1"/>
      </w:numPr>
      <w:spacing w:line="360" w:lineRule="auto"/>
      <w:ind w:left="0" w:firstLine="0"/>
      <w:jc w:val="left"/>
      <w:outlineLvl w:val="3"/>
    </w:pPr>
    <w:rPr>
      <w:rFonts w:ascii="Times New Roman" w:hAnsi="Times New Roman" w:eastAsia="宋体" w:cs="Times New Roman"/>
      <w:b/>
      <w:bCs/>
      <w:sz w:val="24"/>
      <w:szCs w:val="24"/>
    </w:rPr>
  </w:style>
  <w:style w:type="paragraph" w:styleId="9">
    <w:name w:val="heading 5"/>
    <w:basedOn w:val="1"/>
    <w:next w:val="1"/>
    <w:link w:val="161"/>
    <w:qFormat/>
    <w:uiPriority w:val="0"/>
    <w:pPr>
      <w:keepNext/>
      <w:keepLines/>
      <w:numPr>
        <w:ilvl w:val="4"/>
        <w:numId w:val="2"/>
      </w:numPr>
      <w:autoSpaceDE w:val="0"/>
      <w:autoSpaceDN w:val="0"/>
      <w:adjustRightInd w:val="0"/>
      <w:spacing w:before="280" w:after="290" w:line="376" w:lineRule="auto"/>
      <w:textAlignment w:val="baseline"/>
      <w:outlineLvl w:val="4"/>
    </w:pPr>
    <w:rPr>
      <w:rFonts w:ascii="宋体" w:hAnsi="宋体" w:cs="宋体"/>
      <w:b/>
      <w:color w:val="000000"/>
      <w:kern w:val="28"/>
      <w:sz w:val="24"/>
      <w:szCs w:val="20"/>
    </w:rPr>
  </w:style>
  <w:style w:type="paragraph" w:styleId="10">
    <w:name w:val="heading 6"/>
    <w:basedOn w:val="1"/>
    <w:next w:val="1"/>
    <w:link w:val="162"/>
    <w:qFormat/>
    <w:uiPriority w:val="0"/>
    <w:pPr>
      <w:keepNext/>
      <w:keepLines/>
      <w:numPr>
        <w:ilvl w:val="5"/>
        <w:numId w:val="2"/>
      </w:numPr>
      <w:autoSpaceDE w:val="0"/>
      <w:autoSpaceDN w:val="0"/>
      <w:adjustRightInd w:val="0"/>
      <w:spacing w:before="240" w:after="64" w:line="320" w:lineRule="auto"/>
      <w:textAlignment w:val="baseline"/>
      <w:outlineLvl w:val="5"/>
    </w:pPr>
    <w:rPr>
      <w:rFonts w:ascii="Arial" w:hAnsi="Arial" w:eastAsia="黑体" w:cs="宋体"/>
      <w:b/>
      <w:color w:val="000000"/>
      <w:kern w:val="28"/>
      <w:sz w:val="24"/>
      <w:szCs w:val="20"/>
    </w:rPr>
  </w:style>
  <w:style w:type="paragraph" w:styleId="11">
    <w:name w:val="heading 7"/>
    <w:basedOn w:val="1"/>
    <w:next w:val="1"/>
    <w:link w:val="163"/>
    <w:qFormat/>
    <w:uiPriority w:val="0"/>
    <w:pPr>
      <w:keepNext/>
      <w:keepLines/>
      <w:numPr>
        <w:ilvl w:val="6"/>
        <w:numId w:val="2"/>
      </w:numPr>
      <w:autoSpaceDE w:val="0"/>
      <w:autoSpaceDN w:val="0"/>
      <w:adjustRightInd w:val="0"/>
      <w:spacing w:before="240" w:after="64" w:line="320" w:lineRule="auto"/>
      <w:textAlignment w:val="baseline"/>
      <w:outlineLvl w:val="6"/>
    </w:pPr>
    <w:rPr>
      <w:rFonts w:ascii="宋体" w:hAnsi="宋体" w:cs="宋体"/>
      <w:b/>
      <w:color w:val="000000"/>
      <w:kern w:val="28"/>
      <w:sz w:val="24"/>
      <w:szCs w:val="20"/>
    </w:rPr>
  </w:style>
  <w:style w:type="paragraph" w:styleId="12">
    <w:name w:val="heading 8"/>
    <w:basedOn w:val="1"/>
    <w:next w:val="1"/>
    <w:link w:val="164"/>
    <w:qFormat/>
    <w:uiPriority w:val="0"/>
    <w:pPr>
      <w:keepNext/>
      <w:keepLines/>
      <w:numPr>
        <w:ilvl w:val="7"/>
        <w:numId w:val="2"/>
      </w:numPr>
      <w:autoSpaceDE w:val="0"/>
      <w:autoSpaceDN w:val="0"/>
      <w:adjustRightInd w:val="0"/>
      <w:spacing w:before="240" w:after="64" w:line="320" w:lineRule="auto"/>
      <w:textAlignment w:val="baseline"/>
      <w:outlineLvl w:val="7"/>
    </w:pPr>
    <w:rPr>
      <w:rFonts w:ascii="Arial" w:hAnsi="Arial" w:eastAsia="黑体" w:cs="宋体"/>
      <w:color w:val="000000"/>
      <w:kern w:val="28"/>
      <w:sz w:val="24"/>
      <w:szCs w:val="20"/>
    </w:rPr>
  </w:style>
  <w:style w:type="paragraph" w:styleId="13">
    <w:name w:val="heading 9"/>
    <w:basedOn w:val="1"/>
    <w:next w:val="1"/>
    <w:link w:val="165"/>
    <w:qFormat/>
    <w:uiPriority w:val="0"/>
    <w:pPr>
      <w:keepNext/>
      <w:keepLines/>
      <w:numPr>
        <w:ilvl w:val="8"/>
        <w:numId w:val="2"/>
      </w:numPr>
      <w:autoSpaceDE w:val="0"/>
      <w:autoSpaceDN w:val="0"/>
      <w:adjustRightInd w:val="0"/>
      <w:spacing w:before="240" w:after="64" w:line="320" w:lineRule="auto"/>
      <w:textAlignment w:val="baseline"/>
      <w:outlineLvl w:val="8"/>
    </w:pPr>
    <w:rPr>
      <w:rFonts w:ascii="Arial" w:hAnsi="Arial" w:eastAsia="黑体" w:cs="宋体"/>
      <w:color w:val="000000"/>
      <w:kern w:val="28"/>
      <w:sz w:val="28"/>
      <w:szCs w:val="20"/>
    </w:rPr>
  </w:style>
  <w:style w:type="character" w:default="1" w:styleId="129">
    <w:name w:val="Default Paragraph Font"/>
    <w:semiHidden/>
    <w:qFormat/>
    <w:uiPriority w:val="0"/>
    <w:rPr>
      <w:rFonts w:ascii="宋体" w:hAnsi="宋体" w:cs="宋体"/>
      <w:sz w:val="24"/>
    </w:rPr>
  </w:style>
  <w:style w:type="table" w:default="1" w:styleId="84">
    <w:name w:val="Normal Table"/>
    <w:semiHidden/>
    <w:qFormat/>
    <w:uiPriority w:val="0"/>
    <w:pPr>
      <w:keepNext w:val="0"/>
      <w:keepLines w:val="0"/>
      <w:widowControl/>
      <w:suppressLineNumbers w:val="0"/>
      <w:spacing w:before="0" w:beforeAutospacing="0" w:after="0" w:afterAutospacing="0"/>
      <w:ind w:left="0" w:right="0"/>
    </w:pPr>
    <w:rPr>
      <w:rFonts w:ascii="Calibri" w:hAnsi="Calibri" w:eastAsia="宋体" w:cs="Times New Roman"/>
      <w:kern w:val="2"/>
      <w:sz w:val="21"/>
      <w:szCs w:val="22"/>
    </w:rPr>
    <w:tblPr>
      <w:tblCellMar>
        <w:top w:w="0" w:type="dxa"/>
        <w:left w:w="108" w:type="dxa"/>
        <w:bottom w:w="0" w:type="dxa"/>
        <w:right w:w="108" w:type="dxa"/>
      </w:tblCellMar>
    </w:tblPr>
  </w:style>
  <w:style w:type="paragraph" w:styleId="2">
    <w:name w:val="Body Text First Indent"/>
    <w:basedOn w:val="3"/>
    <w:link w:val="186"/>
    <w:qFormat/>
    <w:uiPriority w:val="0"/>
    <w:pPr>
      <w:ind w:firstLine="420" w:firstLineChars="100"/>
    </w:pPr>
  </w:style>
  <w:style w:type="paragraph" w:styleId="3">
    <w:name w:val="Body Text"/>
    <w:basedOn w:val="1"/>
    <w:link w:val="171"/>
    <w:qFormat/>
    <w:uiPriority w:val="0"/>
    <w:pPr>
      <w:spacing w:after="120"/>
    </w:pPr>
    <w:rPr>
      <w:rFonts w:ascii="宋体" w:hAnsi="宋体" w:cs="宋体"/>
    </w:rPr>
  </w:style>
  <w:style w:type="paragraph" w:styleId="4">
    <w:name w:val="macro"/>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Times New Roman"/>
      <w:kern w:val="2"/>
      <w:sz w:val="24"/>
      <w:szCs w:val="24"/>
      <w:lang w:val="en-US" w:eastAsia="zh-CN" w:bidi="ar-SA"/>
    </w:rPr>
  </w:style>
  <w:style w:type="paragraph" w:styleId="14">
    <w:name w:val="List 3"/>
    <w:basedOn w:val="1"/>
    <w:qFormat/>
    <w:uiPriority w:val="0"/>
    <w:pPr>
      <w:ind w:left="100" w:leftChars="400" w:hanging="200" w:hangingChars="200"/>
    </w:pPr>
    <w:rPr>
      <w:szCs w:val="20"/>
    </w:rPr>
  </w:style>
  <w:style w:type="paragraph" w:styleId="15">
    <w:name w:val="toc 7"/>
    <w:basedOn w:val="1"/>
    <w:next w:val="1"/>
    <w:qFormat/>
    <w:uiPriority w:val="39"/>
    <w:pPr>
      <w:ind w:left="1260"/>
      <w:jc w:val="left"/>
    </w:pPr>
    <w:rPr>
      <w:sz w:val="18"/>
      <w:szCs w:val="18"/>
    </w:rPr>
  </w:style>
  <w:style w:type="paragraph" w:styleId="16">
    <w:name w:val="List Number 2"/>
    <w:basedOn w:val="1"/>
    <w:semiHidden/>
    <w:qFormat/>
    <w:uiPriority w:val="0"/>
    <w:pPr>
      <w:tabs>
        <w:tab w:val="left" w:pos="780"/>
      </w:tabs>
      <w:spacing w:line="360" w:lineRule="auto"/>
      <w:ind w:left="780" w:leftChars="200" w:hanging="360" w:hangingChars="200"/>
    </w:pPr>
    <w:rPr>
      <w:sz w:val="24"/>
    </w:rPr>
  </w:style>
  <w:style w:type="paragraph" w:styleId="17">
    <w:name w:val="Note Heading"/>
    <w:basedOn w:val="1"/>
    <w:next w:val="1"/>
    <w:semiHidden/>
    <w:qFormat/>
    <w:uiPriority w:val="0"/>
    <w:pPr>
      <w:spacing w:line="360" w:lineRule="auto"/>
      <w:ind w:firstLine="200" w:firstLineChars="200"/>
      <w:jc w:val="center"/>
    </w:pPr>
    <w:rPr>
      <w:sz w:val="24"/>
    </w:rPr>
  </w:style>
  <w:style w:type="paragraph" w:styleId="18">
    <w:name w:val="List Bullet 4"/>
    <w:basedOn w:val="1"/>
    <w:semiHidden/>
    <w:qFormat/>
    <w:uiPriority w:val="0"/>
    <w:pPr>
      <w:tabs>
        <w:tab w:val="left" w:pos="1620"/>
      </w:tabs>
      <w:spacing w:line="360" w:lineRule="auto"/>
      <w:ind w:left="1620" w:leftChars="600" w:hanging="360" w:hangingChars="200"/>
    </w:pPr>
    <w:rPr>
      <w:sz w:val="24"/>
    </w:rPr>
  </w:style>
  <w:style w:type="paragraph" w:styleId="19">
    <w:name w:val="index 8"/>
    <w:basedOn w:val="1"/>
    <w:next w:val="1"/>
    <w:qFormat/>
    <w:uiPriority w:val="0"/>
    <w:pPr>
      <w:tabs>
        <w:tab w:val="left" w:pos="540"/>
        <w:tab w:val="left" w:pos="900"/>
      </w:tabs>
      <w:jc w:val="center"/>
    </w:pPr>
    <w:rPr>
      <w:rFonts w:ascii="宋体" w:hAnsi="宋体" w:cs="宋体"/>
      <w:color w:val="000000"/>
      <w:sz w:val="32"/>
      <w:szCs w:val="32"/>
    </w:rPr>
  </w:style>
  <w:style w:type="paragraph" w:styleId="20">
    <w:name w:val="E-mail Signature"/>
    <w:basedOn w:val="1"/>
    <w:semiHidden/>
    <w:qFormat/>
    <w:uiPriority w:val="0"/>
    <w:pPr>
      <w:spacing w:line="360" w:lineRule="auto"/>
      <w:ind w:firstLine="200" w:firstLineChars="200"/>
    </w:pPr>
    <w:rPr>
      <w:sz w:val="24"/>
    </w:rPr>
  </w:style>
  <w:style w:type="paragraph" w:styleId="21">
    <w:name w:val="List Number"/>
    <w:basedOn w:val="1"/>
    <w:qFormat/>
    <w:uiPriority w:val="0"/>
    <w:pPr>
      <w:numPr>
        <w:ilvl w:val="0"/>
        <w:numId w:val="3"/>
      </w:numPr>
      <w:spacing w:line="360" w:lineRule="auto"/>
    </w:pPr>
    <w:rPr>
      <w:spacing w:val="2"/>
      <w:sz w:val="24"/>
      <w:szCs w:val="20"/>
    </w:rPr>
  </w:style>
  <w:style w:type="paragraph" w:styleId="22">
    <w:name w:val="Normal Indent"/>
    <w:basedOn w:val="1"/>
    <w:next w:val="1"/>
    <w:link w:val="166"/>
    <w:qFormat/>
    <w:uiPriority w:val="0"/>
    <w:pPr>
      <w:ind w:firstLine="420"/>
    </w:pPr>
    <w:rPr>
      <w:szCs w:val="21"/>
    </w:rPr>
  </w:style>
  <w:style w:type="paragraph" w:styleId="23">
    <w:name w:val="caption"/>
    <w:basedOn w:val="1"/>
    <w:next w:val="1"/>
    <w:link w:val="167"/>
    <w:qFormat/>
    <w:uiPriority w:val="0"/>
    <w:rPr>
      <w:rFonts w:ascii="Arial" w:hAnsi="Arial" w:eastAsia="黑体" w:cs="Arial"/>
      <w:sz w:val="20"/>
      <w:szCs w:val="20"/>
    </w:rPr>
  </w:style>
  <w:style w:type="paragraph" w:styleId="24">
    <w:name w:val="List Bullet"/>
    <w:basedOn w:val="1"/>
    <w:qFormat/>
    <w:uiPriority w:val="0"/>
    <w:pPr>
      <w:tabs>
        <w:tab w:val="left" w:pos="360"/>
      </w:tabs>
      <w:ind w:left="360" w:hanging="360" w:hangingChars="200"/>
    </w:pPr>
  </w:style>
  <w:style w:type="paragraph" w:styleId="25">
    <w:name w:val="envelope address"/>
    <w:basedOn w:val="1"/>
    <w:semiHidden/>
    <w:qFormat/>
    <w:uiPriority w:val="0"/>
    <w:pPr>
      <w:framePr w:w="7920" w:h="1980" w:hRule="exact" w:hSpace="180" w:wrap="around" w:vAnchor="margin" w:hAnchor="page" w:xAlign="center" w:yAlign="bottom"/>
      <w:snapToGrid w:val="0"/>
      <w:spacing w:line="360" w:lineRule="auto"/>
      <w:ind w:left="100" w:leftChars="1400" w:firstLine="200" w:firstLineChars="200"/>
    </w:pPr>
    <w:rPr>
      <w:rFonts w:ascii="Arial" w:hAnsi="Arial" w:cs="Arial"/>
      <w:sz w:val="24"/>
    </w:rPr>
  </w:style>
  <w:style w:type="paragraph" w:styleId="26">
    <w:name w:val="Document Map"/>
    <w:basedOn w:val="1"/>
    <w:link w:val="168"/>
    <w:semiHidden/>
    <w:qFormat/>
    <w:uiPriority w:val="0"/>
    <w:pPr>
      <w:shd w:val="clear" w:color="auto" w:fill="000080"/>
    </w:pPr>
    <w:rPr>
      <w:rFonts w:ascii="宋体" w:hAnsi="宋体" w:cs="宋体"/>
    </w:rPr>
  </w:style>
  <w:style w:type="paragraph" w:styleId="27">
    <w:name w:val="toa heading"/>
    <w:basedOn w:val="1"/>
    <w:next w:val="1"/>
    <w:qFormat/>
    <w:uiPriority w:val="0"/>
    <w:pPr>
      <w:widowControl/>
      <w:topLinePunct/>
      <w:autoSpaceDE w:val="0"/>
      <w:adjustRightInd w:val="0"/>
      <w:snapToGrid w:val="0"/>
      <w:spacing w:before="120" w:line="360" w:lineRule="auto"/>
      <w:ind w:left="480"/>
      <w:jc w:val="center"/>
    </w:pPr>
    <w:rPr>
      <w:rFonts w:ascii="Arial" w:hAnsi="Arial" w:cs="Arial"/>
      <w:sz w:val="24"/>
      <w:szCs w:val="20"/>
    </w:rPr>
  </w:style>
  <w:style w:type="paragraph" w:styleId="28">
    <w:name w:val="annotation text"/>
    <w:basedOn w:val="1"/>
    <w:link w:val="169"/>
    <w:qFormat/>
    <w:uiPriority w:val="0"/>
    <w:pPr>
      <w:jc w:val="left"/>
    </w:pPr>
  </w:style>
  <w:style w:type="paragraph" w:styleId="29">
    <w:name w:val="Salutation"/>
    <w:basedOn w:val="1"/>
    <w:next w:val="1"/>
    <w:semiHidden/>
    <w:qFormat/>
    <w:uiPriority w:val="0"/>
    <w:pPr>
      <w:spacing w:line="360" w:lineRule="auto"/>
      <w:ind w:firstLine="200" w:firstLineChars="200"/>
    </w:pPr>
    <w:rPr>
      <w:sz w:val="24"/>
    </w:rPr>
  </w:style>
  <w:style w:type="paragraph" w:styleId="30">
    <w:name w:val="Body Text 3"/>
    <w:basedOn w:val="1"/>
    <w:link w:val="170"/>
    <w:qFormat/>
    <w:uiPriority w:val="0"/>
    <w:pPr>
      <w:jc w:val="center"/>
    </w:pPr>
    <w:rPr>
      <w:rFonts w:ascii="宋体" w:hAnsi="宋体" w:cs="宋体"/>
      <w:sz w:val="18"/>
    </w:rPr>
  </w:style>
  <w:style w:type="paragraph" w:styleId="31">
    <w:name w:val="Closing"/>
    <w:basedOn w:val="1"/>
    <w:semiHidden/>
    <w:qFormat/>
    <w:uiPriority w:val="0"/>
    <w:pPr>
      <w:spacing w:line="360" w:lineRule="auto"/>
      <w:ind w:left="100" w:leftChars="2100" w:firstLine="200" w:firstLineChars="200"/>
    </w:pPr>
    <w:rPr>
      <w:sz w:val="24"/>
    </w:rPr>
  </w:style>
  <w:style w:type="paragraph" w:styleId="32">
    <w:name w:val="List Bullet 3"/>
    <w:basedOn w:val="1"/>
    <w:qFormat/>
    <w:uiPriority w:val="0"/>
    <w:pPr>
      <w:tabs>
        <w:tab w:val="left" w:pos="1200"/>
      </w:tabs>
      <w:ind w:left="1200" w:hanging="360"/>
    </w:pPr>
  </w:style>
  <w:style w:type="paragraph" w:styleId="33">
    <w:name w:val="Body Text Indent"/>
    <w:basedOn w:val="1"/>
    <w:link w:val="172"/>
    <w:qFormat/>
    <w:uiPriority w:val="0"/>
    <w:pPr>
      <w:spacing w:after="120"/>
      <w:ind w:left="420" w:leftChars="200"/>
    </w:pPr>
    <w:rPr>
      <w:rFonts w:ascii="宋体" w:hAnsi="宋体" w:cs="宋体"/>
    </w:rPr>
  </w:style>
  <w:style w:type="paragraph" w:styleId="34">
    <w:name w:val="List Number 3"/>
    <w:basedOn w:val="1"/>
    <w:semiHidden/>
    <w:qFormat/>
    <w:uiPriority w:val="0"/>
    <w:pPr>
      <w:tabs>
        <w:tab w:val="left" w:pos="1200"/>
      </w:tabs>
      <w:spacing w:line="360" w:lineRule="auto"/>
      <w:ind w:left="1200" w:leftChars="400" w:hanging="360" w:hangingChars="200"/>
    </w:pPr>
    <w:rPr>
      <w:sz w:val="24"/>
    </w:rPr>
  </w:style>
  <w:style w:type="paragraph" w:styleId="35">
    <w:name w:val="List 2"/>
    <w:basedOn w:val="1"/>
    <w:qFormat/>
    <w:uiPriority w:val="0"/>
    <w:pPr>
      <w:ind w:left="100" w:leftChars="200" w:hanging="200" w:hangingChars="200"/>
    </w:pPr>
    <w:rPr>
      <w:szCs w:val="20"/>
    </w:rPr>
  </w:style>
  <w:style w:type="paragraph" w:styleId="36">
    <w:name w:val="List Continue"/>
    <w:basedOn w:val="1"/>
    <w:qFormat/>
    <w:uiPriority w:val="0"/>
    <w:pPr>
      <w:spacing w:after="120"/>
      <w:ind w:left="420"/>
    </w:pPr>
    <w:rPr>
      <w:szCs w:val="20"/>
    </w:rPr>
  </w:style>
  <w:style w:type="paragraph" w:styleId="37">
    <w:name w:val="Block Text"/>
    <w:basedOn w:val="1"/>
    <w:qFormat/>
    <w:uiPriority w:val="0"/>
    <w:pPr>
      <w:spacing w:after="120"/>
      <w:ind w:left="1440" w:right="1440"/>
    </w:pPr>
    <w:rPr>
      <w:rFonts w:ascii="仿宋_GB2312" w:hAnsi="Arial Black" w:eastAsia="仿宋_GB2312"/>
      <w:sz w:val="28"/>
      <w:szCs w:val="20"/>
    </w:rPr>
  </w:style>
  <w:style w:type="paragraph" w:styleId="38">
    <w:name w:val="List Bullet 2"/>
    <w:basedOn w:val="1"/>
    <w:qFormat/>
    <w:uiPriority w:val="0"/>
    <w:pPr>
      <w:tabs>
        <w:tab w:val="left" w:pos="780"/>
      </w:tabs>
      <w:ind w:left="780" w:hanging="360"/>
    </w:pPr>
  </w:style>
  <w:style w:type="paragraph" w:styleId="39">
    <w:name w:val="HTML Address"/>
    <w:basedOn w:val="1"/>
    <w:semiHidden/>
    <w:qFormat/>
    <w:uiPriority w:val="0"/>
    <w:pPr>
      <w:spacing w:line="360" w:lineRule="auto"/>
      <w:ind w:firstLine="200" w:firstLineChars="200"/>
    </w:pPr>
    <w:rPr>
      <w:i/>
      <w:iCs/>
      <w:sz w:val="24"/>
    </w:rPr>
  </w:style>
  <w:style w:type="paragraph" w:styleId="40">
    <w:name w:val="index 4"/>
    <w:basedOn w:val="1"/>
    <w:next w:val="1"/>
    <w:qFormat/>
    <w:uiPriority w:val="0"/>
    <w:rPr>
      <w:sz w:val="30"/>
      <w:szCs w:val="30"/>
    </w:rPr>
  </w:style>
  <w:style w:type="paragraph" w:styleId="41">
    <w:name w:val="toc 5"/>
    <w:basedOn w:val="1"/>
    <w:next w:val="1"/>
    <w:qFormat/>
    <w:uiPriority w:val="39"/>
    <w:pPr>
      <w:ind w:left="840"/>
      <w:jc w:val="left"/>
    </w:pPr>
    <w:rPr>
      <w:sz w:val="18"/>
      <w:szCs w:val="18"/>
    </w:rPr>
  </w:style>
  <w:style w:type="paragraph" w:styleId="42">
    <w:name w:val="toc 3"/>
    <w:basedOn w:val="1"/>
    <w:next w:val="1"/>
    <w:qFormat/>
    <w:uiPriority w:val="39"/>
    <w:pPr>
      <w:ind w:left="420"/>
      <w:jc w:val="left"/>
    </w:pPr>
    <w:rPr>
      <w:i/>
      <w:iCs/>
      <w:sz w:val="20"/>
      <w:szCs w:val="20"/>
    </w:rPr>
  </w:style>
  <w:style w:type="paragraph" w:styleId="43">
    <w:name w:val="Plain Text"/>
    <w:basedOn w:val="1"/>
    <w:link w:val="173"/>
    <w:qFormat/>
    <w:uiPriority w:val="0"/>
    <w:pPr>
      <w:spacing w:line="360" w:lineRule="auto"/>
      <w:ind w:firstLine="480"/>
    </w:pPr>
    <w:rPr>
      <w:rFonts w:ascii="宋体" w:hAnsi="宋体"/>
      <w:sz w:val="28"/>
      <w:szCs w:val="20"/>
    </w:rPr>
  </w:style>
  <w:style w:type="paragraph" w:styleId="44">
    <w:name w:val="List Bullet 5"/>
    <w:basedOn w:val="1"/>
    <w:semiHidden/>
    <w:qFormat/>
    <w:uiPriority w:val="0"/>
    <w:pPr>
      <w:tabs>
        <w:tab w:val="left" w:pos="2040"/>
      </w:tabs>
      <w:spacing w:line="360" w:lineRule="auto"/>
      <w:ind w:left="2040" w:leftChars="800" w:hanging="360" w:hangingChars="200"/>
    </w:pPr>
    <w:rPr>
      <w:sz w:val="24"/>
    </w:rPr>
  </w:style>
  <w:style w:type="paragraph" w:styleId="45">
    <w:name w:val="List Number 4"/>
    <w:basedOn w:val="1"/>
    <w:qFormat/>
    <w:uiPriority w:val="0"/>
    <w:pPr>
      <w:widowControl/>
      <w:tabs>
        <w:tab w:val="left" w:pos="1209"/>
      </w:tabs>
      <w:spacing w:line="360" w:lineRule="auto"/>
      <w:ind w:left="1209" w:hanging="360"/>
      <w:jc w:val="left"/>
    </w:pPr>
    <w:rPr>
      <w:spacing w:val="-3"/>
      <w:kern w:val="0"/>
      <w:sz w:val="24"/>
      <w:szCs w:val="20"/>
    </w:rPr>
  </w:style>
  <w:style w:type="paragraph" w:styleId="46">
    <w:name w:val="toc 8"/>
    <w:basedOn w:val="1"/>
    <w:next w:val="1"/>
    <w:qFormat/>
    <w:uiPriority w:val="39"/>
    <w:pPr>
      <w:ind w:left="1470"/>
      <w:jc w:val="left"/>
    </w:pPr>
    <w:rPr>
      <w:sz w:val="18"/>
      <w:szCs w:val="18"/>
    </w:rPr>
  </w:style>
  <w:style w:type="paragraph" w:styleId="47">
    <w:name w:val="index 3"/>
    <w:basedOn w:val="1"/>
    <w:next w:val="1"/>
    <w:qFormat/>
    <w:uiPriority w:val="0"/>
    <w:pPr>
      <w:jc w:val="center"/>
    </w:pPr>
    <w:rPr>
      <w:rFonts w:ascii="宋体" w:hAnsi="宋体"/>
      <w:spacing w:val="-6"/>
      <w:sz w:val="24"/>
      <w:szCs w:val="21"/>
    </w:rPr>
  </w:style>
  <w:style w:type="paragraph" w:styleId="48">
    <w:name w:val="Date"/>
    <w:basedOn w:val="1"/>
    <w:next w:val="1"/>
    <w:qFormat/>
    <w:uiPriority w:val="0"/>
    <w:rPr>
      <w:sz w:val="28"/>
      <w:szCs w:val="20"/>
    </w:rPr>
  </w:style>
  <w:style w:type="paragraph" w:styleId="49">
    <w:name w:val="Body Text Indent 2"/>
    <w:basedOn w:val="1"/>
    <w:link w:val="174"/>
    <w:qFormat/>
    <w:uiPriority w:val="0"/>
    <w:pPr>
      <w:spacing w:after="120" w:line="480" w:lineRule="auto"/>
      <w:ind w:left="420" w:leftChars="200"/>
    </w:pPr>
    <w:rPr>
      <w:rFonts w:ascii="宋体" w:hAnsi="宋体" w:cs="宋体"/>
    </w:rPr>
  </w:style>
  <w:style w:type="paragraph" w:styleId="50">
    <w:name w:val="endnote text"/>
    <w:basedOn w:val="1"/>
    <w:semiHidden/>
    <w:qFormat/>
    <w:uiPriority w:val="0"/>
    <w:pPr>
      <w:adjustRightInd w:val="0"/>
      <w:spacing w:line="360" w:lineRule="atLeast"/>
      <w:jc w:val="left"/>
      <w:textAlignment w:val="baseline"/>
    </w:pPr>
    <w:rPr>
      <w:kern w:val="0"/>
      <w:sz w:val="24"/>
      <w:szCs w:val="20"/>
    </w:rPr>
  </w:style>
  <w:style w:type="paragraph" w:styleId="51">
    <w:name w:val="List Continue 5"/>
    <w:basedOn w:val="1"/>
    <w:qFormat/>
    <w:uiPriority w:val="0"/>
    <w:pPr>
      <w:widowControl/>
      <w:topLinePunct/>
      <w:autoSpaceDE w:val="0"/>
      <w:adjustRightInd w:val="0"/>
      <w:snapToGrid w:val="0"/>
      <w:spacing w:after="120" w:line="360" w:lineRule="auto"/>
      <w:ind w:left="2100" w:leftChars="1000"/>
      <w:jc w:val="center"/>
    </w:pPr>
    <w:rPr>
      <w:rFonts w:ascii="宋体" w:hAnsi="宋体"/>
      <w:sz w:val="24"/>
      <w:szCs w:val="20"/>
    </w:rPr>
  </w:style>
  <w:style w:type="paragraph" w:styleId="52">
    <w:name w:val="Balloon Text"/>
    <w:basedOn w:val="1"/>
    <w:link w:val="175"/>
    <w:semiHidden/>
    <w:qFormat/>
    <w:uiPriority w:val="0"/>
    <w:rPr>
      <w:rFonts w:ascii="宋体" w:hAnsi="宋体" w:cs="宋体"/>
      <w:sz w:val="18"/>
      <w:szCs w:val="18"/>
    </w:rPr>
  </w:style>
  <w:style w:type="paragraph" w:styleId="53">
    <w:name w:val="footer"/>
    <w:basedOn w:val="1"/>
    <w:link w:val="176"/>
    <w:qFormat/>
    <w:uiPriority w:val="0"/>
    <w:pPr>
      <w:tabs>
        <w:tab w:val="center" w:pos="4153"/>
        <w:tab w:val="right" w:pos="8306"/>
      </w:tabs>
      <w:snapToGrid w:val="0"/>
      <w:jc w:val="left"/>
    </w:pPr>
    <w:rPr>
      <w:rFonts w:ascii="宋体" w:hAnsi="宋体" w:cs="宋体"/>
      <w:sz w:val="18"/>
      <w:szCs w:val="18"/>
    </w:rPr>
  </w:style>
  <w:style w:type="paragraph" w:styleId="54">
    <w:name w:val="envelope return"/>
    <w:basedOn w:val="1"/>
    <w:semiHidden/>
    <w:qFormat/>
    <w:uiPriority w:val="0"/>
    <w:pPr>
      <w:snapToGrid w:val="0"/>
      <w:spacing w:line="360" w:lineRule="auto"/>
      <w:ind w:firstLine="200" w:firstLineChars="200"/>
    </w:pPr>
    <w:rPr>
      <w:rFonts w:ascii="Arial" w:hAnsi="Arial" w:cs="Arial"/>
      <w:sz w:val="24"/>
    </w:rPr>
  </w:style>
  <w:style w:type="paragraph" w:styleId="55">
    <w:name w:val="header"/>
    <w:basedOn w:val="1"/>
    <w:link w:val="177"/>
    <w:qFormat/>
    <w:uiPriority w:val="0"/>
    <w:pPr>
      <w:pBdr>
        <w:bottom w:val="single" w:color="auto" w:sz="6" w:space="1"/>
      </w:pBdr>
      <w:tabs>
        <w:tab w:val="center" w:pos="4153"/>
        <w:tab w:val="right" w:pos="8306"/>
      </w:tabs>
      <w:snapToGrid w:val="0"/>
      <w:jc w:val="center"/>
    </w:pPr>
    <w:rPr>
      <w:rFonts w:ascii="宋体" w:hAnsi="宋体" w:cs="宋体"/>
      <w:sz w:val="18"/>
      <w:szCs w:val="20"/>
    </w:rPr>
  </w:style>
  <w:style w:type="paragraph" w:styleId="56">
    <w:name w:val="Signature"/>
    <w:basedOn w:val="1"/>
    <w:semiHidden/>
    <w:qFormat/>
    <w:uiPriority w:val="0"/>
    <w:pPr>
      <w:spacing w:line="360" w:lineRule="auto"/>
      <w:ind w:left="100" w:leftChars="2100" w:firstLine="200" w:firstLineChars="200"/>
    </w:pPr>
    <w:rPr>
      <w:sz w:val="24"/>
    </w:rPr>
  </w:style>
  <w:style w:type="paragraph" w:styleId="57">
    <w:name w:val="toc 1"/>
    <w:basedOn w:val="1"/>
    <w:next w:val="1"/>
    <w:qFormat/>
    <w:uiPriority w:val="39"/>
    <w:pPr>
      <w:spacing w:before="120" w:after="120"/>
      <w:jc w:val="left"/>
    </w:pPr>
    <w:rPr>
      <w:b/>
      <w:bCs/>
      <w:caps/>
      <w:sz w:val="20"/>
      <w:szCs w:val="20"/>
    </w:rPr>
  </w:style>
  <w:style w:type="paragraph" w:styleId="58">
    <w:name w:val="List Continue 4"/>
    <w:basedOn w:val="1"/>
    <w:qFormat/>
    <w:uiPriority w:val="0"/>
    <w:pPr>
      <w:spacing w:after="120"/>
      <w:ind w:left="1680" w:leftChars="800"/>
    </w:pPr>
  </w:style>
  <w:style w:type="paragraph" w:styleId="59">
    <w:name w:val="toc 4"/>
    <w:basedOn w:val="1"/>
    <w:next w:val="1"/>
    <w:qFormat/>
    <w:uiPriority w:val="39"/>
    <w:pPr>
      <w:ind w:left="630"/>
      <w:jc w:val="left"/>
    </w:pPr>
    <w:rPr>
      <w:sz w:val="18"/>
      <w:szCs w:val="18"/>
    </w:rPr>
  </w:style>
  <w:style w:type="paragraph" w:styleId="60">
    <w:name w:val="Subtitle"/>
    <w:basedOn w:val="1"/>
    <w:link w:val="178"/>
    <w:qFormat/>
    <w:uiPriority w:val="0"/>
    <w:pPr>
      <w:adjustRightInd w:val="0"/>
      <w:spacing w:after="60" w:line="312" w:lineRule="atLeast"/>
      <w:jc w:val="center"/>
      <w:textAlignment w:val="baseline"/>
    </w:pPr>
    <w:rPr>
      <w:rFonts w:ascii="Arial" w:hAnsi="Arial" w:cs="宋体"/>
      <w:i/>
      <w:kern w:val="0"/>
      <w:sz w:val="24"/>
      <w:szCs w:val="20"/>
    </w:rPr>
  </w:style>
  <w:style w:type="paragraph" w:styleId="61">
    <w:name w:val="List Number 5"/>
    <w:basedOn w:val="1"/>
    <w:semiHidden/>
    <w:qFormat/>
    <w:uiPriority w:val="0"/>
    <w:pPr>
      <w:tabs>
        <w:tab w:val="left" w:pos="2040"/>
      </w:tabs>
      <w:spacing w:line="360" w:lineRule="auto"/>
      <w:ind w:left="2040" w:leftChars="800" w:hanging="360" w:hangingChars="200"/>
    </w:pPr>
    <w:rPr>
      <w:sz w:val="24"/>
    </w:rPr>
  </w:style>
  <w:style w:type="paragraph" w:styleId="62">
    <w:name w:val="List"/>
    <w:basedOn w:val="1"/>
    <w:qFormat/>
    <w:uiPriority w:val="0"/>
    <w:pPr>
      <w:ind w:left="420" w:hanging="420"/>
    </w:pPr>
    <w:rPr>
      <w:rFonts w:ascii="黑体" w:eastAsia="黑体"/>
      <w:sz w:val="24"/>
      <w:szCs w:val="20"/>
    </w:rPr>
  </w:style>
  <w:style w:type="paragraph" w:styleId="63">
    <w:name w:val="footnote text"/>
    <w:basedOn w:val="1"/>
    <w:link w:val="179"/>
    <w:qFormat/>
    <w:uiPriority w:val="0"/>
    <w:pPr>
      <w:snapToGrid w:val="0"/>
      <w:jc w:val="left"/>
    </w:pPr>
    <w:rPr>
      <w:rFonts w:ascii="宋体" w:hAnsi="宋体" w:cs="宋体"/>
      <w:sz w:val="18"/>
      <w:szCs w:val="18"/>
    </w:rPr>
  </w:style>
  <w:style w:type="paragraph" w:styleId="64">
    <w:name w:val="toc 6"/>
    <w:basedOn w:val="1"/>
    <w:next w:val="1"/>
    <w:qFormat/>
    <w:uiPriority w:val="39"/>
    <w:pPr>
      <w:ind w:left="1050"/>
      <w:jc w:val="left"/>
    </w:pPr>
    <w:rPr>
      <w:sz w:val="18"/>
      <w:szCs w:val="18"/>
    </w:rPr>
  </w:style>
  <w:style w:type="paragraph" w:styleId="65">
    <w:name w:val="List 5"/>
    <w:basedOn w:val="1"/>
    <w:qFormat/>
    <w:uiPriority w:val="0"/>
    <w:pPr>
      <w:ind w:left="100" w:leftChars="800" w:hanging="200" w:hangingChars="200"/>
    </w:pPr>
  </w:style>
  <w:style w:type="paragraph" w:styleId="66">
    <w:name w:val="Body Text Indent 3"/>
    <w:basedOn w:val="1"/>
    <w:link w:val="180"/>
    <w:qFormat/>
    <w:uiPriority w:val="0"/>
    <w:pPr>
      <w:autoSpaceDE w:val="0"/>
      <w:autoSpaceDN w:val="0"/>
      <w:adjustRightInd w:val="0"/>
      <w:ind w:firstLine="524" w:firstLineChars="187"/>
    </w:pPr>
    <w:rPr>
      <w:rFonts w:ascii="仿宋_GB2312" w:hAnsi="宋体" w:eastAsia="仿宋_GB2312" w:cs="宋体"/>
      <w:color w:val="000000"/>
      <w:kern w:val="0"/>
      <w:sz w:val="28"/>
      <w:szCs w:val="20"/>
    </w:rPr>
  </w:style>
  <w:style w:type="paragraph" w:styleId="67">
    <w:name w:val="index 7"/>
    <w:basedOn w:val="10"/>
    <w:next w:val="1"/>
    <w:qFormat/>
    <w:uiPriority w:val="0"/>
    <w:pPr>
      <w:numPr>
        <w:ilvl w:val="0"/>
        <w:numId w:val="0"/>
      </w:numPr>
      <w:tabs>
        <w:tab w:val="clear" w:pos="1152"/>
      </w:tabs>
      <w:autoSpaceDE/>
      <w:autoSpaceDN/>
      <w:adjustRightInd/>
      <w:spacing w:before="0" w:after="0" w:line="440" w:lineRule="exact"/>
      <w:textAlignment w:val="auto"/>
    </w:pPr>
    <w:rPr>
      <w:rFonts w:ascii="黑体" w:hAnsi="黑体"/>
      <w:bCs/>
      <w:color w:val="auto"/>
      <w:kern w:val="2"/>
    </w:rPr>
  </w:style>
  <w:style w:type="paragraph" w:styleId="68">
    <w:name w:val="index 9"/>
    <w:basedOn w:val="1"/>
    <w:next w:val="1"/>
    <w:qFormat/>
    <w:uiPriority w:val="0"/>
    <w:pPr>
      <w:widowControl w:val="0"/>
      <w:ind w:left="3360"/>
      <w:jc w:val="both"/>
    </w:pPr>
    <w:rPr>
      <w:rFonts w:ascii="Times New Roman" w:hAnsi="Times New Roman" w:eastAsia="宋体" w:cs="Times New Roman"/>
      <w:kern w:val="2"/>
      <w:sz w:val="21"/>
      <w:szCs w:val="24"/>
      <w:lang w:val="en-US" w:eastAsia="zh-CN" w:bidi="ar-SA"/>
    </w:rPr>
  </w:style>
  <w:style w:type="paragraph" w:styleId="69">
    <w:name w:val="table of figures"/>
    <w:basedOn w:val="1"/>
    <w:next w:val="1"/>
    <w:qFormat/>
    <w:uiPriority w:val="0"/>
    <w:pPr>
      <w:autoSpaceDE w:val="0"/>
      <w:autoSpaceDN w:val="0"/>
      <w:adjustRightInd w:val="0"/>
      <w:snapToGrid w:val="0"/>
      <w:spacing w:line="360" w:lineRule="auto"/>
      <w:ind w:left="840" w:leftChars="200" w:hanging="420" w:hangingChars="200"/>
    </w:pPr>
    <w:rPr>
      <w:sz w:val="24"/>
      <w:szCs w:val="20"/>
    </w:rPr>
  </w:style>
  <w:style w:type="paragraph" w:styleId="70">
    <w:name w:val="toc 2"/>
    <w:basedOn w:val="1"/>
    <w:next w:val="1"/>
    <w:qFormat/>
    <w:uiPriority w:val="39"/>
    <w:pPr>
      <w:ind w:left="210"/>
      <w:jc w:val="left"/>
    </w:pPr>
    <w:rPr>
      <w:smallCaps/>
      <w:sz w:val="20"/>
      <w:szCs w:val="20"/>
    </w:rPr>
  </w:style>
  <w:style w:type="paragraph" w:styleId="71">
    <w:name w:val="toc 9"/>
    <w:basedOn w:val="1"/>
    <w:next w:val="1"/>
    <w:link w:val="181"/>
    <w:qFormat/>
    <w:uiPriority w:val="39"/>
    <w:pPr>
      <w:ind w:left="1680"/>
      <w:jc w:val="left"/>
    </w:pPr>
    <w:rPr>
      <w:sz w:val="18"/>
      <w:szCs w:val="18"/>
    </w:rPr>
  </w:style>
  <w:style w:type="paragraph" w:styleId="72">
    <w:name w:val="Body Text 2"/>
    <w:basedOn w:val="1"/>
    <w:link w:val="182"/>
    <w:qFormat/>
    <w:uiPriority w:val="0"/>
    <w:pPr>
      <w:spacing w:line="460" w:lineRule="exact"/>
    </w:pPr>
    <w:rPr>
      <w:spacing w:val="16"/>
      <w:sz w:val="24"/>
    </w:rPr>
  </w:style>
  <w:style w:type="paragraph" w:styleId="73">
    <w:name w:val="List 4"/>
    <w:basedOn w:val="1"/>
    <w:qFormat/>
    <w:uiPriority w:val="0"/>
    <w:pPr>
      <w:ind w:left="100" w:leftChars="600" w:hanging="200" w:hangingChars="200"/>
    </w:pPr>
    <w:rPr>
      <w:szCs w:val="20"/>
    </w:rPr>
  </w:style>
  <w:style w:type="paragraph" w:styleId="74">
    <w:name w:val="List Continue 2"/>
    <w:basedOn w:val="1"/>
    <w:qFormat/>
    <w:uiPriority w:val="0"/>
    <w:pPr>
      <w:spacing w:after="120"/>
      <w:ind w:left="840" w:leftChars="400"/>
    </w:pPr>
  </w:style>
  <w:style w:type="paragraph" w:styleId="75">
    <w:name w:val="Message Header"/>
    <w:basedOn w:val="1"/>
    <w:qFormat/>
    <w:uiPriority w:val="0"/>
    <w:pPr>
      <w:keepLines/>
      <w:widowControl/>
      <w:spacing w:after="40" w:line="140" w:lineRule="atLeast"/>
      <w:ind w:left="360"/>
      <w:jc w:val="left"/>
    </w:pPr>
    <w:rPr>
      <w:rFonts w:ascii="Garamond" w:hAnsi="Garamond"/>
      <w:spacing w:val="-5"/>
      <w:kern w:val="0"/>
      <w:szCs w:val="20"/>
    </w:rPr>
  </w:style>
  <w:style w:type="paragraph" w:styleId="76">
    <w:name w:val="HTML Preformatted"/>
    <w:basedOn w:val="1"/>
    <w:link w:val="183"/>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Courier New"/>
      <w:color w:val="000000"/>
      <w:kern w:val="0"/>
      <w:szCs w:val="21"/>
    </w:rPr>
  </w:style>
  <w:style w:type="paragraph" w:styleId="77">
    <w:name w:val="Normal (Web)"/>
    <w:basedOn w:val="1"/>
    <w:qFormat/>
    <w:uiPriority w:val="0"/>
    <w:pPr>
      <w:widowControl/>
      <w:spacing w:before="100" w:beforeAutospacing="1" w:after="100" w:afterAutospacing="1"/>
      <w:jc w:val="left"/>
    </w:pPr>
    <w:rPr>
      <w:rFonts w:ascii="Arial Unicode MS" w:hAnsi="Arial Unicode MS" w:eastAsia="Arial Unicode MS" w:cs="Arial Unicode MS"/>
      <w:kern w:val="0"/>
      <w:sz w:val="24"/>
    </w:rPr>
  </w:style>
  <w:style w:type="paragraph" w:styleId="78">
    <w:name w:val="List Continue 3"/>
    <w:basedOn w:val="1"/>
    <w:qFormat/>
    <w:uiPriority w:val="0"/>
    <w:pPr>
      <w:widowControl/>
      <w:topLinePunct/>
      <w:autoSpaceDE w:val="0"/>
      <w:adjustRightInd w:val="0"/>
      <w:snapToGrid w:val="0"/>
      <w:spacing w:after="120" w:line="360" w:lineRule="auto"/>
      <w:ind w:left="1260" w:leftChars="600"/>
      <w:jc w:val="center"/>
    </w:pPr>
    <w:rPr>
      <w:rFonts w:ascii="宋体" w:hAnsi="宋体"/>
      <w:sz w:val="24"/>
      <w:szCs w:val="20"/>
    </w:rPr>
  </w:style>
  <w:style w:type="paragraph" w:styleId="79">
    <w:name w:val="index 1"/>
    <w:basedOn w:val="1"/>
    <w:next w:val="1"/>
    <w:link w:val="184"/>
    <w:semiHidden/>
    <w:qFormat/>
    <w:uiPriority w:val="0"/>
    <w:pPr>
      <w:ind w:left="210" w:hanging="210"/>
      <w:jc w:val="left"/>
    </w:pPr>
    <w:rPr>
      <w:sz w:val="18"/>
      <w:szCs w:val="18"/>
    </w:rPr>
  </w:style>
  <w:style w:type="paragraph" w:styleId="80">
    <w:name w:val="index 2"/>
    <w:basedOn w:val="1"/>
    <w:next w:val="1"/>
    <w:qFormat/>
    <w:uiPriority w:val="0"/>
    <w:pPr>
      <w:ind w:left="200" w:leftChars="200"/>
    </w:pPr>
  </w:style>
  <w:style w:type="paragraph" w:styleId="81">
    <w:name w:val="Title"/>
    <w:basedOn w:val="1"/>
    <w:qFormat/>
    <w:uiPriority w:val="0"/>
    <w:pPr>
      <w:spacing w:before="240" w:after="60"/>
      <w:jc w:val="center"/>
      <w:outlineLvl w:val="0"/>
    </w:pPr>
    <w:rPr>
      <w:rFonts w:eastAsia="楷体_GB2312"/>
      <w:b/>
      <w:color w:val="000000"/>
      <w:sz w:val="30"/>
      <w:szCs w:val="30"/>
    </w:rPr>
  </w:style>
  <w:style w:type="paragraph" w:styleId="82">
    <w:name w:val="annotation subject"/>
    <w:basedOn w:val="28"/>
    <w:next w:val="28"/>
    <w:link w:val="185"/>
    <w:qFormat/>
    <w:uiPriority w:val="0"/>
    <w:rPr>
      <w:b/>
      <w:bCs/>
    </w:rPr>
  </w:style>
  <w:style w:type="paragraph" w:styleId="83">
    <w:name w:val="Body Text First Indent 2"/>
    <w:basedOn w:val="33"/>
    <w:next w:val="1"/>
    <w:qFormat/>
    <w:uiPriority w:val="0"/>
    <w:pPr>
      <w:ind w:firstLine="420" w:firstLineChars="200"/>
    </w:pPr>
    <w:rPr>
      <w:szCs w:val="20"/>
    </w:rPr>
  </w:style>
  <w:style w:type="table" w:styleId="85">
    <w:name w:val="Table Grid"/>
    <w:basedOn w:val="8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86">
    <w:name w:val="Table Theme"/>
    <w:basedOn w:val="84"/>
    <w:qFormat/>
    <w:uiPriority w:val="0"/>
    <w:pPr>
      <w:widowControl w:val="0"/>
      <w:spacing w:line="300" w:lineRule="auto"/>
      <w:jc w:val="center"/>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styleId="87">
    <w:name w:val="Table Colorful 1"/>
    <w:basedOn w:val="84"/>
    <w:semiHidden/>
    <w:qFormat/>
    <w:uiPriority w:val="0"/>
    <w:pPr>
      <w:widowControl w:val="0"/>
      <w:spacing w:line="360" w:lineRule="auto"/>
      <w:ind w:firstLine="200" w:firstLineChars="200"/>
      <w:jc w:val="both"/>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88">
    <w:name w:val="Table Colorful 2"/>
    <w:basedOn w:val="84"/>
    <w:semiHidden/>
    <w:qFormat/>
    <w:uiPriority w:val="0"/>
    <w:pPr>
      <w:widowControl w:val="0"/>
      <w:spacing w:line="360" w:lineRule="auto"/>
      <w:ind w:firstLine="200" w:firstLineChars="200"/>
      <w:jc w:val="both"/>
    </w:pPr>
    <w:tblPr>
      <w:tblBorders>
        <w:bottom w:val="single" w:color="000000" w:sz="12" w:space="0"/>
      </w:tblBorders>
    </w:tblPr>
    <w:tcPr>
      <w:shd w:val="pct20" w:color="FFFF00" w:fill="FFFFFF"/>
    </w:tcPr>
    <w:tblStylePr w:type="firstRow">
      <w:rPr>
        <w:b/>
        <w:bCs/>
        <w:i/>
        <w:iCs/>
        <w:color w:val="FFFFFF"/>
      </w:rPr>
      <w:tblPr/>
      <w:tcPr>
        <w:tcBorders>
          <w:top w:val="nil"/>
          <w:left w:val="single" w:color="000000" w:sz="12" w:space="0"/>
          <w:bottom w:val="nil"/>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89">
    <w:name w:val="Table Colorful 3"/>
    <w:basedOn w:val="84"/>
    <w:semiHidden/>
    <w:qFormat/>
    <w:uiPriority w:val="0"/>
    <w:pPr>
      <w:widowControl w:val="0"/>
      <w:spacing w:line="360" w:lineRule="auto"/>
      <w:ind w:firstLine="200" w:firstLineChars="200"/>
      <w:jc w:val="both"/>
    </w:p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top w:val="nil"/>
          <w:left w:val="single" w:color="000000" w:sz="6" w:space="0"/>
          <w:bottom w:val="nil"/>
          <w:right w:val="nil"/>
          <w:insideH w:val="nil"/>
          <w:insideV w:val="nil"/>
          <w:tl2br w:val="nil"/>
          <w:tr2bl w:val="nil"/>
        </w:tcBorders>
        <w:shd w:val="solid" w:color="008080" w:fill="FFFFFF"/>
      </w:tcPr>
    </w:tblStylePr>
    <w:tblStylePr w:type="firstCol">
      <w:tblPr/>
      <w:tcPr>
        <w:tcBorders>
          <w:top w:val="nil"/>
          <w:left w:val="nil"/>
          <w:bottom w:val="single" w:color="000000" w:sz="36" w:space="0"/>
          <w:right w:val="single" w:color="000000" w:sz="6" w:space="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90">
    <w:name w:val="Table Elegant"/>
    <w:basedOn w:val="84"/>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91">
    <w:name w:val="Table Classic 1"/>
    <w:basedOn w:val="84"/>
    <w:semiHidden/>
    <w:qFormat/>
    <w:uiPriority w:val="0"/>
    <w:pPr>
      <w:widowControl w:val="0"/>
      <w:spacing w:line="360" w:lineRule="auto"/>
      <w:ind w:firstLine="200" w:firstLineChars="200"/>
      <w:jc w:val="both"/>
    </w:pPr>
    <w:tblPr>
      <w:tblBorders>
        <w:top w:val="single" w:color="000000" w:sz="12" w:space="0"/>
        <w:bottom w:val="single" w:color="000000" w:sz="12" w:space="0"/>
      </w:tblBorders>
    </w:tblPr>
    <w:tcPr>
      <w:shd w:val="clear" w:color="auto" w:fill="auto"/>
    </w:tcPr>
    <w:tblStylePr w:type="firstRow">
      <w:rPr>
        <w:i/>
        <w:iCs/>
      </w:rPr>
      <w:tblPr/>
      <w:tcPr>
        <w:tcBorders>
          <w:top w:val="nil"/>
          <w:left w:val="single" w:color="000000" w:sz="6" w:space="0"/>
          <w:bottom w:val="nil"/>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tblPr/>
      <w:tcPr>
        <w:tcBorders>
          <w:top w:val="nil"/>
          <w:left w:val="nil"/>
          <w:bottom w:val="nil"/>
          <w:right w:val="single" w:color="000000" w:sz="6" w:space="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2">
    <w:name w:val="Table Classic 2"/>
    <w:basedOn w:val="84"/>
    <w:semiHidden/>
    <w:qFormat/>
    <w:uiPriority w:val="0"/>
    <w:pPr>
      <w:widowControl w:val="0"/>
      <w:spacing w:line="360" w:lineRule="auto"/>
      <w:ind w:firstLine="200" w:firstLineChars="200"/>
      <w:jc w:val="both"/>
    </w:pPr>
    <w:tblPr>
      <w:tblBorders>
        <w:top w:val="single" w:color="000000" w:sz="12" w:space="0"/>
        <w:bottom w:val="single" w:color="000000" w:sz="12" w:space="0"/>
      </w:tblBorders>
    </w:tblPr>
    <w:tcPr>
      <w:shd w:val="clear" w:color="auto" w:fill="auto"/>
    </w:tcPr>
    <w:tblStylePr w:type="firstRow">
      <w:rPr>
        <w:color w:val="FFFFFF"/>
      </w:rPr>
      <w:tblPr/>
      <w:tcPr>
        <w:tcBorders>
          <w:top w:val="nil"/>
          <w:left w:val="single" w:color="000000" w:sz="6" w:space="0"/>
          <w:bottom w:val="nil"/>
          <w:right w:val="nil"/>
          <w:insideH w:val="nil"/>
          <w:insideV w:val="nil"/>
          <w:tl2br w:val="nil"/>
          <w:tr2bl w:val="nil"/>
        </w:tcBorders>
        <w:shd w:val="solid" w:color="800080" w:fill="FFFFFF"/>
      </w:tcPr>
    </w:tblStylePr>
    <w:tblStylePr w:type="lastRow">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3">
    <w:name w:val="Table Classic 3"/>
    <w:basedOn w:val="84"/>
    <w:semiHidden/>
    <w:qFormat/>
    <w:uiPriority w:val="0"/>
    <w:pPr>
      <w:widowControl w:val="0"/>
      <w:spacing w:line="360" w:lineRule="auto"/>
      <w:ind w:firstLine="200" w:firstLineChars="200"/>
      <w:jc w:val="both"/>
    </w:pPr>
    <w:rPr>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top w:val="nil"/>
          <w:left w:val="single" w:color="000000" w:sz="6" w:space="0"/>
          <w:bottom w:val="nil"/>
          <w:right w:val="nil"/>
          <w:insideH w:val="nil"/>
          <w:insideV w:val="nil"/>
          <w:tl2br w:val="nil"/>
          <w:tr2bl w:val="nil"/>
        </w:tcBorders>
        <w:shd w:val="solid" w:color="000080" w:fill="FFFFFF"/>
      </w:tcPr>
    </w:tblStylePr>
    <w:tblStylePr w:type="lastRow">
      <w:rPr>
        <w:color w:val="000080"/>
      </w:rPr>
      <w:tblPr/>
      <w:tcPr>
        <w:tcBorders>
          <w:top w:val="single" w:color="000000" w:sz="12" w:space="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94">
    <w:name w:val="Table Classic 4"/>
    <w:basedOn w:val="84"/>
    <w:semiHidden/>
    <w:qFormat/>
    <w:uiPriority w:val="0"/>
    <w:pPr>
      <w:widowControl w:val="0"/>
      <w:spacing w:line="360" w:lineRule="auto"/>
      <w:ind w:firstLine="200" w:firstLineChars="200"/>
      <w:jc w:val="both"/>
    </w:p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top w:val="nil"/>
          <w:left w:val="single" w:color="000000" w:sz="6" w:space="0"/>
          <w:bottom w:val="nil"/>
          <w:right w:val="nil"/>
          <w:insideH w:val="nil"/>
          <w:insideV w:val="nil"/>
          <w:tl2br w:val="nil"/>
          <w:tr2bl w:val="nil"/>
        </w:tcBorders>
        <w:shd w:val="pct50" w:color="000080" w:fill="FFFFFF"/>
      </w:tcPr>
    </w:tblStylePr>
    <w:tblStylePr w:type="lastRow">
      <w:rPr>
        <w:color w:val="000080"/>
      </w:rPr>
      <w:tblPr/>
      <w:tcPr>
        <w:tcBorders>
          <w:top w:val="nil"/>
          <w:left w:val="single" w:color="000000" w:sz="6" w:space="0"/>
          <w:bottom w:val="nil"/>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5">
    <w:name w:val="Table Simple 1"/>
    <w:basedOn w:val="84"/>
    <w:semiHidden/>
    <w:qFormat/>
    <w:uiPriority w:val="0"/>
    <w:pPr>
      <w:widowControl w:val="0"/>
      <w:spacing w:line="360" w:lineRule="auto"/>
      <w:ind w:firstLine="200" w:firstLineChars="200"/>
      <w:jc w:val="both"/>
    </w:pPr>
    <w:tblPr>
      <w:tblBorders>
        <w:top w:val="single" w:color="008000" w:sz="12" w:space="0"/>
        <w:bottom w:val="single" w:color="008000" w:sz="12" w:space="0"/>
      </w:tblBorders>
    </w:tblPr>
    <w:tcPr>
      <w:shd w:val="clear" w:color="auto" w:fill="auto"/>
    </w:tcPr>
    <w:tblStylePr w:type="firstRow">
      <w:tblPr/>
      <w:tcPr>
        <w:tcBorders>
          <w:top w:val="nil"/>
          <w:left w:val="single" w:color="008000" w:sz="6" w:space="0"/>
          <w:bottom w:val="nil"/>
          <w:right w:val="nil"/>
          <w:insideH w:val="nil"/>
          <w:insideV w:val="nil"/>
          <w:tl2br w:val="nil"/>
          <w:tr2bl w:val="nil"/>
        </w:tcBorders>
      </w:tcPr>
    </w:tblStylePr>
    <w:tblStylePr w:type="lastRow">
      <w:tblPr/>
      <w:tcPr>
        <w:tcBorders>
          <w:top w:val="single" w:color="008000" w:sz="6" w:space="0"/>
          <w:left w:val="nil"/>
          <w:bottom w:val="nil"/>
          <w:right w:val="nil"/>
          <w:insideH w:val="nil"/>
          <w:insideV w:val="nil"/>
          <w:tl2br w:val="nil"/>
          <w:tr2bl w:val="nil"/>
        </w:tcBorders>
      </w:tcPr>
    </w:tblStylePr>
  </w:style>
  <w:style w:type="table" w:styleId="96">
    <w:name w:val="Table Simple 2"/>
    <w:basedOn w:val="84"/>
    <w:semiHidden/>
    <w:qFormat/>
    <w:uiPriority w:val="0"/>
    <w:pPr>
      <w:widowControl w:val="0"/>
      <w:spacing w:line="360" w:lineRule="auto"/>
      <w:ind w:firstLine="200" w:firstLineChars="200"/>
      <w:jc w:val="both"/>
    </w:pPr>
    <w:tblPr/>
    <w:tblStylePr w:type="firstRow">
      <w:rPr>
        <w:b/>
        <w:bCs/>
      </w:rPr>
      <w:tblPr/>
      <w:tcPr>
        <w:tcBorders>
          <w:top w:val="nil"/>
          <w:left w:val="single" w:color="000000" w:sz="12" w:space="0"/>
          <w:bottom w:val="nil"/>
          <w:right w:val="nil"/>
          <w:insideH w:val="nil"/>
          <w:insideV w:val="nil"/>
          <w:tl2br w:val="nil"/>
          <w:tr2bl w:val="nil"/>
        </w:tcBorders>
      </w:tcPr>
    </w:tblStylePr>
    <w:tblStylePr w:type="lastRow">
      <w:rPr>
        <w:b/>
        <w:bCs/>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lastCol">
      <w:rPr>
        <w:b/>
        <w:bCs/>
      </w:rPr>
      <w:tblPr/>
      <w:tcPr>
        <w:tcBorders>
          <w:top w:val="nil"/>
          <w:left w:val="nil"/>
          <w:bottom w:val="single" w:color="000000" w:sz="6" w:space="0"/>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7">
    <w:name w:val="Table Simple 3"/>
    <w:basedOn w:val="84"/>
    <w:semiHidden/>
    <w:qFormat/>
    <w:uiPriority w:val="0"/>
    <w:pPr>
      <w:widowControl w:val="0"/>
      <w:spacing w:line="360" w:lineRule="auto"/>
      <w:ind w:firstLine="200" w:firstLineChars="200"/>
      <w:jc w:val="both"/>
    </w:p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98">
    <w:name w:val="Table Subtle 1"/>
    <w:basedOn w:val="84"/>
    <w:semiHidden/>
    <w:qFormat/>
    <w:uiPriority w:val="0"/>
    <w:pPr>
      <w:widowControl w:val="0"/>
      <w:spacing w:line="360" w:lineRule="auto"/>
      <w:ind w:firstLine="200" w:firstLineChars="200"/>
      <w:jc w:val="both"/>
    </w:pPr>
    <w:tblPr>
      <w:tblStyleRowBandSize w:val="1"/>
    </w:tblPr>
    <w:tblStylePr w:type="firstRow">
      <w:tblPr/>
      <w:tcPr>
        <w:tcBorders>
          <w:top w:val="single" w:color="000000" w:sz="6" w:space="0"/>
          <w:left w:val="single" w:color="000000" w:sz="12" w:space="0"/>
          <w:bottom w:val="nil"/>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color="000000" w:sz="12" w:space="0"/>
          <w:insideH w:val="nil"/>
          <w:insideV w:val="nil"/>
          <w:tl2br w:val="nil"/>
          <w:tr2bl w:val="nil"/>
        </w:tcBorders>
      </w:tcPr>
    </w:tblStylePr>
    <w:tblStylePr w:type="lastCol">
      <w:tblPr/>
      <w:tcPr>
        <w:tcBorders>
          <w:top w:val="nil"/>
          <w:left w:val="nil"/>
          <w:bottom w:val="single" w:color="000000" w:sz="12" w:space="0"/>
          <w:right w:val="nil"/>
          <w:insideH w:val="nil"/>
          <w:insideV w:val="nil"/>
          <w:tl2br w:val="nil"/>
          <w:tr2bl w:val="nil"/>
        </w:tcBorders>
      </w:tcPr>
    </w:tblStylePr>
    <w:tblStylePr w:type="band1Horz">
      <w:tblPr/>
      <w:tcPr>
        <w:tcBorders>
          <w:top w:val="nil"/>
          <w:left w:val="single" w:color="000000" w:sz="6" w:space="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9">
    <w:name w:val="Table Subtle 2"/>
    <w:basedOn w:val="84"/>
    <w:semiHidden/>
    <w:qFormat/>
    <w:uiPriority w:val="0"/>
    <w:pPr>
      <w:widowControl w:val="0"/>
      <w:spacing w:line="360" w:lineRule="auto"/>
      <w:ind w:firstLine="200" w:firstLineChars="200"/>
      <w:jc w:val="both"/>
    </w:pPr>
    <w:tblPr>
      <w:tblBorders>
        <w:left w:val="single" w:color="000000" w:sz="6" w:space="0"/>
        <w:right w:val="single" w:color="000000" w:sz="6" w:space="0"/>
      </w:tblBorders>
    </w:tblPr>
    <w:tblStylePr w:type="firstRow">
      <w:tblPr/>
      <w:tcPr>
        <w:tcBorders>
          <w:top w:val="nil"/>
          <w:left w:val="single" w:color="000000" w:sz="12" w:space="0"/>
          <w:bottom w:val="nil"/>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firstCol">
      <w:tblPr/>
      <w:tcPr>
        <w:tcBorders>
          <w:top w:val="nil"/>
          <w:left w:val="nil"/>
          <w:bottom w:val="nil"/>
          <w:right w:val="single" w:color="000000" w:sz="12" w:space="0"/>
          <w:insideH w:val="nil"/>
          <w:insideV w:val="nil"/>
          <w:tl2br w:val="nil"/>
          <w:tr2bl w:val="nil"/>
        </w:tcBorders>
        <w:shd w:val="pct25" w:color="008000" w:fill="FFFFFF"/>
      </w:tcPr>
    </w:tblStylePr>
    <w:tblStylePr w:type="lastCol">
      <w:tblPr/>
      <w:tcPr>
        <w:tcBorders>
          <w:top w:val="nil"/>
          <w:left w:val="nil"/>
          <w:bottom w:val="single" w:color="000000" w:sz="12" w:space="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0">
    <w:name w:val="Table 3D effects 1"/>
    <w:basedOn w:val="84"/>
    <w:semiHidden/>
    <w:qFormat/>
    <w:uiPriority w:val="0"/>
    <w:pPr>
      <w:widowControl w:val="0"/>
      <w:spacing w:line="360" w:lineRule="auto"/>
      <w:ind w:firstLine="200" w:firstLineChars="200"/>
      <w:jc w:val="both"/>
    </w:pPr>
    <w:tblPr/>
    <w:tcPr>
      <w:shd w:val="solid" w:color="C0C0C0" w:fill="FFFFFF"/>
    </w:tcPr>
    <w:tblStylePr w:type="firstRow">
      <w:rPr>
        <w:b/>
        <w:bCs/>
        <w:color w:val="800080"/>
      </w:rPr>
      <w:tblPr/>
      <w:tcPr>
        <w:tcBorders>
          <w:top w:val="nil"/>
          <w:left w:val="single" w:color="808080" w:sz="6" w:space="0"/>
          <w:bottom w:val="nil"/>
          <w:right w:val="nil"/>
          <w:insideH w:val="nil"/>
          <w:insideV w:val="nil"/>
          <w:tl2br w:val="nil"/>
          <w:tr2bl w:val="nil"/>
        </w:tcBorders>
      </w:tcPr>
    </w:tblStylePr>
    <w:tblStylePr w:type="lastRow">
      <w:tblPr/>
      <w:tcPr>
        <w:tcBorders>
          <w:top w:val="single" w:color="FFFFFF"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single" w:color="FFFFFF" w:sz="6" w:space="0"/>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101">
    <w:name w:val="Table 3D effects 2"/>
    <w:basedOn w:val="84"/>
    <w:semiHidden/>
    <w:qFormat/>
    <w:uiPriority w:val="0"/>
    <w:pPr>
      <w:widowControl w:val="0"/>
      <w:spacing w:line="360" w:lineRule="auto"/>
      <w:ind w:firstLine="200" w:firstLineChars="200"/>
      <w:jc w:val="both"/>
    </w:pPr>
    <w:tblPr>
      <w:tblStyleRowBandSize w:val="1"/>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Horz">
      <w:tblPr/>
      <w:tcPr>
        <w:tcBorders>
          <w:top w:val="single" w:color="808080" w:sz="6" w:space="0"/>
          <w:left w:val="single" w:color="FFFFFF" w:sz="6" w:space="0"/>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2">
    <w:name w:val="Table 3D effects 3"/>
    <w:basedOn w:val="84"/>
    <w:semiHidden/>
    <w:qFormat/>
    <w:uiPriority w:val="0"/>
    <w:pPr>
      <w:widowControl w:val="0"/>
      <w:spacing w:line="360" w:lineRule="auto"/>
      <w:ind w:firstLine="200" w:firstLineChars="200"/>
      <w:jc w:val="both"/>
    </w:pPr>
    <w:tblPr>
      <w:tblStyleRowBandSize w:val="1"/>
      <w:tblStyleColBandSize w:val="1"/>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left w:val="single" w:color="FFFFFF" w:sz="6" w:space="0"/>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3">
    <w:name w:val="Table List 1"/>
    <w:basedOn w:val="84"/>
    <w:semiHidden/>
    <w:qFormat/>
    <w:uiPriority w:val="0"/>
    <w:pPr>
      <w:widowControl w:val="0"/>
      <w:spacing w:line="360" w:lineRule="auto"/>
      <w:ind w:firstLine="200" w:firstLineChars="200"/>
      <w:jc w:val="both"/>
    </w:p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top w:val="nil"/>
          <w:left w:val="single" w:color="000000" w:sz="6" w:space="0"/>
          <w:bottom w:val="nil"/>
          <w:right w:val="nil"/>
          <w:insideH w:val="nil"/>
          <w:insideV w:val="nil"/>
          <w:tl2br w:val="nil"/>
          <w:tr2bl w:val="nil"/>
        </w:tcBorders>
        <w:shd w:val="solid" w:color="C0C0C0" w:fill="FFFFFF"/>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4">
    <w:name w:val="Table List 2"/>
    <w:basedOn w:val="84"/>
    <w:semiHidden/>
    <w:qFormat/>
    <w:uiPriority w:val="0"/>
    <w:pPr>
      <w:widowControl w:val="0"/>
      <w:spacing w:line="360" w:lineRule="auto"/>
      <w:ind w:firstLine="200" w:firstLineChars="200"/>
      <w:jc w:val="both"/>
    </w:pPr>
    <w:tblPr>
      <w:tblBorders>
        <w:bottom w:val="single" w:color="808080" w:sz="12" w:space="0"/>
      </w:tblBorders>
    </w:tblPr>
    <w:tblStylePr w:type="firstRow">
      <w:rPr>
        <w:b/>
        <w:bCs/>
        <w:color w:val="FFFFFF"/>
      </w:rPr>
      <w:tblPr/>
      <w:tcPr>
        <w:tcBorders>
          <w:top w:val="nil"/>
          <w:left w:val="single" w:color="000000" w:sz="6" w:space="0"/>
          <w:bottom w:val="nil"/>
          <w:right w:val="nil"/>
          <w:insideH w:val="nil"/>
          <w:insideV w:val="nil"/>
          <w:tl2br w:val="nil"/>
          <w:tr2bl w:val="nil"/>
        </w:tcBorders>
        <w:shd w:val="pct75" w:color="008080" w:fill="008000"/>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5">
    <w:name w:val="Table List 3"/>
    <w:basedOn w:val="84"/>
    <w:semiHidden/>
    <w:qFormat/>
    <w:uiPriority w:val="0"/>
    <w:pPr>
      <w:widowControl w:val="0"/>
      <w:spacing w:line="360" w:lineRule="auto"/>
      <w:ind w:firstLine="200" w:firstLineChars="200"/>
      <w:jc w:val="both"/>
    </w:pPr>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top w:val="nil"/>
          <w:left w:val="single" w:color="000000" w:sz="12" w:space="0"/>
          <w:bottom w:val="nil"/>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106">
    <w:name w:val="Table List 4"/>
    <w:basedOn w:val="84"/>
    <w:semiHidden/>
    <w:qFormat/>
    <w:uiPriority w:val="0"/>
    <w:pPr>
      <w:widowControl w:val="0"/>
      <w:spacing w:line="360" w:lineRule="auto"/>
      <w:ind w:firstLine="200" w:firstLineChars="200"/>
      <w:jc w:val="both"/>
    </w:pPr>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top w:val="nil"/>
          <w:left w:val="single" w:color="000000" w:sz="12" w:space="0"/>
          <w:bottom w:val="nil"/>
          <w:right w:val="nil"/>
          <w:insideH w:val="nil"/>
          <w:insideV w:val="nil"/>
          <w:tl2br w:val="nil"/>
          <w:tr2bl w:val="nil"/>
        </w:tcBorders>
        <w:shd w:val="solid" w:color="808080" w:fill="FFFFFF"/>
      </w:tcPr>
    </w:tblStylePr>
  </w:style>
  <w:style w:type="table" w:styleId="107">
    <w:name w:val="Table List 5"/>
    <w:basedOn w:val="84"/>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top w:val="nil"/>
          <w:left w:val="single" w:color="000000" w:sz="12" w:space="0"/>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108">
    <w:name w:val="Table List 6"/>
    <w:basedOn w:val="84"/>
    <w:semiHidden/>
    <w:qFormat/>
    <w:uiPriority w:val="0"/>
    <w:pPr>
      <w:widowControl w:val="0"/>
      <w:spacing w:line="360" w:lineRule="auto"/>
      <w:ind w:firstLine="200" w:firstLineChars="200"/>
      <w:jc w:val="both"/>
    </w:pPr>
    <w:tblPr>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top w:val="nil"/>
          <w:left w:val="single" w:color="000000" w:sz="12" w:space="0"/>
          <w:bottom w:val="nil"/>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09">
    <w:name w:val="Table List 7"/>
    <w:basedOn w:val="84"/>
    <w:semiHidden/>
    <w:qFormat/>
    <w:uiPriority w:val="0"/>
    <w:pPr>
      <w:widowControl w:val="0"/>
      <w:spacing w:line="360" w:lineRule="auto"/>
      <w:ind w:firstLine="200" w:firstLineChars="200"/>
      <w:jc w:val="both"/>
    </w:pPr>
    <w:tblPr>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top w:val="nil"/>
          <w:left w:val="single" w:color="008000" w:sz="12" w:space="0"/>
          <w:bottom w:val="nil"/>
          <w:right w:val="nil"/>
          <w:insideH w:val="nil"/>
          <w:insideV w:val="nil"/>
          <w:tl2br w:val="nil"/>
          <w:tr2bl w:val="nil"/>
        </w:tcBorders>
        <w:shd w:val="solid" w:color="C0C0C0" w:fill="FFFFFF"/>
      </w:tcPr>
    </w:tblStylePr>
    <w:tblStylePr w:type="lastRow">
      <w:rPr>
        <w:b/>
        <w:bCs/>
      </w:rPr>
      <w:tblPr/>
      <w:tcPr>
        <w:tcBorders>
          <w:top w:val="single" w:color="008000" w:sz="12"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110">
    <w:name w:val="Table List 8"/>
    <w:basedOn w:val="84"/>
    <w:semiHidden/>
    <w:qFormat/>
    <w:uiPriority w:val="0"/>
    <w:pPr>
      <w:widowControl w:val="0"/>
      <w:spacing w:line="360" w:lineRule="auto"/>
      <w:ind w:firstLine="200" w:firstLineChars="200"/>
      <w:jc w:val="both"/>
    </w:pPr>
    <w:tblPr>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top w:val="nil"/>
          <w:left w:val="single" w:color="000000" w:sz="6" w:space="0"/>
          <w:bottom w:val="nil"/>
          <w:right w:val="nil"/>
          <w:insideH w:val="nil"/>
          <w:insideV w:val="nil"/>
          <w:tl2br w:val="nil"/>
          <w:tr2bl w:val="nil"/>
        </w:tcBorders>
        <w:shd w:val="solid" w:color="FFFF00" w:fill="FFFFFF"/>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color="auto" w:sz="6" w:space="0"/>
          <w:tr2bl w:val="nil"/>
        </w:tcBorders>
      </w:tcPr>
    </w:tblStylePr>
  </w:style>
  <w:style w:type="table" w:styleId="111">
    <w:name w:val="Table Contemporary"/>
    <w:basedOn w:val="84"/>
    <w:semiHidden/>
    <w:qFormat/>
    <w:uiPriority w:val="0"/>
    <w:pPr>
      <w:widowControl w:val="0"/>
      <w:spacing w:line="360" w:lineRule="auto"/>
      <w:ind w:firstLine="200" w:firstLineChars="200"/>
      <w:jc w:val="both"/>
    </w:pPr>
    <w:tblPr>
      <w:tblBorders>
        <w:insideH w:val="single" w:color="FFFFFF" w:sz="18" w:space="0"/>
        <w:insideV w:val="single" w:color="FFFFFF" w:sz="18" w:space="0"/>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112">
    <w:name w:val="Table Columns 1"/>
    <w:basedOn w:val="84"/>
    <w:semiHidden/>
    <w:qFormat/>
    <w:uiPriority w:val="0"/>
    <w:pPr>
      <w:widowControl w:val="0"/>
      <w:spacing w:line="360" w:lineRule="auto"/>
      <w:ind w:firstLine="200" w:firstLineChars="200"/>
      <w:jc w:val="both"/>
    </w:pPr>
    <w:rPr>
      <w:b/>
      <w:bCs/>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top w:val="nil"/>
          <w:left w:val="double" w:color="000000" w:sz="6" w:space="0"/>
          <w:bottom w:val="nil"/>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3">
    <w:name w:val="Table Columns 2"/>
    <w:basedOn w:val="84"/>
    <w:semiHidden/>
    <w:qFormat/>
    <w:uiPriority w:val="0"/>
    <w:pPr>
      <w:widowControl w:val="0"/>
      <w:spacing w:line="360" w:lineRule="auto"/>
      <w:ind w:firstLine="200" w:firstLineChars="200"/>
      <w:jc w:val="both"/>
    </w:pPr>
    <w:rPr>
      <w:b/>
      <w:bCs/>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4">
    <w:name w:val="Table Columns 3"/>
    <w:basedOn w:val="84"/>
    <w:semiHidden/>
    <w:qFormat/>
    <w:uiPriority w:val="0"/>
    <w:pPr>
      <w:widowControl w:val="0"/>
      <w:spacing w:line="360" w:lineRule="auto"/>
      <w:ind w:firstLine="200" w:firstLineChars="200"/>
      <w:jc w:val="both"/>
    </w:pPr>
    <w:rPr>
      <w:b/>
      <w:bCs/>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color="00008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115">
    <w:name w:val="Table Columns 4"/>
    <w:basedOn w:val="84"/>
    <w:semiHidden/>
    <w:qFormat/>
    <w:uiPriority w:val="0"/>
    <w:pPr>
      <w:widowControl w:val="0"/>
      <w:spacing w:line="360" w:lineRule="auto"/>
      <w:ind w:firstLine="200" w:firstLineChars="200"/>
      <w:jc w:val="both"/>
    </w:p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16">
    <w:name w:val="Table Columns 5"/>
    <w:basedOn w:val="84"/>
    <w:semiHidden/>
    <w:qFormat/>
    <w:uiPriority w:val="0"/>
    <w:pPr>
      <w:widowControl w:val="0"/>
      <w:spacing w:line="360" w:lineRule="auto"/>
      <w:ind w:firstLine="200" w:firstLineChars="200"/>
      <w:jc w:val="both"/>
    </w:p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top w:val="nil"/>
          <w:left w:val="single" w:color="808080" w:sz="6" w:space="0"/>
          <w:bottom w:val="nil"/>
          <w:right w:val="nil"/>
          <w:insideH w:val="nil"/>
          <w:insideV w:val="nil"/>
          <w:tl2br w:val="nil"/>
          <w:tr2bl w:val="nil"/>
        </w:tcBorders>
      </w:tcPr>
    </w:tblStylePr>
    <w:tblStylePr w:type="lastRow">
      <w:rPr>
        <w:b/>
        <w:bCs/>
      </w:rPr>
      <w:tblPr/>
      <w:tcPr>
        <w:tcBorders>
          <w:top w:val="single" w:color="80808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17">
    <w:name w:val="Table Grid 1"/>
    <w:basedOn w:val="84"/>
    <w:semiHidden/>
    <w:qFormat/>
    <w:uiPriority w:val="0"/>
    <w:pPr>
      <w:widowControl w:val="0"/>
      <w:spacing w:line="360" w:lineRule="auto"/>
      <w:ind w:firstLine="200" w:firstLineChars="20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18">
    <w:name w:val="Table Grid 2"/>
    <w:basedOn w:val="84"/>
    <w:semiHidden/>
    <w:qFormat/>
    <w:uiPriority w:val="0"/>
    <w:pPr>
      <w:widowControl w:val="0"/>
      <w:spacing w:line="360" w:lineRule="auto"/>
      <w:ind w:firstLine="200" w:firstLineChars="200"/>
      <w:jc w:val="both"/>
    </w:pPr>
    <w:tblPr>
      <w:tblBorders>
        <w:insideH w:val="single" w:color="000000" w:sz="6" w:space="0"/>
        <w:insideV w:val="single" w:color="000000" w:sz="6" w:space="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119">
    <w:name w:val="Table Grid 3"/>
    <w:basedOn w:val="84"/>
    <w:semiHidden/>
    <w:qFormat/>
    <w:uiPriority w:val="0"/>
    <w:pPr>
      <w:widowControl w:val="0"/>
      <w:spacing w:line="360" w:lineRule="auto"/>
      <w:ind w:firstLine="200" w:firstLineChars="200"/>
      <w:jc w:val="both"/>
    </w:p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top w:val="nil"/>
          <w:left w:val="single" w:color="000000" w:sz="6" w:space="0"/>
          <w:bottom w:val="nil"/>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0">
    <w:name w:val="Table Grid 4"/>
    <w:basedOn w:val="84"/>
    <w:semiHidden/>
    <w:qFormat/>
    <w:uiPriority w:val="0"/>
    <w:pPr>
      <w:widowControl w:val="0"/>
      <w:spacing w:line="360" w:lineRule="auto"/>
      <w:ind w:firstLine="200" w:firstLineChars="200"/>
      <w:jc w:val="both"/>
    </w:p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top w:val="nil"/>
          <w:left w:val="single" w:color="000000" w:sz="6" w:space="0"/>
          <w:bottom w:val="nil"/>
          <w:right w:val="nil"/>
          <w:insideH w:val="nil"/>
          <w:insideV w:val="nil"/>
          <w:tl2br w:val="nil"/>
          <w:tr2bl w:val="nil"/>
        </w:tcBorders>
        <w:shd w:val="pct30" w:color="FFFF00" w:fill="FFFFFF"/>
      </w:tcPr>
    </w:tblStylePr>
    <w:tblStylePr w:type="lastRow">
      <w:rPr>
        <w:b/>
        <w:bCs/>
        <w:color w:val="auto"/>
      </w:rPr>
      <w:tblPr/>
      <w:tcPr>
        <w:tcBorders>
          <w:top w:val="single" w:color="000000" w:sz="6" w:space="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1">
    <w:name w:val="Table Grid 5"/>
    <w:basedOn w:val="84"/>
    <w:qFormat/>
    <w:uiPriority w:val="0"/>
    <w:pPr>
      <w:widowControl w:val="0"/>
      <w:spacing w:line="312" w:lineRule="auto"/>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top w:val="nil"/>
          <w:left w:val="single" w:color="000000" w:sz="12" w:space="0"/>
          <w:bottom w:val="nil"/>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2">
    <w:name w:val="Table Grid 6"/>
    <w:basedOn w:val="84"/>
    <w:semiHidden/>
    <w:qFormat/>
    <w:uiPriority w:val="0"/>
    <w:pPr>
      <w:widowControl w:val="0"/>
      <w:spacing w:line="360" w:lineRule="auto"/>
      <w:ind w:firstLine="200" w:firstLineChars="200"/>
      <w:jc w:val="both"/>
    </w:p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top w:val="nil"/>
          <w:left w:val="single" w:color="000000" w:sz="6" w:space="0"/>
          <w:bottom w:val="nil"/>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3">
    <w:name w:val="Table Grid 7"/>
    <w:basedOn w:val="84"/>
    <w:semiHidden/>
    <w:qFormat/>
    <w:uiPriority w:val="0"/>
    <w:pPr>
      <w:widowControl w:val="0"/>
      <w:spacing w:line="360" w:lineRule="auto"/>
      <w:ind w:firstLine="200" w:firstLineChars="200"/>
      <w:jc w:val="both"/>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top w:val="nil"/>
          <w:left w:val="single" w:color="000000" w:sz="12" w:space="0"/>
          <w:bottom w:val="nil"/>
          <w:right w:val="nil"/>
          <w:insideH w:val="nil"/>
          <w:insideV w:val="nil"/>
          <w:tl2br w:val="nil"/>
          <w:tr2bl w:val="nil"/>
        </w:tcBorders>
      </w:tcPr>
    </w:tblStylePr>
    <w:tblStylePr w:type="lastRow">
      <w:rPr>
        <w:b w:val="0"/>
        <w:bCs w:val="0"/>
      </w:rPr>
      <w:tblPr/>
      <w:tcPr>
        <w:tcBorders>
          <w:top w:val="single" w:color="00000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4">
    <w:name w:val="Table Grid 8"/>
    <w:basedOn w:val="84"/>
    <w:semiHidden/>
    <w:qFormat/>
    <w:uiPriority w:val="0"/>
    <w:pPr>
      <w:widowControl w:val="0"/>
      <w:spacing w:line="360" w:lineRule="auto"/>
      <w:ind w:firstLine="200" w:firstLineChars="200"/>
      <w:jc w:val="both"/>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5">
    <w:name w:val="Table Web 1"/>
    <w:basedOn w:val="84"/>
    <w:semiHidden/>
    <w:qFormat/>
    <w:uiPriority w:val="0"/>
    <w:pPr>
      <w:widowControl w:val="0"/>
      <w:spacing w:line="360" w:lineRule="auto"/>
      <w:ind w:firstLine="200" w:firstLineChars="200"/>
      <w:jc w:val="both"/>
    </w:p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26">
    <w:name w:val="Table Web 2"/>
    <w:basedOn w:val="84"/>
    <w:semiHidden/>
    <w:qFormat/>
    <w:uiPriority w:val="0"/>
    <w:pPr>
      <w:widowControl w:val="0"/>
      <w:spacing w:line="360" w:lineRule="auto"/>
      <w:ind w:firstLine="200" w:firstLineChars="200"/>
      <w:jc w:val="both"/>
    </w:p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27">
    <w:name w:val="Table Web 3"/>
    <w:basedOn w:val="84"/>
    <w:semiHidden/>
    <w:qFormat/>
    <w:uiPriority w:val="0"/>
    <w:pPr>
      <w:widowControl w:val="0"/>
      <w:spacing w:line="360" w:lineRule="auto"/>
      <w:ind w:firstLine="200" w:firstLineChars="200"/>
      <w:jc w:val="both"/>
    </w:p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28">
    <w:name w:val="Table Professional"/>
    <w:basedOn w:val="84"/>
    <w:semiHidden/>
    <w:qFormat/>
    <w:uiPriority w:val="0"/>
    <w:pPr>
      <w:widowControl w:val="0"/>
      <w:spacing w:line="360" w:lineRule="auto"/>
      <w:ind w:firstLine="200" w:firstLineChars="20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130">
    <w:name w:val="Strong"/>
    <w:basedOn w:val="129"/>
    <w:qFormat/>
    <w:uiPriority w:val="0"/>
    <w:rPr>
      <w:b/>
    </w:rPr>
  </w:style>
  <w:style w:type="character" w:styleId="131">
    <w:name w:val="page number"/>
    <w:basedOn w:val="129"/>
    <w:qFormat/>
    <w:uiPriority w:val="0"/>
  </w:style>
  <w:style w:type="character" w:styleId="132">
    <w:name w:val="FollowedHyperlink"/>
    <w:qFormat/>
    <w:uiPriority w:val="0"/>
    <w:rPr>
      <w:rFonts w:ascii="宋体" w:hAnsi="宋体" w:cs="宋体"/>
      <w:color w:val="800080"/>
      <w:sz w:val="24"/>
      <w:u w:val="single"/>
    </w:rPr>
  </w:style>
  <w:style w:type="character" w:styleId="133">
    <w:name w:val="Emphasis"/>
    <w:qFormat/>
    <w:uiPriority w:val="0"/>
    <w:rPr>
      <w:color w:val="CC0033"/>
    </w:rPr>
  </w:style>
  <w:style w:type="character" w:styleId="134">
    <w:name w:val="line number"/>
    <w:semiHidden/>
    <w:qFormat/>
    <w:uiPriority w:val="0"/>
  </w:style>
  <w:style w:type="character" w:styleId="135">
    <w:name w:val="HTML Definition"/>
    <w:semiHidden/>
    <w:qFormat/>
    <w:uiPriority w:val="0"/>
    <w:rPr>
      <w:rFonts w:ascii="宋体" w:hAnsi="宋体" w:cs="宋体"/>
      <w:i/>
      <w:iCs/>
      <w:sz w:val="24"/>
    </w:rPr>
  </w:style>
  <w:style w:type="character" w:styleId="136">
    <w:name w:val="HTML Typewriter"/>
    <w:qFormat/>
    <w:uiPriority w:val="0"/>
    <w:rPr>
      <w:rFonts w:ascii="Courier New" w:hAnsi="Courier New" w:cs="Courier New"/>
      <w:sz w:val="20"/>
      <w:szCs w:val="20"/>
    </w:rPr>
  </w:style>
  <w:style w:type="character" w:styleId="137">
    <w:name w:val="HTML Acronym"/>
    <w:semiHidden/>
    <w:qFormat/>
    <w:uiPriority w:val="0"/>
  </w:style>
  <w:style w:type="character" w:styleId="138">
    <w:name w:val="HTML Variable"/>
    <w:semiHidden/>
    <w:qFormat/>
    <w:uiPriority w:val="0"/>
    <w:rPr>
      <w:rFonts w:ascii="宋体" w:hAnsi="宋体" w:cs="宋体"/>
      <w:i/>
      <w:iCs/>
      <w:sz w:val="24"/>
    </w:rPr>
  </w:style>
  <w:style w:type="character" w:styleId="139">
    <w:name w:val="Hyperlink"/>
    <w:qFormat/>
    <w:uiPriority w:val="99"/>
    <w:rPr>
      <w:color w:val="0000FF"/>
      <w:u w:val="single"/>
    </w:rPr>
  </w:style>
  <w:style w:type="character" w:styleId="140">
    <w:name w:val="HTML Code"/>
    <w:semiHidden/>
    <w:qFormat/>
    <w:uiPriority w:val="0"/>
    <w:rPr>
      <w:rFonts w:ascii="Courier New" w:hAnsi="Courier New" w:cs="Courier New"/>
      <w:sz w:val="20"/>
      <w:szCs w:val="20"/>
    </w:rPr>
  </w:style>
  <w:style w:type="character" w:styleId="141">
    <w:name w:val="annotation reference"/>
    <w:qFormat/>
    <w:uiPriority w:val="0"/>
    <w:rPr>
      <w:sz w:val="21"/>
      <w:szCs w:val="21"/>
    </w:rPr>
  </w:style>
  <w:style w:type="character" w:styleId="142">
    <w:name w:val="HTML Cite"/>
    <w:semiHidden/>
    <w:qFormat/>
    <w:uiPriority w:val="0"/>
    <w:rPr>
      <w:rFonts w:ascii="宋体" w:hAnsi="宋体" w:cs="宋体"/>
      <w:i/>
      <w:iCs/>
      <w:sz w:val="24"/>
    </w:rPr>
  </w:style>
  <w:style w:type="character" w:styleId="143">
    <w:name w:val="footnote reference"/>
    <w:qFormat/>
    <w:uiPriority w:val="0"/>
    <w:rPr>
      <w:rFonts w:ascii="宋体" w:hAnsi="宋体" w:cs="宋体"/>
      <w:sz w:val="24"/>
      <w:vertAlign w:val="superscript"/>
    </w:rPr>
  </w:style>
  <w:style w:type="character" w:styleId="144">
    <w:name w:val="HTML Keyboard"/>
    <w:semiHidden/>
    <w:qFormat/>
    <w:uiPriority w:val="0"/>
    <w:rPr>
      <w:rFonts w:ascii="Courier New" w:hAnsi="Courier New" w:cs="Courier New"/>
      <w:sz w:val="20"/>
      <w:szCs w:val="20"/>
    </w:rPr>
  </w:style>
  <w:style w:type="character" w:styleId="145">
    <w:name w:val="HTML Sample"/>
    <w:semiHidden/>
    <w:qFormat/>
    <w:uiPriority w:val="0"/>
    <w:rPr>
      <w:rFonts w:ascii="Courier New" w:hAnsi="Courier New" w:cs="Courier New"/>
      <w:sz w:val="24"/>
    </w:rPr>
  </w:style>
  <w:style w:type="paragraph" w:customStyle="1" w:styleId="146">
    <w:name w:val="Normal (Web)1"/>
    <w:basedOn w:val="1"/>
    <w:next w:val="147"/>
    <w:qFormat/>
    <w:uiPriority w:val="0"/>
    <w:pPr>
      <w:widowControl/>
    </w:pPr>
    <w:rPr>
      <w:rFonts w:ascii="宋体" w:eastAsia="宋体" w:cs="Times New Roman"/>
      <w:sz w:val="24"/>
      <w:szCs w:val="21"/>
    </w:rPr>
  </w:style>
  <w:style w:type="paragraph" w:customStyle="1" w:styleId="147">
    <w:name w:val="Date1"/>
    <w:basedOn w:val="5"/>
    <w:next w:val="1"/>
    <w:qFormat/>
    <w:uiPriority w:val="99"/>
    <w:pPr>
      <w:keepNext w:val="0"/>
      <w:keepLines w:val="0"/>
      <w:tabs>
        <w:tab w:val="left" w:pos="425"/>
      </w:tabs>
      <w:adjustRightInd w:val="0"/>
      <w:spacing w:before="0" w:after="0" w:line="500" w:lineRule="atLeast"/>
      <w:ind w:firstLine="425" w:firstLineChars="177"/>
      <w:outlineLvl w:val="9"/>
    </w:pPr>
    <w:rPr>
      <w:b w:val="0"/>
      <w:bCs w:val="0"/>
      <w:kern w:val="2"/>
      <w:sz w:val="24"/>
      <w:szCs w:val="20"/>
    </w:rPr>
  </w:style>
  <w:style w:type="paragraph" w:customStyle="1" w:styleId="148">
    <w:name w:val="Default"/>
    <w:basedOn w:val="149"/>
    <w:next w:val="1"/>
    <w:qFormat/>
    <w:uiPriority w:val="0"/>
    <w:pPr>
      <w:widowControl w:val="0"/>
      <w:autoSpaceDE w:val="0"/>
      <w:autoSpaceDN w:val="0"/>
      <w:adjustRightInd w:val="0"/>
    </w:pPr>
    <w:rPr>
      <w:color w:val="000000"/>
      <w:kern w:val="2"/>
      <w:sz w:val="24"/>
      <w:szCs w:val="24"/>
      <w:lang w:val="en-US" w:eastAsia="zh-CN" w:bidi="ar-SA"/>
    </w:rPr>
  </w:style>
  <w:style w:type="paragraph" w:customStyle="1" w:styleId="149">
    <w:name w:val="纯文本1"/>
    <w:qFormat/>
    <w:uiPriority w:val="0"/>
    <w:pPr>
      <w:adjustRightInd w:val="0"/>
      <w:jc w:val="center"/>
      <w:textAlignment w:val="baseline"/>
    </w:pPr>
    <w:rPr>
      <w:rFonts w:ascii="宋体" w:hAnsi="Courier New" w:eastAsia="宋体" w:cs="Times New Roman"/>
      <w:sz w:val="24"/>
      <w:lang w:val="en-US" w:eastAsia="zh-CN" w:bidi="ar-SA"/>
    </w:rPr>
  </w:style>
  <w:style w:type="paragraph" w:customStyle="1" w:styleId="150">
    <w:name w:val="标题 段落4级"/>
    <w:qFormat/>
    <w:uiPriority w:val="0"/>
    <w:pPr>
      <w:spacing w:line="500" w:lineRule="exact"/>
      <w:outlineLvl w:val="3"/>
    </w:pPr>
    <w:rPr>
      <w:rFonts w:ascii="Times New Roman" w:hAnsi="Times New Roman" w:eastAsia="仿宋_GB2312" w:cs="Calibri"/>
      <w:b/>
      <w:kern w:val="2"/>
      <w:sz w:val="28"/>
      <w:szCs w:val="24"/>
      <w:lang w:val="en-US" w:eastAsia="zh-CN" w:bidi="ar-SA"/>
    </w:rPr>
  </w:style>
  <w:style w:type="paragraph" w:customStyle="1" w:styleId="151">
    <w:name w:val="正文文字 6"/>
    <w:next w:val="1"/>
    <w:qFormat/>
    <w:uiPriority w:val="0"/>
    <w:pPr>
      <w:widowControl w:val="0"/>
      <w:ind w:left="240"/>
      <w:jc w:val="both"/>
    </w:pPr>
    <w:rPr>
      <w:rFonts w:ascii="宋体" w:hAnsi="Times New Roman" w:eastAsia="宋体" w:cs="Times New Roman"/>
      <w:b/>
      <w:bCs/>
      <w:kern w:val="2"/>
      <w:sz w:val="32"/>
      <w:szCs w:val="32"/>
      <w:lang w:val="en-US" w:eastAsia="zh-CN" w:bidi="ar-SA"/>
    </w:rPr>
  </w:style>
  <w:style w:type="paragraph" w:customStyle="1" w:styleId="152">
    <w:name w:val="正文+2"/>
    <w:basedOn w:val="1"/>
    <w:qFormat/>
    <w:uiPriority w:val="0"/>
    <w:pPr>
      <w:tabs>
        <w:tab w:val="left" w:pos="640"/>
      </w:tabs>
      <w:ind w:firstLine="200" w:firstLineChars="200"/>
    </w:pPr>
    <w:rPr>
      <w:rFonts w:ascii="Calibri" w:hAnsi="Calibri" w:eastAsia="宋体" w:cs="Times New Roman"/>
      <w:szCs w:val="24"/>
    </w:rPr>
  </w:style>
  <w:style w:type="paragraph" w:customStyle="1" w:styleId="153">
    <w:name w:val="样式 标题 1一级标题 + 段前: 0.5 行 段后: 0.5 行"/>
    <w:basedOn w:val="5"/>
    <w:qFormat/>
    <w:uiPriority w:val="99"/>
    <w:pPr>
      <w:spacing w:line="320" w:lineRule="exact"/>
      <w:outlineLvl w:val="9"/>
    </w:pPr>
    <w:rPr>
      <w:spacing w:val="-6"/>
      <w:sz w:val="21"/>
      <w:szCs w:val="21"/>
    </w:rPr>
  </w:style>
  <w:style w:type="paragraph" w:customStyle="1" w:styleId="154">
    <w:name w:val="BodyText"/>
    <w:basedOn w:val="1"/>
    <w:qFormat/>
    <w:uiPriority w:val="0"/>
    <w:pPr>
      <w:spacing w:line="240" w:lineRule="auto"/>
      <w:jc w:val="both"/>
      <w:textAlignment w:val="baseline"/>
    </w:pPr>
    <w:rPr>
      <w:rFonts w:ascii="宋体" w:hAnsi="宋体" w:eastAsia="宋体" w:cs="Times New Roman"/>
      <w:kern w:val="2"/>
      <w:sz w:val="21"/>
      <w:szCs w:val="21"/>
      <w:lang w:val="en-US" w:eastAsia="zh-CN" w:bidi="ar-SA"/>
    </w:rPr>
  </w:style>
  <w:style w:type="paragraph" w:customStyle="1" w:styleId="155">
    <w:name w:val="UserStyle_0"/>
    <w:basedOn w:val="1"/>
    <w:qFormat/>
    <w:uiPriority w:val="0"/>
    <w:pPr>
      <w:jc w:val="both"/>
      <w:textAlignment w:val="baseline"/>
    </w:pPr>
    <w:rPr>
      <w:rFonts w:ascii="Times New Roman" w:hAnsi="Times New Roman" w:eastAsia="宋体"/>
      <w:kern w:val="2"/>
      <w:sz w:val="24"/>
      <w:lang w:val="en-US" w:eastAsia="zh-CN"/>
    </w:rPr>
  </w:style>
  <w:style w:type="paragraph" w:customStyle="1" w:styleId="156">
    <w:name w:val="样式 正文11 + 首行缩进:  2 字符"/>
    <w:basedOn w:val="1"/>
    <w:qFormat/>
    <w:uiPriority w:val="0"/>
    <w:pPr>
      <w:spacing w:line="500" w:lineRule="exact"/>
      <w:ind w:firstLine="560"/>
    </w:pPr>
    <w:rPr>
      <w:rFonts w:ascii="宋体" w:hAnsi="宋体" w:cs="宋体"/>
      <w:color w:val="FF0000"/>
      <w:sz w:val="28"/>
    </w:rPr>
  </w:style>
  <w:style w:type="character" w:customStyle="1" w:styleId="157">
    <w:name w:val="标题 1 字符"/>
    <w:link w:val="5"/>
    <w:qFormat/>
    <w:uiPriority w:val="0"/>
    <w:rPr>
      <w:rFonts w:ascii="Times New Roman" w:hAnsi="Times New Roman" w:eastAsia="宋体" w:cs="Times New Roman"/>
      <w:b/>
      <w:bCs/>
      <w:kern w:val="44"/>
      <w:sz w:val="32"/>
      <w:szCs w:val="32"/>
      <w:lang w:val="en-US" w:eastAsia="zh-CN" w:bidi="ar-SA"/>
    </w:rPr>
  </w:style>
  <w:style w:type="character" w:customStyle="1" w:styleId="158">
    <w:name w:val="标题 2 字符"/>
    <w:link w:val="6"/>
    <w:qFormat/>
    <w:uiPriority w:val="0"/>
    <w:rPr>
      <w:rFonts w:ascii="Times New Roman" w:hAnsi="Times New Roman" w:eastAsia="宋体"/>
      <w:b/>
      <w:bCs/>
      <w:kern w:val="2"/>
      <w:sz w:val="30"/>
      <w:szCs w:val="30"/>
      <w:lang w:val="en-US" w:eastAsia="zh-CN" w:bidi="ar-SA"/>
    </w:rPr>
  </w:style>
  <w:style w:type="character" w:customStyle="1" w:styleId="159">
    <w:name w:val="标题 3 字符"/>
    <w:link w:val="7"/>
    <w:qFormat/>
    <w:uiPriority w:val="0"/>
    <w:rPr>
      <w:rFonts w:ascii="Times New Roman" w:hAnsi="Times New Roman" w:eastAsia="宋体" w:cs="宋体"/>
      <w:b/>
      <w:bCs/>
      <w:kern w:val="2"/>
      <w:sz w:val="28"/>
      <w:szCs w:val="28"/>
    </w:rPr>
  </w:style>
  <w:style w:type="character" w:customStyle="1" w:styleId="160">
    <w:name w:val="标题 4 字符"/>
    <w:link w:val="8"/>
    <w:qFormat/>
    <w:uiPriority w:val="0"/>
    <w:rPr>
      <w:rFonts w:ascii="Times New Roman" w:hAnsi="Times New Roman" w:eastAsia="宋体" w:cs="Times New Roman"/>
      <w:b/>
      <w:bCs/>
      <w:kern w:val="2"/>
      <w:sz w:val="24"/>
      <w:szCs w:val="24"/>
      <w:lang w:val="en-US" w:eastAsia="zh-CN" w:bidi="ar-SA"/>
    </w:rPr>
  </w:style>
  <w:style w:type="character" w:customStyle="1" w:styleId="161">
    <w:name w:val="标题 5 字符"/>
    <w:link w:val="9"/>
    <w:qFormat/>
    <w:uiPriority w:val="0"/>
    <w:rPr>
      <w:rFonts w:ascii="宋体" w:hAnsi="宋体" w:eastAsia="宋体" w:cs="宋体"/>
      <w:b/>
      <w:color w:val="000000"/>
      <w:kern w:val="28"/>
      <w:sz w:val="24"/>
      <w:lang w:val="en-US" w:eastAsia="zh-CN" w:bidi="ar-SA"/>
    </w:rPr>
  </w:style>
  <w:style w:type="character" w:customStyle="1" w:styleId="162">
    <w:name w:val="标题 6 字符"/>
    <w:link w:val="10"/>
    <w:qFormat/>
    <w:uiPriority w:val="0"/>
    <w:rPr>
      <w:rFonts w:ascii="Arial" w:hAnsi="Arial" w:eastAsia="黑体" w:cs="宋体"/>
      <w:b/>
      <w:color w:val="000000"/>
      <w:kern w:val="28"/>
      <w:sz w:val="24"/>
      <w:lang w:val="en-US" w:eastAsia="zh-CN" w:bidi="ar-SA"/>
    </w:rPr>
  </w:style>
  <w:style w:type="character" w:customStyle="1" w:styleId="163">
    <w:name w:val="标题 7 字符"/>
    <w:link w:val="11"/>
    <w:qFormat/>
    <w:uiPriority w:val="0"/>
    <w:rPr>
      <w:rFonts w:ascii="宋体" w:hAnsi="宋体" w:eastAsia="宋体" w:cs="宋体"/>
      <w:b/>
      <w:color w:val="000000"/>
      <w:kern w:val="28"/>
      <w:sz w:val="24"/>
      <w:lang w:val="en-US" w:eastAsia="zh-CN" w:bidi="ar-SA"/>
    </w:rPr>
  </w:style>
  <w:style w:type="character" w:customStyle="1" w:styleId="164">
    <w:name w:val="标题 8 字符"/>
    <w:link w:val="12"/>
    <w:qFormat/>
    <w:uiPriority w:val="0"/>
    <w:rPr>
      <w:rFonts w:ascii="Arial" w:hAnsi="Arial" w:eastAsia="黑体" w:cs="宋体"/>
      <w:color w:val="000000"/>
      <w:kern w:val="28"/>
      <w:sz w:val="24"/>
      <w:lang w:val="en-US" w:eastAsia="zh-CN" w:bidi="ar-SA"/>
    </w:rPr>
  </w:style>
  <w:style w:type="character" w:customStyle="1" w:styleId="165">
    <w:name w:val="标题 9 字符"/>
    <w:link w:val="13"/>
    <w:qFormat/>
    <w:uiPriority w:val="0"/>
    <w:rPr>
      <w:rFonts w:ascii="Arial" w:hAnsi="Arial" w:eastAsia="黑体" w:cs="宋体"/>
      <w:color w:val="000000"/>
      <w:kern w:val="28"/>
      <w:sz w:val="28"/>
      <w:lang w:val="en-US" w:eastAsia="zh-CN" w:bidi="ar-SA"/>
    </w:rPr>
  </w:style>
  <w:style w:type="character" w:customStyle="1" w:styleId="166">
    <w:name w:val="正文缩进 字符"/>
    <w:link w:val="22"/>
    <w:qFormat/>
    <w:uiPriority w:val="0"/>
    <w:rPr>
      <w:rFonts w:eastAsia="宋体"/>
      <w:kern w:val="2"/>
      <w:sz w:val="21"/>
      <w:szCs w:val="21"/>
      <w:lang w:val="en-US" w:eastAsia="zh-CN" w:bidi="ar-SA"/>
    </w:rPr>
  </w:style>
  <w:style w:type="character" w:customStyle="1" w:styleId="167">
    <w:name w:val="题注 字符"/>
    <w:link w:val="23"/>
    <w:qFormat/>
    <w:uiPriority w:val="0"/>
    <w:rPr>
      <w:rFonts w:ascii="Arial" w:hAnsi="Arial" w:eastAsia="黑体" w:cs="Arial"/>
      <w:kern w:val="2"/>
      <w:lang w:val="en-US" w:eastAsia="zh-CN" w:bidi="ar-SA"/>
    </w:rPr>
  </w:style>
  <w:style w:type="character" w:customStyle="1" w:styleId="168">
    <w:name w:val="文档结构图 字符"/>
    <w:link w:val="26"/>
    <w:qFormat/>
    <w:uiPriority w:val="0"/>
    <w:rPr>
      <w:rFonts w:ascii="宋体" w:hAnsi="宋体" w:eastAsia="宋体" w:cs="宋体"/>
      <w:kern w:val="2"/>
      <w:sz w:val="21"/>
      <w:szCs w:val="24"/>
      <w:lang w:val="en-US" w:eastAsia="zh-CN" w:bidi="ar-SA"/>
    </w:rPr>
  </w:style>
  <w:style w:type="character" w:customStyle="1" w:styleId="169">
    <w:name w:val="批注文字 字符"/>
    <w:link w:val="28"/>
    <w:qFormat/>
    <w:uiPriority w:val="0"/>
    <w:rPr>
      <w:rFonts w:eastAsia="宋体"/>
      <w:kern w:val="2"/>
      <w:sz w:val="21"/>
      <w:szCs w:val="24"/>
      <w:lang w:val="en-US" w:eastAsia="zh-CN" w:bidi="ar-SA"/>
    </w:rPr>
  </w:style>
  <w:style w:type="character" w:customStyle="1" w:styleId="170">
    <w:name w:val="正文文本 3 字符"/>
    <w:link w:val="30"/>
    <w:qFormat/>
    <w:uiPriority w:val="0"/>
    <w:rPr>
      <w:rFonts w:ascii="宋体" w:hAnsi="宋体" w:eastAsia="宋体" w:cs="宋体"/>
      <w:kern w:val="2"/>
      <w:sz w:val="18"/>
      <w:szCs w:val="24"/>
      <w:lang w:val="en-US" w:eastAsia="zh-CN" w:bidi="ar-SA"/>
    </w:rPr>
  </w:style>
  <w:style w:type="character" w:customStyle="1" w:styleId="171">
    <w:name w:val="正文文本 字符"/>
    <w:link w:val="3"/>
    <w:qFormat/>
    <w:uiPriority w:val="0"/>
    <w:rPr>
      <w:rFonts w:ascii="宋体" w:hAnsi="宋体" w:eastAsia="宋体" w:cs="宋体"/>
      <w:kern w:val="2"/>
      <w:sz w:val="21"/>
      <w:szCs w:val="24"/>
      <w:lang w:val="en-US" w:eastAsia="zh-CN" w:bidi="ar-SA"/>
    </w:rPr>
  </w:style>
  <w:style w:type="character" w:customStyle="1" w:styleId="172">
    <w:name w:val="正文文本缩进 字符"/>
    <w:link w:val="33"/>
    <w:qFormat/>
    <w:uiPriority w:val="0"/>
    <w:rPr>
      <w:rFonts w:ascii="宋体" w:hAnsi="宋体" w:eastAsia="宋体" w:cs="宋体"/>
      <w:kern w:val="2"/>
      <w:sz w:val="21"/>
      <w:szCs w:val="24"/>
      <w:lang w:val="en-US" w:eastAsia="zh-CN" w:bidi="ar-SA"/>
    </w:rPr>
  </w:style>
  <w:style w:type="character" w:customStyle="1" w:styleId="173">
    <w:name w:val="纯文本 字符"/>
    <w:link w:val="43"/>
    <w:qFormat/>
    <w:uiPriority w:val="0"/>
    <w:rPr>
      <w:rFonts w:ascii="宋体" w:hAnsi="宋体" w:eastAsia="宋体"/>
      <w:kern w:val="2"/>
      <w:sz w:val="28"/>
      <w:lang w:val="en-US" w:eastAsia="zh-CN" w:bidi="ar-SA"/>
    </w:rPr>
  </w:style>
  <w:style w:type="character" w:customStyle="1" w:styleId="174">
    <w:name w:val="正文文本缩进 2 字符"/>
    <w:link w:val="49"/>
    <w:qFormat/>
    <w:uiPriority w:val="0"/>
    <w:rPr>
      <w:rFonts w:ascii="宋体" w:hAnsi="宋体" w:eastAsia="宋体" w:cs="宋体"/>
      <w:kern w:val="2"/>
      <w:sz w:val="21"/>
      <w:szCs w:val="24"/>
      <w:lang w:val="en-US" w:eastAsia="zh-CN" w:bidi="ar-SA"/>
    </w:rPr>
  </w:style>
  <w:style w:type="character" w:customStyle="1" w:styleId="175">
    <w:name w:val="批注框文本 字符"/>
    <w:link w:val="52"/>
    <w:qFormat/>
    <w:uiPriority w:val="0"/>
    <w:rPr>
      <w:rFonts w:ascii="宋体" w:hAnsi="宋体" w:eastAsia="宋体" w:cs="宋体"/>
      <w:kern w:val="2"/>
      <w:sz w:val="18"/>
      <w:szCs w:val="18"/>
      <w:lang w:val="en-US" w:eastAsia="zh-CN" w:bidi="ar-SA"/>
    </w:rPr>
  </w:style>
  <w:style w:type="character" w:customStyle="1" w:styleId="176">
    <w:name w:val="页脚 字符"/>
    <w:link w:val="53"/>
    <w:qFormat/>
    <w:uiPriority w:val="0"/>
    <w:rPr>
      <w:rFonts w:ascii="宋体" w:hAnsi="宋体" w:eastAsia="宋体" w:cs="宋体"/>
      <w:kern w:val="2"/>
      <w:sz w:val="18"/>
      <w:szCs w:val="18"/>
      <w:lang w:val="en-US" w:eastAsia="zh-CN" w:bidi="ar-SA"/>
    </w:rPr>
  </w:style>
  <w:style w:type="character" w:customStyle="1" w:styleId="177">
    <w:name w:val="页眉 字符"/>
    <w:link w:val="55"/>
    <w:qFormat/>
    <w:uiPriority w:val="0"/>
    <w:rPr>
      <w:rFonts w:ascii="宋体" w:hAnsi="宋体" w:eastAsia="宋体" w:cs="宋体"/>
      <w:kern w:val="2"/>
      <w:sz w:val="18"/>
      <w:lang w:val="en-US" w:eastAsia="zh-CN" w:bidi="ar-SA"/>
    </w:rPr>
  </w:style>
  <w:style w:type="character" w:customStyle="1" w:styleId="178">
    <w:name w:val="副标题 字符"/>
    <w:link w:val="60"/>
    <w:qFormat/>
    <w:uiPriority w:val="0"/>
    <w:rPr>
      <w:rFonts w:ascii="Arial" w:hAnsi="Arial" w:eastAsia="宋体" w:cs="宋体"/>
      <w:i/>
      <w:sz w:val="24"/>
      <w:lang w:val="en-US" w:eastAsia="zh-CN" w:bidi="ar-SA"/>
    </w:rPr>
  </w:style>
  <w:style w:type="character" w:customStyle="1" w:styleId="179">
    <w:name w:val="脚注文本 字符"/>
    <w:link w:val="63"/>
    <w:qFormat/>
    <w:uiPriority w:val="0"/>
    <w:rPr>
      <w:rFonts w:ascii="宋体" w:hAnsi="宋体" w:eastAsia="宋体" w:cs="宋体"/>
      <w:kern w:val="2"/>
      <w:sz w:val="18"/>
      <w:szCs w:val="18"/>
      <w:lang w:val="en-US" w:eastAsia="zh-CN" w:bidi="ar-SA"/>
    </w:rPr>
  </w:style>
  <w:style w:type="character" w:customStyle="1" w:styleId="180">
    <w:name w:val="正文文本缩进 3 字符"/>
    <w:link w:val="66"/>
    <w:qFormat/>
    <w:uiPriority w:val="0"/>
    <w:rPr>
      <w:rFonts w:ascii="仿宋_GB2312" w:hAnsi="宋体" w:eastAsia="仿宋_GB2312" w:cs="宋体"/>
      <w:color w:val="000000"/>
      <w:sz w:val="28"/>
      <w:lang w:val="en-US" w:eastAsia="zh-CN" w:bidi="ar-SA"/>
    </w:rPr>
  </w:style>
  <w:style w:type="character" w:customStyle="1" w:styleId="181">
    <w:name w:val="TOC 9 字符"/>
    <w:link w:val="71"/>
    <w:qFormat/>
    <w:uiPriority w:val="39"/>
    <w:rPr>
      <w:sz w:val="18"/>
      <w:szCs w:val="18"/>
    </w:rPr>
  </w:style>
  <w:style w:type="character" w:customStyle="1" w:styleId="182">
    <w:name w:val="正文文本 2 字符"/>
    <w:link w:val="72"/>
    <w:qFormat/>
    <w:uiPriority w:val="0"/>
    <w:rPr>
      <w:spacing w:val="16"/>
      <w:kern w:val="2"/>
      <w:sz w:val="24"/>
      <w:szCs w:val="24"/>
    </w:rPr>
  </w:style>
  <w:style w:type="character" w:customStyle="1" w:styleId="183">
    <w:name w:val="HTML 预设格式 字符"/>
    <w:link w:val="76"/>
    <w:qFormat/>
    <w:uiPriority w:val="0"/>
    <w:rPr>
      <w:rFonts w:ascii="宋体" w:hAnsi="宋体" w:eastAsia="宋体" w:cs="Courier New"/>
      <w:color w:val="000000"/>
      <w:sz w:val="21"/>
      <w:szCs w:val="21"/>
      <w:lang w:val="en-US" w:eastAsia="zh-CN" w:bidi="ar-SA"/>
    </w:rPr>
  </w:style>
  <w:style w:type="character" w:customStyle="1" w:styleId="184">
    <w:name w:val="索引 1 字符"/>
    <w:link w:val="79"/>
    <w:qFormat/>
    <w:uiPriority w:val="0"/>
    <w:rPr>
      <w:sz w:val="18"/>
      <w:szCs w:val="18"/>
    </w:rPr>
  </w:style>
  <w:style w:type="character" w:customStyle="1" w:styleId="185">
    <w:name w:val="批注主题 字符"/>
    <w:link w:val="82"/>
    <w:qFormat/>
    <w:uiPriority w:val="0"/>
    <w:rPr>
      <w:rFonts w:eastAsia="宋体"/>
      <w:b/>
      <w:bCs/>
      <w:kern w:val="2"/>
      <w:sz w:val="21"/>
      <w:szCs w:val="24"/>
      <w:lang w:val="en-US" w:eastAsia="zh-CN" w:bidi="ar-SA"/>
    </w:rPr>
  </w:style>
  <w:style w:type="character" w:customStyle="1" w:styleId="186">
    <w:name w:val="正文文本首行缩进 字符"/>
    <w:link w:val="2"/>
    <w:qFormat/>
    <w:uiPriority w:val="0"/>
    <w:rPr>
      <w:rFonts w:eastAsia="宋体"/>
      <w:kern w:val="2"/>
      <w:sz w:val="21"/>
      <w:szCs w:val="24"/>
      <w:lang w:val="en-US" w:eastAsia="zh-CN" w:bidi="ar-SA"/>
    </w:rPr>
  </w:style>
  <w:style w:type="paragraph" w:customStyle="1" w:styleId="187">
    <w:name w:val="批注文字1"/>
    <w:qFormat/>
    <w:uiPriority w:val="0"/>
    <w:pPr>
      <w:widowControl w:val="0"/>
    </w:pPr>
    <w:rPr>
      <w:rFonts w:ascii="Times New Roman" w:hAnsi="Times New Roman" w:eastAsia="宋体" w:cs="Times New Roman"/>
      <w:color w:val="000000"/>
      <w:kern w:val="2"/>
      <w:sz w:val="21"/>
      <w:szCs w:val="24"/>
      <w:lang w:val="en-US" w:eastAsia="zh-CN" w:bidi="ar-SA"/>
    </w:rPr>
  </w:style>
  <w:style w:type="paragraph" w:customStyle="1" w:styleId="188">
    <w:name w:val="样式 正文文本缩进 + 行距: 1.5 倍行距"/>
    <w:basedOn w:val="1"/>
    <w:qFormat/>
    <w:uiPriority w:val="0"/>
    <w:pPr>
      <w:spacing w:after="120" w:line="360" w:lineRule="auto"/>
      <w:ind w:left="90" w:leftChars="32" w:firstLine="560" w:firstLineChars="200"/>
    </w:pPr>
    <w:rPr>
      <w:rFonts w:cs="宋体"/>
    </w:rPr>
  </w:style>
  <w:style w:type="character" w:customStyle="1" w:styleId="189">
    <w:name w:val="F文字-下标"/>
    <w:qFormat/>
    <w:uiPriority w:val="0"/>
    <w:rPr>
      <w:rFonts w:ascii="Times New Roman" w:hAnsi="Times New Roman" w:eastAsia="仿宋_GB2312" w:cs="宋体"/>
      <w:sz w:val="24"/>
      <w:szCs w:val="24"/>
      <w:vertAlign w:val="subscript"/>
    </w:rPr>
  </w:style>
  <w:style w:type="character" w:customStyle="1" w:styleId="190">
    <w:name w:val="BG Char"/>
    <w:link w:val="191"/>
    <w:qFormat/>
    <w:uiPriority w:val="0"/>
    <w:rPr>
      <w:rFonts w:ascii="宋体" w:hAnsi="宋体" w:eastAsia="宋体" w:cs="宋体"/>
      <w:kern w:val="2"/>
      <w:sz w:val="21"/>
      <w:szCs w:val="24"/>
      <w:lang w:val="en-US" w:eastAsia="zh-CN" w:bidi="ar-SA"/>
    </w:rPr>
  </w:style>
  <w:style w:type="paragraph" w:customStyle="1" w:styleId="191">
    <w:name w:val="BG"/>
    <w:basedOn w:val="1"/>
    <w:link w:val="190"/>
    <w:qFormat/>
    <w:uiPriority w:val="0"/>
    <w:pPr>
      <w:jc w:val="center"/>
    </w:pPr>
    <w:rPr>
      <w:rFonts w:ascii="宋体" w:hAnsi="宋体" w:cs="宋体"/>
    </w:rPr>
  </w:style>
  <w:style w:type="character" w:customStyle="1" w:styleId="192">
    <w:name w:val="图表题注 Char Char"/>
    <w:qFormat/>
    <w:uiPriority w:val="0"/>
    <w:rPr>
      <w:rFonts w:ascii="宋体" w:eastAsia="仿宋_GB2312"/>
      <w:kern w:val="2"/>
      <w:sz w:val="28"/>
      <w:szCs w:val="24"/>
      <w:lang w:val="en-US" w:eastAsia="zh-CN" w:bidi="ar-SA"/>
    </w:rPr>
  </w:style>
  <w:style w:type="character" w:customStyle="1" w:styleId="193">
    <w:name w:val="款标题1.1.1.1 Char1"/>
    <w:qFormat/>
    <w:uiPriority w:val="0"/>
    <w:rPr>
      <w:rFonts w:ascii="Arial" w:hAnsi="Arial" w:eastAsia="黑体" w:cs="宋体"/>
      <w:b/>
      <w:bCs/>
      <w:kern w:val="2"/>
      <w:sz w:val="28"/>
      <w:szCs w:val="28"/>
      <w:lang w:val="en-US" w:eastAsia="zh-CN" w:bidi="ar-SA"/>
    </w:rPr>
  </w:style>
  <w:style w:type="character" w:customStyle="1" w:styleId="194">
    <w:name w:val=" Char Char Char Char3"/>
    <w:qFormat/>
    <w:uiPriority w:val="0"/>
    <w:rPr>
      <w:rFonts w:ascii="宋体" w:hAnsi="Courier New" w:cs="Courier New"/>
      <w:kern w:val="2"/>
      <w:sz w:val="21"/>
      <w:szCs w:val="21"/>
    </w:rPr>
  </w:style>
  <w:style w:type="character" w:customStyle="1" w:styleId="195">
    <w:name w:val="p91"/>
    <w:qFormat/>
    <w:uiPriority w:val="0"/>
    <w:rPr>
      <w:rFonts w:hint="eastAsia" w:ascii="宋体" w:hAnsi="宋体" w:eastAsia="宋体" w:cs="宋体"/>
      <w:sz w:val="18"/>
      <w:szCs w:val="18"/>
    </w:rPr>
  </w:style>
  <w:style w:type="character" w:customStyle="1" w:styleId="196">
    <w:name w:val="asg1"/>
    <w:qFormat/>
    <w:uiPriority w:val="0"/>
    <w:rPr>
      <w:sz w:val="18"/>
      <w:szCs w:val="18"/>
    </w:rPr>
  </w:style>
  <w:style w:type="character" w:customStyle="1" w:styleId="197">
    <w:name w:val="三级标题 Char"/>
    <w:qFormat/>
    <w:uiPriority w:val="0"/>
    <w:rPr>
      <w:rFonts w:ascii="宋体" w:hAnsi="宋体" w:eastAsia="宋体" w:cs="宋体"/>
      <w:b/>
      <w:bCs/>
      <w:kern w:val="2"/>
      <w:sz w:val="24"/>
      <w:szCs w:val="32"/>
      <w:lang w:val="en-US" w:eastAsia="zh-CN" w:bidi="ar-SA"/>
    </w:rPr>
  </w:style>
  <w:style w:type="character" w:customStyle="1" w:styleId="198">
    <w:name w:val="标题 5 Char Char Char"/>
    <w:qFormat/>
    <w:uiPriority w:val="0"/>
    <w:rPr>
      <w:rFonts w:ascii="Arial" w:hAnsi="Arial" w:eastAsia="仿宋_GB2312" w:cs="宋体"/>
      <w:sz w:val="28"/>
      <w:lang w:val="en-US" w:eastAsia="zh-CN" w:bidi="ar-SA"/>
    </w:rPr>
  </w:style>
  <w:style w:type="character" w:customStyle="1" w:styleId="199">
    <w:name w:val="样式 样式 5 + 首行缩进:  2 字符 + (西文) 宋体 小四 Char"/>
    <w:link w:val="200"/>
    <w:qFormat/>
    <w:uiPriority w:val="0"/>
    <w:rPr>
      <w:rFonts w:ascii="宋体" w:hAnsi="宋体" w:eastAsia="楷体_GB2312" w:cs="宋体"/>
      <w:spacing w:val="-2"/>
      <w:kern w:val="2"/>
      <w:sz w:val="24"/>
      <w:szCs w:val="18"/>
      <w:lang w:val="en-US" w:eastAsia="zh-CN" w:bidi="ar-SA"/>
    </w:rPr>
  </w:style>
  <w:style w:type="paragraph" w:customStyle="1" w:styleId="200">
    <w:name w:val="样式 样式 5 + 首行缩进:  2 字符 + (西文) 宋体 小四"/>
    <w:basedOn w:val="201"/>
    <w:link w:val="199"/>
    <w:qFormat/>
    <w:uiPriority w:val="0"/>
    <w:rPr>
      <w:rFonts w:ascii="宋体"/>
      <w:sz w:val="24"/>
    </w:rPr>
  </w:style>
  <w:style w:type="paragraph" w:customStyle="1" w:styleId="201">
    <w:name w:val="样式 5 + 首行缩进:  2 字符"/>
    <w:basedOn w:val="202"/>
    <w:link w:val="204"/>
    <w:qFormat/>
    <w:uiPriority w:val="0"/>
    <w:pPr>
      <w:ind w:firstLine="353" w:firstLineChars="200"/>
    </w:pPr>
    <w:rPr>
      <w:rFonts w:ascii="楷体_GB2312" w:hAnsi="宋体" w:eastAsia="楷体_GB2312" w:cs="宋体"/>
      <w:spacing w:val="-2"/>
      <w:sz w:val="18"/>
      <w:szCs w:val="18"/>
    </w:rPr>
  </w:style>
  <w:style w:type="paragraph" w:customStyle="1" w:styleId="202">
    <w:name w:val="5"/>
    <w:basedOn w:val="1"/>
    <w:next w:val="43"/>
    <w:link w:val="203"/>
    <w:qFormat/>
    <w:uiPriority w:val="0"/>
    <w:rPr>
      <w:rFonts w:ascii="宋体" w:hAnsi="Courier New" w:cs="宋体"/>
      <w:szCs w:val="20"/>
    </w:rPr>
  </w:style>
  <w:style w:type="character" w:customStyle="1" w:styleId="203">
    <w:name w:val="5 Char"/>
    <w:link w:val="202"/>
    <w:qFormat/>
    <w:uiPriority w:val="0"/>
    <w:rPr>
      <w:rFonts w:ascii="宋体" w:hAnsi="Courier New" w:eastAsia="宋体" w:cs="宋体"/>
      <w:kern w:val="2"/>
      <w:sz w:val="21"/>
      <w:lang w:val="en-US" w:eastAsia="zh-CN" w:bidi="ar-SA"/>
    </w:rPr>
  </w:style>
  <w:style w:type="character" w:customStyle="1" w:styleId="204">
    <w:name w:val="样式 5 + 首行缩进:  2 字符 Char"/>
    <w:link w:val="201"/>
    <w:qFormat/>
    <w:uiPriority w:val="0"/>
    <w:rPr>
      <w:rFonts w:ascii="楷体_GB2312" w:hAnsi="宋体" w:eastAsia="楷体_GB2312" w:cs="宋体"/>
      <w:spacing w:val="-2"/>
      <w:kern w:val="2"/>
      <w:sz w:val="18"/>
      <w:szCs w:val="18"/>
      <w:lang w:val="en-US" w:eastAsia="zh-CN" w:bidi="ar-SA"/>
    </w:rPr>
  </w:style>
  <w:style w:type="character" w:customStyle="1" w:styleId="205">
    <w:name w:val="小节标题 Char"/>
    <w:qFormat/>
    <w:uiPriority w:val="0"/>
    <w:rPr>
      <w:rFonts w:ascii="宋体" w:hAnsi="宋体" w:eastAsia="楷体_GB2312" w:cs="宋体"/>
      <w:b/>
      <w:bCs/>
      <w:kern w:val="2"/>
      <w:sz w:val="30"/>
      <w:szCs w:val="30"/>
      <w:lang w:val="en-US" w:eastAsia="zh-CN" w:bidi="ar-SA"/>
    </w:rPr>
  </w:style>
  <w:style w:type="character" w:customStyle="1" w:styleId="206">
    <w:name w:val="样式3 Char"/>
    <w:link w:val="207"/>
    <w:qFormat/>
    <w:uiPriority w:val="0"/>
    <w:rPr>
      <w:rFonts w:ascii="宋体" w:hAnsi="宋体" w:eastAsia="仿宋_GB2312" w:cs="宋体"/>
      <w:b/>
      <w:bCs/>
      <w:sz w:val="28"/>
      <w:lang w:val="en-US" w:eastAsia="zh-CN" w:bidi="ar-SA"/>
    </w:rPr>
  </w:style>
  <w:style w:type="paragraph" w:customStyle="1" w:styleId="207">
    <w:name w:val="样式3"/>
    <w:basedOn w:val="48"/>
    <w:link w:val="206"/>
    <w:qFormat/>
    <w:uiPriority w:val="0"/>
    <w:rPr>
      <w:rFonts w:ascii="宋体" w:hAnsi="宋体" w:eastAsia="仿宋_GB2312" w:cs="宋体"/>
      <w:b/>
      <w:bCs/>
      <w:kern w:val="0"/>
    </w:rPr>
  </w:style>
  <w:style w:type="character" w:customStyle="1" w:styleId="208">
    <w:name w:val="文档结构图 Char"/>
    <w:qFormat/>
    <w:uiPriority w:val="0"/>
    <w:rPr>
      <w:rFonts w:ascii="Arial" w:hAnsi="Arial" w:eastAsia="仿宋_GB2312" w:cs="宋体"/>
      <w:kern w:val="2"/>
      <w:sz w:val="28"/>
      <w:shd w:val="clear" w:color="auto" w:fill="000080"/>
    </w:rPr>
  </w:style>
  <w:style w:type="character" w:customStyle="1" w:styleId="209">
    <w:name w:val="正文一 Char"/>
    <w:link w:val="210"/>
    <w:qFormat/>
    <w:uiPriority w:val="0"/>
    <w:rPr>
      <w:rFonts w:hint="eastAsia" w:ascii="宋体" w:hAnsi="宋体" w:eastAsia="宋体" w:cs="宋体"/>
      <w:kern w:val="2"/>
      <w:sz w:val="24"/>
    </w:rPr>
  </w:style>
  <w:style w:type="paragraph" w:customStyle="1" w:styleId="210">
    <w:name w:val="正文一"/>
    <w:basedOn w:val="1"/>
    <w:link w:val="209"/>
    <w:qFormat/>
    <w:uiPriority w:val="0"/>
    <w:pPr>
      <w:keepNext w:val="0"/>
      <w:keepLines w:val="0"/>
      <w:widowControl w:val="0"/>
      <w:suppressLineNumbers w:val="0"/>
      <w:spacing w:before="0" w:beforeAutospacing="0" w:after="0" w:afterAutospacing="0" w:line="360" w:lineRule="auto"/>
      <w:ind w:left="0" w:right="0" w:firstLine="480" w:firstLineChars="200"/>
      <w:jc w:val="both"/>
    </w:pPr>
    <w:rPr>
      <w:rFonts w:hint="eastAsia" w:ascii="宋体" w:hAnsi="宋体"/>
      <w:sz w:val="24"/>
      <w:szCs w:val="20"/>
    </w:rPr>
  </w:style>
  <w:style w:type="character" w:customStyle="1" w:styleId="211">
    <w:name w:val="正文（首行缩进两字） Char1 Char Char"/>
    <w:qFormat/>
    <w:uiPriority w:val="0"/>
    <w:rPr>
      <w:rFonts w:ascii="宋体" w:hAnsi="宋体" w:eastAsia="宋体" w:cs="宋体"/>
      <w:kern w:val="2"/>
      <w:sz w:val="28"/>
      <w:szCs w:val="24"/>
      <w:lang w:val="en-US" w:eastAsia="zh-CN" w:bidi="ar-SA"/>
    </w:rPr>
  </w:style>
  <w:style w:type="character" w:customStyle="1" w:styleId="212">
    <w:name w:val="日期 Char"/>
    <w:qFormat/>
    <w:uiPriority w:val="0"/>
    <w:rPr>
      <w:rFonts w:ascii="Times New Roman" w:hAnsi="Times New Roman" w:eastAsia="宋体" w:cs="Times New Roman"/>
      <w:sz w:val="24"/>
      <w:szCs w:val="20"/>
    </w:rPr>
  </w:style>
  <w:style w:type="character" w:customStyle="1" w:styleId="213">
    <w:name w:val="标题 5 Char"/>
    <w:qFormat/>
    <w:uiPriority w:val="0"/>
    <w:rPr>
      <w:rFonts w:ascii="Times New Roman" w:hAnsi="Times New Roman" w:eastAsia="宋体" w:cs="Times New Roman"/>
      <w:b/>
      <w:bCs/>
      <w:sz w:val="28"/>
      <w:szCs w:val="28"/>
    </w:rPr>
  </w:style>
  <w:style w:type="character" w:customStyle="1" w:styleId="214">
    <w:name w:val=" Char Char17"/>
    <w:qFormat/>
    <w:uiPriority w:val="0"/>
    <w:rPr>
      <w:rFonts w:ascii="Times New Roman" w:hAnsi="Times New Roman" w:eastAsia="宋体" w:cs="Times New Roman"/>
      <w:szCs w:val="20"/>
      <w:shd w:val="clear" w:color="auto" w:fill="000080"/>
    </w:rPr>
  </w:style>
  <w:style w:type="character" w:customStyle="1" w:styleId="215">
    <w:name w:val="fontarticle"/>
    <w:qFormat/>
    <w:uiPriority w:val="0"/>
  </w:style>
  <w:style w:type="character" w:customStyle="1" w:styleId="216">
    <w:name w:val="【正文】 Char"/>
    <w:link w:val="217"/>
    <w:qFormat/>
    <w:uiPriority w:val="0"/>
    <w:rPr>
      <w:color w:val="0070C0"/>
      <w:sz w:val="24"/>
    </w:rPr>
  </w:style>
  <w:style w:type="paragraph" w:customStyle="1" w:styleId="217">
    <w:name w:val="【正文】"/>
    <w:basedOn w:val="1"/>
    <w:link w:val="216"/>
    <w:qFormat/>
    <w:uiPriority w:val="0"/>
    <w:pPr>
      <w:adjustRightInd w:val="0"/>
      <w:snapToGrid w:val="0"/>
      <w:spacing w:line="480" w:lineRule="exact"/>
      <w:ind w:firstLine="200" w:firstLineChars="200"/>
      <w:jc w:val="left"/>
    </w:pPr>
    <w:rPr>
      <w:color w:val="0070C0"/>
      <w:kern w:val="0"/>
      <w:sz w:val="24"/>
      <w:szCs w:val="20"/>
    </w:rPr>
  </w:style>
  <w:style w:type="character" w:customStyle="1" w:styleId="218">
    <w:name w:val="_Style 211"/>
    <w:qFormat/>
    <w:uiPriority w:val="0"/>
    <w:rPr>
      <w:rFonts w:ascii="宋体" w:hAnsi="宋体" w:cs="宋体"/>
      <w:b/>
      <w:smallCaps/>
      <w:spacing w:val="5"/>
      <w:sz w:val="24"/>
    </w:rPr>
  </w:style>
  <w:style w:type="character" w:customStyle="1" w:styleId="219">
    <w:name w:val="email"/>
    <w:semiHidden/>
    <w:qFormat/>
    <w:uiPriority w:val="0"/>
  </w:style>
  <w:style w:type="character" w:customStyle="1" w:styleId="220">
    <w:name w:val="正文 _ZHY Char"/>
    <w:link w:val="221"/>
    <w:qFormat/>
    <w:uiPriority w:val="0"/>
    <w:rPr>
      <w:rFonts w:ascii="宋体" w:hAnsi="宋体" w:eastAsia="宋体" w:cs="宋体"/>
      <w:bCs/>
      <w:kern w:val="2"/>
      <w:sz w:val="24"/>
      <w:lang w:val="en-US" w:eastAsia="zh-CN" w:bidi="ar-SA"/>
    </w:rPr>
  </w:style>
  <w:style w:type="paragraph" w:customStyle="1" w:styleId="221">
    <w:name w:val="正文 _ZHY"/>
    <w:basedOn w:val="1"/>
    <w:link w:val="220"/>
    <w:qFormat/>
    <w:uiPriority w:val="0"/>
    <w:pPr>
      <w:spacing w:line="440" w:lineRule="exact"/>
      <w:ind w:firstLine="480" w:firstLineChars="200"/>
    </w:pPr>
    <w:rPr>
      <w:rFonts w:ascii="宋体" w:hAnsi="宋体" w:cs="宋体"/>
      <w:bCs/>
      <w:sz w:val="24"/>
      <w:szCs w:val="20"/>
    </w:rPr>
  </w:style>
  <w:style w:type="character" w:customStyle="1" w:styleId="222">
    <w:name w:val="正文XXX Char"/>
    <w:link w:val="223"/>
    <w:qFormat/>
    <w:uiPriority w:val="0"/>
    <w:rPr>
      <w:rFonts w:ascii="Arial" w:hAnsi="Arial" w:eastAsia="宋体" w:cs="宋体"/>
      <w:color w:val="000000"/>
      <w:sz w:val="24"/>
      <w:lang w:bidi="ar-SA"/>
    </w:rPr>
  </w:style>
  <w:style w:type="paragraph" w:customStyle="1" w:styleId="223">
    <w:name w:val="正文XXX"/>
    <w:basedOn w:val="1"/>
    <w:link w:val="222"/>
    <w:qFormat/>
    <w:uiPriority w:val="0"/>
    <w:pPr>
      <w:adjustRightInd w:val="0"/>
      <w:snapToGrid w:val="0"/>
      <w:spacing w:before="100" w:beforeAutospacing="1" w:after="100" w:afterAutospacing="1" w:line="400" w:lineRule="exact"/>
    </w:pPr>
    <w:rPr>
      <w:rFonts w:ascii="Arial" w:hAnsi="Arial" w:cs="宋体"/>
      <w:color w:val="000000"/>
      <w:kern w:val="0"/>
      <w:sz w:val="24"/>
      <w:szCs w:val="20"/>
    </w:rPr>
  </w:style>
  <w:style w:type="character" w:customStyle="1" w:styleId="224">
    <w:name w:val="批注文字 Char2"/>
    <w:semiHidden/>
    <w:qFormat/>
    <w:uiPriority w:val="0"/>
    <w:rPr>
      <w:rFonts w:ascii="宋体" w:hAnsi="宋体" w:eastAsia="宋体" w:cs="宋体"/>
      <w:kern w:val="2"/>
      <w:sz w:val="21"/>
      <w:lang w:val="en-US" w:eastAsia="zh-CN" w:bidi="ar-SA"/>
    </w:rPr>
  </w:style>
  <w:style w:type="character" w:customStyle="1" w:styleId="225">
    <w:name w:val="apple-converted-space"/>
    <w:qFormat/>
    <w:uiPriority w:val="0"/>
  </w:style>
  <w:style w:type="character" w:customStyle="1" w:styleId="226">
    <w:name w:val="标题XXX Char"/>
    <w:link w:val="227"/>
    <w:qFormat/>
    <w:uiPriority w:val="0"/>
    <w:rPr>
      <w:rFonts w:ascii="Arial" w:hAnsi="Arial" w:eastAsia="宋体" w:cs="宋体"/>
      <w:b/>
      <w:color w:val="000000"/>
      <w:sz w:val="24"/>
      <w:szCs w:val="24"/>
      <w:lang w:bidi="ar-SA"/>
    </w:rPr>
  </w:style>
  <w:style w:type="paragraph" w:customStyle="1" w:styleId="227">
    <w:name w:val="标题XXX"/>
    <w:basedOn w:val="1"/>
    <w:link w:val="226"/>
    <w:qFormat/>
    <w:uiPriority w:val="0"/>
    <w:pPr>
      <w:adjustRightInd w:val="0"/>
      <w:snapToGrid w:val="0"/>
      <w:spacing w:before="100" w:beforeAutospacing="1" w:after="100" w:afterAutospacing="1" w:line="400" w:lineRule="exact"/>
      <w:outlineLvl w:val="1"/>
    </w:pPr>
    <w:rPr>
      <w:rFonts w:ascii="Arial" w:hAnsi="Arial" w:cs="宋体"/>
      <w:b/>
      <w:color w:val="000000"/>
      <w:kern w:val="0"/>
      <w:sz w:val="24"/>
    </w:rPr>
  </w:style>
  <w:style w:type="character" w:customStyle="1" w:styleId="228">
    <w:name w:val="Footer Line1 Char1"/>
    <w:qFormat/>
    <w:uiPriority w:val="0"/>
    <w:rPr>
      <w:rFonts w:eastAsia="宋体"/>
      <w:kern w:val="2"/>
      <w:sz w:val="18"/>
      <w:lang w:val="en-US" w:eastAsia="zh-CN" w:bidi="ar-SA"/>
    </w:rPr>
  </w:style>
  <w:style w:type="character" w:customStyle="1" w:styleId="229">
    <w:name w:val="样式 正文（首行缩进两字） Char Char + (符号) 宋体 Char"/>
    <w:link w:val="230"/>
    <w:qFormat/>
    <w:uiPriority w:val="0"/>
    <w:rPr>
      <w:rFonts w:ascii="宋体" w:hAnsi="宋体" w:eastAsia="宋体" w:cs="宋体"/>
      <w:kern w:val="2"/>
      <w:sz w:val="24"/>
      <w:lang w:val="en-US" w:eastAsia="zh-CN" w:bidi="ar-SA"/>
    </w:rPr>
  </w:style>
  <w:style w:type="paragraph" w:customStyle="1" w:styleId="230">
    <w:name w:val="样式 正文（首行缩进两字） Char Char + (符号) 宋体"/>
    <w:basedOn w:val="1"/>
    <w:link w:val="229"/>
    <w:qFormat/>
    <w:uiPriority w:val="0"/>
    <w:pPr>
      <w:autoSpaceDE w:val="0"/>
      <w:autoSpaceDN w:val="0"/>
      <w:adjustRightInd w:val="0"/>
      <w:snapToGrid w:val="0"/>
      <w:spacing w:before="120" w:after="120" w:line="440" w:lineRule="exact"/>
      <w:ind w:firstLine="482"/>
    </w:pPr>
    <w:rPr>
      <w:rFonts w:ascii="宋体" w:hAnsi="宋体" w:cs="宋体"/>
      <w:sz w:val="24"/>
      <w:szCs w:val="20"/>
    </w:rPr>
  </w:style>
  <w:style w:type="character" w:customStyle="1" w:styleId="231">
    <w:name w:val="正文缩进 Char1"/>
    <w:qFormat/>
    <w:uiPriority w:val="0"/>
    <w:rPr>
      <w:rFonts w:ascii="宋体" w:hAnsi="宋体" w:eastAsia="宋体" w:cs="宋体"/>
      <w:kern w:val="2"/>
      <w:sz w:val="28"/>
      <w:lang w:val="en-US" w:eastAsia="zh-CN" w:bidi="ar-SA"/>
    </w:rPr>
  </w:style>
  <w:style w:type="character" w:customStyle="1" w:styleId="232">
    <w:name w:val="tw4winMark"/>
    <w:qFormat/>
    <w:uiPriority w:val="0"/>
    <w:rPr>
      <w:rFonts w:ascii="仿宋_GB2312" w:eastAsia="仿宋_GB2312"/>
      <w:vanish/>
      <w:color w:val="800080"/>
      <w:vertAlign w:val="subscript"/>
    </w:rPr>
  </w:style>
  <w:style w:type="character" w:customStyle="1" w:styleId="233">
    <w:name w:val="Footer Line1 Char2"/>
    <w:qFormat/>
    <w:uiPriority w:val="0"/>
    <w:rPr>
      <w:rFonts w:ascii="宋体" w:hAnsi="宋体" w:cs="宋体"/>
      <w:kern w:val="2"/>
      <w:sz w:val="18"/>
      <w:szCs w:val="18"/>
    </w:rPr>
  </w:style>
  <w:style w:type="character" w:customStyle="1" w:styleId="234">
    <w:name w:val="表标题 Char Char"/>
    <w:qFormat/>
    <w:locked/>
    <w:uiPriority w:val="0"/>
    <w:rPr>
      <w:rFonts w:ascii="Arial" w:hAnsi="Arial" w:eastAsia="仿宋_GB2312" w:cs="宋体"/>
      <w:sz w:val="28"/>
      <w:lang w:val="en-US" w:eastAsia="zh-CN" w:bidi="ar-SA"/>
    </w:rPr>
  </w:style>
  <w:style w:type="character" w:customStyle="1" w:styleId="235">
    <w:name w:val="md一级标题 Char Char"/>
    <w:link w:val="236"/>
    <w:qFormat/>
    <w:uiPriority w:val="0"/>
    <w:rPr>
      <w:rFonts w:ascii="方正粗圆简体" w:hAnsi="宋体" w:eastAsia="仿宋_GB2312" w:cs="宋体"/>
      <w:b/>
      <w:color w:val="000000"/>
      <w:kern w:val="44"/>
      <w:sz w:val="28"/>
      <w:szCs w:val="28"/>
      <w:lang w:val="en-US" w:eastAsia="zh-CN" w:bidi="ar-SA"/>
    </w:rPr>
  </w:style>
  <w:style w:type="paragraph" w:customStyle="1" w:styleId="236">
    <w:name w:val="md一级标题"/>
    <w:basedOn w:val="5"/>
    <w:next w:val="237"/>
    <w:link w:val="235"/>
    <w:qFormat/>
    <w:locked/>
    <w:uiPriority w:val="0"/>
    <w:pPr>
      <w:keepLines w:val="0"/>
      <w:widowControl/>
      <w:tabs>
        <w:tab w:val="left" w:pos="-180"/>
        <w:tab w:val="center" w:pos="500"/>
      </w:tabs>
      <w:overflowPunct w:val="0"/>
      <w:adjustRightInd w:val="0"/>
      <w:spacing w:before="0" w:after="0" w:line="1100" w:lineRule="exact"/>
      <w:ind w:right="359" w:rightChars="171" w:firstLine="281"/>
      <w:jc w:val="left"/>
      <w:textAlignment w:val="center"/>
    </w:pPr>
    <w:rPr>
      <w:rFonts w:ascii="方正粗圆简体" w:hAnsi="宋体" w:eastAsia="仿宋_GB2312" w:cs="宋体"/>
      <w:bCs w:val="0"/>
      <w:color w:val="000000"/>
      <w:sz w:val="28"/>
      <w:szCs w:val="28"/>
    </w:rPr>
  </w:style>
  <w:style w:type="paragraph" w:customStyle="1" w:styleId="237">
    <w:name w:val="md二级标题"/>
    <w:basedOn w:val="6"/>
    <w:next w:val="7"/>
    <w:qFormat/>
    <w:locked/>
    <w:uiPriority w:val="0"/>
    <w:pPr>
      <w:widowControl/>
      <w:tabs>
        <w:tab w:val="center" w:pos="500"/>
        <w:tab w:val="left" w:pos="540"/>
      </w:tabs>
      <w:overflowPunct w:val="0"/>
      <w:spacing w:before="0" w:beforeLines="50" w:after="0" w:afterLines="50" w:line="360" w:lineRule="auto"/>
      <w:contextualSpacing/>
      <w:jc w:val="left"/>
      <w:textAlignment w:val="baseline"/>
    </w:pPr>
    <w:rPr>
      <w:rFonts w:ascii="宋体" w:hAnsi="宋体" w:eastAsia="宋体"/>
      <w:snapToGrid w:val="0"/>
      <w:kern w:val="0"/>
      <w:sz w:val="24"/>
      <w:szCs w:val="24"/>
      <w:lang w:val="zh-CN"/>
    </w:rPr>
  </w:style>
  <w:style w:type="character" w:customStyle="1" w:styleId="238">
    <w:name w:val="textcontents"/>
    <w:qFormat/>
    <w:uiPriority w:val="0"/>
  </w:style>
  <w:style w:type="character" w:customStyle="1" w:styleId="239">
    <w:name w:val="标题 3 Char Char"/>
    <w:qFormat/>
    <w:uiPriority w:val="0"/>
    <w:rPr>
      <w:rFonts w:eastAsia="宋体"/>
      <w:spacing w:val="-2"/>
      <w:sz w:val="28"/>
      <w:szCs w:val="28"/>
      <w:lang w:val="en-US" w:eastAsia="zh-CN" w:bidi="ar-SA"/>
    </w:rPr>
  </w:style>
  <w:style w:type="character" w:customStyle="1" w:styleId="240">
    <w:name w:val="样式 4 + (符号) 宋体 Char"/>
    <w:link w:val="241"/>
    <w:qFormat/>
    <w:uiPriority w:val="0"/>
    <w:rPr>
      <w:lang w:val="en-US" w:eastAsia="zh-CN" w:bidi="ar-SA"/>
    </w:rPr>
  </w:style>
  <w:style w:type="paragraph" w:customStyle="1" w:styleId="241">
    <w:name w:val="样式 4 + (符号) 宋体"/>
    <w:basedOn w:val="8"/>
    <w:link w:val="240"/>
    <w:qFormat/>
    <w:uiPriority w:val="0"/>
    <w:pPr>
      <w:keepNext w:val="0"/>
      <w:keepLines w:val="0"/>
      <w:numPr>
        <w:ilvl w:val="0"/>
        <w:numId w:val="0"/>
      </w:numPr>
      <w:tabs>
        <w:tab w:val="clear" w:pos="864"/>
      </w:tabs>
      <w:adjustRightInd w:val="0"/>
      <w:spacing w:after="0" w:line="360" w:lineRule="auto"/>
      <w:textAlignment w:val="baseline"/>
      <w:outlineLvl w:val="2"/>
    </w:pPr>
    <w:rPr>
      <w:rFonts w:ascii="楷体_GB2312" w:eastAsia="楷体_GB2312"/>
      <w:b w:val="0"/>
      <w:kern w:val="0"/>
      <w:szCs w:val="28"/>
    </w:rPr>
  </w:style>
  <w:style w:type="character" w:customStyle="1" w:styleId="242">
    <w:name w:val="正 Char1"/>
    <w:link w:val="243"/>
    <w:qFormat/>
    <w:locked/>
    <w:uiPriority w:val="0"/>
    <w:rPr>
      <w:kern w:val="2"/>
      <w:sz w:val="24"/>
    </w:rPr>
  </w:style>
  <w:style w:type="paragraph" w:customStyle="1" w:styleId="243">
    <w:name w:val="正"/>
    <w:basedOn w:val="1"/>
    <w:link w:val="242"/>
    <w:qFormat/>
    <w:uiPriority w:val="0"/>
    <w:pPr>
      <w:spacing w:beforeLines="25" w:afterLines="25" w:line="440" w:lineRule="exact"/>
      <w:ind w:firstLine="200" w:firstLineChars="200"/>
    </w:pPr>
    <w:rPr>
      <w:sz w:val="24"/>
      <w:szCs w:val="20"/>
    </w:rPr>
  </w:style>
  <w:style w:type="character" w:customStyle="1" w:styleId="244">
    <w:name w:val="cr"/>
    <w:qFormat/>
    <w:uiPriority w:val="0"/>
  </w:style>
  <w:style w:type="character" w:customStyle="1" w:styleId="245">
    <w:name w:val="正文样式1 Char"/>
    <w:link w:val="246"/>
    <w:qFormat/>
    <w:uiPriority w:val="0"/>
    <w:rPr>
      <w:rFonts w:ascii="宋体" w:hAnsi="Courier New" w:eastAsia="宋体"/>
      <w:sz w:val="24"/>
      <w:lang w:val="en-US" w:eastAsia="zh-CN" w:bidi="ar-SA"/>
    </w:rPr>
  </w:style>
  <w:style w:type="paragraph" w:customStyle="1" w:styleId="246">
    <w:name w:val="正文样式1"/>
    <w:basedOn w:val="43"/>
    <w:link w:val="245"/>
    <w:semiHidden/>
    <w:qFormat/>
    <w:uiPriority w:val="0"/>
    <w:pPr>
      <w:widowControl/>
      <w:ind w:firstLine="560" w:firstLineChars="200"/>
      <w:jc w:val="left"/>
    </w:pPr>
    <w:rPr>
      <w:rFonts w:hAnsi="Courier New"/>
      <w:kern w:val="0"/>
      <w:sz w:val="24"/>
    </w:rPr>
  </w:style>
  <w:style w:type="character" w:customStyle="1" w:styleId="247">
    <w:name w:val="样式4 Char"/>
    <w:link w:val="248"/>
    <w:qFormat/>
    <w:uiPriority w:val="0"/>
    <w:rPr>
      <w:rFonts w:ascii="黑体" w:hAnsi="宋体" w:eastAsia="黑体" w:cs="宋体"/>
      <w:kern w:val="2"/>
      <w:sz w:val="24"/>
      <w:szCs w:val="24"/>
      <w:lang w:val="en-US" w:eastAsia="zh-CN" w:bidi="ar-SA"/>
    </w:rPr>
  </w:style>
  <w:style w:type="paragraph" w:customStyle="1" w:styleId="248">
    <w:name w:val="样式4"/>
    <w:basedOn w:val="249"/>
    <w:link w:val="247"/>
    <w:qFormat/>
    <w:uiPriority w:val="0"/>
    <w:pPr>
      <w:tabs>
        <w:tab w:val="left" w:pos="1977"/>
      </w:tabs>
      <w:adjustRightInd w:val="0"/>
      <w:snapToGrid w:val="0"/>
      <w:spacing w:line="360" w:lineRule="auto"/>
      <w:ind w:left="1581" w:hanging="426"/>
    </w:pPr>
    <w:rPr>
      <w:rFonts w:ascii="黑体" w:hAnsi="宋体" w:eastAsia="黑体" w:cs="宋体"/>
      <w:color w:val="auto"/>
      <w:kern w:val="2"/>
      <w:szCs w:val="24"/>
    </w:rPr>
  </w:style>
  <w:style w:type="paragraph" w:customStyle="1" w:styleId="249">
    <w:name w:val="表格"/>
    <w:basedOn w:val="1"/>
    <w:next w:val="72"/>
    <w:link w:val="250"/>
    <w:qFormat/>
    <w:uiPriority w:val="0"/>
    <w:pPr>
      <w:jc w:val="center"/>
    </w:pPr>
    <w:rPr>
      <w:rFonts w:ascii="CG Times (W1)" w:hAnsi="CG Times (W1)"/>
      <w:color w:val="000000"/>
      <w:kern w:val="0"/>
      <w:sz w:val="24"/>
      <w:szCs w:val="20"/>
    </w:rPr>
  </w:style>
  <w:style w:type="character" w:customStyle="1" w:styleId="250">
    <w:name w:val="表格 Char Char"/>
    <w:link w:val="249"/>
    <w:qFormat/>
    <w:uiPriority w:val="0"/>
    <w:rPr>
      <w:rFonts w:ascii="CG Times (W1)" w:hAnsi="CG Times (W1)" w:eastAsia="宋体"/>
      <w:color w:val="000000"/>
      <w:sz w:val="24"/>
      <w:lang w:val="en-US" w:eastAsia="zh-CN" w:bidi="ar-SA"/>
    </w:rPr>
  </w:style>
  <w:style w:type="character" w:customStyle="1" w:styleId="251">
    <w:name w:val="h Char2"/>
    <w:qFormat/>
    <w:uiPriority w:val="0"/>
    <w:rPr>
      <w:rFonts w:ascii="宋体" w:hAnsi="宋体" w:cs="宋体"/>
      <w:kern w:val="2"/>
      <w:sz w:val="18"/>
      <w:szCs w:val="18"/>
    </w:rPr>
  </w:style>
  <w:style w:type="character" w:customStyle="1" w:styleId="252">
    <w:name w:val="正文格式 Char"/>
    <w:link w:val="253"/>
    <w:qFormat/>
    <w:uiPriority w:val="0"/>
    <w:rPr>
      <w:rFonts w:ascii="宋体" w:hAnsi="宋体" w:eastAsia="宋体" w:cs="宋体"/>
      <w:kern w:val="2"/>
      <w:sz w:val="24"/>
      <w:lang w:val="en-US" w:eastAsia="zh-CN" w:bidi="ar-SA"/>
    </w:rPr>
  </w:style>
  <w:style w:type="paragraph" w:customStyle="1" w:styleId="253">
    <w:name w:val="正文格式"/>
    <w:basedOn w:val="1"/>
    <w:link w:val="252"/>
    <w:qFormat/>
    <w:uiPriority w:val="0"/>
    <w:pPr>
      <w:spacing w:line="360" w:lineRule="auto"/>
      <w:ind w:firstLine="482"/>
    </w:pPr>
    <w:rPr>
      <w:rFonts w:ascii="宋体" w:hAnsi="宋体" w:cs="宋体"/>
      <w:sz w:val="24"/>
      <w:szCs w:val="20"/>
    </w:rPr>
  </w:style>
  <w:style w:type="character" w:customStyle="1" w:styleId="254">
    <w:name w:val="标题 9 Char"/>
    <w:qFormat/>
    <w:uiPriority w:val="0"/>
    <w:rPr>
      <w:rFonts w:ascii="Cambria" w:hAnsi="Cambria" w:eastAsia="宋体" w:cs="Times New Roman"/>
      <w:sz w:val="24"/>
      <w:szCs w:val="21"/>
    </w:rPr>
  </w:style>
  <w:style w:type="character" w:customStyle="1" w:styleId="255">
    <w:name w:val="font121"/>
    <w:qFormat/>
    <w:uiPriority w:val="0"/>
    <w:rPr>
      <w:rFonts w:hint="eastAsia" w:ascii="宋体" w:hAnsi="宋体" w:eastAsia="宋体" w:cs="宋体"/>
      <w:b/>
      <w:color w:val="000000"/>
      <w:sz w:val="18"/>
      <w:szCs w:val="18"/>
      <w:u w:val="none"/>
    </w:rPr>
  </w:style>
  <w:style w:type="character" w:customStyle="1" w:styleId="256">
    <w:name w:val="正文缩进2 Char"/>
    <w:qFormat/>
    <w:uiPriority w:val="0"/>
    <w:rPr>
      <w:rFonts w:ascii="宋体" w:hAnsi="宋体" w:eastAsia="宋体" w:cs="宋体"/>
      <w:color w:val="FF0000"/>
      <w:kern w:val="2"/>
      <w:sz w:val="28"/>
      <w:szCs w:val="24"/>
      <w:lang w:val="en-US" w:eastAsia="zh-CN" w:bidi="ar-SA"/>
    </w:rPr>
  </w:style>
  <w:style w:type="character" w:customStyle="1" w:styleId="257">
    <w:name w:val="表内5 Char"/>
    <w:link w:val="258"/>
    <w:qFormat/>
    <w:uiPriority w:val="0"/>
    <w:rPr>
      <w:rFonts w:ascii="宋体" w:hAnsi="宋体" w:eastAsia="宋体" w:cs="宋体"/>
      <w:kern w:val="2"/>
      <w:sz w:val="21"/>
      <w:szCs w:val="21"/>
      <w:lang w:val="en-US" w:eastAsia="zh-CN" w:bidi="ar-SA"/>
    </w:rPr>
  </w:style>
  <w:style w:type="paragraph" w:customStyle="1" w:styleId="258">
    <w:name w:val="表内5"/>
    <w:basedOn w:val="1"/>
    <w:link w:val="257"/>
    <w:qFormat/>
    <w:uiPriority w:val="0"/>
    <w:pPr>
      <w:adjustRightInd w:val="0"/>
      <w:snapToGrid w:val="0"/>
      <w:jc w:val="center"/>
    </w:pPr>
    <w:rPr>
      <w:rFonts w:ascii="宋体" w:hAnsi="宋体" w:cs="宋体"/>
      <w:szCs w:val="21"/>
    </w:rPr>
  </w:style>
  <w:style w:type="character" w:customStyle="1" w:styleId="259">
    <w:name w:val="正文文字( 首段缩进两字） Char1"/>
    <w:qFormat/>
    <w:uiPriority w:val="0"/>
    <w:rPr>
      <w:rFonts w:ascii="宋体" w:hAnsi="宋体" w:cs="宋体"/>
      <w:color w:val="000000"/>
      <w:kern w:val="2"/>
      <w:sz w:val="21"/>
    </w:rPr>
  </w:style>
  <w:style w:type="character" w:customStyle="1" w:styleId="260">
    <w:name w:val="zw1"/>
    <w:qFormat/>
    <w:uiPriority w:val="0"/>
    <w:rPr>
      <w:rFonts w:hint="eastAsia" w:ascii="宋体" w:hAnsi="宋体" w:eastAsia="宋体" w:cs="宋体"/>
      <w:sz w:val="22"/>
      <w:szCs w:val="22"/>
    </w:rPr>
  </w:style>
  <w:style w:type="character" w:customStyle="1" w:styleId="261">
    <w:name w:val="font21"/>
    <w:qFormat/>
    <w:uiPriority w:val="0"/>
  </w:style>
  <w:style w:type="character" w:customStyle="1" w:styleId="262">
    <w:name w:val="纯文本 Char"/>
    <w:qFormat/>
    <w:uiPriority w:val="0"/>
    <w:rPr>
      <w:rFonts w:ascii="宋体" w:hAnsi="Courier New" w:eastAsia="宋体"/>
      <w:kern w:val="2"/>
      <w:sz w:val="21"/>
      <w:lang w:val="en-US" w:eastAsia="zh-CN" w:bidi="ar-SA"/>
    </w:rPr>
  </w:style>
  <w:style w:type="character" w:styleId="263">
    <w:name w:val="Placeholder Text"/>
    <w:semiHidden/>
    <w:qFormat/>
    <w:uiPriority w:val="0"/>
    <w:rPr>
      <w:rFonts w:ascii="宋体" w:hAnsi="宋体" w:cs="宋体"/>
      <w:color w:val="808080"/>
      <w:sz w:val="24"/>
    </w:rPr>
  </w:style>
  <w:style w:type="character" w:customStyle="1" w:styleId="264">
    <w:name w:val="font61"/>
    <w:qFormat/>
    <w:uiPriority w:val="0"/>
    <w:rPr>
      <w:rFonts w:ascii="宋体" w:hAnsi="宋体" w:eastAsia="宋体" w:cs="宋体"/>
      <w:color w:val="000000"/>
      <w:sz w:val="22"/>
      <w:szCs w:val="22"/>
      <w:u w:val="none"/>
    </w:rPr>
  </w:style>
  <w:style w:type="character" w:customStyle="1" w:styleId="265">
    <w:name w:val="font111"/>
    <w:qFormat/>
    <w:uiPriority w:val="0"/>
    <w:rPr>
      <w:rFonts w:hint="default" w:ascii="Times New Roman" w:hAnsi="Times New Roman" w:cs="Times New Roman"/>
      <w:b/>
      <w:color w:val="000000"/>
      <w:sz w:val="16"/>
      <w:szCs w:val="16"/>
      <w:u w:val="none"/>
    </w:rPr>
  </w:style>
  <w:style w:type="character" w:customStyle="1" w:styleId="266">
    <w:name w:val="正 文 1 Char Char"/>
    <w:qFormat/>
    <w:uiPriority w:val="0"/>
    <w:rPr>
      <w:rFonts w:ascii="宋体" w:hAnsi="Courier New" w:eastAsia="宋体"/>
      <w:kern w:val="2"/>
      <w:sz w:val="21"/>
      <w:lang w:val="en-US" w:eastAsia="zh-CN" w:bidi="ar-SA"/>
    </w:rPr>
  </w:style>
  <w:style w:type="character" w:customStyle="1" w:styleId="267">
    <w:name w:val=" Char Char20"/>
    <w:qFormat/>
    <w:uiPriority w:val="0"/>
    <w:rPr>
      <w:rFonts w:ascii="Times New Roman" w:hAnsi="Times New Roman" w:eastAsia="宋体" w:cs="Times New Roman"/>
      <w:sz w:val="24"/>
      <w:szCs w:val="20"/>
    </w:rPr>
  </w:style>
  <w:style w:type="character" w:customStyle="1" w:styleId="268">
    <w:name w:val="h Char"/>
    <w:qFormat/>
    <w:uiPriority w:val="0"/>
    <w:rPr>
      <w:rFonts w:ascii="宋体" w:hAnsi="宋体" w:eastAsia="宋体" w:cs="宋体"/>
      <w:kern w:val="2"/>
      <w:sz w:val="18"/>
      <w:szCs w:val="18"/>
      <w:lang w:val="en-US" w:eastAsia="zh-CN" w:bidi="ar-SA"/>
    </w:rPr>
  </w:style>
  <w:style w:type="character" w:customStyle="1" w:styleId="269">
    <w:name w:val="style71"/>
    <w:qFormat/>
    <w:uiPriority w:val="0"/>
    <w:rPr>
      <w:rFonts w:ascii="宋体" w:hAnsi="宋体" w:eastAsia="宋体" w:cs="宋体"/>
      <w:sz w:val="27"/>
      <w:szCs w:val="27"/>
    </w:rPr>
  </w:style>
  <w:style w:type="character" w:customStyle="1" w:styleId="270">
    <w:name w:val="title"/>
    <w:qFormat/>
    <w:uiPriority w:val="0"/>
  </w:style>
  <w:style w:type="character" w:customStyle="1" w:styleId="271">
    <w:name w:val="contents1"/>
    <w:qFormat/>
    <w:uiPriority w:val="0"/>
    <w:rPr>
      <w:rFonts w:ascii="宋体" w:hAnsi="宋体" w:cs="宋体"/>
      <w:color w:val="000000"/>
      <w:spacing w:val="220"/>
      <w:sz w:val="14"/>
      <w:szCs w:val="14"/>
      <w:u w:val="none"/>
    </w:rPr>
  </w:style>
  <w:style w:type="character" w:customStyle="1" w:styleId="272">
    <w:name w:val="副标题 Char1"/>
    <w:qFormat/>
    <w:uiPriority w:val="0"/>
    <w:rPr>
      <w:rFonts w:ascii="Cambria" w:hAnsi="Cambria" w:eastAsia="宋体" w:cs="Times New Roman"/>
      <w:b/>
      <w:bCs/>
      <w:kern w:val="28"/>
      <w:sz w:val="32"/>
      <w:szCs w:val="32"/>
    </w:rPr>
  </w:style>
  <w:style w:type="character" w:customStyle="1" w:styleId="273">
    <w:name w:val="apple-style-span"/>
    <w:qFormat/>
    <w:uiPriority w:val="0"/>
  </w:style>
  <w:style w:type="character" w:customStyle="1" w:styleId="274">
    <w:name w:val="t_tit011"/>
    <w:qFormat/>
    <w:uiPriority w:val="0"/>
    <w:rPr>
      <w:rFonts w:ascii="宋体" w:hAnsi="宋体" w:cs="宋体"/>
      <w:b/>
      <w:bCs/>
      <w:color w:val="FF7200"/>
      <w:sz w:val="24"/>
    </w:rPr>
  </w:style>
  <w:style w:type="character" w:customStyle="1" w:styleId="275">
    <w:name w:val="oinfo"/>
    <w:qFormat/>
    <w:uiPriority w:val="0"/>
  </w:style>
  <w:style w:type="character" w:customStyle="1" w:styleId="276">
    <w:name w:val="样式 题注 + 非加粗 Char Char"/>
    <w:qFormat/>
    <w:uiPriority w:val="0"/>
    <w:rPr>
      <w:lang w:val="en-US" w:eastAsia="zh-CN"/>
    </w:rPr>
  </w:style>
  <w:style w:type="character" w:customStyle="1" w:styleId="277">
    <w:name w:val="正文文本缩进 2 Char"/>
    <w:link w:val="278"/>
    <w:qFormat/>
    <w:uiPriority w:val="0"/>
    <w:rPr>
      <w:rFonts w:ascii="宋体" w:hAnsi="宋体" w:eastAsia="宋体" w:cs="宋体"/>
      <w:sz w:val="24"/>
      <w:szCs w:val="24"/>
      <w:lang w:bidi="ar-SA"/>
    </w:rPr>
  </w:style>
  <w:style w:type="paragraph" w:customStyle="1" w:styleId="278">
    <w:name w:val="Body Text Indent 2"/>
    <w:basedOn w:val="1"/>
    <w:link w:val="277"/>
    <w:qFormat/>
    <w:uiPriority w:val="0"/>
    <w:pPr>
      <w:widowControl/>
      <w:spacing w:after="120" w:line="480" w:lineRule="auto"/>
      <w:ind w:left="420" w:leftChars="200"/>
      <w:jc w:val="left"/>
    </w:pPr>
    <w:rPr>
      <w:rFonts w:ascii="宋体" w:hAnsi="宋体" w:cs="宋体"/>
      <w:kern w:val="0"/>
      <w:sz w:val="24"/>
    </w:rPr>
  </w:style>
  <w:style w:type="character" w:customStyle="1" w:styleId="279">
    <w:name w:val="Char Char13"/>
    <w:qFormat/>
    <w:uiPriority w:val="0"/>
    <w:rPr>
      <w:rFonts w:ascii="方正粗圆简体" w:hAnsi="宋体" w:eastAsia="方正粗圆简体" w:cs="宋体"/>
      <w:b/>
      <w:bCs/>
      <w:color w:val="000000"/>
      <w:kern w:val="44"/>
      <w:sz w:val="36"/>
      <w:szCs w:val="36"/>
      <w:lang w:val="en-US" w:eastAsia="zh-CN" w:bidi="ar-SA"/>
    </w:rPr>
  </w:style>
  <w:style w:type="character" w:customStyle="1" w:styleId="280">
    <w:name w:val="正文首段缩进 Char"/>
    <w:link w:val="281"/>
    <w:qFormat/>
    <w:uiPriority w:val="0"/>
    <w:rPr>
      <w:rFonts w:eastAsia="宋体"/>
      <w:sz w:val="24"/>
      <w:szCs w:val="24"/>
      <w:lang w:bidi="ar-SA"/>
    </w:rPr>
  </w:style>
  <w:style w:type="paragraph" w:customStyle="1" w:styleId="281">
    <w:name w:val="正文首段缩进"/>
    <w:basedOn w:val="1"/>
    <w:link w:val="280"/>
    <w:qFormat/>
    <w:uiPriority w:val="0"/>
    <w:pPr>
      <w:widowControl/>
      <w:spacing w:line="360" w:lineRule="auto"/>
      <w:ind w:firstLine="480" w:firstLineChars="200"/>
      <w:jc w:val="left"/>
    </w:pPr>
    <w:rPr>
      <w:kern w:val="0"/>
      <w:sz w:val="24"/>
    </w:rPr>
  </w:style>
  <w:style w:type="character" w:customStyle="1" w:styleId="282">
    <w:name w:val="样式1 Char"/>
    <w:link w:val="283"/>
    <w:qFormat/>
    <w:uiPriority w:val="0"/>
    <w:rPr>
      <w:rFonts w:ascii="宋体" w:hAnsi="宋体" w:eastAsia="宋体" w:cs="宋体"/>
      <w:kern w:val="2"/>
      <w:sz w:val="28"/>
      <w:szCs w:val="28"/>
      <w:lang w:val="en-US" w:eastAsia="zh-CN" w:bidi="ar-SA"/>
    </w:rPr>
  </w:style>
  <w:style w:type="paragraph" w:customStyle="1" w:styleId="283">
    <w:name w:val="样式1"/>
    <w:basedOn w:val="1"/>
    <w:link w:val="282"/>
    <w:qFormat/>
    <w:uiPriority w:val="0"/>
    <w:pPr>
      <w:spacing w:line="360" w:lineRule="auto"/>
    </w:pPr>
    <w:rPr>
      <w:rFonts w:ascii="宋体" w:hAnsi="宋体" w:cs="宋体"/>
      <w:sz w:val="28"/>
      <w:szCs w:val="28"/>
    </w:rPr>
  </w:style>
  <w:style w:type="character" w:customStyle="1" w:styleId="284">
    <w:name w:val="可研正文 Char"/>
    <w:link w:val="285"/>
    <w:qFormat/>
    <w:uiPriority w:val="0"/>
    <w:rPr>
      <w:rFonts w:ascii="宋体" w:hAnsi="宋体" w:eastAsia="宋体" w:cs="宋体"/>
      <w:bCs/>
      <w:color w:val="000000"/>
      <w:kern w:val="2"/>
      <w:sz w:val="28"/>
      <w:szCs w:val="28"/>
      <w:lang w:val="en-US" w:eastAsia="zh-CN" w:bidi="ar-SA"/>
    </w:rPr>
  </w:style>
  <w:style w:type="paragraph" w:customStyle="1" w:styleId="285">
    <w:name w:val="可研正文"/>
    <w:basedOn w:val="1"/>
    <w:link w:val="284"/>
    <w:qFormat/>
    <w:uiPriority w:val="0"/>
    <w:pPr>
      <w:spacing w:line="440" w:lineRule="exact"/>
      <w:ind w:firstLine="563" w:firstLineChars="201"/>
      <w:jc w:val="left"/>
    </w:pPr>
    <w:rPr>
      <w:rFonts w:ascii="宋体" w:hAnsi="宋体" w:cs="宋体"/>
      <w:bCs/>
      <w:color w:val="000000"/>
      <w:sz w:val="28"/>
      <w:szCs w:val="28"/>
    </w:rPr>
  </w:style>
  <w:style w:type="character" w:customStyle="1" w:styleId="286">
    <w:name w:val="Char Char16"/>
    <w:qFormat/>
    <w:uiPriority w:val="0"/>
    <w:rPr>
      <w:rFonts w:ascii="Arial" w:hAnsi="Arial" w:eastAsia="仿宋_GB2312" w:cs="宋体"/>
      <w:sz w:val="28"/>
      <w:lang w:val="en-US" w:eastAsia="zh-CN" w:bidi="ar-SA"/>
    </w:rPr>
  </w:style>
  <w:style w:type="character" w:customStyle="1" w:styleId="287">
    <w:name w:val=" Char Char4"/>
    <w:semiHidden/>
    <w:qFormat/>
    <w:uiPriority w:val="0"/>
    <w:rPr>
      <w:rFonts w:ascii="Times New Roman" w:hAnsi="Times New Roman" w:eastAsia="宋体" w:cs="Times New Roman"/>
      <w:b/>
      <w:bCs/>
      <w:kern w:val="2"/>
      <w:sz w:val="21"/>
      <w:szCs w:val="24"/>
      <w:lang w:val="en-US" w:eastAsia="zh-CN" w:bidi="ar-SA"/>
    </w:rPr>
  </w:style>
  <w:style w:type="character" w:customStyle="1" w:styleId="288">
    <w:name w:val=" Char Char16"/>
    <w:qFormat/>
    <w:uiPriority w:val="0"/>
    <w:rPr>
      <w:rFonts w:ascii="黑体" w:hAnsi="Arial" w:eastAsia="黑体" w:cs="宋体"/>
      <w:b/>
      <w:snapToGrid w:val="0"/>
      <w:kern w:val="28"/>
      <w:sz w:val="30"/>
      <w:lang w:val="en-US" w:eastAsia="zh-CN" w:bidi="ar-SA"/>
    </w:rPr>
  </w:style>
  <w:style w:type="character" w:customStyle="1" w:styleId="289">
    <w:name w:val="正文文本缩进 Char"/>
    <w:qFormat/>
    <w:uiPriority w:val="0"/>
    <w:rPr>
      <w:rFonts w:ascii="Times New Roman" w:hAnsi="Times New Roman" w:eastAsia="宋体" w:cs="Times New Roman"/>
      <w:sz w:val="24"/>
      <w:szCs w:val="20"/>
    </w:rPr>
  </w:style>
  <w:style w:type="character" w:customStyle="1" w:styleId="290">
    <w:name w:val="Char Char9"/>
    <w:qFormat/>
    <w:uiPriority w:val="0"/>
    <w:rPr>
      <w:rFonts w:ascii="宋体" w:hAnsi="宋体" w:eastAsia="宋体" w:cs="宋体"/>
      <w:kern w:val="2"/>
      <w:sz w:val="21"/>
      <w:szCs w:val="24"/>
      <w:lang w:val="en-US" w:eastAsia="zh-CN" w:bidi="ar-SA"/>
    </w:rPr>
  </w:style>
  <w:style w:type="character" w:customStyle="1" w:styleId="291">
    <w:name w:val="页眉1 Char"/>
    <w:qFormat/>
    <w:uiPriority w:val="0"/>
    <w:rPr>
      <w:rFonts w:ascii="宋体" w:hAnsi="宋体" w:eastAsia="宋体" w:cs="宋体"/>
      <w:sz w:val="18"/>
      <w:lang w:val="en-US" w:eastAsia="zh-CN"/>
    </w:rPr>
  </w:style>
  <w:style w:type="character" w:customStyle="1" w:styleId="292">
    <w:name w:val="zt"/>
    <w:qFormat/>
    <w:uiPriority w:val="0"/>
  </w:style>
  <w:style w:type="character" w:customStyle="1" w:styleId="293">
    <w:name w:val="表格13 Char"/>
    <w:link w:val="294"/>
    <w:qFormat/>
    <w:uiPriority w:val="0"/>
    <w:rPr>
      <w:rFonts w:ascii="宋体" w:eastAsia="宋体" w:cs="宋体"/>
      <w:color w:val="000000"/>
      <w:sz w:val="21"/>
      <w:szCs w:val="18"/>
      <w:lang w:val="zh-CN" w:eastAsia="zh-CN" w:bidi="ar-SA"/>
    </w:rPr>
  </w:style>
  <w:style w:type="paragraph" w:customStyle="1" w:styleId="294">
    <w:name w:val="表格13"/>
    <w:basedOn w:val="1"/>
    <w:link w:val="293"/>
    <w:semiHidden/>
    <w:qFormat/>
    <w:uiPriority w:val="0"/>
    <w:pPr>
      <w:adjustRightInd w:val="0"/>
      <w:spacing w:line="260" w:lineRule="atLeast"/>
      <w:jc w:val="center"/>
      <w:textAlignment w:val="baseline"/>
    </w:pPr>
    <w:rPr>
      <w:rFonts w:ascii="宋体" w:cs="宋体"/>
      <w:color w:val="000000"/>
      <w:kern w:val="0"/>
      <w:szCs w:val="18"/>
      <w:lang w:val="zh-CN"/>
    </w:rPr>
  </w:style>
  <w:style w:type="character" w:customStyle="1" w:styleId="295">
    <w:name w:val="style11"/>
    <w:qFormat/>
    <w:uiPriority w:val="0"/>
    <w:rPr>
      <w:rFonts w:hint="eastAsia" w:ascii="宋体_GB2312" w:hAnsi="宋体" w:eastAsia="宋体_GB2312" w:cs="宋体"/>
      <w:sz w:val="21"/>
      <w:szCs w:val="21"/>
    </w:rPr>
  </w:style>
  <w:style w:type="character" w:customStyle="1" w:styleId="296">
    <w:name w:val="bgbt Char"/>
    <w:link w:val="297"/>
    <w:qFormat/>
    <w:uiPriority w:val="0"/>
    <w:rPr>
      <w:rFonts w:ascii="宋体" w:hAnsi="宋体" w:eastAsia="宋体" w:cs="宋体"/>
      <w:b/>
      <w:kern w:val="2"/>
      <w:sz w:val="21"/>
      <w:szCs w:val="21"/>
      <w:lang w:val="en-US" w:eastAsia="zh-CN" w:bidi="ar-SA"/>
    </w:rPr>
  </w:style>
  <w:style w:type="paragraph" w:customStyle="1" w:styleId="297">
    <w:name w:val="bgbt"/>
    <w:basedOn w:val="1"/>
    <w:link w:val="296"/>
    <w:qFormat/>
    <w:uiPriority w:val="0"/>
    <w:pPr>
      <w:spacing w:line="480" w:lineRule="auto"/>
      <w:jc w:val="center"/>
    </w:pPr>
    <w:rPr>
      <w:rFonts w:ascii="宋体" w:hAnsi="宋体" w:cs="宋体"/>
      <w:b/>
      <w:szCs w:val="21"/>
    </w:rPr>
  </w:style>
  <w:style w:type="character" w:customStyle="1" w:styleId="298">
    <w:name w:val="E Char Char"/>
    <w:link w:val="299"/>
    <w:qFormat/>
    <w:uiPriority w:val="0"/>
    <w:rPr>
      <w:rFonts w:ascii="Arial" w:hAnsi="Arial" w:eastAsia="楷体_GB2312"/>
      <w:lang w:bidi="ar-SA"/>
    </w:rPr>
  </w:style>
  <w:style w:type="paragraph" w:customStyle="1" w:styleId="299">
    <w:name w:val="E"/>
    <w:basedOn w:val="1"/>
    <w:link w:val="298"/>
    <w:qFormat/>
    <w:uiPriority w:val="0"/>
    <w:pPr>
      <w:spacing w:line="500" w:lineRule="exact"/>
      <w:ind w:firstLine="200" w:firstLineChars="200"/>
    </w:pPr>
    <w:rPr>
      <w:rFonts w:ascii="Arial" w:hAnsi="Arial" w:eastAsia="楷体_GB2312"/>
      <w:kern w:val="0"/>
      <w:sz w:val="20"/>
      <w:szCs w:val="20"/>
    </w:rPr>
  </w:style>
  <w:style w:type="character" w:customStyle="1" w:styleId="300">
    <w:name w:val="已访问的超级链接"/>
    <w:qFormat/>
    <w:uiPriority w:val="0"/>
    <w:rPr>
      <w:rFonts w:ascii="宋体" w:hAnsi="宋体" w:cs="宋体"/>
      <w:color w:val="800080"/>
      <w:sz w:val="24"/>
      <w:u w:val="single"/>
    </w:rPr>
  </w:style>
  <w:style w:type="character" w:customStyle="1" w:styleId="301">
    <w:name w:val="小四正文 Char Char"/>
    <w:qFormat/>
    <w:uiPriority w:val="0"/>
    <w:rPr>
      <w:rFonts w:ascii="宋体" w:hAnsi="宋体" w:eastAsia="宋体" w:cs="宋体"/>
      <w:color w:val="000000"/>
      <w:kern w:val="2"/>
      <w:sz w:val="24"/>
      <w:szCs w:val="24"/>
      <w:lang w:val="en-US" w:eastAsia="zh-CN" w:bidi="ar-SA"/>
    </w:rPr>
  </w:style>
  <w:style w:type="character" w:customStyle="1" w:styleId="302">
    <w:name w:val="px141"/>
    <w:qFormat/>
    <w:uiPriority w:val="0"/>
    <w:rPr>
      <w:rFonts w:ascii="宋体" w:hAnsi="宋体" w:cs="宋体"/>
      <w:sz w:val="21"/>
      <w:szCs w:val="21"/>
    </w:rPr>
  </w:style>
  <w:style w:type="character" w:customStyle="1" w:styleId="303">
    <w:name w:val="Section Char"/>
    <w:qFormat/>
    <w:uiPriority w:val="0"/>
    <w:rPr>
      <w:rFonts w:ascii="宋体" w:hAnsi="宋体" w:eastAsia="楷体_GB2312" w:cs="宋体"/>
      <w:b/>
      <w:snapToGrid w:val="0"/>
      <w:sz w:val="30"/>
      <w:szCs w:val="30"/>
      <w:lang w:val="en-US" w:eastAsia="zh-CN" w:bidi="ar-SA"/>
    </w:rPr>
  </w:style>
  <w:style w:type="character" w:customStyle="1" w:styleId="304">
    <w:name w:val="t_tag"/>
    <w:qFormat/>
    <w:uiPriority w:val="0"/>
  </w:style>
  <w:style w:type="character" w:customStyle="1" w:styleId="305">
    <w:name w:val="正文文字缩进 21 Char Char"/>
    <w:qFormat/>
    <w:uiPriority w:val="0"/>
    <w:rPr>
      <w:rFonts w:ascii="宋体" w:hAnsi="宋体" w:eastAsia="宋体" w:cs="宋体"/>
      <w:color w:val="000000"/>
      <w:kern w:val="2"/>
      <w:sz w:val="28"/>
      <w:szCs w:val="24"/>
      <w:lang w:val="en-US" w:eastAsia="zh-CN" w:bidi="ar-SA"/>
    </w:rPr>
  </w:style>
  <w:style w:type="character" w:customStyle="1" w:styleId="306">
    <w:name w:val="样式 标题 3条标题1.1.1BSH-3 + 字距调整小四 Char"/>
    <w:link w:val="307"/>
    <w:semiHidden/>
    <w:qFormat/>
    <w:uiPriority w:val="0"/>
    <w:rPr>
      <w:rFonts w:ascii="黑体" w:eastAsia="黑体"/>
      <w:b/>
      <w:bCs/>
      <w:color w:val="0000FF"/>
      <w:kern w:val="24"/>
      <w:sz w:val="30"/>
      <w:szCs w:val="30"/>
      <w:lang w:val="en-US" w:eastAsia="zh-CN" w:bidi="ar-SA"/>
    </w:rPr>
  </w:style>
  <w:style w:type="paragraph" w:customStyle="1" w:styleId="307">
    <w:name w:val="样式 标题 3条标题1.1.1BSH-3 + 字距调整小四"/>
    <w:basedOn w:val="7"/>
    <w:link w:val="306"/>
    <w:semiHidden/>
    <w:qFormat/>
    <w:uiPriority w:val="0"/>
    <w:pPr>
      <w:numPr>
        <w:ilvl w:val="0"/>
        <w:numId w:val="0"/>
      </w:numPr>
      <w:spacing w:before="0" w:after="0" w:line="580" w:lineRule="exact"/>
      <w:jc w:val="left"/>
    </w:pPr>
    <w:rPr>
      <w:rFonts w:ascii="黑体" w:hAnsi="Times New Roman"/>
      <w:bCs w:val="0"/>
      <w:color w:val="0000FF"/>
      <w:kern w:val="24"/>
      <w:sz w:val="30"/>
      <w:szCs w:val="30"/>
      <w:lang w:val="en-US" w:eastAsia="zh-CN"/>
    </w:rPr>
  </w:style>
  <w:style w:type="character" w:customStyle="1" w:styleId="308">
    <w:name w:val="表格15 Char"/>
    <w:link w:val="309"/>
    <w:qFormat/>
    <w:uiPriority w:val="0"/>
    <w:rPr>
      <w:rFonts w:ascii="宋体" w:eastAsia="宋体"/>
      <w:color w:val="000000"/>
      <w:kern w:val="2"/>
      <w:sz w:val="21"/>
      <w:szCs w:val="21"/>
      <w:lang w:val="en-US" w:eastAsia="zh-CN" w:bidi="ar-SA"/>
    </w:rPr>
  </w:style>
  <w:style w:type="paragraph" w:customStyle="1" w:styleId="309">
    <w:name w:val="表格15"/>
    <w:basedOn w:val="1"/>
    <w:link w:val="308"/>
    <w:semiHidden/>
    <w:qFormat/>
    <w:uiPriority w:val="0"/>
    <w:pPr>
      <w:widowControl/>
      <w:spacing w:line="300" w:lineRule="exact"/>
      <w:jc w:val="center"/>
    </w:pPr>
    <w:rPr>
      <w:rFonts w:ascii="宋体"/>
      <w:color w:val="000000"/>
      <w:szCs w:val="21"/>
    </w:rPr>
  </w:style>
  <w:style w:type="character" w:customStyle="1" w:styleId="310">
    <w:name w:val="条 Char Char"/>
    <w:qFormat/>
    <w:uiPriority w:val="0"/>
    <w:rPr>
      <w:rFonts w:ascii="宋体" w:hAnsi="宋体" w:eastAsia="楷体_GB2312" w:cs="宋体"/>
      <w:b/>
      <w:snapToGrid w:val="0"/>
      <w:kern w:val="28"/>
      <w:sz w:val="30"/>
      <w:lang w:val="en-US" w:eastAsia="zh-CN" w:bidi="ar-SA"/>
    </w:rPr>
  </w:style>
  <w:style w:type="character" w:customStyle="1" w:styleId="311">
    <w:name w:val="表内容 Char"/>
    <w:link w:val="312"/>
    <w:semiHidden/>
    <w:qFormat/>
    <w:uiPriority w:val="0"/>
    <w:rPr>
      <w:rFonts w:eastAsia="Times New Roman"/>
      <w:kern w:val="2"/>
      <w:sz w:val="21"/>
      <w:szCs w:val="24"/>
      <w:lang w:val="en-US" w:eastAsia="zh-CN" w:bidi="ar-SA"/>
    </w:rPr>
  </w:style>
  <w:style w:type="paragraph" w:customStyle="1" w:styleId="312">
    <w:name w:val="表内容"/>
    <w:link w:val="311"/>
    <w:semiHidden/>
    <w:qFormat/>
    <w:uiPriority w:val="0"/>
    <w:pPr>
      <w:widowControl w:val="0"/>
      <w:adjustRightInd w:val="0"/>
      <w:snapToGrid w:val="0"/>
      <w:ind w:left="113" w:right="113"/>
      <w:textAlignment w:val="baseline"/>
    </w:pPr>
    <w:rPr>
      <w:rFonts w:ascii="Times New Roman" w:hAnsi="Times New Roman" w:eastAsia="Times New Roman" w:cs="Times New Roman"/>
      <w:kern w:val="2"/>
      <w:sz w:val="21"/>
      <w:szCs w:val="24"/>
      <w:lang w:val="en-US" w:eastAsia="zh-CN" w:bidi="ar-SA"/>
    </w:rPr>
  </w:style>
  <w:style w:type="character" w:customStyle="1" w:styleId="313">
    <w:name w:val="正文缩进2 Char1"/>
    <w:qFormat/>
    <w:uiPriority w:val="0"/>
    <w:rPr>
      <w:rFonts w:ascii="宋体" w:hAnsi="宋体" w:eastAsia="宋体" w:cs="宋体"/>
      <w:kern w:val="2"/>
      <w:sz w:val="21"/>
      <w:szCs w:val="24"/>
      <w:lang w:val="en-US" w:eastAsia="zh-CN" w:bidi="ar-SA"/>
    </w:rPr>
  </w:style>
  <w:style w:type="character" w:customStyle="1" w:styleId="314">
    <w:name w:val="样式 正文缩进标题2±êÌâ2正文缩进1文本条款正文（首行缩进两字） Char表正文正文非缩进段1四号缩进... Char"/>
    <w:link w:val="315"/>
    <w:qFormat/>
    <w:uiPriority w:val="0"/>
    <w:rPr>
      <w:rFonts w:ascii="Arial" w:hAnsi="Arial" w:eastAsia="宋体" w:cs="Arial"/>
      <w:color w:val="FF0000"/>
      <w:sz w:val="28"/>
      <w:lang w:bidi="ar-SA"/>
    </w:rPr>
  </w:style>
  <w:style w:type="paragraph" w:customStyle="1" w:styleId="315">
    <w:name w:val="样式 正文缩进标题2±êÌâ2正文缩进1文本条款正文（首行缩进两字） Char表正文正文非缩进段1四号缩进..."/>
    <w:basedOn w:val="22"/>
    <w:link w:val="314"/>
    <w:qFormat/>
    <w:uiPriority w:val="0"/>
    <w:pPr>
      <w:adjustRightInd w:val="0"/>
      <w:spacing w:line="300" w:lineRule="auto"/>
      <w:ind w:firstLine="567"/>
    </w:pPr>
    <w:rPr>
      <w:rFonts w:ascii="Arial" w:hAnsi="Arial" w:cs="Arial"/>
      <w:color w:val="FF0000"/>
      <w:kern w:val="0"/>
      <w:sz w:val="28"/>
      <w:szCs w:val="20"/>
    </w:rPr>
  </w:style>
  <w:style w:type="character" w:customStyle="1" w:styleId="316">
    <w:name w:val="unnamed11"/>
    <w:qFormat/>
    <w:uiPriority w:val="0"/>
  </w:style>
  <w:style w:type="character" w:customStyle="1" w:styleId="317">
    <w:name w:val="表头 Char"/>
    <w:link w:val="318"/>
    <w:qFormat/>
    <w:uiPriority w:val="0"/>
    <w:rPr>
      <w:rFonts w:eastAsia="黑体"/>
      <w:kern w:val="2"/>
      <w:sz w:val="24"/>
      <w:szCs w:val="24"/>
      <w:lang w:val="en-US" w:eastAsia="zh-CN" w:bidi="ar-SA"/>
      <w14:shadow w14:blurRad="50800" w14:dist="38100" w14:dir="2700000" w14:sx="100000" w14:sy="100000" w14:kx="0" w14:ky="0" w14:algn="tl">
        <w14:srgbClr w14:val="000000">
          <w14:alpha w14:val="60000"/>
        </w14:srgbClr>
      </w14:shadow>
    </w:rPr>
  </w:style>
  <w:style w:type="paragraph" w:customStyle="1" w:styleId="318">
    <w:name w:val="表头"/>
    <w:basedOn w:val="319"/>
    <w:next w:val="1"/>
    <w:link w:val="317"/>
    <w:qFormat/>
    <w:uiPriority w:val="0"/>
    <w:pPr>
      <w:tabs>
        <w:tab w:val="left" w:pos="4440"/>
      </w:tabs>
      <w:autoSpaceDE w:val="0"/>
      <w:autoSpaceDN w:val="0"/>
      <w:adjustRightInd w:val="0"/>
      <w:snapToGrid w:val="0"/>
      <w:spacing w:before="25" w:beforeLines="25" w:after="25" w:afterLines="25"/>
      <w:jc w:val="center"/>
      <w:textAlignment w:val="bottom"/>
    </w:pPr>
    <w:rPr>
      <w:rFonts w:ascii="Times" w:hAnsi="Times" w:eastAsia="黑体"/>
      <w:b/>
      <w:spacing w:val="16"/>
      <w:kern w:val="0"/>
      <w:sz w:val="24"/>
    </w:rPr>
  </w:style>
  <w:style w:type="paragraph" w:customStyle="1" w:styleId="319">
    <w:name w:val="缩进2"/>
    <w:basedOn w:val="1"/>
    <w:qFormat/>
    <w:uiPriority w:val="0"/>
    <w:pPr>
      <w:spacing w:line="360" w:lineRule="auto"/>
      <w:ind w:firstLine="476"/>
    </w:pPr>
    <w:rPr>
      <w:rFonts w:ascii="Times New Roman" w:eastAsia="新宋体"/>
      <w:kern w:val="2"/>
    </w:rPr>
  </w:style>
  <w:style w:type="character" w:customStyle="1" w:styleId="320">
    <w:name w:val="ZW1"/>
    <w:qFormat/>
    <w:uiPriority w:val="0"/>
    <w:rPr>
      <w:rFonts w:ascii="Arial" w:hAnsi="Arial" w:eastAsia="宋体" w:cs="宋体"/>
      <w:spacing w:val="10"/>
      <w:sz w:val="24"/>
    </w:rPr>
  </w:style>
  <w:style w:type="character" w:customStyle="1" w:styleId="321">
    <w:name w:val="font181"/>
    <w:qFormat/>
    <w:uiPriority w:val="0"/>
    <w:rPr>
      <w:rFonts w:hint="default" w:ascii="Times New Roman" w:hAnsi="Times New Roman" w:cs="Times New Roman"/>
      <w:b/>
      <w:color w:val="000000"/>
      <w:sz w:val="22"/>
      <w:szCs w:val="22"/>
      <w:u w:val="none"/>
    </w:rPr>
  </w:style>
  <w:style w:type="character" w:customStyle="1" w:styleId="322">
    <w:name w:val="未命名1"/>
    <w:qFormat/>
    <w:uiPriority w:val="0"/>
  </w:style>
  <w:style w:type="character" w:customStyle="1" w:styleId="323">
    <w:name w:val="font01"/>
    <w:qFormat/>
    <w:uiPriority w:val="0"/>
    <w:rPr>
      <w:rFonts w:hint="default" w:ascii="Times New Roman" w:hAnsi="Times New Roman" w:cs="Times New Roman"/>
      <w:color w:val="000000"/>
      <w:sz w:val="21"/>
      <w:szCs w:val="21"/>
      <w:u w:val="none"/>
      <w:vertAlign w:val="superscript"/>
    </w:rPr>
  </w:style>
  <w:style w:type="character" w:customStyle="1" w:styleId="324">
    <w:name w:val="user"/>
    <w:qFormat/>
    <w:uiPriority w:val="0"/>
  </w:style>
  <w:style w:type="character" w:customStyle="1" w:styleId="325">
    <w:name w:val="白正文 Char Char"/>
    <w:link w:val="326"/>
    <w:qFormat/>
    <w:uiPriority w:val="0"/>
    <w:rPr>
      <w:rFonts w:ascii="宋体" w:hAnsi="宋体" w:eastAsia="宋体"/>
      <w:color w:val="000000"/>
      <w:kern w:val="2"/>
      <w:sz w:val="24"/>
      <w:szCs w:val="24"/>
      <w:lang w:val="en-US" w:eastAsia="zh-CN" w:bidi="ar-SA"/>
    </w:rPr>
  </w:style>
  <w:style w:type="paragraph" w:customStyle="1" w:styleId="326">
    <w:name w:val="白正文"/>
    <w:basedOn w:val="1"/>
    <w:link w:val="325"/>
    <w:qFormat/>
    <w:uiPriority w:val="0"/>
    <w:pPr>
      <w:spacing w:line="360" w:lineRule="auto"/>
      <w:ind w:firstLine="200" w:firstLineChars="200"/>
    </w:pPr>
    <w:rPr>
      <w:rFonts w:ascii="宋体" w:hAnsi="宋体"/>
      <w:color w:val="000000"/>
      <w:sz w:val="24"/>
    </w:rPr>
  </w:style>
  <w:style w:type="character" w:customStyle="1" w:styleId="327">
    <w:name w:val="正文缩进 Char Char Char Char Char"/>
    <w:qFormat/>
    <w:uiPriority w:val="0"/>
    <w:rPr>
      <w:rFonts w:ascii="宋体" w:hAnsi="宋体" w:eastAsia="宋体"/>
      <w:kern w:val="2"/>
      <w:sz w:val="24"/>
      <w:lang w:val="en-US" w:eastAsia="zh-CN" w:bidi="ar-SA"/>
    </w:rPr>
  </w:style>
  <w:style w:type="character" w:customStyle="1" w:styleId="328">
    <w:name w:val="Lead-in Emphasis"/>
    <w:qFormat/>
    <w:uiPriority w:val="0"/>
    <w:rPr>
      <w:rFonts w:ascii="Arial" w:hAnsi="Arial"/>
      <w:b/>
      <w:spacing w:val="-8"/>
      <w:sz w:val="18"/>
    </w:rPr>
  </w:style>
  <w:style w:type="character" w:customStyle="1" w:styleId="329">
    <w:name w:val="kyzhw Char Char Char"/>
    <w:link w:val="330"/>
    <w:qFormat/>
    <w:uiPriority w:val="0"/>
    <w:rPr>
      <w:rFonts w:ascii="宋体" w:hAnsi="宋体" w:eastAsia="宋体" w:cs="宋体"/>
      <w:kern w:val="2"/>
      <w:sz w:val="28"/>
      <w:szCs w:val="24"/>
      <w:lang w:val="en-US" w:eastAsia="zh-CN" w:bidi="ar-SA"/>
    </w:rPr>
  </w:style>
  <w:style w:type="paragraph" w:customStyle="1" w:styleId="330">
    <w:name w:val="kyzhw Char Char"/>
    <w:basedOn w:val="1"/>
    <w:link w:val="329"/>
    <w:qFormat/>
    <w:uiPriority w:val="0"/>
    <w:pPr>
      <w:spacing w:line="580" w:lineRule="exact"/>
      <w:ind w:firstLine="560" w:firstLineChars="200"/>
    </w:pPr>
    <w:rPr>
      <w:rFonts w:ascii="宋体" w:hAnsi="宋体" w:cs="宋体"/>
      <w:sz w:val="28"/>
    </w:rPr>
  </w:style>
  <w:style w:type="character" w:customStyle="1" w:styleId="331">
    <w:name w:val="Char Char12"/>
    <w:semiHidden/>
    <w:qFormat/>
    <w:uiPriority w:val="0"/>
    <w:rPr>
      <w:rFonts w:ascii="宋体" w:hAnsi="宋体" w:eastAsia="宋体" w:cs="宋体"/>
      <w:kern w:val="2"/>
      <w:sz w:val="18"/>
      <w:szCs w:val="18"/>
      <w:lang w:val="en-US" w:eastAsia="zh-CN" w:bidi="ar-SA"/>
    </w:rPr>
  </w:style>
  <w:style w:type="character" w:customStyle="1" w:styleId="332">
    <w:name w:val="Char Char152"/>
    <w:qFormat/>
    <w:uiPriority w:val="0"/>
    <w:rPr>
      <w:rFonts w:ascii="宋体" w:hAnsi="宋体" w:cs="宋体"/>
      <w:b/>
      <w:bCs/>
      <w:kern w:val="44"/>
      <w:sz w:val="44"/>
      <w:szCs w:val="44"/>
    </w:rPr>
  </w:style>
  <w:style w:type="character" w:customStyle="1" w:styleId="333">
    <w:name w:val="p9"/>
    <w:qFormat/>
    <w:uiPriority w:val="0"/>
  </w:style>
  <w:style w:type="character" w:customStyle="1" w:styleId="334">
    <w:name w:val="小四正文 Char"/>
    <w:link w:val="335"/>
    <w:qFormat/>
    <w:uiPriority w:val="0"/>
    <w:rPr>
      <w:rFonts w:ascii="宋体" w:hAnsi="宋体" w:eastAsia="宋体" w:cs="宋体"/>
      <w:kern w:val="2"/>
      <w:sz w:val="24"/>
      <w:szCs w:val="28"/>
      <w:lang w:val="zh-CN" w:eastAsia="zh-CN" w:bidi="ar-SA"/>
    </w:rPr>
  </w:style>
  <w:style w:type="paragraph" w:customStyle="1" w:styleId="335">
    <w:name w:val="小四正文"/>
    <w:basedOn w:val="1"/>
    <w:link w:val="334"/>
    <w:qFormat/>
    <w:uiPriority w:val="0"/>
    <w:pPr>
      <w:spacing w:line="480" w:lineRule="exact"/>
      <w:ind w:firstLine="480" w:firstLineChars="200"/>
    </w:pPr>
    <w:rPr>
      <w:rFonts w:ascii="宋体" w:hAnsi="宋体" w:cs="宋体"/>
      <w:sz w:val="24"/>
      <w:szCs w:val="28"/>
      <w:lang w:val="zh-CN"/>
    </w:rPr>
  </w:style>
  <w:style w:type="character" w:customStyle="1" w:styleId="336">
    <w:name w:val="图表标题 Char"/>
    <w:link w:val="337"/>
    <w:qFormat/>
    <w:uiPriority w:val="0"/>
    <w:rPr>
      <w:rFonts w:ascii="黑体" w:hAnsi="宋体" w:eastAsia="黑体" w:cs="宋体"/>
      <w:kern w:val="2"/>
      <w:sz w:val="32"/>
      <w:lang w:val="en-US" w:eastAsia="zh-CN" w:bidi="ar-SA"/>
    </w:rPr>
  </w:style>
  <w:style w:type="paragraph" w:customStyle="1" w:styleId="337">
    <w:name w:val="图表标题"/>
    <w:basedOn w:val="1"/>
    <w:link w:val="336"/>
    <w:qFormat/>
    <w:uiPriority w:val="0"/>
    <w:pPr>
      <w:widowControl/>
      <w:topLinePunct/>
      <w:ind w:left="480"/>
      <w:jc w:val="center"/>
    </w:pPr>
    <w:rPr>
      <w:rFonts w:ascii="黑体" w:hAnsi="宋体" w:eastAsia="黑体" w:cs="宋体"/>
      <w:sz w:val="32"/>
      <w:szCs w:val="20"/>
    </w:rPr>
  </w:style>
  <w:style w:type="character" w:customStyle="1" w:styleId="338">
    <w:name w:val="price"/>
    <w:qFormat/>
    <w:uiPriority w:val="0"/>
  </w:style>
  <w:style w:type="character" w:customStyle="1" w:styleId="339">
    <w:name w:val="unnamed21"/>
    <w:qFormat/>
    <w:uiPriority w:val="0"/>
    <w:rPr>
      <w:rFonts w:ascii="宋体" w:hAnsi="宋体" w:cs="宋体"/>
      <w:sz w:val="26"/>
      <w:szCs w:val="26"/>
    </w:rPr>
  </w:style>
  <w:style w:type="character" w:customStyle="1" w:styleId="340">
    <w:name w:val="wislin正文 Char Char"/>
    <w:qFormat/>
    <w:uiPriority w:val="0"/>
    <w:rPr>
      <w:rFonts w:ascii="宋体" w:hAnsi="宋体" w:eastAsia="宋体" w:cs="宋体"/>
      <w:kern w:val="2"/>
      <w:sz w:val="24"/>
      <w:szCs w:val="24"/>
      <w:lang w:val="en-US" w:eastAsia="zh-CN" w:bidi="ar-SA"/>
    </w:rPr>
  </w:style>
  <w:style w:type="character" w:customStyle="1" w:styleId="341">
    <w:name w:val="zt-gs"/>
    <w:qFormat/>
    <w:uiPriority w:val="0"/>
  </w:style>
  <w:style w:type="character" w:customStyle="1" w:styleId="342">
    <w:name w:val="Font Style98"/>
    <w:qFormat/>
    <w:uiPriority w:val="0"/>
    <w:rPr>
      <w:rFonts w:ascii="宋体" w:eastAsia="宋体" w:cs="宋体"/>
      <w:sz w:val="22"/>
      <w:szCs w:val="22"/>
    </w:rPr>
  </w:style>
  <w:style w:type="character" w:customStyle="1" w:styleId="343">
    <w:name w:val="font41"/>
    <w:qFormat/>
    <w:uiPriority w:val="0"/>
    <w:rPr>
      <w:rFonts w:hint="default" w:ascii="Times New Roman" w:hAnsi="Times New Roman" w:cs="Times New Roman"/>
      <w:color w:val="000000"/>
      <w:sz w:val="22"/>
      <w:szCs w:val="22"/>
      <w:u w:val="none"/>
    </w:rPr>
  </w:style>
  <w:style w:type="character" w:customStyle="1" w:styleId="344">
    <w:name w:val="正文1 Char"/>
    <w:qFormat/>
    <w:uiPriority w:val="0"/>
    <w:rPr>
      <w:b/>
      <w:color w:val="000000"/>
      <w:kern w:val="2"/>
      <w:sz w:val="24"/>
    </w:rPr>
  </w:style>
  <w:style w:type="character" w:customStyle="1" w:styleId="345">
    <w:name w:val="正文(首缩进) Char Char Char Char Char"/>
    <w:qFormat/>
    <w:uiPriority w:val="0"/>
    <w:rPr>
      <w:rFonts w:ascii="Arial" w:hAnsi="Arial" w:eastAsia="仿宋_GB2312" w:cs="Arial"/>
      <w:kern w:val="2"/>
      <w:sz w:val="28"/>
      <w:szCs w:val="28"/>
      <w:lang w:val="en-US" w:eastAsia="zh-CN"/>
    </w:rPr>
  </w:style>
  <w:style w:type="character" w:customStyle="1" w:styleId="346">
    <w:name w:val="正文小四1.5行距宋体 Char"/>
    <w:link w:val="347"/>
    <w:qFormat/>
    <w:uiPriority w:val="0"/>
    <w:rPr>
      <w:rFonts w:ascii="宋体" w:hAnsi="宋体" w:eastAsia="宋体" w:cs="宋体"/>
      <w:color w:val="000000"/>
      <w:kern w:val="2"/>
      <w:sz w:val="24"/>
      <w:lang w:val="en-US" w:eastAsia="zh-CN" w:bidi="ar-SA"/>
    </w:rPr>
  </w:style>
  <w:style w:type="paragraph" w:customStyle="1" w:styleId="347">
    <w:name w:val="正文小四1.5行距宋体"/>
    <w:basedOn w:val="1"/>
    <w:link w:val="346"/>
    <w:qFormat/>
    <w:uiPriority w:val="0"/>
    <w:pPr>
      <w:spacing w:line="360" w:lineRule="auto"/>
      <w:ind w:firstLine="480" w:firstLineChars="200"/>
    </w:pPr>
    <w:rPr>
      <w:rFonts w:ascii="宋体" w:hAnsi="宋体" w:cs="宋体"/>
      <w:color w:val="000000"/>
      <w:sz w:val="24"/>
      <w:szCs w:val="20"/>
    </w:rPr>
  </w:style>
  <w:style w:type="character" w:customStyle="1" w:styleId="348">
    <w:name w:val="Char Char151"/>
    <w:qFormat/>
    <w:uiPriority w:val="0"/>
    <w:rPr>
      <w:rFonts w:ascii="宋体" w:hAnsi="宋体" w:cs="宋体"/>
      <w:b/>
      <w:bCs/>
      <w:kern w:val="44"/>
      <w:sz w:val="44"/>
      <w:szCs w:val="44"/>
    </w:rPr>
  </w:style>
  <w:style w:type="character" w:customStyle="1" w:styleId="349">
    <w:name w:val="样式 样式 5 + 首行缩进:  2 字符 + Char"/>
    <w:link w:val="350"/>
    <w:qFormat/>
    <w:uiPriority w:val="0"/>
    <w:rPr>
      <w:lang w:val="en-US" w:eastAsia="zh-CN" w:bidi="ar-SA"/>
    </w:rPr>
  </w:style>
  <w:style w:type="paragraph" w:customStyle="1" w:styleId="350">
    <w:name w:val="样式 样式 5 + 首行缩进:  2 字符 +"/>
    <w:basedOn w:val="201"/>
    <w:link w:val="349"/>
    <w:qFormat/>
    <w:uiPriority w:val="0"/>
    <w:rPr>
      <w:kern w:val="0"/>
    </w:rPr>
  </w:style>
  <w:style w:type="character" w:customStyle="1" w:styleId="351">
    <w:name w:val="Char Char11"/>
    <w:qFormat/>
    <w:uiPriority w:val="0"/>
    <w:rPr>
      <w:rFonts w:ascii="宋体" w:hAnsi="宋体" w:eastAsia="宋体" w:cs="宋体"/>
      <w:kern w:val="2"/>
      <w:sz w:val="21"/>
      <w:szCs w:val="24"/>
      <w:lang w:val="en-US" w:eastAsia="zh-CN" w:bidi="ar-SA"/>
    </w:rPr>
  </w:style>
  <w:style w:type="character" w:customStyle="1" w:styleId="352">
    <w:name w:val="font101"/>
    <w:qFormat/>
    <w:uiPriority w:val="0"/>
    <w:rPr>
      <w:rFonts w:hint="eastAsia" w:ascii="宋体" w:hAnsi="宋体" w:eastAsia="宋体" w:cs="宋体"/>
      <w:color w:val="000000"/>
      <w:sz w:val="22"/>
      <w:szCs w:val="22"/>
      <w:u w:val="none"/>
    </w:rPr>
  </w:style>
  <w:style w:type="character" w:customStyle="1" w:styleId="353">
    <w:name w:val="标题 4 Char Char"/>
    <w:qFormat/>
    <w:uiPriority w:val="0"/>
    <w:rPr>
      <w:rFonts w:ascii="宋体" w:hAnsi="宋体" w:eastAsia="宋体" w:cs="Arial"/>
      <w:b/>
      <w:kern w:val="2"/>
      <w:sz w:val="24"/>
      <w:szCs w:val="28"/>
      <w:lang w:val="en-US" w:eastAsia="zh-CN" w:bidi="ar-SA"/>
    </w:rPr>
  </w:style>
  <w:style w:type="character" w:customStyle="1" w:styleId="354">
    <w:name w:val="正文（首行式样2） Char"/>
    <w:link w:val="355"/>
    <w:qFormat/>
    <w:uiPriority w:val="0"/>
    <w:rPr>
      <w:rFonts w:ascii="宋体" w:hAnsi="宋体" w:eastAsia="宋体" w:cs="宋体"/>
      <w:color w:val="800000"/>
      <w:kern w:val="2"/>
      <w:sz w:val="28"/>
      <w:lang w:val="en-US" w:eastAsia="zh-CN" w:bidi="ar-SA"/>
    </w:rPr>
  </w:style>
  <w:style w:type="paragraph" w:customStyle="1" w:styleId="355">
    <w:name w:val="正文（首行式样2）"/>
    <w:basedOn w:val="22"/>
    <w:link w:val="354"/>
    <w:qFormat/>
    <w:uiPriority w:val="0"/>
    <w:pPr>
      <w:spacing w:line="540" w:lineRule="exact"/>
      <w:ind w:right="-13" w:rightChars="-6" w:firstLine="0"/>
    </w:pPr>
    <w:rPr>
      <w:rFonts w:ascii="宋体" w:hAnsi="宋体" w:cs="宋体"/>
      <w:color w:val="800000"/>
      <w:sz w:val="28"/>
      <w:szCs w:val="20"/>
    </w:rPr>
  </w:style>
  <w:style w:type="character" w:customStyle="1" w:styleId="356">
    <w:name w:val="main Char Char Char Char Char"/>
    <w:link w:val="357"/>
    <w:qFormat/>
    <w:uiPriority w:val="0"/>
    <w:rPr>
      <w:rFonts w:ascii="宋体" w:hAnsi="宋体" w:eastAsia="宋体" w:cs="Arial"/>
      <w:bCs/>
      <w:kern w:val="2"/>
      <w:sz w:val="24"/>
      <w:lang w:val="en-US" w:eastAsia="zh-CN" w:bidi="ar-SA"/>
    </w:rPr>
  </w:style>
  <w:style w:type="paragraph" w:customStyle="1" w:styleId="357">
    <w:name w:val="main Char Char Char Char"/>
    <w:basedOn w:val="1"/>
    <w:link w:val="356"/>
    <w:qFormat/>
    <w:uiPriority w:val="0"/>
    <w:pPr>
      <w:spacing w:line="440" w:lineRule="exact"/>
      <w:ind w:firstLine="480" w:firstLineChars="200"/>
    </w:pPr>
    <w:rPr>
      <w:rFonts w:ascii="宋体" w:hAnsi="宋体" w:cs="Arial"/>
      <w:bCs/>
      <w:sz w:val="24"/>
      <w:szCs w:val="20"/>
    </w:rPr>
  </w:style>
  <w:style w:type="character" w:customStyle="1" w:styleId="358">
    <w:name w:val="text-s1"/>
    <w:qFormat/>
    <w:uiPriority w:val="0"/>
    <w:rPr>
      <w:rFonts w:ascii="宋体" w:hAnsi="宋体" w:cs="宋体"/>
      <w:sz w:val="18"/>
      <w:szCs w:val="18"/>
    </w:rPr>
  </w:style>
  <w:style w:type="character" w:customStyle="1" w:styleId="359">
    <w:name w:val="style81"/>
    <w:qFormat/>
    <w:uiPriority w:val="0"/>
    <w:rPr>
      <w:rFonts w:ascii="宋体" w:hAnsi="宋体" w:cs="宋体"/>
      <w:sz w:val="24"/>
      <w:szCs w:val="24"/>
    </w:rPr>
  </w:style>
  <w:style w:type="character" w:customStyle="1" w:styleId="360">
    <w:name w:val="style91"/>
    <w:qFormat/>
    <w:uiPriority w:val="0"/>
    <w:rPr>
      <w:rFonts w:ascii="宋体" w:hAnsi="宋体" w:cs="宋体"/>
      <w:color w:val="333333"/>
      <w:sz w:val="24"/>
    </w:rPr>
  </w:style>
  <w:style w:type="character" w:customStyle="1" w:styleId="361">
    <w:name w:val="报告正文 Char"/>
    <w:link w:val="362"/>
    <w:qFormat/>
    <w:uiPriority w:val="0"/>
    <w:rPr>
      <w:rFonts w:ascii="宋体" w:hAnsi="宋体" w:eastAsia="宋体" w:cs="宋体"/>
      <w:kern w:val="2"/>
      <w:sz w:val="28"/>
      <w:lang w:val="en-US" w:eastAsia="zh-CN" w:bidi="ar-SA"/>
    </w:rPr>
  </w:style>
  <w:style w:type="paragraph" w:customStyle="1" w:styleId="362">
    <w:name w:val="报告正文"/>
    <w:basedOn w:val="1"/>
    <w:link w:val="361"/>
    <w:qFormat/>
    <w:uiPriority w:val="0"/>
    <w:pPr>
      <w:adjustRightInd w:val="0"/>
      <w:snapToGrid w:val="0"/>
      <w:spacing w:line="300" w:lineRule="auto"/>
    </w:pPr>
    <w:rPr>
      <w:rFonts w:ascii="宋体" w:hAnsi="宋体" w:cs="宋体"/>
      <w:sz w:val="28"/>
      <w:szCs w:val="20"/>
    </w:rPr>
  </w:style>
  <w:style w:type="character" w:customStyle="1" w:styleId="363">
    <w:name w:val="首缩四 Char Char"/>
    <w:qFormat/>
    <w:uiPriority w:val="0"/>
    <w:rPr>
      <w:rFonts w:ascii="宋体" w:hAnsi="宋体" w:eastAsia="宋体" w:cs="宋体"/>
      <w:kern w:val="2"/>
      <w:sz w:val="28"/>
      <w:szCs w:val="28"/>
      <w:lang w:val="en-US" w:eastAsia="zh-CN"/>
    </w:rPr>
  </w:style>
  <w:style w:type="character" w:customStyle="1" w:styleId="364">
    <w:name w:val="表格内字体 Char"/>
    <w:link w:val="365"/>
    <w:qFormat/>
    <w:uiPriority w:val="0"/>
    <w:rPr>
      <w:rFonts w:ascii="宋体" w:hAnsi="宋体" w:eastAsia="宋体" w:cs="宋体"/>
      <w:kern w:val="2"/>
      <w:sz w:val="21"/>
      <w:szCs w:val="21"/>
      <w:lang w:val="en-US" w:eastAsia="zh-CN" w:bidi="ar-SA"/>
    </w:rPr>
  </w:style>
  <w:style w:type="paragraph" w:customStyle="1" w:styleId="365">
    <w:name w:val="表格内字体"/>
    <w:basedOn w:val="1"/>
    <w:next w:val="1"/>
    <w:link w:val="364"/>
    <w:qFormat/>
    <w:uiPriority w:val="0"/>
    <w:pPr>
      <w:jc w:val="center"/>
    </w:pPr>
    <w:rPr>
      <w:rFonts w:ascii="宋体" w:hAnsi="宋体" w:cs="宋体"/>
      <w:szCs w:val="21"/>
    </w:rPr>
  </w:style>
  <w:style w:type="character" w:customStyle="1" w:styleId="366">
    <w:name w:val="0待改文字"/>
    <w:qFormat/>
    <w:uiPriority w:val="0"/>
    <w:rPr>
      <w:rFonts w:ascii="宋体" w:hAnsi="宋体" w:eastAsia="黑体" w:cs="宋体"/>
      <w:color w:val="FF0000"/>
      <w:sz w:val="24"/>
    </w:rPr>
  </w:style>
  <w:style w:type="character" w:customStyle="1" w:styleId="367">
    <w:name w:val="Char Char18"/>
    <w:qFormat/>
    <w:uiPriority w:val="0"/>
    <w:rPr>
      <w:rFonts w:ascii="Arial" w:hAnsi="Arial" w:eastAsia="仿宋_GB2312" w:cs="宋体"/>
      <w:b/>
      <w:sz w:val="28"/>
      <w:lang w:val="en-US" w:eastAsia="zh-CN" w:bidi="ar-SA"/>
    </w:rPr>
  </w:style>
  <w:style w:type="character" w:customStyle="1" w:styleId="368">
    <w:name w:val="标题 4 Char"/>
    <w:qFormat/>
    <w:uiPriority w:val="0"/>
    <w:rPr>
      <w:rFonts w:ascii="Cambria" w:hAnsi="Cambria" w:eastAsia="宋体" w:cs="Times New Roman"/>
      <w:b/>
      <w:bCs/>
      <w:sz w:val="28"/>
      <w:szCs w:val="28"/>
    </w:rPr>
  </w:style>
  <w:style w:type="character" w:customStyle="1" w:styleId="369">
    <w:name w:val="样式 Times New Roman"/>
    <w:qFormat/>
    <w:uiPriority w:val="0"/>
    <w:rPr>
      <w:rFonts w:ascii="宋体" w:hAnsi="Times New Roman" w:eastAsia="宋体" w:cs="宋体"/>
      <w:sz w:val="24"/>
    </w:rPr>
  </w:style>
  <w:style w:type="character" w:customStyle="1" w:styleId="370">
    <w:name w:val="可研文字 Char Char"/>
    <w:link w:val="371"/>
    <w:qFormat/>
    <w:uiPriority w:val="0"/>
    <w:rPr>
      <w:rFonts w:ascii="宋体" w:hAnsi="宋体" w:eastAsia="宋体" w:cs="宋体"/>
      <w:kern w:val="32"/>
      <w:sz w:val="28"/>
      <w:szCs w:val="32"/>
      <w:lang w:val="en-US" w:eastAsia="zh-CN" w:bidi="ar-SA"/>
    </w:rPr>
  </w:style>
  <w:style w:type="paragraph" w:customStyle="1" w:styleId="371">
    <w:name w:val="可研文字 Char"/>
    <w:basedOn w:val="1"/>
    <w:link w:val="370"/>
    <w:qFormat/>
    <w:uiPriority w:val="0"/>
    <w:pPr>
      <w:spacing w:line="360" w:lineRule="auto"/>
      <w:ind w:firstLine="554" w:firstLineChars="200"/>
    </w:pPr>
    <w:rPr>
      <w:rFonts w:ascii="宋体" w:hAnsi="宋体" w:cs="宋体"/>
      <w:kern w:val="32"/>
      <w:sz w:val="28"/>
      <w:szCs w:val="32"/>
    </w:rPr>
  </w:style>
  <w:style w:type="character" w:customStyle="1" w:styleId="372">
    <w:name w:val="标题4 Char"/>
    <w:qFormat/>
    <w:uiPriority w:val="0"/>
    <w:rPr>
      <w:rFonts w:ascii="Arial" w:hAnsi="宋体" w:eastAsia="黑体" w:cs="宋体"/>
      <w:b/>
      <w:bCs/>
      <w:kern w:val="2"/>
      <w:sz w:val="28"/>
      <w:szCs w:val="28"/>
      <w:lang w:val="en-US" w:eastAsia="zh-CN" w:bidi="ar-SA"/>
    </w:rPr>
  </w:style>
  <w:style w:type="character" w:customStyle="1" w:styleId="373">
    <w:name w:val="Normal Char Char"/>
    <w:link w:val="374"/>
    <w:qFormat/>
    <w:uiPriority w:val="0"/>
    <w:rPr>
      <w:rFonts w:ascii="宋体"/>
      <w:kern w:val="2"/>
      <w:sz w:val="24"/>
      <w:szCs w:val="24"/>
      <w:lang w:val="en-US" w:eastAsia="zh-CN" w:bidi="ar-SA"/>
    </w:rPr>
  </w:style>
  <w:style w:type="paragraph" w:customStyle="1" w:styleId="374">
    <w:name w:val="Normal"/>
    <w:link w:val="373"/>
    <w:qFormat/>
    <w:uiPriority w:val="0"/>
    <w:pPr>
      <w:widowControl w:val="0"/>
      <w:adjustRightInd w:val="0"/>
      <w:spacing w:line="360" w:lineRule="atLeast"/>
    </w:pPr>
    <w:rPr>
      <w:rFonts w:ascii="宋体" w:hAnsi="Times New Roman" w:eastAsia="宋体" w:cs="Times New Roman"/>
      <w:kern w:val="2"/>
      <w:sz w:val="24"/>
      <w:szCs w:val="24"/>
      <w:lang w:val="en-US" w:eastAsia="zh-CN" w:bidi="ar-SA"/>
    </w:rPr>
  </w:style>
  <w:style w:type="character" w:customStyle="1" w:styleId="375">
    <w:name w:val="newscontent"/>
    <w:qFormat/>
    <w:uiPriority w:val="0"/>
  </w:style>
  <w:style w:type="character" w:customStyle="1" w:styleId="376">
    <w:name w:val="正文文字-1 Char Char"/>
    <w:link w:val="377"/>
    <w:qFormat/>
    <w:locked/>
    <w:uiPriority w:val="0"/>
    <w:rPr>
      <w:rFonts w:eastAsia="Times New Roman"/>
      <w:kern w:val="2"/>
      <w:sz w:val="22"/>
      <w:szCs w:val="24"/>
      <w:lang w:val="en-US" w:eastAsia="zh-CN" w:bidi="ar-SA"/>
    </w:rPr>
  </w:style>
  <w:style w:type="paragraph" w:customStyle="1" w:styleId="377">
    <w:name w:val="正文文字-1"/>
    <w:link w:val="376"/>
    <w:qFormat/>
    <w:uiPriority w:val="0"/>
    <w:pPr>
      <w:widowControl w:val="0"/>
      <w:spacing w:before="120" w:after="120" w:line="480" w:lineRule="exact"/>
      <w:ind w:firstLine="588" w:firstLineChars="210"/>
      <w:jc w:val="both"/>
    </w:pPr>
    <w:rPr>
      <w:rFonts w:ascii="Times New Roman" w:hAnsi="Times New Roman" w:eastAsia="Times New Roman" w:cs="Times New Roman"/>
      <w:kern w:val="2"/>
      <w:sz w:val="22"/>
      <w:szCs w:val="24"/>
      <w:lang w:val="en-US" w:eastAsia="zh-CN" w:bidi="ar-SA"/>
    </w:rPr>
  </w:style>
  <w:style w:type="character" w:customStyle="1" w:styleId="378">
    <w:name w:val="表号 Char Char"/>
    <w:qFormat/>
    <w:uiPriority w:val="0"/>
    <w:rPr>
      <w:lang w:val="en-US" w:eastAsia="zh-CN"/>
    </w:rPr>
  </w:style>
  <w:style w:type="character" w:customStyle="1" w:styleId="379">
    <w:name w:val="style31"/>
    <w:qFormat/>
    <w:uiPriority w:val="0"/>
    <w:rPr>
      <w:rFonts w:ascii="宋体" w:hAnsi="宋体" w:cs="宋体"/>
      <w:color w:val="444466"/>
      <w:sz w:val="24"/>
    </w:rPr>
  </w:style>
  <w:style w:type="character" w:customStyle="1" w:styleId="380">
    <w:name w:val="h Char1"/>
    <w:qFormat/>
    <w:uiPriority w:val="0"/>
    <w:rPr>
      <w:rFonts w:ascii="宋体" w:hAnsi="宋体" w:cs="宋体"/>
      <w:kern w:val="2"/>
      <w:sz w:val="18"/>
      <w:szCs w:val="18"/>
    </w:rPr>
  </w:style>
  <w:style w:type="character" w:customStyle="1" w:styleId="381">
    <w:name w:val="f141"/>
    <w:qFormat/>
    <w:uiPriority w:val="0"/>
    <w:rPr>
      <w:rFonts w:ascii="宋体" w:hAnsi="宋体" w:cs="宋体"/>
      <w:color w:val="000000"/>
      <w:sz w:val="24"/>
      <w:szCs w:val="24"/>
    </w:rPr>
  </w:style>
  <w:style w:type="character" w:customStyle="1" w:styleId="382">
    <w:name w:val="表格内正文 Char"/>
    <w:link w:val="383"/>
    <w:qFormat/>
    <w:uiPriority w:val="0"/>
    <w:rPr>
      <w:rFonts w:eastAsia="宋体"/>
      <w:kern w:val="2"/>
      <w:sz w:val="21"/>
      <w:szCs w:val="24"/>
      <w:lang w:val="en-US" w:eastAsia="zh-CN" w:bidi="ar-SA"/>
    </w:rPr>
  </w:style>
  <w:style w:type="paragraph" w:customStyle="1" w:styleId="383">
    <w:name w:val="表格内正文"/>
    <w:basedOn w:val="1"/>
    <w:link w:val="382"/>
    <w:qFormat/>
    <w:uiPriority w:val="0"/>
    <w:pPr>
      <w:spacing w:line="360" w:lineRule="auto"/>
      <w:jc w:val="center"/>
    </w:pPr>
  </w:style>
  <w:style w:type="character" w:customStyle="1" w:styleId="384">
    <w:name w:val="headline-content2"/>
    <w:qFormat/>
    <w:uiPriority w:val="0"/>
  </w:style>
  <w:style w:type="character" w:customStyle="1" w:styleId="385">
    <w:name w:val="tpc_content1"/>
    <w:qFormat/>
    <w:uiPriority w:val="0"/>
    <w:rPr>
      <w:sz w:val="20"/>
      <w:szCs w:val="20"/>
    </w:rPr>
  </w:style>
  <w:style w:type="character" w:customStyle="1" w:styleId="386">
    <w:name w:val="样式 标题 3 + 四号 非加粗 黑色 Char"/>
    <w:link w:val="387"/>
    <w:qFormat/>
    <w:uiPriority w:val="0"/>
    <w:rPr>
      <w:rFonts w:ascii="宋体" w:hAnsi="宋体" w:eastAsia="宋体" w:cs="宋体"/>
      <w:b/>
      <w:snapToGrid w:val="0"/>
      <w:color w:val="000000"/>
      <w:sz w:val="28"/>
      <w:szCs w:val="28"/>
      <w:lang w:val="en-US" w:eastAsia="zh-CN" w:bidi="ar-SA"/>
    </w:rPr>
  </w:style>
  <w:style w:type="paragraph" w:customStyle="1" w:styleId="387">
    <w:name w:val="样式 标题 3 + 四号 非加粗 黑色"/>
    <w:basedOn w:val="7"/>
    <w:next w:val="7"/>
    <w:link w:val="386"/>
    <w:qFormat/>
    <w:uiPriority w:val="0"/>
    <w:pPr>
      <w:numPr>
        <w:ilvl w:val="0"/>
        <w:numId w:val="0"/>
      </w:numPr>
      <w:tabs>
        <w:tab w:val="left" w:pos="720"/>
      </w:tabs>
      <w:spacing w:before="0" w:after="0" w:line="360" w:lineRule="auto"/>
      <w:ind w:left="720" w:hanging="720"/>
    </w:pPr>
    <w:rPr>
      <w:rFonts w:eastAsia="宋体" w:cs="宋体"/>
      <w:snapToGrid w:val="0"/>
      <w:color w:val="000000"/>
      <w:kern w:val="0"/>
      <w:szCs w:val="28"/>
      <w:lang w:val="en-US" w:eastAsia="zh-CN"/>
    </w:rPr>
  </w:style>
  <w:style w:type="character" w:customStyle="1" w:styleId="388">
    <w:name w:val="标题5 Char Char"/>
    <w:qFormat/>
    <w:uiPriority w:val="0"/>
    <w:rPr>
      <w:rFonts w:ascii="Arial" w:hAnsi="宋体" w:eastAsia="宋体" w:cs="宋体"/>
      <w:b/>
      <w:bCs/>
      <w:kern w:val="2"/>
      <w:sz w:val="24"/>
      <w:szCs w:val="24"/>
      <w:lang w:bidi="ar-SA"/>
    </w:rPr>
  </w:style>
  <w:style w:type="character" w:customStyle="1" w:styleId="389">
    <w:name w:val="font51"/>
    <w:qFormat/>
    <w:uiPriority w:val="0"/>
    <w:rPr>
      <w:rFonts w:hint="eastAsia" w:ascii="宋体" w:hAnsi="宋体" w:eastAsia="宋体" w:cs="宋体"/>
      <w:color w:val="000000"/>
      <w:sz w:val="22"/>
      <w:szCs w:val="22"/>
      <w:u w:val="none"/>
    </w:rPr>
  </w:style>
  <w:style w:type="character" w:customStyle="1" w:styleId="390">
    <w:name w:val="4 Char"/>
    <w:qFormat/>
    <w:uiPriority w:val="0"/>
    <w:rPr>
      <w:rFonts w:ascii="楷体_GB2312" w:hAnsi="宋体" w:eastAsia="楷体_GB2312" w:cs="宋体"/>
      <w:bCs/>
      <w:sz w:val="28"/>
      <w:szCs w:val="28"/>
      <w:lang w:val="en-US" w:eastAsia="zh-CN" w:bidi="ar-SA"/>
    </w:rPr>
  </w:style>
  <w:style w:type="character" w:customStyle="1" w:styleId="391">
    <w:name w:val="正文X Char"/>
    <w:link w:val="392"/>
    <w:qFormat/>
    <w:uiPriority w:val="0"/>
    <w:rPr>
      <w:rFonts w:ascii="Arial" w:hAnsi="Arial" w:eastAsia="宋体" w:cs="宋体"/>
      <w:color w:val="000000"/>
      <w:sz w:val="24"/>
      <w:lang w:bidi="ar-SA"/>
    </w:rPr>
  </w:style>
  <w:style w:type="paragraph" w:customStyle="1" w:styleId="392">
    <w:name w:val="正文X"/>
    <w:basedOn w:val="1"/>
    <w:link w:val="391"/>
    <w:qFormat/>
    <w:uiPriority w:val="0"/>
    <w:pPr>
      <w:adjustRightInd w:val="0"/>
      <w:snapToGrid w:val="0"/>
      <w:spacing w:before="100" w:beforeAutospacing="1" w:after="100" w:afterAutospacing="1" w:line="440" w:lineRule="exact"/>
    </w:pPr>
    <w:rPr>
      <w:rFonts w:ascii="Arial" w:hAnsi="Arial" w:cs="宋体"/>
      <w:color w:val="000000"/>
      <w:kern w:val="0"/>
      <w:sz w:val="24"/>
      <w:szCs w:val="20"/>
    </w:rPr>
  </w:style>
  <w:style w:type="character" w:customStyle="1" w:styleId="393">
    <w:name w:val="表格不居中小四 Char"/>
    <w:qFormat/>
    <w:uiPriority w:val="0"/>
    <w:rPr>
      <w:rFonts w:ascii="宋体" w:hAnsi="宋体" w:eastAsia="宋体" w:cs="宋体"/>
      <w:sz w:val="24"/>
      <w:lang w:val="en-US" w:eastAsia="zh-CN" w:bidi="ar-SA"/>
    </w:rPr>
  </w:style>
  <w:style w:type="character" w:customStyle="1" w:styleId="394">
    <w:name w:val=" Char Char19"/>
    <w:qFormat/>
    <w:uiPriority w:val="0"/>
    <w:rPr>
      <w:rFonts w:ascii="Times New Roman" w:hAnsi="Times New Roman" w:eastAsia="楷体_GB2312" w:cs="Times New Roman"/>
      <w:sz w:val="28"/>
      <w:szCs w:val="20"/>
    </w:rPr>
  </w:style>
  <w:style w:type="character" w:customStyle="1" w:styleId="395">
    <w:name w:val="正文内容 Char"/>
    <w:link w:val="396"/>
    <w:qFormat/>
    <w:uiPriority w:val="0"/>
    <w:rPr>
      <w:rFonts w:ascii="宋体" w:hAnsi="宋体" w:eastAsia="宋体" w:cs="宋体"/>
      <w:snapToGrid w:val="0"/>
      <w:sz w:val="24"/>
      <w:szCs w:val="21"/>
      <w:lang w:val="en-US" w:eastAsia="zh-CN" w:bidi="ar-SA"/>
    </w:rPr>
  </w:style>
  <w:style w:type="paragraph" w:customStyle="1" w:styleId="396">
    <w:name w:val="正文内容"/>
    <w:basedOn w:val="1"/>
    <w:link w:val="395"/>
    <w:qFormat/>
    <w:uiPriority w:val="0"/>
    <w:pPr>
      <w:spacing w:line="300" w:lineRule="auto"/>
      <w:ind w:firstLine="480" w:firstLineChars="200"/>
    </w:pPr>
    <w:rPr>
      <w:rFonts w:ascii="宋体" w:hAnsi="宋体" w:cs="宋体"/>
      <w:snapToGrid w:val="0"/>
      <w:kern w:val="0"/>
      <w:sz w:val="24"/>
      <w:szCs w:val="21"/>
    </w:rPr>
  </w:style>
  <w:style w:type="character" w:customStyle="1" w:styleId="397">
    <w:name w:val=" Char Char15"/>
    <w:qFormat/>
    <w:uiPriority w:val="0"/>
    <w:rPr>
      <w:rFonts w:ascii="宋体" w:hAnsi="宋体" w:eastAsia="宋体" w:cs="宋体"/>
      <w:kern w:val="2"/>
      <w:sz w:val="21"/>
      <w:szCs w:val="24"/>
      <w:lang w:val="en-US" w:eastAsia="zh-CN" w:bidi="ar-SA"/>
    </w:rPr>
  </w:style>
  <w:style w:type="character" w:customStyle="1" w:styleId="398">
    <w:name w:val="正文文字( 首段缩进两字） Char"/>
    <w:qFormat/>
    <w:uiPriority w:val="0"/>
    <w:rPr>
      <w:rFonts w:ascii="Times New Roman" w:hAnsi="Times New Roman" w:eastAsia="宋体" w:cs="Times New Roman"/>
      <w:sz w:val="24"/>
      <w:szCs w:val="20"/>
    </w:rPr>
  </w:style>
  <w:style w:type="character" w:customStyle="1" w:styleId="399">
    <w:name w:val="表头 Char Char"/>
    <w:qFormat/>
    <w:locked/>
    <w:uiPriority w:val="0"/>
    <w:rPr>
      <w:rFonts w:ascii="Times" w:hAnsi="Times" w:eastAsia="黑体"/>
      <w:b/>
      <w:snapToGrid/>
      <w:spacing w:val="16"/>
      <w:sz w:val="24"/>
      <w:szCs w:val="24"/>
    </w:rPr>
  </w:style>
  <w:style w:type="character" w:customStyle="1" w:styleId="400">
    <w:name w:val="正文缩进1 Char1"/>
    <w:qFormat/>
    <w:uiPriority w:val="0"/>
    <w:rPr>
      <w:rFonts w:ascii="宋体" w:hAnsi="宋体" w:cs="宋体"/>
      <w:kern w:val="2"/>
      <w:sz w:val="21"/>
      <w:szCs w:val="24"/>
    </w:rPr>
  </w:style>
  <w:style w:type="character" w:customStyle="1" w:styleId="401">
    <w:name w:val="正文文字缩进 21 Char Char1"/>
    <w:qFormat/>
    <w:uiPriority w:val="0"/>
    <w:rPr>
      <w:rFonts w:ascii="宋体" w:hAnsi="宋体" w:cs="宋体"/>
      <w:kern w:val="2"/>
      <w:sz w:val="21"/>
    </w:rPr>
  </w:style>
  <w:style w:type="character" w:customStyle="1" w:styleId="402">
    <w:name w:val="样式 黑色"/>
    <w:qFormat/>
    <w:uiPriority w:val="0"/>
    <w:rPr>
      <w:rFonts w:ascii="宋体" w:hAnsi="宋体" w:cs="宋体"/>
      <w:color w:val="auto"/>
      <w:sz w:val="24"/>
    </w:rPr>
  </w:style>
  <w:style w:type="character" w:customStyle="1" w:styleId="403">
    <w:name w:val="fu正文 Char"/>
    <w:link w:val="404"/>
    <w:qFormat/>
    <w:uiPriority w:val="0"/>
    <w:rPr>
      <w:rFonts w:ascii="宋体" w:hAnsi="宋体" w:eastAsia="宋体"/>
      <w:color w:val="000000"/>
      <w:kern w:val="2"/>
      <w:sz w:val="24"/>
      <w:szCs w:val="24"/>
      <w:lang w:val="en-US" w:eastAsia="zh-CN" w:bidi="ar-SA"/>
    </w:rPr>
  </w:style>
  <w:style w:type="paragraph" w:customStyle="1" w:styleId="404">
    <w:name w:val="fu正文"/>
    <w:basedOn w:val="1"/>
    <w:link w:val="403"/>
    <w:semiHidden/>
    <w:qFormat/>
    <w:uiPriority w:val="0"/>
    <w:pPr>
      <w:spacing w:line="360" w:lineRule="auto"/>
      <w:ind w:firstLine="200" w:firstLineChars="200"/>
    </w:pPr>
    <w:rPr>
      <w:rFonts w:ascii="宋体" w:hAnsi="宋体"/>
      <w:color w:val="000000"/>
      <w:sz w:val="24"/>
    </w:rPr>
  </w:style>
  <w:style w:type="character" w:customStyle="1" w:styleId="405">
    <w:name w:val="pt91"/>
    <w:qFormat/>
    <w:uiPriority w:val="0"/>
    <w:rPr>
      <w:rFonts w:ascii="宋体" w:hAnsi="宋体" w:cs="宋体"/>
      <w:sz w:val="18"/>
      <w:szCs w:val="18"/>
    </w:rPr>
  </w:style>
  <w:style w:type="character" w:customStyle="1" w:styleId="406">
    <w:name w:val="opt js-edittext"/>
    <w:qFormat/>
    <w:uiPriority w:val="0"/>
  </w:style>
  <w:style w:type="character" w:customStyle="1" w:styleId="407">
    <w:name w:val="_Style 399"/>
    <w:qFormat/>
    <w:uiPriority w:val="0"/>
    <w:rPr>
      <w:rFonts w:ascii="宋体" w:hAnsi="宋体" w:eastAsia="宋体" w:cs="Times New Roman"/>
      <w:i/>
      <w:iCs/>
      <w:color w:val="808080"/>
      <w:sz w:val="24"/>
      <w:szCs w:val="22"/>
      <w:lang w:eastAsia="zh-CN"/>
    </w:rPr>
  </w:style>
  <w:style w:type="character" w:customStyle="1" w:styleId="408">
    <w:name w:val="style4 Char"/>
    <w:qFormat/>
    <w:uiPriority w:val="0"/>
    <w:rPr>
      <w:rFonts w:ascii="Arial" w:hAnsi="Arial" w:eastAsia="仿宋_GB2312" w:cs="宋体"/>
      <w:b/>
      <w:sz w:val="28"/>
      <w:lang w:val="en-US" w:eastAsia="zh-CN" w:bidi="ar-SA"/>
    </w:rPr>
  </w:style>
  <w:style w:type="character" w:customStyle="1" w:styleId="409">
    <w:name w:val="Char Char14"/>
    <w:qFormat/>
    <w:uiPriority w:val="0"/>
    <w:rPr>
      <w:rFonts w:ascii="Arial" w:hAnsi="Arial" w:eastAsia="仿宋_GB2312" w:cs="宋体"/>
      <w:sz w:val="28"/>
      <w:lang w:val="en-US" w:eastAsia="zh-CN" w:bidi="ar-SA"/>
    </w:rPr>
  </w:style>
  <w:style w:type="character" w:customStyle="1" w:styleId="410">
    <w:name w:val="font31"/>
    <w:basedOn w:val="129"/>
    <w:qFormat/>
    <w:uiPriority w:val="0"/>
    <w:rPr>
      <w:rFonts w:hint="eastAsia" w:ascii="宋体" w:hAnsi="宋体" w:eastAsia="宋体" w:cs="宋体"/>
      <w:color w:val="000000"/>
      <w:sz w:val="16"/>
      <w:szCs w:val="16"/>
      <w:u w:val="none"/>
    </w:rPr>
  </w:style>
  <w:style w:type="character" w:customStyle="1" w:styleId="411">
    <w:name w:val="正式 Char"/>
    <w:link w:val="412"/>
    <w:qFormat/>
    <w:uiPriority w:val="0"/>
    <w:rPr>
      <w:rFonts w:ascii="宋体" w:hAnsi="宋体" w:eastAsia="宋体" w:cs="宋体"/>
      <w:sz w:val="24"/>
      <w:szCs w:val="21"/>
      <w:lang w:val="en-US" w:eastAsia="zh-CN" w:bidi="ar-SA"/>
    </w:rPr>
  </w:style>
  <w:style w:type="paragraph" w:customStyle="1" w:styleId="412">
    <w:name w:val="正式"/>
    <w:basedOn w:val="1"/>
    <w:link w:val="411"/>
    <w:qFormat/>
    <w:uiPriority w:val="0"/>
    <w:pPr>
      <w:spacing w:before="156" w:beforeLines="50" w:line="360" w:lineRule="auto"/>
      <w:ind w:firstLine="200" w:firstLineChars="200"/>
    </w:pPr>
    <w:rPr>
      <w:rFonts w:ascii="宋体" w:hAnsi="宋体" w:cs="宋体"/>
      <w:kern w:val="0"/>
      <w:sz w:val="24"/>
      <w:szCs w:val="21"/>
    </w:rPr>
  </w:style>
  <w:style w:type="character" w:customStyle="1" w:styleId="413">
    <w:name w:val="样式2 Char"/>
    <w:link w:val="414"/>
    <w:qFormat/>
    <w:uiPriority w:val="0"/>
    <w:rPr>
      <w:rFonts w:ascii="仿宋_GB2312" w:hAnsi="宋体" w:eastAsia="仿宋_GB2312" w:cs="宋体"/>
      <w:sz w:val="28"/>
      <w:lang w:val="en-US" w:eastAsia="zh-CN" w:bidi="ar-SA"/>
    </w:rPr>
  </w:style>
  <w:style w:type="paragraph" w:customStyle="1" w:styleId="414">
    <w:name w:val="样式2"/>
    <w:basedOn w:val="1"/>
    <w:link w:val="413"/>
    <w:qFormat/>
    <w:uiPriority w:val="0"/>
    <w:rPr>
      <w:rFonts w:ascii="仿宋_GB2312" w:hAnsi="宋体" w:eastAsia="仿宋_GB2312" w:cs="宋体"/>
      <w:kern w:val="0"/>
      <w:sz w:val="28"/>
      <w:szCs w:val="20"/>
    </w:rPr>
  </w:style>
  <w:style w:type="character" w:customStyle="1" w:styleId="415">
    <w:name w:val="样式 正文（首行缩进两字） Char Char + 宋体 Char"/>
    <w:link w:val="416"/>
    <w:qFormat/>
    <w:uiPriority w:val="0"/>
    <w:rPr>
      <w:rFonts w:ascii="宋体" w:hAnsi="宋体" w:eastAsia="宋体" w:cs="宋体"/>
      <w:kern w:val="2"/>
      <w:sz w:val="24"/>
      <w:lang w:val="en-US" w:eastAsia="zh-CN" w:bidi="ar-SA"/>
    </w:rPr>
  </w:style>
  <w:style w:type="paragraph" w:customStyle="1" w:styleId="416">
    <w:name w:val="样式 正文（首行缩进两字） Char Char + 宋体"/>
    <w:basedOn w:val="1"/>
    <w:link w:val="415"/>
    <w:qFormat/>
    <w:uiPriority w:val="0"/>
    <w:pPr>
      <w:autoSpaceDE w:val="0"/>
      <w:autoSpaceDN w:val="0"/>
      <w:adjustRightInd w:val="0"/>
      <w:snapToGrid w:val="0"/>
      <w:spacing w:before="120" w:after="120" w:line="440" w:lineRule="exact"/>
      <w:ind w:firstLine="482"/>
    </w:pPr>
    <w:rPr>
      <w:rFonts w:ascii="宋体" w:hAnsi="宋体" w:cs="宋体"/>
      <w:sz w:val="24"/>
      <w:szCs w:val="20"/>
    </w:rPr>
  </w:style>
  <w:style w:type="character" w:customStyle="1" w:styleId="417">
    <w:name w:val="批注文字 Char1"/>
    <w:semiHidden/>
    <w:qFormat/>
    <w:uiPriority w:val="0"/>
    <w:rPr>
      <w:rFonts w:ascii="Times New Roman" w:hAnsi="Times New Roman" w:eastAsia="宋体" w:cs="Times New Roman"/>
      <w:sz w:val="24"/>
      <w:szCs w:val="24"/>
    </w:rPr>
  </w:style>
  <w:style w:type="character" w:customStyle="1" w:styleId="418">
    <w:name w:val="标题 Char1"/>
    <w:qFormat/>
    <w:uiPriority w:val="0"/>
    <w:rPr>
      <w:rFonts w:ascii="Cambria" w:hAnsi="Cambria" w:eastAsia="宋体" w:cs="Times New Roman"/>
      <w:b/>
      <w:bCs/>
      <w:sz w:val="32"/>
      <w:szCs w:val="32"/>
    </w:rPr>
  </w:style>
  <w:style w:type="character" w:customStyle="1" w:styleId="419">
    <w:name w:val="Char Char15"/>
    <w:qFormat/>
    <w:uiPriority w:val="0"/>
    <w:rPr>
      <w:rFonts w:ascii="Arial" w:hAnsi="Arial" w:eastAsia="仿宋_GB2312" w:cs="宋体"/>
      <w:sz w:val="28"/>
      <w:lang w:val="en-US" w:eastAsia="zh-CN" w:bidi="ar-SA"/>
    </w:rPr>
  </w:style>
  <w:style w:type="character" w:customStyle="1" w:styleId="420">
    <w:name w:val="Char Char10"/>
    <w:qFormat/>
    <w:uiPriority w:val="0"/>
    <w:rPr>
      <w:rFonts w:ascii="宋体" w:hAnsi="宋体" w:eastAsia="宋体" w:cs="宋体"/>
      <w:kern w:val="2"/>
      <w:sz w:val="21"/>
      <w:szCs w:val="24"/>
      <w:lang w:val="en-US" w:eastAsia="zh-CN" w:bidi="ar-SA"/>
    </w:rPr>
  </w:style>
  <w:style w:type="character" w:customStyle="1" w:styleId="421">
    <w:name w:val="normal1"/>
    <w:qFormat/>
    <w:uiPriority w:val="0"/>
    <w:rPr>
      <w:rFonts w:ascii="宋体" w:hAnsi="宋体" w:cs="宋体"/>
      <w:color w:val="202021"/>
      <w:sz w:val="21"/>
      <w:szCs w:val="21"/>
      <w:u w:val="none"/>
    </w:rPr>
  </w:style>
  <w:style w:type="character" w:customStyle="1" w:styleId="422">
    <w:name w:val="f1"/>
    <w:qFormat/>
    <w:uiPriority w:val="0"/>
    <w:rPr>
      <w:rFonts w:ascii="宋体" w:hAnsi="宋体" w:cs="宋体"/>
      <w:sz w:val="28"/>
      <w:szCs w:val="28"/>
    </w:rPr>
  </w:style>
  <w:style w:type="character" w:customStyle="1" w:styleId="423">
    <w:name w:val="font191"/>
    <w:qFormat/>
    <w:uiPriority w:val="0"/>
    <w:rPr>
      <w:rFonts w:hint="default" w:ascii="Times New Roman" w:hAnsi="Times New Roman" w:cs="Times New Roman"/>
      <w:color w:val="000000"/>
      <w:sz w:val="18"/>
      <w:szCs w:val="18"/>
      <w:u w:val="none"/>
    </w:rPr>
  </w:style>
  <w:style w:type="character" w:customStyle="1" w:styleId="424">
    <w:name w:val="表头11 Char"/>
    <w:qFormat/>
    <w:uiPriority w:val="0"/>
    <w:rPr>
      <w:rFonts w:ascii="宋体" w:hAnsi="宋体" w:eastAsia="宋体" w:cs="宋体"/>
      <w:kern w:val="2"/>
      <w:sz w:val="24"/>
      <w:lang w:val="en-US" w:eastAsia="zh-CN" w:bidi="ar-SA"/>
    </w:rPr>
  </w:style>
  <w:style w:type="character" w:customStyle="1" w:styleId="425">
    <w:name w:val="正文文字缩进 33 Char Char"/>
    <w:qFormat/>
    <w:uiPriority w:val="0"/>
    <w:rPr>
      <w:rFonts w:ascii="宋体" w:hAnsi="宋体" w:eastAsia="宋体" w:cs="宋体"/>
      <w:kern w:val="2"/>
      <w:sz w:val="16"/>
      <w:szCs w:val="16"/>
      <w:lang w:val="en-US" w:eastAsia="zh-CN" w:bidi="ar-SA"/>
    </w:rPr>
  </w:style>
  <w:style w:type="character" w:customStyle="1" w:styleId="426">
    <w:name w:val="正文文字 Char"/>
    <w:semiHidden/>
    <w:qFormat/>
    <w:uiPriority w:val="0"/>
    <w:rPr>
      <w:rFonts w:ascii="Times New Roman" w:hAnsi="Times New Roman" w:eastAsia="宋体" w:cs="Times New Roman"/>
      <w:sz w:val="24"/>
      <w:szCs w:val="20"/>
    </w:rPr>
  </w:style>
  <w:style w:type="character" w:customStyle="1" w:styleId="427">
    <w:name w:val="标题 5 Char1"/>
    <w:qFormat/>
    <w:uiPriority w:val="0"/>
    <w:rPr>
      <w:rFonts w:ascii="宋体" w:hAnsi="宋体" w:eastAsia="宋体" w:cs="宋体"/>
      <w:b/>
      <w:bCs/>
      <w:kern w:val="2"/>
      <w:sz w:val="28"/>
      <w:szCs w:val="28"/>
      <w:lang w:val="en-US" w:eastAsia="zh-CN"/>
    </w:rPr>
  </w:style>
  <w:style w:type="character" w:customStyle="1" w:styleId="428">
    <w:name w:val="lu-91"/>
    <w:qFormat/>
    <w:uiPriority w:val="0"/>
    <w:rPr>
      <w:rFonts w:ascii="宋体" w:hAnsi="宋体" w:cs="宋体"/>
      <w:sz w:val="18"/>
      <w:szCs w:val="18"/>
      <w:u w:val="none"/>
    </w:rPr>
  </w:style>
  <w:style w:type="character" w:customStyle="1" w:styleId="429">
    <w:name w:val="正文样式 Char"/>
    <w:link w:val="430"/>
    <w:qFormat/>
    <w:uiPriority w:val="0"/>
    <w:rPr>
      <w:rFonts w:ascii="宋体" w:hAnsi="宋体" w:eastAsia="宋体" w:cs="宋体"/>
      <w:kern w:val="2"/>
      <w:sz w:val="24"/>
      <w:lang w:val="en-US" w:eastAsia="zh-CN" w:bidi="ar-SA"/>
    </w:rPr>
  </w:style>
  <w:style w:type="paragraph" w:customStyle="1" w:styleId="430">
    <w:name w:val="正文样式"/>
    <w:basedOn w:val="1"/>
    <w:link w:val="429"/>
    <w:qFormat/>
    <w:uiPriority w:val="0"/>
    <w:pPr>
      <w:spacing w:line="500" w:lineRule="exact"/>
      <w:ind w:firstLine="480" w:firstLineChars="200"/>
    </w:pPr>
    <w:rPr>
      <w:rFonts w:ascii="宋体" w:hAnsi="宋体" w:cs="宋体"/>
      <w:sz w:val="24"/>
      <w:szCs w:val="20"/>
    </w:rPr>
  </w:style>
  <w:style w:type="character" w:customStyle="1" w:styleId="431">
    <w:name w:val="正文文本 Char"/>
    <w:qFormat/>
    <w:uiPriority w:val="0"/>
    <w:rPr>
      <w:rFonts w:ascii="宋体" w:hAnsi="宋体" w:eastAsia="宋体" w:cs="宋体"/>
      <w:kern w:val="2"/>
      <w:sz w:val="28"/>
      <w:szCs w:val="24"/>
      <w:lang w:val="en-US" w:eastAsia="zh-CN" w:bidi="ar-SA"/>
    </w:rPr>
  </w:style>
  <w:style w:type="character" w:customStyle="1" w:styleId="432">
    <w:name w:val="main1"/>
    <w:qFormat/>
    <w:uiPriority w:val="0"/>
    <w:rPr>
      <w:rFonts w:hint="default" w:ascii="宋体" w:hAnsi="宋体" w:cs="宋体"/>
      <w:color w:val="0033CC"/>
      <w:sz w:val="18"/>
      <w:szCs w:val="18"/>
    </w:rPr>
  </w:style>
  <w:style w:type="character" w:customStyle="1" w:styleId="433">
    <w:name w:val="text1"/>
    <w:qFormat/>
    <w:uiPriority w:val="0"/>
    <w:rPr>
      <w:rFonts w:ascii="宋体" w:hAnsi="宋体" w:cs="宋体"/>
      <w:sz w:val="21"/>
      <w:szCs w:val="21"/>
    </w:rPr>
  </w:style>
  <w:style w:type="character" w:customStyle="1" w:styleId="434">
    <w:name w:val=" Char Char14"/>
    <w:qFormat/>
    <w:uiPriority w:val="0"/>
    <w:rPr>
      <w:rFonts w:ascii="方正粗圆简体" w:hAnsi="宋体" w:eastAsia="方正粗圆简体" w:cs="宋体"/>
      <w:b/>
      <w:kern w:val="44"/>
      <w:sz w:val="36"/>
      <w:szCs w:val="36"/>
      <w:lang w:val="en-US" w:eastAsia="zh-CN" w:bidi="ar-SA"/>
    </w:rPr>
  </w:style>
  <w:style w:type="character" w:customStyle="1" w:styleId="435">
    <w:name w:val="样式 2 Char Char"/>
    <w:link w:val="436"/>
    <w:qFormat/>
    <w:uiPriority w:val="0"/>
    <w:rPr>
      <w:rFonts w:ascii="宋体" w:hAnsi="宋体" w:eastAsia="宋体" w:cs="Arial"/>
      <w:b/>
      <w:kern w:val="2"/>
      <w:sz w:val="30"/>
      <w:szCs w:val="30"/>
      <w:lang w:val="zh-CN" w:bidi="ar-SA"/>
    </w:rPr>
  </w:style>
  <w:style w:type="paragraph" w:customStyle="1" w:styleId="436">
    <w:name w:val="样式 2"/>
    <w:basedOn w:val="7"/>
    <w:link w:val="435"/>
    <w:qFormat/>
    <w:uiPriority w:val="0"/>
    <w:pPr>
      <w:numPr>
        <w:ilvl w:val="0"/>
        <w:numId w:val="0"/>
      </w:numPr>
      <w:adjustRightInd w:val="0"/>
      <w:spacing w:before="0" w:beforeLines="50" w:after="0" w:afterLines="50" w:line="600" w:lineRule="exact"/>
      <w:jc w:val="center"/>
      <w:outlineLvl w:val="4"/>
    </w:pPr>
    <w:rPr>
      <w:rFonts w:eastAsia="宋体" w:cs="Arial"/>
      <w:sz w:val="30"/>
      <w:szCs w:val="30"/>
      <w:lang w:val="zh-CN"/>
    </w:rPr>
  </w:style>
  <w:style w:type="character" w:customStyle="1" w:styleId="437">
    <w:name w:val="Char Char6"/>
    <w:qFormat/>
    <w:uiPriority w:val="0"/>
    <w:rPr>
      <w:rFonts w:eastAsia="宋体"/>
      <w:kern w:val="2"/>
      <w:sz w:val="18"/>
      <w:lang w:val="en-US" w:eastAsia="zh-CN"/>
    </w:rPr>
  </w:style>
  <w:style w:type="character" w:customStyle="1" w:styleId="438">
    <w:name w:val="样式 叶泰然正文 + 小四 首行缩进:  2 字符 Char"/>
    <w:link w:val="439"/>
    <w:qFormat/>
    <w:uiPriority w:val="0"/>
    <w:rPr>
      <w:rFonts w:ascii="华文仿宋" w:hAnsi="华文仿宋" w:eastAsia="宋体" w:cs="宋体"/>
      <w:snapToGrid w:val="0"/>
      <w:sz w:val="24"/>
      <w:lang w:val="en-US" w:eastAsia="zh-CN" w:bidi="ar-SA"/>
    </w:rPr>
  </w:style>
  <w:style w:type="paragraph" w:customStyle="1" w:styleId="439">
    <w:name w:val="样式 叶泰然正文 + 小四 首行缩进:  2 字符"/>
    <w:basedOn w:val="1"/>
    <w:link w:val="438"/>
    <w:qFormat/>
    <w:uiPriority w:val="0"/>
    <w:pPr>
      <w:spacing w:line="440" w:lineRule="exact"/>
      <w:ind w:firstLine="200" w:firstLineChars="200"/>
    </w:pPr>
    <w:rPr>
      <w:rFonts w:ascii="华文仿宋" w:hAnsi="华文仿宋" w:cs="宋体"/>
      <w:snapToGrid w:val="0"/>
      <w:kern w:val="0"/>
      <w:sz w:val="24"/>
      <w:szCs w:val="20"/>
    </w:rPr>
  </w:style>
  <w:style w:type="character" w:customStyle="1" w:styleId="440">
    <w:name w:val="标题 2 Char Char2"/>
    <w:qFormat/>
    <w:uiPriority w:val="0"/>
    <w:rPr>
      <w:rFonts w:ascii="黑体" w:hAnsi="Arial" w:eastAsia="黑体" w:cs="宋体"/>
      <w:b/>
      <w:bCs/>
      <w:kern w:val="2"/>
      <w:sz w:val="30"/>
      <w:szCs w:val="30"/>
      <w:lang w:val="en-US" w:eastAsia="zh-CN" w:bidi="ar-SA"/>
    </w:rPr>
  </w:style>
  <w:style w:type="character" w:customStyle="1" w:styleId="441">
    <w:name w:val="A正文 Char"/>
    <w:qFormat/>
    <w:uiPriority w:val="0"/>
    <w:rPr>
      <w:rFonts w:ascii="宋体" w:hAnsi="宋体" w:eastAsia="仿宋_GB2312" w:cs="宋体"/>
      <w:sz w:val="24"/>
      <w:szCs w:val="24"/>
      <w:lang w:val="en-US" w:eastAsia="zh-CN" w:bidi="ar-SA"/>
    </w:rPr>
  </w:style>
  <w:style w:type="character" w:customStyle="1" w:styleId="442">
    <w:name w:val="ft-hanggao1"/>
    <w:qFormat/>
    <w:uiPriority w:val="0"/>
    <w:rPr>
      <w:rFonts w:ascii="宋体" w:hAnsi="宋体" w:cs="宋体"/>
      <w:color w:val="000000"/>
      <w:spacing w:val="345"/>
      <w:sz w:val="21"/>
      <w:szCs w:val="21"/>
    </w:rPr>
  </w:style>
  <w:style w:type="character" w:customStyle="1" w:styleId="443">
    <w:name w:val="h2 Char"/>
    <w:qFormat/>
    <w:uiPriority w:val="0"/>
    <w:rPr>
      <w:rFonts w:eastAsia="黑体"/>
      <w:b/>
      <w:kern w:val="2"/>
      <w:sz w:val="32"/>
      <w:lang w:val="en-US" w:eastAsia="zh-CN" w:bidi="ar-SA"/>
    </w:rPr>
  </w:style>
  <w:style w:type="character" w:customStyle="1" w:styleId="444">
    <w:name w:val="Char Char7"/>
    <w:qFormat/>
    <w:uiPriority w:val="0"/>
    <w:rPr>
      <w:rFonts w:ascii="Arial" w:hAnsi="Arial" w:eastAsia="仿宋_GB2312"/>
      <w:sz w:val="28"/>
      <w:lang w:val="en-US" w:eastAsia="zh-CN"/>
    </w:rPr>
  </w:style>
  <w:style w:type="character" w:customStyle="1" w:styleId="445">
    <w:name w:val="超级链接"/>
    <w:qFormat/>
    <w:uiPriority w:val="0"/>
    <w:rPr>
      <w:rFonts w:ascii="宋体" w:hAnsi="宋体" w:cs="宋体"/>
      <w:color w:val="0000FF"/>
      <w:sz w:val="24"/>
      <w:u w:val="single"/>
    </w:rPr>
  </w:style>
  <w:style w:type="character" w:customStyle="1" w:styleId="446">
    <w:name w:val="表蕊 Char"/>
    <w:link w:val="447"/>
    <w:qFormat/>
    <w:uiPriority w:val="0"/>
    <w:rPr>
      <w:rFonts w:ascii="宋体" w:hAnsi="宋体" w:eastAsia="楷体_GB2312" w:cs="宋体"/>
      <w:spacing w:val="-10"/>
      <w:sz w:val="21"/>
      <w:lang w:val="en-US" w:eastAsia="zh-CN" w:bidi="ar-SA"/>
    </w:rPr>
  </w:style>
  <w:style w:type="paragraph" w:customStyle="1" w:styleId="447">
    <w:name w:val="表蕊"/>
    <w:basedOn w:val="1"/>
    <w:link w:val="446"/>
    <w:qFormat/>
    <w:uiPriority w:val="0"/>
    <w:pPr>
      <w:adjustRightInd w:val="0"/>
      <w:spacing w:line="320" w:lineRule="atLeast"/>
      <w:jc w:val="left"/>
      <w:textAlignment w:val="baseline"/>
    </w:pPr>
    <w:rPr>
      <w:rFonts w:ascii="宋体" w:hAnsi="宋体" w:eastAsia="楷体_GB2312" w:cs="宋体"/>
      <w:spacing w:val="-10"/>
      <w:kern w:val="0"/>
      <w:szCs w:val="20"/>
    </w:rPr>
  </w:style>
  <w:style w:type="character" w:customStyle="1" w:styleId="448">
    <w:name w:val="页脚 Char"/>
    <w:qFormat/>
    <w:uiPriority w:val="0"/>
    <w:rPr>
      <w:rFonts w:ascii="Arial" w:hAnsi="Arial" w:eastAsia="仿宋_GB2312" w:cs="宋体"/>
      <w:sz w:val="18"/>
    </w:rPr>
  </w:style>
  <w:style w:type="character" w:customStyle="1" w:styleId="449">
    <w:name w:val="hj1"/>
    <w:qFormat/>
    <w:uiPriority w:val="0"/>
    <w:rPr>
      <w:rFonts w:ascii="宋体" w:hAnsi="宋体" w:cs="宋体"/>
      <w:sz w:val="20"/>
      <w:szCs w:val="20"/>
    </w:rPr>
  </w:style>
  <w:style w:type="character" w:customStyle="1" w:styleId="450">
    <w:name w:val="正文wang Char"/>
    <w:link w:val="451"/>
    <w:qFormat/>
    <w:uiPriority w:val="0"/>
    <w:rPr>
      <w:rFonts w:ascii="宋体" w:hAnsi="宋体" w:eastAsia="宋体" w:cs="宋体"/>
      <w:spacing w:val="-4"/>
      <w:sz w:val="24"/>
      <w:szCs w:val="24"/>
      <w:lang w:bidi="ar-SA"/>
    </w:rPr>
  </w:style>
  <w:style w:type="paragraph" w:customStyle="1" w:styleId="451">
    <w:name w:val="正文wang"/>
    <w:basedOn w:val="1"/>
    <w:link w:val="450"/>
    <w:qFormat/>
    <w:uiPriority w:val="0"/>
    <w:pPr>
      <w:spacing w:line="420" w:lineRule="atLeast"/>
      <w:ind w:firstLine="464" w:firstLineChars="200"/>
    </w:pPr>
    <w:rPr>
      <w:rFonts w:ascii="宋体" w:hAnsi="宋体" w:cs="宋体"/>
      <w:spacing w:val="-4"/>
      <w:kern w:val="0"/>
      <w:sz w:val="24"/>
    </w:rPr>
  </w:style>
  <w:style w:type="character" w:customStyle="1" w:styleId="452">
    <w:name w:val="左-正文 Char Char"/>
    <w:link w:val="453"/>
    <w:qFormat/>
    <w:uiPriority w:val="0"/>
    <w:rPr>
      <w:rFonts w:ascii="宋体" w:hAnsi="宋体" w:eastAsia="宋体" w:cs="宋体"/>
      <w:sz w:val="24"/>
      <w:szCs w:val="24"/>
      <w:lang w:val="en-US" w:eastAsia="zh-CN" w:bidi="ar-SA"/>
    </w:rPr>
  </w:style>
  <w:style w:type="paragraph" w:customStyle="1" w:styleId="453">
    <w:name w:val="左-正文"/>
    <w:basedOn w:val="1"/>
    <w:link w:val="452"/>
    <w:qFormat/>
    <w:uiPriority w:val="0"/>
    <w:pPr>
      <w:widowControl/>
      <w:topLinePunct/>
      <w:spacing w:line="360" w:lineRule="auto"/>
      <w:ind w:firstLine="200" w:firstLineChars="200"/>
    </w:pPr>
    <w:rPr>
      <w:rFonts w:ascii="宋体" w:hAnsi="宋体" w:cs="宋体"/>
      <w:kern w:val="0"/>
      <w:sz w:val="24"/>
    </w:rPr>
  </w:style>
  <w:style w:type="character" w:customStyle="1" w:styleId="454">
    <w:name w:val="样式 (符号) 宋体 四号"/>
    <w:qFormat/>
    <w:uiPriority w:val="0"/>
    <w:rPr>
      <w:rFonts w:ascii="宋体" w:hAnsi="宋体" w:eastAsia="宋体" w:cs="宋体"/>
      <w:b/>
      <w:bCs/>
      <w:color w:val="auto"/>
      <w:kern w:val="2"/>
      <w:sz w:val="28"/>
      <w:szCs w:val="28"/>
      <w:lang w:val="en-US" w:eastAsia="zh-CN" w:bidi="ar-SA"/>
    </w:rPr>
  </w:style>
  <w:style w:type="character" w:customStyle="1" w:styleId="455">
    <w:name w:val="px14"/>
    <w:qFormat/>
    <w:uiPriority w:val="0"/>
  </w:style>
  <w:style w:type="character" w:customStyle="1" w:styleId="456">
    <w:name w:val="题注 Char Char"/>
    <w:qFormat/>
    <w:uiPriority w:val="0"/>
    <w:rPr>
      <w:rFonts w:ascii="宋体" w:hAnsi="宋体" w:eastAsia="宋体" w:cs="宋体"/>
      <w:b/>
      <w:bCs/>
      <w:kern w:val="2"/>
      <w:sz w:val="24"/>
      <w:szCs w:val="24"/>
      <w:lang w:val="en-US" w:eastAsia="zh-CN"/>
    </w:rPr>
  </w:style>
  <w:style w:type="character" w:customStyle="1" w:styleId="457">
    <w:name w:val=" Char Char5"/>
    <w:qFormat/>
    <w:uiPriority w:val="0"/>
    <w:rPr>
      <w:rFonts w:ascii="宋体" w:hAnsi="宋体" w:eastAsia="宋体" w:cs="宋体"/>
      <w:kern w:val="2"/>
      <w:sz w:val="21"/>
      <w:szCs w:val="24"/>
      <w:lang w:val="en-US" w:eastAsia="zh-CN" w:bidi="ar-SA"/>
    </w:rPr>
  </w:style>
  <w:style w:type="character" w:customStyle="1" w:styleId="458">
    <w:name w:val="样式 题注 + 非加粗1 Char Char"/>
    <w:qFormat/>
    <w:uiPriority w:val="0"/>
    <w:rPr>
      <w:lang w:val="en-US" w:eastAsia="zh-CN"/>
    </w:rPr>
  </w:style>
  <w:style w:type="character" w:customStyle="1" w:styleId="459">
    <w:name w:val="正文林刘 Char Char"/>
    <w:link w:val="460"/>
    <w:qFormat/>
    <w:uiPriority w:val="0"/>
    <w:rPr>
      <w:rFonts w:ascii="宋体" w:hAnsi="宋体" w:eastAsia="宋体" w:cs="宋体"/>
      <w:kern w:val="2"/>
      <w:sz w:val="24"/>
      <w:lang w:val="en-US" w:eastAsia="zh-CN" w:bidi="ar-SA"/>
    </w:rPr>
  </w:style>
  <w:style w:type="paragraph" w:customStyle="1" w:styleId="460">
    <w:name w:val="正文林刘 Char"/>
    <w:basedOn w:val="1"/>
    <w:link w:val="459"/>
    <w:qFormat/>
    <w:uiPriority w:val="0"/>
    <w:pPr>
      <w:adjustRightInd w:val="0"/>
      <w:snapToGrid w:val="0"/>
      <w:spacing w:line="300" w:lineRule="auto"/>
      <w:ind w:firstLine="425"/>
    </w:pPr>
    <w:rPr>
      <w:rFonts w:ascii="宋体" w:hAnsi="宋体" w:cs="宋体"/>
      <w:sz w:val="24"/>
      <w:szCs w:val="20"/>
    </w:rPr>
  </w:style>
  <w:style w:type="character" w:customStyle="1" w:styleId="461">
    <w:name w:val="图表名 Char"/>
    <w:link w:val="462"/>
    <w:qFormat/>
    <w:uiPriority w:val="0"/>
    <w:rPr>
      <w:rFonts w:ascii="黑体" w:hAnsi="宋体" w:eastAsia="黑体" w:cs="宋体"/>
      <w:bCs/>
      <w:color w:val="000000"/>
      <w:sz w:val="21"/>
      <w:szCs w:val="21"/>
      <w:lang w:val="zh-CN" w:eastAsia="zh-CN" w:bidi="ar-SA"/>
    </w:rPr>
  </w:style>
  <w:style w:type="paragraph" w:customStyle="1" w:styleId="462">
    <w:name w:val="图表名"/>
    <w:basedOn w:val="1"/>
    <w:link w:val="461"/>
    <w:qFormat/>
    <w:uiPriority w:val="0"/>
    <w:pPr>
      <w:widowControl/>
      <w:spacing w:before="48" w:beforeLines="20" w:after="48" w:afterLines="20"/>
      <w:jc w:val="center"/>
    </w:pPr>
    <w:rPr>
      <w:rFonts w:ascii="黑体" w:hAnsi="宋体" w:eastAsia="黑体" w:cs="宋体"/>
      <w:bCs/>
      <w:color w:val="000000"/>
      <w:kern w:val="0"/>
      <w:szCs w:val="21"/>
      <w:lang w:val="zh-CN"/>
    </w:rPr>
  </w:style>
  <w:style w:type="character" w:customStyle="1" w:styleId="463">
    <w:name w:val="标题 7 Char"/>
    <w:qFormat/>
    <w:uiPriority w:val="0"/>
    <w:rPr>
      <w:rFonts w:ascii="Times New Roman" w:hAnsi="Times New Roman" w:eastAsia="宋体" w:cs="Times New Roman"/>
      <w:b/>
      <w:bCs/>
      <w:sz w:val="24"/>
      <w:szCs w:val="24"/>
    </w:rPr>
  </w:style>
  <w:style w:type="character" w:customStyle="1" w:styleId="464">
    <w:name w:val="标题 6 Char"/>
    <w:qFormat/>
    <w:uiPriority w:val="0"/>
    <w:rPr>
      <w:rFonts w:ascii="Cambria" w:hAnsi="Cambria" w:eastAsia="宋体" w:cs="Times New Roman"/>
      <w:b/>
      <w:bCs/>
      <w:sz w:val="24"/>
      <w:szCs w:val="24"/>
    </w:rPr>
  </w:style>
  <w:style w:type="character" w:customStyle="1" w:styleId="465">
    <w:name w:val="表格内容 Char"/>
    <w:qFormat/>
    <w:uiPriority w:val="0"/>
    <w:rPr>
      <w:rFonts w:ascii="宋体" w:hAnsi="Courier New" w:eastAsia="宋体"/>
    </w:rPr>
  </w:style>
  <w:style w:type="character" w:customStyle="1" w:styleId="466">
    <w:name w:val="md上标"/>
    <w:qFormat/>
    <w:uiPriority w:val="0"/>
    <w:rPr>
      <w:rFonts w:ascii="Bodoni MT Condensed" w:hAnsi="Bodoni MT Condensed" w:eastAsia="宋体" w:cs="宋体"/>
      <w:sz w:val="24"/>
      <w:szCs w:val="24"/>
      <w:vertAlign w:val="superscript"/>
    </w:rPr>
  </w:style>
  <w:style w:type="character" w:customStyle="1" w:styleId="467">
    <w:name w:val="font81"/>
    <w:qFormat/>
    <w:uiPriority w:val="0"/>
    <w:rPr>
      <w:rFonts w:hint="default" w:ascii="Times New Roman" w:hAnsi="Times New Roman" w:cs="Times New Roman"/>
      <w:color w:val="000000"/>
      <w:sz w:val="18"/>
      <w:szCs w:val="18"/>
      <w:u w:val="none"/>
    </w:rPr>
  </w:style>
  <w:style w:type="character" w:customStyle="1" w:styleId="468">
    <w:name w:val="123 Char"/>
    <w:link w:val="469"/>
    <w:qFormat/>
    <w:uiPriority w:val="0"/>
    <w:rPr>
      <w:rFonts w:ascii="楷体_GB2312" w:hAnsi="宋体" w:eastAsia="楷体_GB2312" w:cs="宋体"/>
      <w:b/>
      <w:kern w:val="2"/>
      <w:sz w:val="18"/>
      <w:szCs w:val="18"/>
      <w:lang w:val="en-US" w:eastAsia="zh-CN" w:bidi="ar-SA"/>
    </w:rPr>
  </w:style>
  <w:style w:type="paragraph" w:customStyle="1" w:styleId="469">
    <w:name w:val="123"/>
    <w:basedOn w:val="1"/>
    <w:link w:val="468"/>
    <w:qFormat/>
    <w:uiPriority w:val="0"/>
    <w:pPr>
      <w:pBdr>
        <w:top w:val="single" w:color="auto" w:sz="4" w:space="1"/>
      </w:pBdr>
    </w:pPr>
    <w:rPr>
      <w:rFonts w:ascii="楷体_GB2312" w:hAnsi="宋体" w:eastAsia="楷体_GB2312" w:cs="宋体"/>
      <w:b/>
      <w:sz w:val="18"/>
      <w:szCs w:val="18"/>
    </w:rPr>
  </w:style>
  <w:style w:type="character" w:customStyle="1" w:styleId="470">
    <w:name w:val="A正文 Char Char"/>
    <w:qFormat/>
    <w:uiPriority w:val="0"/>
    <w:rPr>
      <w:rFonts w:ascii="Times New Roman" w:hAnsi="Times New Roman" w:eastAsia="仿宋_GB2312" w:cs="宋体"/>
      <w:sz w:val="24"/>
      <w:szCs w:val="24"/>
    </w:rPr>
  </w:style>
  <w:style w:type="character" w:customStyle="1" w:styleId="471">
    <w:name w:val="Char Char142"/>
    <w:qFormat/>
    <w:uiPriority w:val="0"/>
    <w:rPr>
      <w:rFonts w:ascii="宋体" w:hAnsi="宋体" w:cs="宋体"/>
      <w:b/>
      <w:bCs/>
      <w:kern w:val="44"/>
      <w:sz w:val="44"/>
      <w:szCs w:val="44"/>
    </w:rPr>
  </w:style>
  <w:style w:type="character" w:customStyle="1" w:styleId="472">
    <w:name w:val=" Char Char6"/>
    <w:qFormat/>
    <w:uiPriority w:val="0"/>
    <w:rPr>
      <w:rFonts w:eastAsia="黑体"/>
      <w:b/>
      <w:kern w:val="2"/>
      <w:sz w:val="32"/>
      <w:lang w:val="en-US" w:eastAsia="zh-CN" w:bidi="ar-SA"/>
    </w:rPr>
  </w:style>
  <w:style w:type="character" w:customStyle="1" w:styleId="473">
    <w:name w:val="Char Char141"/>
    <w:qFormat/>
    <w:uiPriority w:val="0"/>
    <w:rPr>
      <w:rFonts w:ascii="宋体" w:hAnsi="宋体" w:cs="宋体"/>
      <w:b/>
      <w:bCs/>
      <w:kern w:val="44"/>
      <w:sz w:val="44"/>
      <w:szCs w:val="44"/>
    </w:rPr>
  </w:style>
  <w:style w:type="character" w:customStyle="1" w:styleId="474">
    <w:name w:val="标题 1 Char Char"/>
    <w:qFormat/>
    <w:uiPriority w:val="0"/>
    <w:rPr>
      <w:rFonts w:ascii="方正粗圆简体" w:hAnsi="宋体" w:eastAsia="方正粗圆简体" w:cs="宋体"/>
      <w:b/>
      <w:bCs/>
      <w:kern w:val="44"/>
      <w:sz w:val="36"/>
      <w:szCs w:val="36"/>
      <w:lang w:val="en-US" w:eastAsia="zh-CN" w:bidi="ar-SA"/>
    </w:rPr>
  </w:style>
  <w:style w:type="character" w:customStyle="1" w:styleId="475">
    <w:name w:val="正文（首行缩进两字） Char1 Char Char Char"/>
    <w:qFormat/>
    <w:uiPriority w:val="0"/>
    <w:rPr>
      <w:rFonts w:ascii="宋体" w:hAnsi="宋体" w:eastAsia="宋体" w:cs="宋体"/>
      <w:kern w:val="2"/>
      <w:sz w:val="21"/>
      <w:szCs w:val="24"/>
      <w:lang w:val="en-US" w:eastAsia="zh-CN" w:bidi="ar-SA"/>
    </w:rPr>
  </w:style>
  <w:style w:type="character" w:customStyle="1" w:styleId="476">
    <w:name w:val="样式3 Char Char"/>
    <w:qFormat/>
    <w:uiPriority w:val="0"/>
    <w:rPr>
      <w:rFonts w:ascii="宋体" w:hAnsi="宋体" w:eastAsia="宋体" w:cs="Arial"/>
      <w:sz w:val="24"/>
      <w:szCs w:val="24"/>
    </w:rPr>
  </w:style>
  <w:style w:type="character" w:customStyle="1" w:styleId="477">
    <w:name w:val="newsbt2"/>
    <w:qFormat/>
    <w:uiPriority w:val="0"/>
  </w:style>
  <w:style w:type="character" w:customStyle="1" w:styleId="478">
    <w:name w:val="newtxt11"/>
    <w:qFormat/>
    <w:uiPriority w:val="0"/>
    <w:rPr>
      <w:color w:val="000000"/>
      <w:sz w:val="21"/>
      <w:szCs w:val="21"/>
      <w:u w:val="none"/>
    </w:rPr>
  </w:style>
  <w:style w:type="character" w:customStyle="1" w:styleId="479">
    <w:name w:val="标题 8 Char"/>
    <w:qFormat/>
    <w:uiPriority w:val="0"/>
    <w:rPr>
      <w:rFonts w:ascii="Cambria" w:hAnsi="Cambria" w:eastAsia="宋体" w:cs="Times New Roman"/>
      <w:sz w:val="24"/>
      <w:szCs w:val="24"/>
    </w:rPr>
  </w:style>
  <w:style w:type="character" w:customStyle="1" w:styleId="480">
    <w:name w:val="正文1 Char Char"/>
    <w:link w:val="481"/>
    <w:qFormat/>
    <w:uiPriority w:val="0"/>
    <w:rPr>
      <w:rFonts w:ascii="宋体" w:hAnsi="宋体" w:eastAsia="宋体" w:cs="宋体"/>
      <w:bCs/>
      <w:kern w:val="2"/>
      <w:sz w:val="21"/>
      <w:szCs w:val="21"/>
      <w:lang w:val="zh-CN" w:bidi="ar-SA"/>
    </w:rPr>
  </w:style>
  <w:style w:type="paragraph" w:customStyle="1" w:styleId="481">
    <w:name w:val="正文1"/>
    <w:basedOn w:val="1"/>
    <w:link w:val="480"/>
    <w:qFormat/>
    <w:uiPriority w:val="0"/>
    <w:pPr>
      <w:tabs>
        <w:tab w:val="left" w:pos="2550"/>
        <w:tab w:val="left" w:pos="3990"/>
        <w:tab w:val="left" w:pos="6855"/>
        <w:tab w:val="left" w:pos="6975"/>
      </w:tabs>
      <w:spacing w:line="560" w:lineRule="exact"/>
      <w:jc w:val="center"/>
    </w:pPr>
    <w:rPr>
      <w:rFonts w:ascii="宋体" w:hAnsi="宋体" w:cs="宋体"/>
      <w:bCs/>
      <w:szCs w:val="21"/>
      <w:lang w:val="zh-CN"/>
    </w:rPr>
  </w:style>
  <w:style w:type="character" w:customStyle="1" w:styleId="482">
    <w:name w:val="F文字-上标"/>
    <w:qFormat/>
    <w:uiPriority w:val="0"/>
    <w:rPr>
      <w:rFonts w:ascii="Bodoni MT Condensed" w:hAnsi="Bodoni MT Condensed" w:eastAsia="宋体" w:cs="宋体"/>
      <w:sz w:val="24"/>
      <w:szCs w:val="24"/>
      <w:vertAlign w:val="superscript"/>
    </w:rPr>
  </w:style>
  <w:style w:type="character" w:customStyle="1" w:styleId="483">
    <w:name w:val=" Char Char10"/>
    <w:qFormat/>
    <w:uiPriority w:val="0"/>
    <w:rPr>
      <w:rFonts w:ascii="Times New Roman" w:hAnsi="Times New Roman" w:eastAsia="宋体" w:cs="Times New Roman"/>
      <w:b/>
      <w:bCs/>
      <w:sz w:val="30"/>
      <w:szCs w:val="32"/>
    </w:rPr>
  </w:style>
  <w:style w:type="character" w:customStyle="1" w:styleId="484">
    <w:name w:val="标题7 Char"/>
    <w:link w:val="485"/>
    <w:qFormat/>
    <w:uiPriority w:val="0"/>
    <w:rPr>
      <w:rFonts w:ascii="黑体" w:hAnsi="宋体" w:cs="宋体"/>
      <w:kern w:val="2"/>
      <w:sz w:val="24"/>
      <w:lang w:val="en-US" w:eastAsia="zh-CN" w:bidi="ar-SA"/>
    </w:rPr>
  </w:style>
  <w:style w:type="paragraph" w:customStyle="1" w:styleId="485">
    <w:name w:val="标题7"/>
    <w:basedOn w:val="1"/>
    <w:link w:val="484"/>
    <w:qFormat/>
    <w:uiPriority w:val="0"/>
    <w:pPr>
      <w:spacing w:line="400" w:lineRule="exact"/>
      <w:ind w:firstLine="200" w:firstLineChars="200"/>
      <w:jc w:val="left"/>
    </w:pPr>
    <w:rPr>
      <w:rFonts w:ascii="黑体" w:hAnsi="宋体" w:cs="宋体"/>
      <w:sz w:val="24"/>
      <w:szCs w:val="20"/>
    </w:rPr>
  </w:style>
  <w:style w:type="character" w:customStyle="1" w:styleId="486">
    <w:name w:val="Section Char Char"/>
    <w:qFormat/>
    <w:uiPriority w:val="0"/>
    <w:rPr>
      <w:rFonts w:ascii="宋体" w:hAnsi="宋体" w:eastAsia="楷体_GB2312" w:cs="宋体"/>
      <w:b/>
      <w:snapToGrid w:val="0"/>
      <w:sz w:val="30"/>
      <w:szCs w:val="30"/>
      <w:lang w:val="en-US" w:eastAsia="zh-CN" w:bidi="ar-SA"/>
    </w:rPr>
  </w:style>
  <w:style w:type="character" w:customStyle="1" w:styleId="487">
    <w:name w:val="样式 Char"/>
    <w:link w:val="488"/>
    <w:qFormat/>
    <w:uiPriority w:val="0"/>
    <w:rPr>
      <w:rFonts w:eastAsia="宋体"/>
      <w:sz w:val="21"/>
      <w:szCs w:val="21"/>
      <w:lang w:val="en-US" w:eastAsia="zh-CN" w:bidi="ar-SA"/>
    </w:rPr>
  </w:style>
  <w:style w:type="paragraph" w:customStyle="1" w:styleId="488">
    <w:name w:val="样式"/>
    <w:basedOn w:val="1"/>
    <w:next w:val="1"/>
    <w:link w:val="487"/>
    <w:qFormat/>
    <w:uiPriority w:val="0"/>
    <w:pPr>
      <w:tabs>
        <w:tab w:val="left" w:pos="3990"/>
      </w:tabs>
      <w:autoSpaceDE w:val="0"/>
      <w:autoSpaceDN w:val="0"/>
      <w:adjustRightInd w:val="0"/>
      <w:spacing w:before="80" w:after="80"/>
      <w:jc w:val="center"/>
    </w:pPr>
    <w:rPr>
      <w:kern w:val="0"/>
      <w:szCs w:val="21"/>
    </w:rPr>
  </w:style>
  <w:style w:type="character" w:customStyle="1" w:styleId="489">
    <w:name w:val="font91"/>
    <w:qFormat/>
    <w:uiPriority w:val="0"/>
    <w:rPr>
      <w:rFonts w:hint="eastAsia" w:ascii="宋体" w:hAnsi="宋体" w:eastAsia="宋体" w:cs="宋体"/>
      <w:b/>
      <w:color w:val="000000"/>
      <w:sz w:val="18"/>
      <w:szCs w:val="18"/>
      <w:u w:val="none"/>
    </w:rPr>
  </w:style>
  <w:style w:type="character" w:customStyle="1" w:styleId="490">
    <w:name w:val="样式 2 + 黑色 Char"/>
    <w:link w:val="491"/>
    <w:qFormat/>
    <w:uiPriority w:val="0"/>
    <w:rPr>
      <w:rFonts w:ascii="楷体_GB2312" w:hAnsi="楷体_GB2312" w:eastAsia="楷体_GB2312" w:cs="宋体"/>
      <w:b/>
      <w:bCs/>
      <w:color w:val="000000"/>
      <w:kern w:val="44"/>
      <w:sz w:val="30"/>
      <w:szCs w:val="44"/>
      <w:lang w:bidi="ar-SA"/>
    </w:rPr>
  </w:style>
  <w:style w:type="paragraph" w:customStyle="1" w:styleId="491">
    <w:name w:val="样式 2 + 黑色"/>
    <w:basedOn w:val="6"/>
    <w:link w:val="490"/>
    <w:qFormat/>
    <w:uiPriority w:val="0"/>
    <w:pPr>
      <w:keepNext w:val="0"/>
      <w:keepLines w:val="0"/>
      <w:adjustRightInd w:val="0"/>
      <w:snapToGrid w:val="0"/>
      <w:spacing w:before="0" w:after="0" w:line="360" w:lineRule="auto"/>
      <w:jc w:val="left"/>
      <w:textAlignment w:val="baseline"/>
      <w:outlineLvl w:val="0"/>
    </w:pPr>
    <w:rPr>
      <w:rFonts w:ascii="楷体_GB2312" w:hAnsi="楷体_GB2312" w:eastAsia="楷体_GB2312" w:cs="宋体"/>
      <w:bCs w:val="0"/>
      <w:color w:val="000000"/>
      <w:kern w:val="44"/>
      <w:sz w:val="30"/>
      <w:szCs w:val="44"/>
    </w:rPr>
  </w:style>
  <w:style w:type="character" w:customStyle="1" w:styleId="492">
    <w:name w:val="textindent"/>
    <w:qFormat/>
    <w:uiPriority w:val="0"/>
  </w:style>
  <w:style w:type="character" w:customStyle="1" w:styleId="493">
    <w:name w:val="正文 _ZHY Char Char1"/>
    <w:qFormat/>
    <w:uiPriority w:val="0"/>
    <w:rPr>
      <w:rFonts w:ascii="宋体" w:hAnsi="宋体" w:eastAsia="宋体" w:cs="宋体"/>
      <w:kern w:val="2"/>
      <w:sz w:val="24"/>
      <w:szCs w:val="24"/>
      <w:lang w:val="en-US" w:eastAsia="zh-CN" w:bidi="ar-SA"/>
    </w:rPr>
  </w:style>
  <w:style w:type="character" w:customStyle="1" w:styleId="494">
    <w:name w:val="正文缩进2 Char2"/>
    <w:qFormat/>
    <w:uiPriority w:val="0"/>
    <w:rPr>
      <w:rFonts w:ascii="Calibri" w:hAnsi="Calibri" w:eastAsia="宋体" w:cs="宋体"/>
      <w:kern w:val="2"/>
      <w:sz w:val="21"/>
      <w:szCs w:val="22"/>
      <w:lang w:val="en-US" w:eastAsia="zh-CN" w:bidi="ar-SA"/>
    </w:rPr>
  </w:style>
  <w:style w:type="character" w:customStyle="1" w:styleId="495">
    <w:name w:val="正文文字( 首段缩进两字） Char Char"/>
    <w:qFormat/>
    <w:uiPriority w:val="0"/>
    <w:rPr>
      <w:rFonts w:ascii="宋体" w:hAnsi="宋体" w:eastAsia="宋体" w:cs="宋体"/>
      <w:kern w:val="2"/>
      <w:sz w:val="21"/>
      <w:lang w:val="en-US" w:eastAsia="zh-CN" w:bidi="ar-SA"/>
    </w:rPr>
  </w:style>
  <w:style w:type="character" w:customStyle="1" w:styleId="496">
    <w:name w:val="ak"/>
    <w:qFormat/>
    <w:uiPriority w:val="0"/>
  </w:style>
  <w:style w:type="character" w:customStyle="1" w:styleId="497">
    <w:name w:val="font161"/>
    <w:qFormat/>
    <w:uiPriority w:val="0"/>
    <w:rPr>
      <w:rFonts w:hint="default" w:ascii="Times New Roman" w:hAnsi="Times New Roman" w:cs="Times New Roman"/>
      <w:b/>
      <w:color w:val="000000"/>
      <w:sz w:val="22"/>
      <w:szCs w:val="22"/>
      <w:u w:val="none"/>
    </w:rPr>
  </w:style>
  <w:style w:type="character" w:customStyle="1" w:styleId="498">
    <w:name w:val="标题 2 Char Char1"/>
    <w:qFormat/>
    <w:uiPriority w:val="0"/>
    <w:rPr>
      <w:rFonts w:ascii="宋体" w:hAnsi="宋体" w:eastAsia="黑体" w:cs="宋体"/>
      <w:b/>
      <w:bCs/>
      <w:kern w:val="2"/>
      <w:sz w:val="32"/>
      <w:szCs w:val="32"/>
      <w:lang w:val="en-US" w:eastAsia="zh-CN" w:bidi="ar-SA"/>
    </w:rPr>
  </w:style>
  <w:style w:type="character" w:customStyle="1" w:styleId="499">
    <w:name w:val="表格居中小四 Char1"/>
    <w:qFormat/>
    <w:uiPriority w:val="0"/>
    <w:rPr>
      <w:rFonts w:ascii="宋体" w:hAnsi="宋体" w:eastAsia="宋体" w:cs="宋体"/>
      <w:sz w:val="24"/>
      <w:lang w:val="en-US" w:eastAsia="zh-CN" w:bidi="ar-SA"/>
    </w:rPr>
  </w:style>
  <w:style w:type="character" w:customStyle="1" w:styleId="500">
    <w:name w:val="J【表头】 Char"/>
    <w:link w:val="501"/>
    <w:qFormat/>
    <w:uiPriority w:val="0"/>
    <w:rPr>
      <w:rFonts w:ascii="宋体" w:hAnsi="宋体" w:eastAsia="宋体" w:cs="宋体"/>
      <w:b/>
      <w:kern w:val="2"/>
      <w:sz w:val="21"/>
      <w:szCs w:val="21"/>
      <w:lang w:val="en-US" w:eastAsia="zh-CN" w:bidi="ar-SA"/>
    </w:rPr>
  </w:style>
  <w:style w:type="paragraph" w:customStyle="1" w:styleId="501">
    <w:name w:val="J【表头】"/>
    <w:basedOn w:val="1"/>
    <w:link w:val="500"/>
    <w:qFormat/>
    <w:uiPriority w:val="0"/>
    <w:pPr>
      <w:keepNext/>
      <w:wordWrap w:val="0"/>
      <w:spacing w:line="360" w:lineRule="auto"/>
      <w:jc w:val="right"/>
    </w:pPr>
    <w:rPr>
      <w:rFonts w:ascii="宋体" w:hAnsi="宋体" w:cs="宋体"/>
      <w:b/>
      <w:szCs w:val="21"/>
    </w:rPr>
  </w:style>
  <w:style w:type="character" w:customStyle="1" w:styleId="502">
    <w:name w:val="表格正文 Char"/>
    <w:link w:val="503"/>
    <w:qFormat/>
    <w:uiPriority w:val="0"/>
    <w:rPr>
      <w:kern w:val="2"/>
      <w:sz w:val="21"/>
      <w:lang w:bidi="ar-SA"/>
    </w:rPr>
  </w:style>
  <w:style w:type="paragraph" w:customStyle="1" w:styleId="503">
    <w:name w:val="表格正文"/>
    <w:basedOn w:val="1"/>
    <w:link w:val="502"/>
    <w:qFormat/>
    <w:uiPriority w:val="0"/>
    <w:pPr>
      <w:jc w:val="center"/>
    </w:pPr>
    <w:rPr>
      <w:szCs w:val="20"/>
    </w:rPr>
  </w:style>
  <w:style w:type="character" w:customStyle="1" w:styleId="504">
    <w:name w:val="表格文字 Char"/>
    <w:link w:val="505"/>
    <w:qFormat/>
    <w:uiPriority w:val="0"/>
    <w:rPr>
      <w:rFonts w:eastAsia="宋体"/>
      <w:kern w:val="2"/>
      <w:sz w:val="24"/>
      <w:lang w:val="en-US" w:eastAsia="zh-CN" w:bidi="ar-SA"/>
    </w:rPr>
  </w:style>
  <w:style w:type="paragraph" w:customStyle="1" w:styleId="505">
    <w:name w:val="表格文字"/>
    <w:basedOn w:val="1"/>
    <w:link w:val="504"/>
    <w:qFormat/>
    <w:uiPriority w:val="0"/>
    <w:pPr>
      <w:spacing w:before="60" w:after="60"/>
    </w:pPr>
    <w:rPr>
      <w:sz w:val="24"/>
      <w:szCs w:val="20"/>
    </w:rPr>
  </w:style>
  <w:style w:type="character" w:customStyle="1" w:styleId="506">
    <w:name w:val="bodyfont1"/>
    <w:qFormat/>
    <w:uiPriority w:val="0"/>
    <w:rPr>
      <w:rFonts w:ascii="宋体" w:hAnsi="宋体" w:cs="宋体"/>
      <w:sz w:val="28"/>
      <w:szCs w:val="28"/>
    </w:rPr>
  </w:style>
  <w:style w:type="paragraph" w:customStyle="1" w:styleId="507">
    <w:name w:val="小四表文左齐"/>
    <w:basedOn w:val="1"/>
    <w:qFormat/>
    <w:uiPriority w:val="0"/>
    <w:pPr>
      <w:jc w:val="center"/>
    </w:pPr>
    <w:rPr>
      <w:color w:val="000000"/>
      <w:spacing w:val="20"/>
      <w:szCs w:val="21"/>
    </w:rPr>
  </w:style>
  <w:style w:type="paragraph" w:customStyle="1" w:styleId="508">
    <w:name w:val="表内序号"/>
    <w:basedOn w:val="1"/>
    <w:qFormat/>
    <w:uiPriority w:val="0"/>
    <w:pPr>
      <w:adjustRightInd w:val="0"/>
      <w:spacing w:line="360" w:lineRule="auto"/>
      <w:jc w:val="center"/>
      <w:textAlignment w:val="baseline"/>
    </w:pPr>
    <w:rPr>
      <w:rFonts w:ascii="宋体"/>
      <w:kern w:val="0"/>
      <w:sz w:val="24"/>
      <w:szCs w:val="20"/>
    </w:rPr>
  </w:style>
  <w:style w:type="paragraph" w:customStyle="1" w:styleId="509">
    <w:name w:val="xl26"/>
    <w:basedOn w:val="1"/>
    <w:qFormat/>
    <w:uiPriority w:val="0"/>
    <w:pPr>
      <w:widowControl/>
      <w:pBdr>
        <w:top w:val="single" w:color="auto" w:sz="8" w:space="0"/>
        <w:left w:val="single" w:color="auto" w:sz="8" w:space="0"/>
        <w:right w:val="single" w:color="auto" w:sz="8" w:space="0"/>
      </w:pBdr>
      <w:spacing w:before="100" w:beforeAutospacing="1" w:after="100" w:afterAutospacing="1"/>
      <w:jc w:val="left"/>
      <w:textAlignment w:val="center"/>
    </w:pPr>
    <w:rPr>
      <w:rFonts w:ascii="Arial Unicode MS" w:hAnsi="Arial Unicode MS" w:eastAsia="Arial Unicode MS"/>
      <w:kern w:val="0"/>
      <w:sz w:val="24"/>
    </w:rPr>
  </w:style>
  <w:style w:type="paragraph" w:customStyle="1" w:styleId="510">
    <w:name w:val="T标题5级"/>
    <w:basedOn w:val="9"/>
    <w:next w:val="1"/>
    <w:qFormat/>
    <w:uiPriority w:val="0"/>
    <w:pPr>
      <w:widowControl/>
      <w:numPr>
        <w:ilvl w:val="4"/>
        <w:numId w:val="4"/>
      </w:numPr>
      <w:tabs>
        <w:tab w:val="left" w:pos="1080"/>
      </w:tabs>
      <w:overflowPunct w:val="0"/>
      <w:spacing w:before="0" w:after="0" w:line="360" w:lineRule="auto"/>
      <w:ind w:left="1080" w:hanging="1080"/>
      <w:jc w:val="left"/>
    </w:pPr>
    <w:rPr>
      <w:rFonts w:eastAsia="仿宋_GB2312"/>
      <w:b w:val="0"/>
      <w:color w:val="auto"/>
      <w:kern w:val="0"/>
      <w:szCs w:val="24"/>
    </w:rPr>
  </w:style>
  <w:style w:type="paragraph" w:customStyle="1" w:styleId="511">
    <w:name w:val="标题小4"/>
    <w:basedOn w:val="8"/>
    <w:qFormat/>
    <w:uiPriority w:val="0"/>
    <w:pPr>
      <w:widowControl/>
      <w:numPr>
        <w:ilvl w:val="0"/>
        <w:numId w:val="0"/>
      </w:numPr>
      <w:tabs>
        <w:tab w:val="left" w:pos="2626"/>
        <w:tab w:val="clear" w:pos="864"/>
      </w:tabs>
      <w:topLinePunct/>
      <w:spacing w:before="120" w:line="377" w:lineRule="auto"/>
      <w:ind w:left="480" w:hanging="420"/>
      <w:jc w:val="center"/>
    </w:pPr>
    <w:rPr>
      <w:rFonts w:ascii="宋体" w:hAnsi="Arial"/>
      <w:bCs w:val="0"/>
      <w:sz w:val="32"/>
      <w:szCs w:val="32"/>
    </w:rPr>
  </w:style>
  <w:style w:type="paragraph" w:customStyle="1" w:styleId="512">
    <w:name w:val=" Char Char1 Char Char1 Char Char1 Char Char1 Char Char Char Char Char Char Char"/>
    <w:basedOn w:val="1"/>
    <w:qFormat/>
    <w:uiPriority w:val="0"/>
    <w:rPr>
      <w:rFonts w:ascii="Tahoma" w:hAnsi="Tahoma"/>
      <w:sz w:val="24"/>
    </w:rPr>
  </w:style>
  <w:style w:type="paragraph" w:customStyle="1" w:styleId="513">
    <w:name w:val="图名"/>
    <w:basedOn w:val="1"/>
    <w:qFormat/>
    <w:uiPriority w:val="0"/>
    <w:pPr>
      <w:spacing w:line="280" w:lineRule="exact"/>
      <w:jc w:val="center"/>
    </w:pPr>
    <w:rPr>
      <w:rFonts w:ascii="黑体" w:hAnsi="宋体" w:eastAsia="黑体"/>
      <w:szCs w:val="20"/>
    </w:rPr>
  </w:style>
  <w:style w:type="paragraph" w:customStyle="1" w:styleId="514">
    <w:name w:val="消息标题号"/>
    <w:basedOn w:val="75"/>
    <w:next w:val="75"/>
    <w:qFormat/>
    <w:uiPriority w:val="0"/>
    <w:pPr>
      <w:spacing w:before="40" w:after="0"/>
      <w:ind w:left="0"/>
    </w:pPr>
    <w:rPr>
      <w:rFonts w:eastAsia="楷体_GB2312"/>
      <w:b/>
      <w:caps/>
      <w:spacing w:val="0"/>
      <w:position w:val="6"/>
    </w:rPr>
  </w:style>
  <w:style w:type="paragraph" w:customStyle="1" w:styleId="515">
    <w:name w:val="xl8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kern w:val="0"/>
      <w:sz w:val="28"/>
      <w:szCs w:val="28"/>
    </w:rPr>
  </w:style>
  <w:style w:type="paragraph" w:customStyle="1" w:styleId="516">
    <w:name w:val="项目符号"/>
    <w:basedOn w:val="1"/>
    <w:qFormat/>
    <w:uiPriority w:val="0"/>
    <w:pPr>
      <w:tabs>
        <w:tab w:val="left" w:pos="1400"/>
      </w:tabs>
      <w:overflowPunct w:val="0"/>
      <w:snapToGrid w:val="0"/>
      <w:spacing w:line="480" w:lineRule="exact"/>
      <w:ind w:left="1400" w:hanging="420" w:firstLineChars="200"/>
    </w:pPr>
    <w:rPr>
      <w:rFonts w:ascii="Arial" w:hAnsi="Arial" w:eastAsia="仿宋_GB2312"/>
      <w:sz w:val="28"/>
      <w:szCs w:val="20"/>
    </w:rPr>
  </w:style>
  <w:style w:type="paragraph" w:customStyle="1" w:styleId="517">
    <w:name w:val="Char Char Char Char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518">
    <w:name w:val="样式 题注 + 非加粗1 Char"/>
    <w:basedOn w:val="23"/>
    <w:qFormat/>
    <w:uiPriority w:val="0"/>
    <w:pPr>
      <w:widowControl/>
      <w:topLinePunct/>
      <w:adjustRightInd w:val="0"/>
      <w:spacing w:before="152" w:after="160" w:line="300" w:lineRule="auto"/>
      <w:ind w:left="480"/>
      <w:jc w:val="center"/>
    </w:pPr>
    <w:rPr>
      <w:rFonts w:ascii="宋体" w:hAnsi="宋体" w:eastAsia="宋体" w:cs="Times New Roman"/>
      <w:b/>
      <w:bCs/>
      <w:sz w:val="24"/>
    </w:rPr>
  </w:style>
  <w:style w:type="paragraph" w:customStyle="1" w:styleId="519">
    <w:name w:val="TABLES"/>
    <w:qFormat/>
    <w:uiPriority w:val="0"/>
    <w:pPr>
      <w:keepNext/>
      <w:adjustRightInd w:val="0"/>
      <w:spacing w:before="360"/>
      <w:ind w:left="1134" w:right="567"/>
      <w:textAlignment w:val="baseline"/>
    </w:pPr>
    <w:rPr>
      <w:rFonts w:ascii="Arial" w:hAnsi="Arial" w:eastAsia="楷体" w:cs="Times New Roman"/>
      <w:b/>
      <w:caps/>
      <w:kern w:val="2"/>
      <w:sz w:val="24"/>
      <w:szCs w:val="24"/>
      <w:lang w:val="en-US" w:eastAsia="zh-CN" w:bidi="ar-SA"/>
    </w:rPr>
  </w:style>
  <w:style w:type="paragraph" w:customStyle="1" w:styleId="520">
    <w:name w:val="正文2"/>
    <w:qFormat/>
    <w:uiPriority w:val="0"/>
    <w:pPr>
      <w:widowControl w:val="0"/>
      <w:adjustRightInd w:val="0"/>
      <w:spacing w:line="360" w:lineRule="atLeast"/>
      <w:textAlignment w:val="baseline"/>
    </w:pPr>
    <w:rPr>
      <w:rFonts w:ascii="Arial" w:hAnsi="Times New Roman" w:eastAsia="宋体" w:cs="Times New Roman"/>
      <w:kern w:val="2"/>
      <w:sz w:val="34"/>
      <w:szCs w:val="24"/>
      <w:lang w:val="en-US" w:eastAsia="zh-CN" w:bidi="ar-SA"/>
    </w:rPr>
  </w:style>
  <w:style w:type="paragraph" w:customStyle="1" w:styleId="521">
    <w:name w:val="样式 样式 正文（首行缩进两字） Char Char + 段前: 0.27 行 段后: 0.27 行 + 首行缩进:  2 字符"/>
    <w:basedOn w:val="1"/>
    <w:qFormat/>
    <w:uiPriority w:val="0"/>
    <w:pPr>
      <w:autoSpaceDE w:val="0"/>
      <w:autoSpaceDN w:val="0"/>
      <w:adjustRightInd w:val="0"/>
      <w:snapToGrid w:val="0"/>
      <w:spacing w:line="440" w:lineRule="exact"/>
      <w:ind w:firstLine="200" w:firstLineChars="200"/>
      <w:jc w:val="left"/>
    </w:pPr>
    <w:rPr>
      <w:rFonts w:cs="宋体"/>
      <w:sz w:val="24"/>
      <w:szCs w:val="20"/>
    </w:rPr>
  </w:style>
  <w:style w:type="paragraph" w:customStyle="1" w:styleId="522">
    <w:name w:val="reader-word-layer reader-word-s1-12"/>
    <w:basedOn w:val="1"/>
    <w:qFormat/>
    <w:uiPriority w:val="0"/>
    <w:pPr>
      <w:widowControl/>
      <w:spacing w:before="100" w:beforeAutospacing="1" w:after="100" w:afterAutospacing="1"/>
      <w:jc w:val="left"/>
    </w:pPr>
    <w:rPr>
      <w:rFonts w:ascii="宋体" w:hAnsi="宋体" w:cs="宋体"/>
      <w:kern w:val="0"/>
      <w:sz w:val="24"/>
    </w:rPr>
  </w:style>
  <w:style w:type="paragraph" w:customStyle="1" w:styleId="523">
    <w:name w:val="样式 样式 小四 首行缩进:  0.99 厘米 行距: 1.5 倍行距1 + 首行缩进:  2 字符"/>
    <w:basedOn w:val="1"/>
    <w:qFormat/>
    <w:uiPriority w:val="0"/>
    <w:pPr>
      <w:spacing w:line="360" w:lineRule="auto"/>
      <w:ind w:firstLine="200" w:firstLineChars="200"/>
    </w:pPr>
    <w:rPr>
      <w:rFonts w:cs="宋体"/>
      <w:sz w:val="24"/>
      <w:szCs w:val="20"/>
    </w:rPr>
  </w:style>
  <w:style w:type="paragraph" w:customStyle="1" w:styleId="524">
    <w:name w:val="正文E"/>
    <w:basedOn w:val="1"/>
    <w:qFormat/>
    <w:uiPriority w:val="0"/>
    <w:pPr>
      <w:adjustRightInd w:val="0"/>
      <w:snapToGrid w:val="0"/>
      <w:spacing w:line="560" w:lineRule="exact"/>
      <w:textAlignment w:val="baseline"/>
    </w:pPr>
    <w:rPr>
      <w:kern w:val="0"/>
      <w:sz w:val="28"/>
      <w:szCs w:val="20"/>
    </w:rPr>
  </w:style>
  <w:style w:type="paragraph" w:customStyle="1" w:styleId="525">
    <w:name w:val="默认段落字体11 Char"/>
    <w:basedOn w:val="1"/>
    <w:qFormat/>
    <w:uiPriority w:val="0"/>
    <w:rPr>
      <w:szCs w:val="20"/>
    </w:rPr>
  </w:style>
  <w:style w:type="paragraph" w:customStyle="1" w:styleId="526">
    <w:name w:val="样式 标题 2一级条 + 宋体 小四 行距: 1.5 倍行距1"/>
    <w:basedOn w:val="6"/>
    <w:qFormat/>
    <w:uiPriority w:val="0"/>
    <w:pPr>
      <w:tabs>
        <w:tab w:val="left" w:pos="540"/>
        <w:tab w:val="left" w:pos="576"/>
      </w:tabs>
      <w:spacing w:before="0" w:beforeLines="50" w:after="0" w:afterLines="50" w:line="360" w:lineRule="auto"/>
      <w:ind w:left="576" w:hanging="576"/>
      <w:jc w:val="left"/>
      <w:textAlignment w:val="baseline"/>
    </w:pPr>
    <w:rPr>
      <w:rFonts w:ascii="宋体" w:hAnsi="宋体" w:eastAsia="宋体" w:cs="宋体"/>
      <w:bCs w:val="0"/>
      <w:snapToGrid w:val="0"/>
      <w:kern w:val="28"/>
      <w:sz w:val="24"/>
      <w:lang w:val="zh-CN"/>
    </w:rPr>
  </w:style>
  <w:style w:type="paragraph" w:customStyle="1" w:styleId="527">
    <w:name w:val="90v"/>
    <w:basedOn w:val="1"/>
    <w:qFormat/>
    <w:uiPriority w:val="0"/>
    <w:pPr>
      <w:widowControl/>
      <w:spacing w:before="100" w:beforeAutospacing="1" w:after="100" w:afterAutospacing="1"/>
      <w:jc w:val="left"/>
    </w:pPr>
    <w:rPr>
      <w:rFonts w:ascii="宋体" w:hAnsi="宋体"/>
      <w:kern w:val="0"/>
      <w:sz w:val="24"/>
    </w:rPr>
  </w:style>
  <w:style w:type="paragraph" w:customStyle="1" w:styleId="528">
    <w:name w:val="中石化可研2级"/>
    <w:basedOn w:val="5"/>
    <w:qFormat/>
    <w:uiPriority w:val="0"/>
    <w:pPr>
      <w:tabs>
        <w:tab w:val="left" w:pos="-105"/>
        <w:tab w:val="left" w:pos="945"/>
      </w:tabs>
      <w:autoSpaceDE w:val="0"/>
      <w:autoSpaceDN w:val="0"/>
      <w:adjustRightInd w:val="0"/>
      <w:snapToGrid w:val="0"/>
      <w:spacing w:before="100" w:beforeAutospacing="1" w:after="100" w:afterLines="200" w:afterAutospacing="1" w:line="480" w:lineRule="auto"/>
      <w:ind w:left="947" w:hanging="420"/>
      <w:jc w:val="center"/>
      <w:textAlignment w:val="center"/>
    </w:pPr>
    <w:rPr>
      <w:rFonts w:ascii="宋体" w:hAnsi="宋体" w:eastAsia="黑体"/>
      <w:snapToGrid w:val="0"/>
      <w:color w:val="000000"/>
      <w:sz w:val="28"/>
      <w:szCs w:val="28"/>
    </w:rPr>
  </w:style>
  <w:style w:type="paragraph" w:customStyle="1" w:styleId="529">
    <w:name w:val="Char Char Char Char Char Char Char2"/>
    <w:basedOn w:val="1"/>
    <w:qFormat/>
    <w:uiPriority w:val="0"/>
  </w:style>
  <w:style w:type="paragraph" w:customStyle="1" w:styleId="530">
    <w:name w:val="xl120"/>
    <w:basedOn w:val="1"/>
    <w:qFormat/>
    <w:uiPriority w:val="0"/>
    <w:pPr>
      <w:widowControl/>
      <w:pBdr>
        <w:left w:val="single" w:color="auto" w:sz="12" w:space="0"/>
        <w:right w:val="single" w:color="auto" w:sz="4" w:space="0"/>
      </w:pBdr>
      <w:spacing w:before="100" w:beforeAutospacing="1" w:after="100" w:afterAutospacing="1"/>
      <w:jc w:val="center"/>
    </w:pPr>
    <w:rPr>
      <w:rFonts w:hint="eastAsia" w:ascii="楷体_GB2312" w:hAnsi="Arial Unicode MS" w:eastAsia="楷体_GB2312" w:cs="TimesNewRomanPSMT"/>
      <w:kern w:val="0"/>
      <w:sz w:val="16"/>
      <w:szCs w:val="16"/>
    </w:rPr>
  </w:style>
  <w:style w:type="paragraph" w:customStyle="1" w:styleId="531">
    <w:name w:val="Char Char Char Char Char Char Char 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532">
    <w:name w:val="33"/>
    <w:basedOn w:val="6"/>
    <w:qFormat/>
    <w:uiPriority w:val="0"/>
    <w:pPr>
      <w:spacing w:before="0" w:after="0"/>
      <w:jc w:val="left"/>
    </w:pPr>
    <w:rPr>
      <w:rFonts w:ascii="Arial" w:hAnsi="Arial" w:eastAsia="宋体"/>
      <w:bCs w:val="0"/>
      <w:sz w:val="30"/>
      <w:szCs w:val="32"/>
    </w:rPr>
  </w:style>
  <w:style w:type="paragraph" w:customStyle="1" w:styleId="533">
    <w:name w:val="xl8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534">
    <w:name w:val="样式 居中"/>
    <w:basedOn w:val="1"/>
    <w:qFormat/>
    <w:uiPriority w:val="0"/>
    <w:pPr>
      <w:spacing w:before="156" w:beforeLines="50" w:after="156" w:afterLines="50" w:line="360" w:lineRule="exact"/>
      <w:ind w:left="200" w:leftChars="200" w:firstLine="200" w:firstLineChars="200"/>
      <w:jc w:val="center"/>
    </w:pPr>
    <w:rPr>
      <w:rFonts w:cs="宋体"/>
      <w:sz w:val="28"/>
      <w:szCs w:val="20"/>
    </w:rPr>
  </w:style>
  <w:style w:type="paragraph" w:customStyle="1" w:styleId="535">
    <w:name w:val="表内字"/>
    <w:qFormat/>
    <w:uiPriority w:val="0"/>
    <w:pPr>
      <w:spacing w:line="312" w:lineRule="auto"/>
      <w:jc w:val="center"/>
    </w:pPr>
    <w:rPr>
      <w:rFonts w:ascii="Times New Roman" w:hAnsi="Times New Roman" w:eastAsia="宋体" w:cs="Times New Roman"/>
      <w:color w:val="000000"/>
      <w:kern w:val="2"/>
      <w:sz w:val="21"/>
      <w:szCs w:val="24"/>
      <w:lang w:val="en-US" w:eastAsia="zh-CN" w:bidi="ar-SA"/>
    </w:rPr>
  </w:style>
  <w:style w:type="paragraph" w:customStyle="1" w:styleId="536">
    <w:name w:val="样式 标题 3 + 段前: 0.25 行 段后: 0.25 行1"/>
    <w:basedOn w:val="7"/>
    <w:qFormat/>
    <w:uiPriority w:val="0"/>
    <w:pPr>
      <w:keepNext w:val="0"/>
      <w:numPr>
        <w:ilvl w:val="0"/>
        <w:numId w:val="0"/>
      </w:numPr>
      <w:suppressLineNumbers/>
      <w:tabs>
        <w:tab w:val="left" w:pos="1134"/>
        <w:tab w:val="left" w:pos="1880"/>
      </w:tabs>
      <w:suppressAutoHyphens/>
      <w:topLinePunct/>
      <w:adjustRightInd w:val="0"/>
      <w:snapToGrid w:val="0"/>
      <w:spacing w:before="25" w:beforeLines="25" w:after="25" w:afterLines="25" w:line="360" w:lineRule="auto"/>
      <w:ind w:left="1134" w:hanging="420" w:firstLineChars="186"/>
      <w:jc w:val="left"/>
      <w:textAlignment w:val="baseline"/>
    </w:pPr>
    <w:rPr>
      <w:rFonts w:ascii="宋体" w:eastAsia="宋体"/>
      <w:bCs w:val="0"/>
      <w:snapToGrid w:val="0"/>
      <w:kern w:val="0"/>
    </w:rPr>
  </w:style>
  <w:style w:type="paragraph" w:customStyle="1" w:styleId="537">
    <w:name w:val="封面小"/>
    <w:basedOn w:val="43"/>
    <w:qFormat/>
    <w:uiPriority w:val="0"/>
    <w:pPr>
      <w:ind w:firstLine="0"/>
      <w:jc w:val="center"/>
    </w:pPr>
    <w:rPr>
      <w:rFonts w:hAnsi="华文细黑"/>
      <w:kern w:val="0"/>
      <w:sz w:val="24"/>
    </w:rPr>
  </w:style>
  <w:style w:type="paragraph" w:customStyle="1" w:styleId="538">
    <w:name w:val="xl88"/>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hint="eastAsia" w:ascii="楷体_GB2312" w:hAnsi="宋体" w:eastAsia="楷体_GB2312"/>
      <w:kern w:val="0"/>
      <w:sz w:val="28"/>
      <w:szCs w:val="28"/>
    </w:rPr>
  </w:style>
  <w:style w:type="paragraph" w:customStyle="1" w:styleId="539">
    <w:name w:val="1"/>
    <w:basedOn w:val="1"/>
    <w:next w:val="33"/>
    <w:qFormat/>
    <w:uiPriority w:val="0"/>
    <w:pPr>
      <w:ind w:left="540"/>
    </w:pPr>
    <w:rPr>
      <w:sz w:val="36"/>
      <w:szCs w:val="20"/>
    </w:rPr>
  </w:style>
  <w:style w:type="paragraph" w:customStyle="1" w:styleId="540">
    <w:name w:val="Block Text 1 Sgl J"/>
    <w:basedOn w:val="1"/>
    <w:qFormat/>
    <w:uiPriority w:val="0"/>
    <w:pPr>
      <w:widowControl/>
      <w:spacing w:after="240"/>
      <w:ind w:left="1440" w:right="1440"/>
      <w:jc w:val="left"/>
    </w:pPr>
    <w:rPr>
      <w:rFonts w:eastAsia="Times New Roman"/>
      <w:kern w:val="0"/>
      <w:sz w:val="24"/>
      <w:szCs w:val="20"/>
      <w:lang w:eastAsia="en-US"/>
    </w:rPr>
  </w:style>
  <w:style w:type="paragraph" w:customStyle="1" w:styleId="541">
    <w:name w:val="reader-word-layer reader-word-s4-5"/>
    <w:basedOn w:val="1"/>
    <w:qFormat/>
    <w:uiPriority w:val="0"/>
    <w:pPr>
      <w:widowControl/>
      <w:spacing w:before="100" w:beforeAutospacing="1" w:after="100" w:afterAutospacing="1"/>
      <w:jc w:val="left"/>
    </w:pPr>
    <w:rPr>
      <w:rFonts w:ascii="宋体" w:hAnsi="宋体" w:cs="宋体"/>
      <w:kern w:val="0"/>
      <w:sz w:val="24"/>
    </w:rPr>
  </w:style>
  <w:style w:type="paragraph" w:customStyle="1" w:styleId="542">
    <w:name w:val="reader-word-layer reader-word-s1-4"/>
    <w:basedOn w:val="1"/>
    <w:qFormat/>
    <w:uiPriority w:val="0"/>
    <w:pPr>
      <w:widowControl/>
      <w:spacing w:before="100" w:beforeAutospacing="1" w:after="100" w:afterAutospacing="1"/>
      <w:jc w:val="left"/>
    </w:pPr>
    <w:rPr>
      <w:rFonts w:ascii="宋体" w:hAnsi="宋体" w:cs="宋体"/>
      <w:kern w:val="0"/>
      <w:sz w:val="24"/>
    </w:rPr>
  </w:style>
  <w:style w:type="paragraph" w:customStyle="1" w:styleId="543">
    <w:name w:val="Paragraph 5"/>
    <w:basedOn w:val="1"/>
    <w:qFormat/>
    <w:uiPriority w:val="0"/>
    <w:pPr>
      <w:widowControl/>
      <w:tabs>
        <w:tab w:val="left" w:pos="2736"/>
      </w:tabs>
      <w:spacing w:after="120"/>
      <w:ind w:left="2736"/>
    </w:pPr>
    <w:rPr>
      <w:rFonts w:ascii="Arial" w:hAnsi="Arial"/>
      <w:kern w:val="0"/>
      <w:sz w:val="22"/>
      <w:szCs w:val="20"/>
    </w:rPr>
  </w:style>
  <w:style w:type="paragraph" w:customStyle="1" w:styleId="544">
    <w:name w:val="样式 标题 22H2节一级条_Heading 2Majorsect1.1标题 21.1标题 2 Char二..."/>
    <w:basedOn w:val="6"/>
    <w:qFormat/>
    <w:uiPriority w:val="0"/>
    <w:pPr>
      <w:tabs>
        <w:tab w:val="left" w:pos="720"/>
      </w:tabs>
      <w:adjustRightInd w:val="0"/>
      <w:spacing w:before="0" w:after="0" w:line="360" w:lineRule="auto"/>
      <w:ind w:left="578" w:hanging="578"/>
    </w:pPr>
    <w:rPr>
      <w:rFonts w:ascii="Arial" w:eastAsia="宋体" w:cs="Arial"/>
      <w:b w:val="0"/>
      <w:color w:val="000000"/>
      <w:kern w:val="0"/>
      <w:sz w:val="28"/>
    </w:rPr>
  </w:style>
  <w:style w:type="paragraph" w:customStyle="1" w:styleId="545">
    <w:name w:val="In Table"/>
    <w:basedOn w:val="1"/>
    <w:qFormat/>
    <w:uiPriority w:val="0"/>
    <w:pPr>
      <w:spacing w:line="360" w:lineRule="auto"/>
    </w:pPr>
    <w:rPr>
      <w:sz w:val="24"/>
    </w:rPr>
  </w:style>
  <w:style w:type="paragraph" w:customStyle="1" w:styleId="546">
    <w:name w:val="图头"/>
    <w:basedOn w:val="1"/>
    <w:qFormat/>
    <w:uiPriority w:val="0"/>
    <w:pPr>
      <w:spacing w:line="360" w:lineRule="auto"/>
      <w:ind w:firstLine="480" w:firstLineChars="200"/>
    </w:pPr>
    <w:rPr>
      <w:rFonts w:ascii="宋体" w:hAnsi="宋体"/>
      <w:bCs/>
      <w:kern w:val="0"/>
      <w:sz w:val="24"/>
      <w:szCs w:val="20"/>
    </w:rPr>
  </w:style>
  <w:style w:type="paragraph" w:customStyle="1" w:styleId="547">
    <w:name w:val="图题"/>
    <w:qFormat/>
    <w:uiPriority w:val="0"/>
    <w:pPr>
      <w:widowControl w:val="0"/>
      <w:spacing w:line="360" w:lineRule="atLeast"/>
      <w:jc w:val="center"/>
    </w:pPr>
    <w:rPr>
      <w:rFonts w:ascii="宋体" w:hAnsi="宋体" w:eastAsia="宋体" w:cs="Arial"/>
      <w:kern w:val="2"/>
      <w:sz w:val="21"/>
      <w:szCs w:val="21"/>
      <w:lang w:val="en-US" w:eastAsia="zh-CN" w:bidi="ar-SA"/>
    </w:rPr>
  </w:style>
  <w:style w:type="paragraph" w:customStyle="1" w:styleId="548">
    <w:name w:val="kkk"/>
    <w:basedOn w:val="8"/>
    <w:qFormat/>
    <w:uiPriority w:val="0"/>
    <w:pPr>
      <w:keepNext w:val="0"/>
      <w:keepLines w:val="0"/>
      <w:widowControl/>
      <w:numPr>
        <w:ilvl w:val="0"/>
        <w:numId w:val="0"/>
      </w:numPr>
      <w:tabs>
        <w:tab w:val="clear" w:pos="864"/>
      </w:tabs>
      <w:spacing w:after="0" w:line="360" w:lineRule="auto"/>
      <w:ind w:firstLine="200" w:firstLineChars="200"/>
      <w:jc w:val="both"/>
      <w:outlineLvl w:val="9"/>
    </w:pPr>
    <w:rPr>
      <w:rFonts w:ascii="宋体" w:eastAsia="宋体"/>
      <w:spacing w:val="16"/>
      <w:sz w:val="24"/>
    </w:rPr>
  </w:style>
  <w:style w:type="paragraph" w:customStyle="1" w:styleId="549">
    <w:name w:val="简单回函地址"/>
    <w:basedOn w:val="1"/>
    <w:qFormat/>
    <w:uiPriority w:val="0"/>
  </w:style>
  <w:style w:type="paragraph" w:customStyle="1" w:styleId="550">
    <w:name w:val="md正文"/>
    <w:basedOn w:val="1"/>
    <w:qFormat/>
    <w:uiPriority w:val="0"/>
    <w:pPr>
      <w:widowControl/>
      <w:overflowPunct w:val="0"/>
      <w:autoSpaceDE w:val="0"/>
      <w:autoSpaceDN w:val="0"/>
      <w:adjustRightInd w:val="0"/>
      <w:spacing w:line="360" w:lineRule="auto"/>
      <w:ind w:firstLine="200" w:firstLineChars="200"/>
      <w:jc w:val="left"/>
      <w:textAlignment w:val="baseline"/>
    </w:pPr>
    <w:rPr>
      <w:rFonts w:eastAsia="仿宋_GB2312"/>
      <w:kern w:val="0"/>
      <w:sz w:val="24"/>
      <w:szCs w:val="20"/>
    </w:rPr>
  </w:style>
  <w:style w:type="paragraph" w:customStyle="1" w:styleId="551">
    <w:name w:val="文本块1"/>
    <w:basedOn w:val="1"/>
    <w:qFormat/>
    <w:uiPriority w:val="0"/>
    <w:pPr>
      <w:widowControl/>
      <w:tabs>
        <w:tab w:val="left" w:pos="3119"/>
        <w:tab w:val="left" w:pos="5387"/>
        <w:tab w:val="left" w:pos="8080"/>
        <w:tab w:val="right" w:leader="dot" w:pos="8505"/>
      </w:tabs>
      <w:adjustRightInd w:val="0"/>
      <w:spacing w:before="20" w:after="20"/>
      <w:ind w:left="1260" w:right="425"/>
      <w:textAlignment w:val="baseline"/>
    </w:pPr>
    <w:rPr>
      <w:rFonts w:ascii="Arial" w:hAnsi="Arial"/>
      <w:kern w:val="0"/>
      <w:sz w:val="20"/>
      <w:szCs w:val="20"/>
      <w:lang w:val="en-GB"/>
    </w:rPr>
  </w:style>
  <w:style w:type="paragraph" w:customStyle="1" w:styleId="552">
    <w:name w:val="首缩四"/>
    <w:basedOn w:val="1"/>
    <w:qFormat/>
    <w:uiPriority w:val="0"/>
    <w:pPr>
      <w:adjustRightInd w:val="0"/>
      <w:snapToGrid w:val="0"/>
      <w:spacing w:line="360" w:lineRule="auto"/>
      <w:ind w:firstLine="200" w:firstLineChars="200"/>
    </w:pPr>
    <w:rPr>
      <w:sz w:val="28"/>
      <w:szCs w:val="28"/>
    </w:rPr>
  </w:style>
  <w:style w:type="paragraph" w:customStyle="1" w:styleId="553">
    <w:name w:val="默认段落字体 Para Char Char Char Char Char Char Char Char Char Char Char Char1 Char Char Char Char"/>
    <w:basedOn w:val="1"/>
    <w:semiHidden/>
    <w:qFormat/>
    <w:uiPriority w:val="0"/>
    <w:pPr>
      <w:spacing w:line="360" w:lineRule="auto"/>
    </w:pPr>
    <w:rPr>
      <w:sz w:val="24"/>
      <w:szCs w:val="20"/>
    </w:rPr>
  </w:style>
  <w:style w:type="paragraph" w:customStyle="1" w:styleId="554">
    <w:name w:val="xl39"/>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kern w:val="0"/>
      <w:sz w:val="24"/>
    </w:rPr>
  </w:style>
  <w:style w:type="paragraph" w:customStyle="1" w:styleId="555">
    <w:name w:val="xl136"/>
    <w:basedOn w:val="1"/>
    <w:qFormat/>
    <w:uiPriority w:val="0"/>
    <w:pPr>
      <w:widowControl/>
      <w:pBdr>
        <w:top w:val="single" w:color="auto" w:sz="4" w:space="0"/>
        <w:left w:val="single" w:color="auto" w:sz="4" w:space="0"/>
        <w:bottom w:val="single" w:color="auto" w:sz="4" w:space="0"/>
        <w:right w:val="single" w:color="auto" w:sz="12" w:space="0"/>
      </w:pBdr>
      <w:spacing w:before="100" w:beforeAutospacing="1" w:after="100" w:afterAutospacing="1"/>
      <w:jc w:val="center"/>
      <w:textAlignment w:val="center"/>
    </w:pPr>
    <w:rPr>
      <w:rFonts w:hint="eastAsia" w:ascii="楷体_GB2312" w:hAnsi="Arial Unicode MS" w:eastAsia="楷体_GB2312" w:cs="TimesNewRomanPSMT"/>
      <w:color w:val="003366"/>
      <w:kern w:val="0"/>
      <w:sz w:val="16"/>
      <w:szCs w:val="16"/>
    </w:rPr>
  </w:style>
  <w:style w:type="paragraph" w:customStyle="1" w:styleId="556">
    <w:name w:val="分类"/>
    <w:basedOn w:val="1"/>
    <w:qFormat/>
    <w:uiPriority w:val="0"/>
    <w:pPr>
      <w:outlineLvl w:val="0"/>
    </w:pPr>
    <w:rPr>
      <w:kern w:val="0"/>
      <w:sz w:val="18"/>
      <w:szCs w:val="18"/>
    </w:rPr>
  </w:style>
  <w:style w:type="paragraph" w:customStyle="1" w:styleId="557">
    <w:name w:val="目录标题"/>
    <w:basedOn w:val="1"/>
    <w:qFormat/>
    <w:uiPriority w:val="0"/>
    <w:pPr>
      <w:widowControl/>
      <w:topLinePunct/>
      <w:autoSpaceDE w:val="0"/>
      <w:adjustRightInd w:val="0"/>
      <w:snapToGrid w:val="0"/>
      <w:spacing w:line="360" w:lineRule="auto"/>
      <w:ind w:left="1380" w:firstLine="676"/>
      <w:jc w:val="center"/>
    </w:pPr>
    <w:rPr>
      <w:rFonts w:ascii="宋体" w:hAnsi="宋体"/>
      <w:b/>
      <w:bCs/>
      <w:sz w:val="30"/>
      <w:szCs w:val="30"/>
    </w:rPr>
  </w:style>
  <w:style w:type="paragraph" w:customStyle="1" w:styleId="558">
    <w:name w:val="A标题3"/>
    <w:basedOn w:val="7"/>
    <w:qFormat/>
    <w:uiPriority w:val="0"/>
    <w:pPr>
      <w:keepNext w:val="0"/>
      <w:keepLines w:val="0"/>
      <w:widowControl/>
      <w:numPr>
        <w:ilvl w:val="0"/>
        <w:numId w:val="0"/>
      </w:numPr>
      <w:topLinePunct/>
      <w:autoSpaceDE w:val="0"/>
      <w:spacing w:after="0" w:line="400" w:lineRule="exact"/>
      <w:ind w:left="480" w:firstLine="563" w:firstLineChars="181"/>
      <w:jc w:val="center"/>
    </w:pPr>
    <w:rPr>
      <w:rFonts w:hAnsi="宋体" w:eastAsia="方正黑体简体"/>
      <w:bCs w:val="0"/>
      <w:snapToGrid w:val="0"/>
      <w:szCs w:val="28"/>
    </w:rPr>
  </w:style>
  <w:style w:type="paragraph" w:customStyle="1" w:styleId="559">
    <w:name w:val="ZHY正文"/>
    <w:basedOn w:val="1"/>
    <w:qFormat/>
    <w:uiPriority w:val="0"/>
    <w:pPr>
      <w:tabs>
        <w:tab w:val="left" w:pos="1890"/>
      </w:tabs>
      <w:spacing w:line="440" w:lineRule="exact"/>
      <w:ind w:firstLine="200" w:firstLineChars="200"/>
    </w:pPr>
    <w:rPr>
      <w:rFonts w:ascii="宋体"/>
      <w:bCs/>
      <w:sz w:val="24"/>
      <w:szCs w:val="20"/>
    </w:rPr>
  </w:style>
  <w:style w:type="paragraph" w:customStyle="1" w:styleId="560">
    <w:name w:val="正文缩进5"/>
    <w:basedOn w:val="520"/>
    <w:qFormat/>
    <w:uiPriority w:val="0"/>
    <w:pPr>
      <w:spacing w:line="318" w:lineRule="atLeast"/>
      <w:ind w:firstLine="420"/>
      <w:textAlignment w:val="auto"/>
    </w:pPr>
    <w:rPr>
      <w:rFonts w:hint="eastAsia" w:ascii="宋体"/>
      <w:sz w:val="24"/>
    </w:rPr>
  </w:style>
  <w:style w:type="paragraph" w:customStyle="1" w:styleId="561">
    <w:name w:val="Char1 Char Char Char"/>
    <w:basedOn w:val="1"/>
    <w:qFormat/>
    <w:uiPriority w:val="0"/>
  </w:style>
  <w:style w:type="paragraph" w:customStyle="1" w:styleId="562">
    <w:name w:val="样式 样式1 + 字距调整二号"/>
    <w:basedOn w:val="1"/>
    <w:qFormat/>
    <w:uiPriority w:val="0"/>
    <w:pPr>
      <w:suppressLineNumbers/>
      <w:tabs>
        <w:tab w:val="left" w:pos="425"/>
      </w:tabs>
      <w:suppressAutoHyphens/>
      <w:topLinePunct/>
      <w:adjustRightInd w:val="0"/>
      <w:snapToGrid w:val="0"/>
      <w:spacing w:line="360" w:lineRule="auto"/>
      <w:ind w:left="425" w:hanging="425"/>
      <w:jc w:val="left"/>
      <w:textAlignment w:val="baseline"/>
    </w:pPr>
    <w:rPr>
      <w:bCs/>
      <w:kern w:val="0"/>
      <w:sz w:val="28"/>
      <w:szCs w:val="28"/>
    </w:rPr>
  </w:style>
  <w:style w:type="paragraph" w:customStyle="1" w:styleId="563">
    <w:name w:val="xl79"/>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textAlignment w:val="center"/>
    </w:pPr>
    <w:rPr>
      <w:rFonts w:hint="eastAsia" w:ascii="楷体_GB2312" w:hAnsi="宋体" w:eastAsia="楷体_GB2312"/>
      <w:kern w:val="0"/>
      <w:sz w:val="28"/>
      <w:szCs w:val="28"/>
    </w:rPr>
  </w:style>
  <w:style w:type="paragraph" w:customStyle="1" w:styleId="564">
    <w:name w:val="font11"/>
    <w:basedOn w:val="1"/>
    <w:qFormat/>
    <w:uiPriority w:val="0"/>
    <w:pPr>
      <w:widowControl/>
      <w:spacing w:before="100" w:beforeAutospacing="1" w:after="100" w:afterAutospacing="1"/>
      <w:jc w:val="left"/>
    </w:pPr>
    <w:rPr>
      <w:rFonts w:hint="eastAsia" w:ascii="宋体" w:hAnsi="宋体"/>
      <w:b/>
      <w:bCs/>
      <w:kern w:val="0"/>
      <w:sz w:val="20"/>
      <w:szCs w:val="20"/>
    </w:rPr>
  </w:style>
  <w:style w:type="paragraph" w:customStyle="1" w:styleId="565">
    <w:name w:val="附录七级条标题"/>
    <w:next w:val="566"/>
    <w:qFormat/>
    <w:uiPriority w:val="0"/>
    <w:pPr>
      <w:spacing w:line="360" w:lineRule="auto"/>
      <w:outlineLvl w:val="8"/>
    </w:pPr>
    <w:rPr>
      <w:rFonts w:ascii="黑体" w:hAnsi="Times New Roman" w:eastAsia="黑体" w:cs="Times New Roman"/>
      <w:kern w:val="2"/>
      <w:sz w:val="21"/>
      <w:szCs w:val="24"/>
      <w:lang w:val="en-US" w:eastAsia="zh-CN" w:bidi="ar-SA"/>
    </w:rPr>
  </w:style>
  <w:style w:type="paragraph" w:customStyle="1" w:styleId="566">
    <w:name w:val="段缩进"/>
    <w:qFormat/>
    <w:uiPriority w:val="0"/>
    <w:pPr>
      <w:spacing w:line="360" w:lineRule="auto"/>
      <w:ind w:firstLine="200" w:firstLineChars="200"/>
    </w:pPr>
    <w:rPr>
      <w:rFonts w:ascii="宋体" w:hAnsi="Times New Roman" w:eastAsia="宋体" w:cs="Times New Roman"/>
      <w:kern w:val="2"/>
      <w:sz w:val="21"/>
      <w:szCs w:val="24"/>
      <w:lang w:val="en-US" w:eastAsia="zh-CN" w:bidi="ar-SA"/>
    </w:rPr>
  </w:style>
  <w:style w:type="paragraph" w:customStyle="1" w:styleId="567">
    <w:name w:val="xl77"/>
    <w:basedOn w:val="1"/>
    <w:qFormat/>
    <w:uiPriority w:val="0"/>
    <w:pPr>
      <w:widowControl/>
      <w:pBdr>
        <w:left w:val="single" w:color="auto" w:sz="4" w:space="0"/>
        <w:right w:val="single" w:color="auto" w:sz="4" w:space="0"/>
      </w:pBdr>
      <w:spacing w:before="100" w:beforeAutospacing="1" w:after="100" w:afterAutospacing="1"/>
      <w:jc w:val="center"/>
    </w:pPr>
    <w:rPr>
      <w:rFonts w:hint="eastAsia" w:ascii="楷体_GB2312" w:hAnsi="宋体" w:eastAsia="楷体_GB2312"/>
      <w:kern w:val="0"/>
      <w:sz w:val="28"/>
      <w:szCs w:val="28"/>
    </w:rPr>
  </w:style>
  <w:style w:type="paragraph" w:customStyle="1" w:styleId="568">
    <w:name w:val="正文文字缩进 3"/>
    <w:basedOn w:val="1"/>
    <w:qFormat/>
    <w:uiPriority w:val="0"/>
    <w:pPr>
      <w:widowControl/>
      <w:topLinePunct/>
      <w:autoSpaceDE w:val="0"/>
      <w:adjustRightInd w:val="0"/>
      <w:snapToGrid w:val="0"/>
      <w:spacing w:line="360" w:lineRule="auto"/>
      <w:ind w:left="480"/>
      <w:jc w:val="center"/>
    </w:pPr>
    <w:rPr>
      <w:rFonts w:ascii="宋体" w:hAnsi="宋体"/>
      <w:sz w:val="24"/>
      <w:szCs w:val="20"/>
    </w:rPr>
  </w:style>
  <w:style w:type="paragraph" w:customStyle="1" w:styleId="569">
    <w:name w:val="样式 样式 宋体 小四 行距: 1.5 倍行距 + 首行缩进:  2 字符"/>
    <w:basedOn w:val="1"/>
    <w:qFormat/>
    <w:uiPriority w:val="0"/>
    <w:pPr>
      <w:spacing w:line="360" w:lineRule="auto"/>
      <w:ind w:firstLine="560" w:firstLineChars="200"/>
    </w:pPr>
    <w:rPr>
      <w:rFonts w:ascii="宋体" w:hAnsi="宋体" w:eastAsia="楷体_GB2312"/>
      <w:kern w:val="28"/>
      <w:sz w:val="28"/>
      <w:szCs w:val="20"/>
    </w:rPr>
  </w:style>
  <w:style w:type="paragraph" w:customStyle="1" w:styleId="570">
    <w:name w:val="字元 字元 字元"/>
    <w:basedOn w:val="1"/>
    <w:semiHidden/>
    <w:qFormat/>
    <w:uiPriority w:val="0"/>
    <w:pPr>
      <w:spacing w:line="360" w:lineRule="auto"/>
      <w:ind w:firstLine="200" w:firstLineChars="200"/>
    </w:pPr>
    <w:rPr>
      <w:rFonts w:ascii="宋体" w:hAnsi="宋体" w:cs="宋体"/>
      <w:sz w:val="24"/>
      <w:szCs w:val="28"/>
    </w:rPr>
  </w:style>
  <w:style w:type="paragraph" w:customStyle="1" w:styleId="571">
    <w:name w:val="五号表格内容"/>
    <w:basedOn w:val="1"/>
    <w:qFormat/>
    <w:uiPriority w:val="0"/>
    <w:pPr>
      <w:widowControl/>
      <w:jc w:val="center"/>
    </w:pPr>
    <w:rPr>
      <w:rFonts w:eastAsia="仿宋_GB2312"/>
      <w:kern w:val="0"/>
      <w:szCs w:val="21"/>
    </w:rPr>
  </w:style>
  <w:style w:type="paragraph" w:customStyle="1" w:styleId="572">
    <w:name w:val="xl40"/>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kern w:val="0"/>
      <w:szCs w:val="21"/>
    </w:rPr>
  </w:style>
  <w:style w:type="paragraph" w:customStyle="1" w:styleId="573">
    <w:name w:val="标题 5 + 黑体 四号 首行缩进:  0 厘米 段前: 0.5 行 段后: 0.5 行 行距: 固定值 22 磅"/>
    <w:basedOn w:val="9"/>
    <w:qFormat/>
    <w:uiPriority w:val="0"/>
    <w:pPr>
      <w:numPr>
        <w:ilvl w:val="4"/>
        <w:numId w:val="0"/>
      </w:numPr>
      <w:tabs>
        <w:tab w:val="clear" w:pos="1008"/>
      </w:tabs>
      <w:autoSpaceDE/>
      <w:autoSpaceDN/>
      <w:spacing w:before="0" w:beforeLines="50" w:after="0" w:afterLines="50" w:line="440" w:lineRule="exact"/>
      <w:ind w:left="153"/>
      <w:textAlignment w:val="auto"/>
    </w:pPr>
    <w:rPr>
      <w:rFonts w:ascii="黑体" w:eastAsia="黑体" w:cs="宋体"/>
      <w:b w:val="0"/>
      <w:color w:val="auto"/>
      <w:kern w:val="2"/>
      <w:sz w:val="28"/>
    </w:rPr>
  </w:style>
  <w:style w:type="paragraph" w:customStyle="1" w:styleId="574">
    <w:name w:val="xl4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eastAsia="Arial Unicode MS"/>
      <w:kern w:val="0"/>
      <w:sz w:val="24"/>
    </w:rPr>
  </w:style>
  <w:style w:type="paragraph" w:customStyle="1" w:styleId="575">
    <w:name w:val="样式 标题3 + 段前: 0.25 行 段后: 0.25 行"/>
    <w:basedOn w:val="7"/>
    <w:qFormat/>
    <w:uiPriority w:val="0"/>
    <w:pPr>
      <w:keepNext w:val="0"/>
      <w:numPr>
        <w:ilvl w:val="0"/>
        <w:numId w:val="0"/>
      </w:numPr>
      <w:suppressLineNumbers/>
      <w:tabs>
        <w:tab w:val="left" w:pos="0"/>
      </w:tabs>
      <w:suppressAutoHyphens/>
      <w:topLinePunct/>
      <w:adjustRightInd w:val="0"/>
      <w:snapToGrid w:val="0"/>
      <w:spacing w:before="95" w:beforeLines="25" w:after="95" w:afterLines="25" w:line="360" w:lineRule="auto"/>
      <w:ind w:hanging="20" w:firstLineChars="186"/>
      <w:textAlignment w:val="baseline"/>
    </w:pPr>
    <w:rPr>
      <w:rFonts w:ascii="宋体" w:hAnsi="宋体" w:eastAsia="宋体"/>
      <w:snapToGrid w:val="0"/>
      <w:kern w:val="0"/>
      <w:szCs w:val="28"/>
    </w:rPr>
  </w:style>
  <w:style w:type="paragraph" w:customStyle="1" w:styleId="576">
    <w:name w:val="reader-word-layer reader-word-s4-14"/>
    <w:basedOn w:val="1"/>
    <w:qFormat/>
    <w:uiPriority w:val="0"/>
    <w:pPr>
      <w:widowControl/>
      <w:spacing w:before="100" w:beforeAutospacing="1" w:after="100" w:afterAutospacing="1"/>
      <w:jc w:val="left"/>
    </w:pPr>
    <w:rPr>
      <w:rFonts w:ascii="宋体" w:hAnsi="宋体" w:cs="宋体"/>
      <w:kern w:val="0"/>
      <w:sz w:val="24"/>
    </w:rPr>
  </w:style>
  <w:style w:type="paragraph" w:customStyle="1" w:styleId="577">
    <w:name w:val="样式 Arial 居中"/>
    <w:basedOn w:val="1"/>
    <w:qFormat/>
    <w:uiPriority w:val="0"/>
    <w:pPr>
      <w:spacing w:line="300" w:lineRule="auto"/>
      <w:jc w:val="center"/>
    </w:pPr>
    <w:rPr>
      <w:rFonts w:ascii="Arial" w:hAnsi="Arial" w:cs="宋体"/>
      <w:szCs w:val="20"/>
    </w:rPr>
  </w:style>
  <w:style w:type="paragraph" w:customStyle="1" w:styleId="578">
    <w:name w:val="couv"/>
    <w:basedOn w:val="1"/>
    <w:qFormat/>
    <w:uiPriority w:val="0"/>
    <w:pPr>
      <w:widowControl/>
      <w:spacing w:before="120" w:after="120"/>
      <w:ind w:firstLine="200" w:firstLineChars="200"/>
      <w:jc w:val="center"/>
    </w:pPr>
    <w:rPr>
      <w:b/>
      <w:kern w:val="0"/>
      <w:sz w:val="40"/>
      <w:szCs w:val="20"/>
      <w:lang w:val="en-GB"/>
    </w:rPr>
  </w:style>
  <w:style w:type="paragraph" w:customStyle="1" w:styleId="579">
    <w:name w:val="样式 样式 标题 4段H4h4 sub sub heading段标题1.1.1.1标题 4.1.1.1.1标题 4 Ch... ..."/>
    <w:basedOn w:val="580"/>
    <w:qFormat/>
    <w:uiPriority w:val="0"/>
    <w:pPr/>
    <w:rPr>
      <w:bCs/>
      <w:szCs w:val="20"/>
    </w:rPr>
  </w:style>
  <w:style w:type="paragraph" w:customStyle="1" w:styleId="580">
    <w:name w:val="样式 标题 4段H4h4 sub sub heading段标题1.1.1.1标题 4.1.1.1.1标题 4 Ch..."/>
    <w:basedOn w:val="8"/>
    <w:qFormat/>
    <w:uiPriority w:val="0"/>
    <w:pPr>
      <w:widowControl/>
      <w:numPr>
        <w:ilvl w:val="0"/>
        <w:numId w:val="0"/>
      </w:numPr>
      <w:tabs>
        <w:tab w:val="clear" w:pos="864"/>
      </w:tabs>
      <w:spacing w:before="120" w:line="440" w:lineRule="exact"/>
    </w:pPr>
    <w:rPr>
      <w:rFonts w:eastAsia="宋体" w:cs="宋体"/>
      <w:bCs w:val="0"/>
      <w:kern w:val="0"/>
      <w:sz w:val="24"/>
      <w:szCs w:val="24"/>
    </w:rPr>
  </w:style>
  <w:style w:type="paragraph" w:customStyle="1" w:styleId="581">
    <w:name w:val="CM3"/>
    <w:basedOn w:val="148"/>
    <w:next w:val="148"/>
    <w:qFormat/>
    <w:uiPriority w:val="0"/>
    <w:pPr>
      <w:spacing w:line="468" w:lineRule="atLeast"/>
    </w:pPr>
    <w:rPr>
      <w:rFonts w:ascii="黑体" w:eastAsia="黑体"/>
      <w:color w:val="auto"/>
    </w:rPr>
  </w:style>
  <w:style w:type="paragraph" w:customStyle="1" w:styleId="582">
    <w:name w:val="xl9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583">
    <w:name w:val="xl44"/>
    <w:basedOn w:val="1"/>
    <w:qFormat/>
    <w:uiPriority w:val="0"/>
    <w:pPr>
      <w:widowControl/>
      <w:pBdr>
        <w:right w:val="single" w:color="auto" w:sz="4" w:space="0"/>
      </w:pBdr>
      <w:spacing w:before="100" w:beforeAutospacing="1" w:after="100" w:afterAutospacing="1"/>
      <w:jc w:val="center"/>
      <w:textAlignment w:val="center"/>
    </w:pPr>
    <w:rPr>
      <w:rFonts w:eastAsia="Arial Unicode MS"/>
      <w:kern w:val="0"/>
      <w:szCs w:val="21"/>
    </w:rPr>
  </w:style>
  <w:style w:type="paragraph" w:customStyle="1" w:styleId="584">
    <w:name w:val="tableinner"/>
    <w:basedOn w:val="1"/>
    <w:next w:val="1"/>
    <w:qFormat/>
    <w:uiPriority w:val="0"/>
    <w:pPr>
      <w:adjustRightInd w:val="0"/>
      <w:spacing w:line="300" w:lineRule="auto"/>
    </w:pPr>
    <w:rPr>
      <w:sz w:val="18"/>
      <w:szCs w:val="18"/>
    </w:rPr>
  </w:style>
  <w:style w:type="paragraph" w:customStyle="1" w:styleId="585">
    <w:name w:val="样式 样式 正文文字-1 + 首行缩进:  2.1 字符1 + 首行缩进:  2.1 字符"/>
    <w:basedOn w:val="586"/>
    <w:qFormat/>
    <w:uiPriority w:val="0"/>
    <w:pPr>
      <w:spacing w:line="400" w:lineRule="exact"/>
    </w:pPr>
  </w:style>
  <w:style w:type="paragraph" w:customStyle="1" w:styleId="586">
    <w:name w:val="样式 正文文字-1 + 首行缩进:  2.1 字符1"/>
    <w:qFormat/>
    <w:uiPriority w:val="0"/>
    <w:pPr>
      <w:spacing w:line="440" w:lineRule="exact"/>
      <w:ind w:firstLine="210"/>
    </w:pPr>
    <w:rPr>
      <w:rFonts w:ascii="Times New Roman" w:hAnsi="Times New Roman" w:eastAsia="宋体" w:cs="宋体"/>
      <w:kern w:val="2"/>
      <w:sz w:val="24"/>
      <w:szCs w:val="24"/>
      <w:lang w:val="en-US" w:eastAsia="zh-CN" w:bidi="ar-SA"/>
    </w:rPr>
  </w:style>
  <w:style w:type="paragraph" w:customStyle="1" w:styleId="587">
    <w:name w:val="xl15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00"/>
      <w:kern w:val="0"/>
      <w:sz w:val="16"/>
      <w:szCs w:val="16"/>
    </w:rPr>
  </w:style>
  <w:style w:type="paragraph" w:customStyle="1" w:styleId="588">
    <w:name w:val="xl38"/>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eastAsia="Arial Unicode MS"/>
      <w:kern w:val="0"/>
      <w:szCs w:val="21"/>
    </w:rPr>
  </w:style>
  <w:style w:type="paragraph" w:customStyle="1" w:styleId="589">
    <w:name w:val="表名"/>
    <w:basedOn w:val="1"/>
    <w:qFormat/>
    <w:uiPriority w:val="0"/>
    <w:pPr>
      <w:overflowPunct w:val="0"/>
      <w:spacing w:before="120"/>
      <w:textAlignment w:val="baseline"/>
    </w:pPr>
    <w:rPr>
      <w:rFonts w:ascii="Arial" w:hAnsi="Arial" w:eastAsia="黑体"/>
      <w:sz w:val="24"/>
      <w:szCs w:val="20"/>
    </w:rPr>
  </w:style>
  <w:style w:type="paragraph" w:customStyle="1" w:styleId="590">
    <w:name w:val="xl73"/>
    <w:basedOn w:val="1"/>
    <w:qFormat/>
    <w:uiPriority w:val="0"/>
    <w:pPr>
      <w:widowControl/>
      <w:pBdr>
        <w:left w:val="single" w:color="auto" w:sz="4" w:space="0"/>
        <w:right w:val="single" w:color="auto" w:sz="4" w:space="0"/>
      </w:pBdr>
      <w:spacing w:before="100" w:beforeAutospacing="1" w:after="100" w:afterAutospacing="1"/>
      <w:jc w:val="left"/>
      <w:textAlignment w:val="center"/>
    </w:pPr>
    <w:rPr>
      <w:rFonts w:hint="eastAsia" w:ascii="楷体_GB2312" w:hAnsi="宋体" w:eastAsia="楷体_GB2312"/>
      <w:kern w:val="0"/>
      <w:sz w:val="28"/>
      <w:szCs w:val="28"/>
    </w:rPr>
  </w:style>
  <w:style w:type="paragraph" w:customStyle="1" w:styleId="591">
    <w:name w:val="reader-word-layer reader-word-s1-18"/>
    <w:basedOn w:val="1"/>
    <w:qFormat/>
    <w:uiPriority w:val="0"/>
    <w:pPr>
      <w:widowControl/>
      <w:spacing w:before="100" w:beforeAutospacing="1" w:after="100" w:afterAutospacing="1"/>
      <w:jc w:val="left"/>
    </w:pPr>
    <w:rPr>
      <w:rFonts w:ascii="宋体" w:hAnsi="宋体" w:cs="宋体"/>
      <w:kern w:val="0"/>
      <w:sz w:val="24"/>
    </w:rPr>
  </w:style>
  <w:style w:type="paragraph" w:customStyle="1" w:styleId="592">
    <w:name w:val="xl149"/>
    <w:basedOn w:val="1"/>
    <w:qFormat/>
    <w:uiPriority w:val="0"/>
    <w:pPr>
      <w:widowControl/>
      <w:pBdr>
        <w:top w:val="single" w:color="auto" w:sz="4" w:space="0"/>
        <w:left w:val="single" w:color="auto" w:sz="4" w:space="0"/>
        <w:bottom w:val="single" w:color="auto" w:sz="12" w:space="0"/>
        <w:right w:val="single" w:color="auto" w:sz="12" w:space="0"/>
      </w:pBdr>
      <w:spacing w:before="100" w:beforeAutospacing="1" w:after="100" w:afterAutospacing="1"/>
      <w:jc w:val="center"/>
      <w:textAlignment w:val="center"/>
    </w:pPr>
    <w:rPr>
      <w:rFonts w:hint="eastAsia" w:ascii="楷体_GB2312" w:hAnsi="Arial Unicode MS" w:eastAsia="楷体_GB2312" w:cs="TimesNewRomanPSMT"/>
      <w:i/>
      <w:iCs/>
      <w:kern w:val="0"/>
      <w:sz w:val="16"/>
      <w:szCs w:val="16"/>
    </w:rPr>
  </w:style>
  <w:style w:type="paragraph" w:customStyle="1" w:styleId="593">
    <w:name w:val="xl1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594">
    <w:name w:val="Char Char Char Char"/>
    <w:basedOn w:val="1"/>
    <w:qFormat/>
    <w:uiPriority w:val="0"/>
    <w:rPr>
      <w:szCs w:val="21"/>
    </w:rPr>
  </w:style>
  <w:style w:type="paragraph" w:customStyle="1" w:styleId="595">
    <w:name w:val="xl4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kern w:val="0"/>
      <w:szCs w:val="21"/>
    </w:rPr>
  </w:style>
  <w:style w:type="paragraph" w:customStyle="1" w:styleId="596">
    <w:name w:val="t表格文字右齐"/>
    <w:basedOn w:val="1"/>
    <w:qFormat/>
    <w:uiPriority w:val="0"/>
    <w:pPr>
      <w:widowControl/>
      <w:overflowPunct w:val="0"/>
      <w:topLinePunct/>
      <w:autoSpaceDE w:val="0"/>
      <w:adjustRightInd w:val="0"/>
      <w:ind w:left="480"/>
      <w:jc w:val="right"/>
      <w:textAlignment w:val="center"/>
    </w:pPr>
    <w:rPr>
      <w:rFonts w:ascii="宋体" w:hAnsi="宋体" w:eastAsia="仿宋_GB2312"/>
      <w:kern w:val="0"/>
      <w:szCs w:val="20"/>
    </w:rPr>
  </w:style>
  <w:style w:type="paragraph" w:customStyle="1" w:styleId="597">
    <w:name w:val="正文文字缩进 32"/>
    <w:basedOn w:val="1"/>
    <w:qFormat/>
    <w:uiPriority w:val="0"/>
    <w:pPr>
      <w:widowControl/>
      <w:topLinePunct/>
      <w:autoSpaceDE w:val="0"/>
      <w:adjustRightInd w:val="0"/>
      <w:snapToGrid w:val="0"/>
      <w:spacing w:after="120" w:line="360" w:lineRule="auto"/>
      <w:ind w:left="420" w:leftChars="200"/>
      <w:jc w:val="center"/>
    </w:pPr>
    <w:rPr>
      <w:rFonts w:ascii="宋体" w:hAnsi="宋体"/>
      <w:sz w:val="16"/>
      <w:szCs w:val="16"/>
    </w:rPr>
  </w:style>
  <w:style w:type="paragraph" w:customStyle="1" w:styleId="598">
    <w:name w:val="b"/>
    <w:basedOn w:val="1"/>
    <w:qFormat/>
    <w:uiPriority w:val="0"/>
    <w:pPr>
      <w:spacing w:line="440" w:lineRule="exact"/>
      <w:jc w:val="center"/>
    </w:pPr>
    <w:rPr>
      <w:rFonts w:ascii="宋体" w:hAnsi="宋体"/>
      <w:sz w:val="24"/>
      <w:szCs w:val="20"/>
    </w:rPr>
  </w:style>
  <w:style w:type="paragraph" w:customStyle="1" w:styleId="599">
    <w:name w:val="Bullet1(square)"/>
    <w:basedOn w:val="600"/>
    <w:qFormat/>
    <w:uiPriority w:val="0"/>
    <w:pPr>
      <w:spacing w:line="240" w:lineRule="auto"/>
      <w:ind w:left="1418" w:hanging="284"/>
    </w:pPr>
  </w:style>
  <w:style w:type="paragraph" w:customStyle="1" w:styleId="600">
    <w:name w:val="Indent1"/>
    <w:basedOn w:val="1"/>
    <w:qFormat/>
    <w:uiPriority w:val="0"/>
    <w:pPr>
      <w:widowControl/>
      <w:spacing w:before="120" w:line="360" w:lineRule="auto"/>
      <w:ind w:left="1134" w:right="284"/>
    </w:pPr>
    <w:rPr>
      <w:color w:val="000000"/>
      <w:kern w:val="0"/>
      <w:sz w:val="22"/>
      <w:szCs w:val="20"/>
      <w:lang w:val="en-GB" w:eastAsia="en-US"/>
    </w:rPr>
  </w:style>
  <w:style w:type="paragraph" w:customStyle="1" w:styleId="601">
    <w:name w:val="样式 Times New Roman 五号 居中"/>
    <w:basedOn w:val="1"/>
    <w:qFormat/>
    <w:uiPriority w:val="0"/>
    <w:pPr>
      <w:jc w:val="center"/>
    </w:pPr>
    <w:rPr>
      <w:rFonts w:ascii="Times New Roman" w:cs="宋体"/>
      <w:kern w:val="2"/>
      <w:sz w:val="21"/>
    </w:rPr>
  </w:style>
  <w:style w:type="paragraph" w:customStyle="1" w:styleId="602">
    <w:name w:val="xl10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603">
    <w:name w:val="reader-word-layer reader-word-s4-15"/>
    <w:basedOn w:val="1"/>
    <w:qFormat/>
    <w:uiPriority w:val="0"/>
    <w:pPr>
      <w:widowControl/>
      <w:spacing w:before="100" w:beforeAutospacing="1" w:after="100" w:afterAutospacing="1"/>
      <w:jc w:val="left"/>
    </w:pPr>
    <w:rPr>
      <w:rFonts w:ascii="宋体" w:hAnsi="宋体" w:cs="宋体"/>
      <w:kern w:val="0"/>
      <w:sz w:val="24"/>
    </w:rPr>
  </w:style>
  <w:style w:type="paragraph" w:customStyle="1" w:styleId="604">
    <w:name w:val="16"/>
    <w:basedOn w:val="1"/>
    <w:next w:val="72"/>
    <w:qFormat/>
    <w:uiPriority w:val="0"/>
    <w:pPr>
      <w:widowControl/>
      <w:topLinePunct/>
      <w:ind w:left="480"/>
      <w:jc w:val="center"/>
    </w:pPr>
    <w:rPr>
      <w:rFonts w:ascii="宋体" w:hAnsi="宋体"/>
      <w:sz w:val="24"/>
      <w:szCs w:val="20"/>
    </w:rPr>
  </w:style>
  <w:style w:type="paragraph" w:customStyle="1" w:styleId="605">
    <w:name w:val="表格内容"/>
    <w:basedOn w:val="22"/>
    <w:qFormat/>
    <w:uiPriority w:val="0"/>
    <w:pPr>
      <w:jc w:val="center"/>
    </w:pPr>
    <w:rPr>
      <w:rFonts w:ascii="宋体" w:hAnsi="宋体"/>
      <w:sz w:val="18"/>
      <w:szCs w:val="18"/>
    </w:rPr>
  </w:style>
  <w:style w:type="paragraph" w:customStyle="1" w:styleId="606">
    <w:name w:val="标题 11"/>
    <w:basedOn w:val="1"/>
    <w:next w:val="1"/>
    <w:qFormat/>
    <w:uiPriority w:val="0"/>
    <w:pPr>
      <w:keepNext/>
      <w:keepLines/>
      <w:spacing w:beforeLines="100" w:afterLines="100" w:line="360" w:lineRule="auto"/>
      <w:outlineLvl w:val="0"/>
    </w:pPr>
    <w:rPr>
      <w:rFonts w:hint="eastAsia" w:ascii="宋体" w:hAnsi="宋体"/>
      <w:b/>
      <w:color w:val="FF0000"/>
      <w:kern w:val="0"/>
      <w:sz w:val="36"/>
      <w:szCs w:val="20"/>
    </w:rPr>
  </w:style>
  <w:style w:type="paragraph" w:customStyle="1" w:styleId="607">
    <w:name w:val="reader-word-layer reader-word-s4-7"/>
    <w:basedOn w:val="1"/>
    <w:qFormat/>
    <w:uiPriority w:val="0"/>
    <w:pPr>
      <w:widowControl/>
      <w:spacing w:before="100" w:beforeAutospacing="1" w:after="100" w:afterAutospacing="1"/>
      <w:jc w:val="left"/>
    </w:pPr>
    <w:rPr>
      <w:rFonts w:ascii="宋体" w:hAnsi="宋体" w:cs="宋体"/>
      <w:kern w:val="0"/>
      <w:sz w:val="24"/>
    </w:rPr>
  </w:style>
  <w:style w:type="paragraph" w:customStyle="1" w:styleId="608">
    <w:name w:val="contentarticle"/>
    <w:basedOn w:val="1"/>
    <w:qFormat/>
    <w:uiPriority w:val="0"/>
    <w:pPr>
      <w:spacing w:before="0" w:beforeAutospacing="0" w:after="0" w:afterAutospacing="0"/>
      <w:ind w:left="0" w:right="0"/>
      <w:jc w:val="left"/>
    </w:pPr>
    <w:rPr>
      <w:rFonts w:hint="default" w:ascii="Calibri" w:hAnsi="Calibri" w:cs="Calibri"/>
      <w:kern w:val="0"/>
      <w:sz w:val="21"/>
      <w:szCs w:val="21"/>
      <w:lang w:val="en-US" w:eastAsia="zh-CN" w:bidi="ar"/>
    </w:rPr>
  </w:style>
  <w:style w:type="paragraph" w:customStyle="1" w:styleId="609">
    <w:name w:val=" Char11 Char Char Char"/>
    <w:basedOn w:val="1"/>
    <w:qFormat/>
    <w:uiPriority w:val="0"/>
    <w:pPr>
      <w:spacing w:line="360" w:lineRule="auto"/>
      <w:ind w:firstLine="200" w:firstLineChars="200"/>
    </w:pPr>
    <w:rPr>
      <w:rFonts w:hint="eastAsia"/>
    </w:rPr>
  </w:style>
  <w:style w:type="paragraph" w:customStyle="1" w:styleId="610">
    <w:name w:val="正文文字缩进 2"/>
    <w:basedOn w:val="1"/>
    <w:qFormat/>
    <w:uiPriority w:val="0"/>
    <w:pPr>
      <w:widowControl/>
      <w:topLinePunct/>
      <w:autoSpaceDE w:val="0"/>
      <w:adjustRightInd w:val="0"/>
      <w:snapToGrid w:val="0"/>
      <w:spacing w:line="360" w:lineRule="auto"/>
      <w:ind w:left="480"/>
      <w:jc w:val="center"/>
    </w:pPr>
    <w:rPr>
      <w:rFonts w:ascii="宋体" w:hAnsi="宋体"/>
      <w:sz w:val="24"/>
      <w:szCs w:val="20"/>
    </w:rPr>
  </w:style>
  <w:style w:type="paragraph" w:customStyle="1" w:styleId="611">
    <w:name w:val="回信地址"/>
    <w:qFormat/>
    <w:uiPriority w:val="0"/>
    <w:pPr>
      <w:framePr w:w="8640" w:wrap="notBeside" w:vAnchor="page" w:hAnchor="page" w:x="1729" w:y="14401" w:anchorLock="1"/>
      <w:tabs>
        <w:tab w:val="left" w:pos="2160"/>
      </w:tabs>
      <w:spacing w:line="240" w:lineRule="atLeast"/>
      <w:ind w:right="-240"/>
      <w:jc w:val="center"/>
    </w:pPr>
    <w:rPr>
      <w:rFonts w:ascii="Garamond" w:hAnsi="Garamond" w:eastAsia="宋体" w:cs="Times New Roman"/>
      <w:caps/>
      <w:spacing w:val="30"/>
      <w:kern w:val="2"/>
      <w:sz w:val="15"/>
      <w:szCs w:val="24"/>
      <w:lang w:val="en-US" w:eastAsia="zh-CN" w:bidi="ar-SA"/>
    </w:rPr>
  </w:style>
  <w:style w:type="paragraph" w:customStyle="1" w:styleId="612">
    <w:name w:val="reader-word-layer reader-word-s1-3"/>
    <w:basedOn w:val="1"/>
    <w:qFormat/>
    <w:uiPriority w:val="0"/>
    <w:pPr>
      <w:widowControl/>
      <w:spacing w:before="100" w:beforeAutospacing="1" w:after="100" w:afterAutospacing="1"/>
      <w:jc w:val="left"/>
    </w:pPr>
    <w:rPr>
      <w:rFonts w:ascii="宋体" w:hAnsi="宋体" w:cs="宋体"/>
      <w:kern w:val="0"/>
      <w:sz w:val="24"/>
    </w:rPr>
  </w:style>
  <w:style w:type="paragraph" w:customStyle="1" w:styleId="613">
    <w:name w:val="正文文本2"/>
    <w:basedOn w:val="1"/>
    <w:qFormat/>
    <w:uiPriority w:val="0"/>
    <w:pPr>
      <w:spacing w:line="360" w:lineRule="auto"/>
      <w:ind w:firstLine="480" w:firstLineChars="200"/>
    </w:pPr>
    <w:rPr>
      <w:rFonts w:ascii="宋体" w:cs="宋体"/>
      <w:sz w:val="24"/>
      <w:szCs w:val="20"/>
    </w:rPr>
  </w:style>
  <w:style w:type="paragraph" w:customStyle="1" w:styleId="614">
    <w:name w:val="样式 标题 5"/>
    <w:basedOn w:val="9"/>
    <w:qFormat/>
    <w:uiPriority w:val="0"/>
    <w:pPr>
      <w:numPr>
        <w:ilvl w:val="0"/>
        <w:numId w:val="0"/>
      </w:numPr>
      <w:tabs>
        <w:tab w:val="clear" w:pos="1008"/>
      </w:tabs>
      <w:autoSpaceDE/>
      <w:autoSpaceDN/>
      <w:snapToGrid w:val="0"/>
      <w:spacing w:before="0" w:after="0" w:line="440" w:lineRule="exact"/>
      <w:ind w:firstLine="482" w:firstLineChars="200"/>
      <w:jc w:val="left"/>
      <w:textAlignment w:val="auto"/>
    </w:pPr>
    <w:rPr>
      <w:rFonts w:cs="宋体"/>
      <w:b w:val="0"/>
      <w:bCs/>
      <w:color w:val="auto"/>
      <w:kern w:val="2"/>
    </w:rPr>
  </w:style>
  <w:style w:type="paragraph" w:customStyle="1" w:styleId="615">
    <w:name w:val="xl27"/>
    <w:basedOn w:val="1"/>
    <w:qFormat/>
    <w:uiPriority w:val="0"/>
    <w:pPr>
      <w:widowControl/>
      <w:pBdr>
        <w:top w:val="single" w:color="auto" w:sz="8" w:space="0"/>
        <w:left w:val="single" w:color="auto" w:sz="8" w:space="0"/>
        <w:right w:val="single" w:color="auto" w:sz="8" w:space="0"/>
      </w:pBdr>
      <w:spacing w:before="100" w:beforeAutospacing="1" w:after="100" w:afterAutospacing="1"/>
      <w:jc w:val="center"/>
      <w:textAlignment w:val="center"/>
    </w:pPr>
    <w:rPr>
      <w:rFonts w:ascii="Arial Unicode MS" w:hAnsi="Arial Unicode MS" w:eastAsia="Arial Unicode MS"/>
      <w:kern w:val="0"/>
      <w:sz w:val="22"/>
      <w:szCs w:val="22"/>
    </w:rPr>
  </w:style>
  <w:style w:type="paragraph" w:customStyle="1" w:styleId="616">
    <w:name w:val="摘要"/>
    <w:qFormat/>
    <w:uiPriority w:val="0"/>
    <w:pPr>
      <w:spacing w:line="500" w:lineRule="atLeast"/>
      <w:jc w:val="center"/>
    </w:pPr>
    <w:rPr>
      <w:rFonts w:ascii="Times New Roman" w:hAnsi="Times New Roman" w:eastAsia="黑体" w:cs="Times New Roman"/>
      <w:kern w:val="2"/>
      <w:sz w:val="21"/>
      <w:szCs w:val="21"/>
      <w:lang w:val="en-US" w:eastAsia="zh-CN" w:bidi="ar-SA"/>
    </w:rPr>
  </w:style>
  <w:style w:type="paragraph" w:customStyle="1" w:styleId="617">
    <w:name w:val="表、图名"/>
    <w:basedOn w:val="1"/>
    <w:qFormat/>
    <w:uiPriority w:val="0"/>
    <w:pPr>
      <w:adjustRightInd w:val="0"/>
      <w:snapToGrid w:val="0"/>
      <w:spacing w:beforeLines="50"/>
      <w:ind w:left="-6"/>
      <w:jc w:val="center"/>
    </w:pPr>
    <w:rPr>
      <w:rFonts w:ascii="Times New Roman" w:eastAsia="黑体"/>
      <w:kern w:val="2"/>
      <w:sz w:val="21"/>
      <w:szCs w:val="21"/>
    </w:rPr>
  </w:style>
  <w:style w:type="paragraph" w:customStyle="1" w:styleId="618">
    <w:name w:val="表文小四"/>
    <w:basedOn w:val="1"/>
    <w:qFormat/>
    <w:uiPriority w:val="0"/>
    <w:pPr>
      <w:adjustRightInd w:val="0"/>
      <w:jc w:val="center"/>
      <w:textAlignment w:val="baseline"/>
    </w:pPr>
    <w:rPr>
      <w:kern w:val="0"/>
      <w:sz w:val="24"/>
      <w:szCs w:val="20"/>
    </w:rPr>
  </w:style>
  <w:style w:type="paragraph" w:customStyle="1" w:styleId="619">
    <w:name w:val="I目录1级"/>
    <w:basedOn w:val="1"/>
    <w:next w:val="1"/>
    <w:qFormat/>
    <w:uiPriority w:val="0"/>
    <w:pPr>
      <w:widowControl/>
      <w:tabs>
        <w:tab w:val="right" w:leader="dot" w:pos="8800"/>
      </w:tabs>
      <w:overflowPunct w:val="0"/>
      <w:autoSpaceDE w:val="0"/>
      <w:autoSpaceDN w:val="0"/>
      <w:adjustRightInd w:val="0"/>
      <w:spacing w:before="156" w:beforeLines="50" w:after="156" w:afterLines="50"/>
      <w:textAlignment w:val="center"/>
    </w:pPr>
    <w:rPr>
      <w:rFonts w:ascii="仿宋_GB2312" w:eastAsia="仿宋_GB2312"/>
      <w:b/>
      <w:kern w:val="0"/>
      <w:sz w:val="24"/>
      <w:szCs w:val="20"/>
    </w:rPr>
  </w:style>
  <w:style w:type="paragraph" w:customStyle="1" w:styleId="620">
    <w:name w:val="样式8"/>
    <w:basedOn w:val="573"/>
    <w:qFormat/>
    <w:uiPriority w:val="0"/>
    <w:pPr>
      <w:numPr>
        <w:ilvl w:val="0"/>
        <w:numId w:val="0"/>
      </w:numPr>
      <w:tabs>
        <w:tab w:val="left" w:pos="1992"/>
      </w:tabs>
      <w:spacing w:before="240" w:line="360" w:lineRule="auto"/>
      <w:ind w:left="1992"/>
    </w:pPr>
    <w:rPr>
      <w:rFonts w:ascii="宋体" w:hAnsi="宋体"/>
      <w:b/>
      <w:bCs/>
      <w:sz w:val="24"/>
    </w:rPr>
  </w:style>
  <w:style w:type="paragraph" w:customStyle="1" w:styleId="621">
    <w:name w:val="文-5"/>
    <w:basedOn w:val="1"/>
    <w:qFormat/>
    <w:uiPriority w:val="0"/>
    <w:pPr>
      <w:tabs>
        <w:tab w:val="right" w:leader="dot" w:pos="8789"/>
      </w:tabs>
      <w:spacing w:before="120"/>
      <w:ind w:left="1276" w:firstLine="482"/>
    </w:pPr>
    <w:rPr>
      <w:sz w:val="24"/>
      <w:szCs w:val="20"/>
    </w:rPr>
  </w:style>
  <w:style w:type="paragraph" w:customStyle="1" w:styleId="622">
    <w:name w:val="_Style 614"/>
    <w:basedOn w:val="5"/>
    <w:next w:val="1"/>
    <w:qFormat/>
    <w:uiPriority w:val="0"/>
    <w:pPr>
      <w:keepLines w:val="0"/>
      <w:widowControl/>
      <w:spacing w:before="0" w:beforeLines="150" w:after="0" w:afterLines="150" w:line="276" w:lineRule="auto"/>
      <w:jc w:val="left"/>
      <w:outlineLvl w:val="9"/>
    </w:pPr>
    <w:rPr>
      <w:rFonts w:ascii="方正粗圆简体" w:eastAsia="方正粗圆简体"/>
      <w:color w:val="365F91"/>
      <w:kern w:val="0"/>
      <w:sz w:val="28"/>
      <w:szCs w:val="28"/>
    </w:rPr>
  </w:style>
  <w:style w:type="paragraph" w:customStyle="1" w:styleId="623">
    <w:name w:val="CM17"/>
    <w:basedOn w:val="148"/>
    <w:next w:val="148"/>
    <w:qFormat/>
    <w:uiPriority w:val="0"/>
    <w:pPr>
      <w:spacing w:line="636" w:lineRule="atLeast"/>
    </w:pPr>
    <w:rPr>
      <w:rFonts w:ascii="黑体" w:eastAsia="黑体"/>
      <w:color w:val="auto"/>
      <w:szCs w:val="20"/>
    </w:rPr>
  </w:style>
  <w:style w:type="paragraph" w:customStyle="1" w:styleId="624">
    <w:name w:val="默认段落字体 Para Char"/>
    <w:basedOn w:val="1"/>
    <w:qFormat/>
    <w:uiPriority w:val="0"/>
    <w:pPr>
      <w:spacing w:line="360" w:lineRule="auto"/>
      <w:ind w:firstLine="200" w:firstLineChars="200"/>
    </w:pPr>
    <w:rPr>
      <w:rFonts w:ascii="宋体" w:hAnsi="宋体" w:cs="宋体"/>
      <w:sz w:val="24"/>
    </w:rPr>
  </w:style>
  <w:style w:type="paragraph" w:customStyle="1" w:styleId="625">
    <w:name w:val="reader-word-layer reader-word-s4-11"/>
    <w:basedOn w:val="1"/>
    <w:qFormat/>
    <w:uiPriority w:val="0"/>
    <w:pPr>
      <w:widowControl/>
      <w:spacing w:before="100" w:beforeAutospacing="1" w:after="100" w:afterAutospacing="1"/>
      <w:jc w:val="left"/>
    </w:pPr>
    <w:rPr>
      <w:rFonts w:ascii="宋体" w:hAnsi="宋体" w:cs="宋体"/>
      <w:kern w:val="0"/>
      <w:sz w:val="24"/>
    </w:rPr>
  </w:style>
  <w:style w:type="paragraph" w:customStyle="1" w:styleId="626">
    <w:name w:val="标题5 Char"/>
    <w:basedOn w:val="9"/>
    <w:qFormat/>
    <w:uiPriority w:val="0"/>
    <w:pPr>
      <w:widowControl/>
      <w:numPr>
        <w:ilvl w:val="0"/>
        <w:numId w:val="0"/>
      </w:numPr>
      <w:tabs>
        <w:tab w:val="clear" w:pos="1008"/>
      </w:tabs>
      <w:topLinePunct/>
      <w:autoSpaceDN/>
      <w:snapToGrid w:val="0"/>
      <w:spacing w:before="0" w:after="0" w:line="377" w:lineRule="auto"/>
      <w:ind w:left="480"/>
      <w:jc w:val="center"/>
      <w:textAlignment w:val="auto"/>
    </w:pPr>
    <w:rPr>
      <w:rFonts w:ascii="宋体" w:hAnsi="宋体"/>
      <w:bCs/>
      <w:color w:val="auto"/>
      <w:kern w:val="2"/>
      <w:sz w:val="28"/>
      <w:szCs w:val="28"/>
    </w:rPr>
  </w:style>
  <w:style w:type="paragraph" w:customStyle="1" w:styleId="627">
    <w:name w:val="CM8"/>
    <w:basedOn w:val="148"/>
    <w:next w:val="148"/>
    <w:qFormat/>
    <w:uiPriority w:val="0"/>
    <w:pPr>
      <w:spacing w:after="300"/>
    </w:pPr>
    <w:rPr>
      <w:rFonts w:ascii="黑体" w:eastAsia="黑体"/>
      <w:color w:val="auto"/>
    </w:rPr>
  </w:style>
  <w:style w:type="paragraph" w:customStyle="1" w:styleId="628">
    <w:name w:val="xl64"/>
    <w:basedOn w:val="1"/>
    <w:qFormat/>
    <w:uiPriority w:val="0"/>
    <w:pPr>
      <w:widowControl/>
      <w:pBdr>
        <w:left w:val="single" w:color="auto" w:sz="4" w:space="0"/>
        <w:bottom w:val="single" w:color="auto" w:sz="4" w:space="0"/>
        <w:right w:val="single" w:color="auto" w:sz="8" w:space="0"/>
      </w:pBdr>
      <w:spacing w:before="100" w:beforeAutospacing="1" w:after="100" w:afterAutospacing="1"/>
      <w:jc w:val="left"/>
      <w:textAlignment w:val="center"/>
    </w:pPr>
    <w:rPr>
      <w:rFonts w:ascii="Arial Unicode MS" w:hAnsi="Arial Unicode MS" w:eastAsia="Arial Unicode MS"/>
      <w:kern w:val="0"/>
      <w:sz w:val="24"/>
    </w:rPr>
  </w:style>
  <w:style w:type="paragraph" w:customStyle="1" w:styleId="629">
    <w:name w:val="表文5左"/>
    <w:basedOn w:val="618"/>
    <w:qFormat/>
    <w:uiPriority w:val="0"/>
    <w:pPr>
      <w:jc w:val="left"/>
    </w:pPr>
    <w:rPr>
      <w:sz w:val="21"/>
    </w:rPr>
  </w:style>
  <w:style w:type="paragraph" w:customStyle="1" w:styleId="630">
    <w:name w:val="format1"/>
    <w:basedOn w:val="1"/>
    <w:qFormat/>
    <w:uiPriority w:val="0"/>
    <w:pPr>
      <w:adjustRightInd w:val="0"/>
      <w:snapToGrid w:val="0"/>
      <w:spacing w:after="20" w:line="500" w:lineRule="exact"/>
    </w:pPr>
    <w:rPr>
      <w:rFonts w:ascii="宋体" w:hAnsi="宋体"/>
      <w:sz w:val="28"/>
      <w:szCs w:val="20"/>
    </w:rPr>
  </w:style>
  <w:style w:type="paragraph" w:customStyle="1" w:styleId="631">
    <w:name w:val="Char Char Char Char Char Char"/>
    <w:basedOn w:val="1"/>
    <w:qFormat/>
    <w:uiPriority w:val="0"/>
    <w:rPr>
      <w:szCs w:val="20"/>
    </w:rPr>
  </w:style>
  <w:style w:type="paragraph" w:customStyle="1" w:styleId="632">
    <w:name w:val="标题五"/>
    <w:basedOn w:val="1"/>
    <w:qFormat/>
    <w:uiPriority w:val="0"/>
    <w:pPr>
      <w:tabs>
        <w:tab w:val="left" w:pos="620"/>
        <w:tab w:val="left" w:pos="2007"/>
      </w:tabs>
      <w:ind w:left="620" w:firstLine="567"/>
    </w:pPr>
    <w:rPr>
      <w:sz w:val="28"/>
      <w:szCs w:val="20"/>
    </w:rPr>
  </w:style>
  <w:style w:type="paragraph" w:customStyle="1" w:styleId="633">
    <w:name w:val="样式 宋体 小四 加粗 居中"/>
    <w:basedOn w:val="1"/>
    <w:qFormat/>
    <w:uiPriority w:val="0"/>
    <w:pPr>
      <w:widowControl/>
      <w:topLinePunct/>
      <w:ind w:left="480"/>
      <w:jc w:val="center"/>
    </w:pPr>
    <w:rPr>
      <w:rFonts w:ascii="宋体" w:hAnsi="宋体"/>
      <w:b/>
      <w:bCs/>
      <w:kern w:val="0"/>
      <w:sz w:val="24"/>
      <w:szCs w:val="20"/>
    </w:rPr>
  </w:style>
  <w:style w:type="paragraph" w:customStyle="1" w:styleId="634">
    <w:name w:val="xl113"/>
    <w:basedOn w:val="1"/>
    <w:qFormat/>
    <w:uiPriority w:val="0"/>
    <w:pPr>
      <w:widowControl/>
      <w:pBdr>
        <w:top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styleId="635">
    <w:name w:val="List Paragraph"/>
    <w:basedOn w:val="1"/>
    <w:qFormat/>
    <w:uiPriority w:val="0"/>
    <w:pPr>
      <w:spacing w:line="400" w:lineRule="exact"/>
      <w:ind w:firstLine="560" w:firstLineChars="200"/>
      <w:jc w:val="left"/>
    </w:pPr>
    <w:rPr>
      <w:rFonts w:ascii="Calibri" w:hAnsi="Calibri"/>
      <w:sz w:val="28"/>
      <w:szCs w:val="20"/>
    </w:rPr>
  </w:style>
  <w:style w:type="paragraph" w:customStyle="1" w:styleId="636">
    <w:name w:val="样式 标题 5 + 加粗 左侧:  0 厘米 段前: 0.5 行 段后: 0.5 行 行距: 固定值 22 磅"/>
    <w:basedOn w:val="9"/>
    <w:qFormat/>
    <w:uiPriority w:val="0"/>
    <w:pPr>
      <w:numPr>
        <w:ilvl w:val="0"/>
        <w:numId w:val="0"/>
      </w:numPr>
      <w:tabs>
        <w:tab w:val="clear" w:pos="1008"/>
      </w:tabs>
      <w:autoSpaceDE/>
      <w:autoSpaceDN/>
      <w:snapToGrid w:val="0"/>
      <w:spacing w:before="0" w:after="0" w:line="440" w:lineRule="exact"/>
      <w:ind w:firstLine="482" w:firstLineChars="200"/>
      <w:jc w:val="left"/>
      <w:textAlignment w:val="auto"/>
    </w:pPr>
    <w:rPr>
      <w:rFonts w:cs="宋体"/>
      <w:bCs/>
      <w:color w:val="auto"/>
      <w:kern w:val="2"/>
    </w:rPr>
  </w:style>
  <w:style w:type="paragraph" w:customStyle="1" w:styleId="637">
    <w:name w:val="正文样式 行距: 固定值 30 磅"/>
    <w:basedOn w:val="1"/>
    <w:qFormat/>
    <w:uiPriority w:val="0"/>
    <w:pPr>
      <w:adjustRightInd w:val="0"/>
      <w:spacing w:line="600" w:lineRule="exact"/>
      <w:ind w:firstLine="200" w:firstLineChars="200"/>
      <w:textAlignment w:val="baseline"/>
    </w:pPr>
    <w:rPr>
      <w:rFonts w:cs="宋体"/>
      <w:spacing w:val="-2"/>
      <w:kern w:val="0"/>
      <w:sz w:val="28"/>
      <w:szCs w:val="20"/>
    </w:rPr>
  </w:style>
  <w:style w:type="paragraph" w:customStyle="1" w:styleId="638">
    <w:name w:val="Char"/>
    <w:basedOn w:val="1"/>
    <w:qFormat/>
    <w:uiPriority w:val="0"/>
    <w:pPr>
      <w:widowControl/>
      <w:spacing w:after="160" w:line="240" w:lineRule="exact"/>
      <w:jc w:val="left"/>
    </w:pPr>
    <w:rPr>
      <w:szCs w:val="20"/>
    </w:rPr>
  </w:style>
  <w:style w:type="paragraph" w:customStyle="1" w:styleId="639">
    <w:name w:val="md表格题目"/>
    <w:basedOn w:val="550"/>
    <w:qFormat/>
    <w:uiPriority w:val="0"/>
    <w:pPr>
      <w:spacing w:line="240" w:lineRule="auto"/>
      <w:ind w:firstLine="0" w:firstLineChars="0"/>
      <w:jc w:val="center"/>
    </w:pPr>
  </w:style>
  <w:style w:type="paragraph" w:customStyle="1" w:styleId="640">
    <w:name w:val="公式样式1"/>
    <w:basedOn w:val="1"/>
    <w:qFormat/>
    <w:uiPriority w:val="0"/>
    <w:pPr>
      <w:jc w:val="center"/>
    </w:pPr>
    <w:rPr>
      <w:rFonts w:ascii="宋体" w:hAnsi="宋体"/>
      <w:color w:val="FF0000"/>
    </w:rPr>
  </w:style>
  <w:style w:type="paragraph" w:customStyle="1" w:styleId="641">
    <w:name w:val="footer"/>
    <w:basedOn w:val="374"/>
    <w:qFormat/>
    <w:uiPriority w:val="0"/>
    <w:pPr>
      <w:tabs>
        <w:tab w:val="center" w:pos="4153"/>
        <w:tab w:val="right" w:pos="8306"/>
      </w:tabs>
      <w:spacing w:line="240" w:lineRule="atLeast"/>
      <w:textAlignment w:val="baseline"/>
    </w:pPr>
    <w:rPr>
      <w:rFonts w:hint="default"/>
      <w:sz w:val="18"/>
    </w:rPr>
  </w:style>
  <w:style w:type="paragraph" w:customStyle="1" w:styleId="642">
    <w:name w:val="参考文献行"/>
    <w:basedOn w:val="3"/>
    <w:qFormat/>
    <w:uiPriority w:val="0"/>
    <w:pPr>
      <w:spacing w:after="0" w:line="240" w:lineRule="exact"/>
      <w:jc w:val="center"/>
    </w:pPr>
    <w:rPr>
      <w:rFonts w:ascii="宋体" w:hAnsi="宋体"/>
      <w:sz w:val="24"/>
      <w:szCs w:val="20"/>
    </w:rPr>
  </w:style>
  <w:style w:type="paragraph" w:customStyle="1" w:styleId="643">
    <w:name w:val="font13"/>
    <w:basedOn w:val="1"/>
    <w:qFormat/>
    <w:uiPriority w:val="0"/>
    <w:pPr>
      <w:widowControl/>
      <w:spacing w:before="100" w:beforeAutospacing="1" w:after="100" w:afterAutospacing="1"/>
      <w:jc w:val="left"/>
    </w:pPr>
    <w:rPr>
      <w:rFonts w:hint="eastAsia" w:ascii="宋体" w:hAnsi="宋体"/>
      <w:b/>
      <w:bCs/>
      <w:kern w:val="0"/>
      <w:sz w:val="18"/>
      <w:szCs w:val="18"/>
    </w:rPr>
  </w:style>
  <w:style w:type="paragraph" w:customStyle="1" w:styleId="644">
    <w:name w:val="wislin正文"/>
    <w:basedOn w:val="1"/>
    <w:qFormat/>
    <w:uiPriority w:val="0"/>
    <w:pPr>
      <w:spacing w:line="300" w:lineRule="auto"/>
      <w:ind w:firstLine="454"/>
    </w:pPr>
    <w:rPr>
      <w:sz w:val="24"/>
      <w:szCs w:val="20"/>
    </w:rPr>
  </w:style>
  <w:style w:type="paragraph" w:customStyle="1" w:styleId="645">
    <w:name w:val="编号@"/>
    <w:basedOn w:val="552"/>
    <w:qFormat/>
    <w:uiPriority w:val="0"/>
    <w:pPr>
      <w:tabs>
        <w:tab w:val="left" w:pos="860"/>
        <w:tab w:val="left" w:pos="1313"/>
      </w:tabs>
      <w:ind w:left="1313" w:firstLine="0" w:firstLineChars="0"/>
    </w:pPr>
  </w:style>
  <w:style w:type="paragraph" w:customStyle="1" w:styleId="646">
    <w:name w:val=" Char Char Char Char Char Char Char Char Char Char Char Char Char Char Char Char Char Char Char Char Char Char Char Char Char Char Char Char Char Char Char Char Char Char Char Char Char Char Char Char"/>
    <w:basedOn w:val="1"/>
    <w:qFormat/>
    <w:uiPriority w:val="0"/>
  </w:style>
  <w:style w:type="paragraph" w:customStyle="1" w:styleId="647">
    <w:name w:val="Char1"/>
    <w:basedOn w:val="1"/>
    <w:next w:val="1"/>
    <w:qFormat/>
    <w:uiPriority w:val="0"/>
    <w:pPr>
      <w:spacing w:line="360" w:lineRule="auto"/>
      <w:ind w:firstLine="200" w:firstLineChars="200"/>
    </w:pPr>
    <w:rPr>
      <w:rFonts w:ascii="宋体" w:hAnsi="宋体" w:cs="宋体"/>
    </w:rPr>
  </w:style>
  <w:style w:type="paragraph" w:customStyle="1" w:styleId="648">
    <w:name w:val="样式 正文缩进 + 段前: 5 磅 行距: 固定值 25 磅"/>
    <w:basedOn w:val="22"/>
    <w:qFormat/>
    <w:uiPriority w:val="0"/>
    <w:pPr>
      <w:widowControl/>
      <w:topLinePunct/>
      <w:snapToGrid w:val="0"/>
      <w:spacing w:line="500" w:lineRule="exact"/>
      <w:ind w:left="480" w:firstLine="510"/>
      <w:jc w:val="center"/>
    </w:pPr>
    <w:rPr>
      <w:rFonts w:hAnsi="宋体"/>
      <w:spacing w:val="6"/>
      <w:sz w:val="24"/>
      <w:szCs w:val="24"/>
    </w:rPr>
  </w:style>
  <w:style w:type="paragraph" w:customStyle="1" w:styleId="649">
    <w:name w:val="附录六级条标题"/>
    <w:next w:val="566"/>
    <w:qFormat/>
    <w:uiPriority w:val="0"/>
    <w:pPr>
      <w:spacing w:line="360" w:lineRule="auto"/>
      <w:outlineLvl w:val="7"/>
    </w:pPr>
    <w:rPr>
      <w:rFonts w:ascii="黑体" w:hAnsi="Times New Roman" w:eastAsia="黑体" w:cs="Times New Roman"/>
      <w:kern w:val="2"/>
      <w:sz w:val="21"/>
      <w:szCs w:val="24"/>
      <w:lang w:val="en-US" w:eastAsia="zh-CN" w:bidi="ar-SA"/>
    </w:rPr>
  </w:style>
  <w:style w:type="paragraph" w:customStyle="1" w:styleId="650">
    <w:name w:val="Char Char3 Char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651">
    <w:name w:val="表图正文"/>
    <w:basedOn w:val="43"/>
    <w:qFormat/>
    <w:uiPriority w:val="0"/>
    <w:pPr>
      <w:spacing w:line="240" w:lineRule="auto"/>
      <w:ind w:firstLine="0"/>
      <w:jc w:val="center"/>
    </w:pPr>
    <w:rPr>
      <w:rFonts w:ascii="Times New Roman" w:hAnsi="Times New Roman" w:cs="Courier New"/>
      <w:sz w:val="21"/>
      <w:szCs w:val="21"/>
    </w:rPr>
  </w:style>
  <w:style w:type="paragraph" w:customStyle="1" w:styleId="652">
    <w:name w:val="xl1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color w:val="003366"/>
      <w:kern w:val="0"/>
      <w:sz w:val="16"/>
      <w:szCs w:val="16"/>
    </w:rPr>
  </w:style>
  <w:style w:type="paragraph" w:customStyle="1" w:styleId="653">
    <w:name w:val="xl131"/>
    <w:basedOn w:val="1"/>
    <w:qFormat/>
    <w:uiPriority w:val="0"/>
    <w:pPr>
      <w:widowControl/>
      <w:pBdr>
        <w:top w:val="single" w:color="auto" w:sz="12" w:space="0"/>
        <w:left w:val="single" w:color="auto" w:sz="4" w:space="0"/>
        <w:bottom w:val="single" w:color="auto" w:sz="4" w:space="0"/>
        <w:right w:val="single" w:color="auto" w:sz="12" w:space="0"/>
      </w:pBdr>
      <w:spacing w:before="100" w:beforeAutospacing="1" w:after="100" w:afterAutospacing="1"/>
      <w:jc w:val="center"/>
      <w:textAlignment w:val="center"/>
    </w:pPr>
    <w:rPr>
      <w:rFonts w:hint="eastAsia" w:ascii="楷体_GB2312" w:hAnsi="Arial Unicode MS" w:eastAsia="楷体_GB2312" w:cs="TimesNewRomanPSMT"/>
      <w:color w:val="003366"/>
      <w:kern w:val="0"/>
      <w:sz w:val="16"/>
      <w:szCs w:val="16"/>
    </w:rPr>
  </w:style>
  <w:style w:type="paragraph" w:customStyle="1" w:styleId="654">
    <w:name w:val="通用"/>
    <w:basedOn w:val="1"/>
    <w:qFormat/>
    <w:uiPriority w:val="0"/>
    <w:pPr>
      <w:widowControl/>
      <w:spacing w:before="120" w:after="120" w:line="300" w:lineRule="exact"/>
      <w:ind w:right="216"/>
      <w:jc w:val="left"/>
    </w:pPr>
    <w:rPr>
      <w:rFonts w:ascii="Garamond" w:hAnsi="Garamond"/>
      <w:spacing w:val="40"/>
      <w:kern w:val="0"/>
      <w:sz w:val="24"/>
      <w:szCs w:val="20"/>
    </w:rPr>
  </w:style>
  <w:style w:type="paragraph" w:customStyle="1" w:styleId="655">
    <w:name w:val="font0"/>
    <w:basedOn w:val="1"/>
    <w:qFormat/>
    <w:uiPriority w:val="0"/>
    <w:pPr>
      <w:widowControl/>
      <w:spacing w:before="100" w:beforeAutospacing="1" w:after="100" w:afterAutospacing="1"/>
      <w:jc w:val="left"/>
    </w:pPr>
    <w:rPr>
      <w:rFonts w:hint="eastAsia" w:ascii="宋体" w:hAnsi="宋体"/>
      <w:kern w:val="0"/>
      <w:sz w:val="24"/>
      <w:szCs w:val="20"/>
    </w:rPr>
  </w:style>
  <w:style w:type="paragraph" w:customStyle="1" w:styleId="656">
    <w:name w:val="正文图"/>
    <w:basedOn w:val="1"/>
    <w:qFormat/>
    <w:uiPriority w:val="0"/>
    <w:pPr>
      <w:autoSpaceDE w:val="0"/>
      <w:autoSpaceDN w:val="0"/>
      <w:adjustRightInd w:val="0"/>
      <w:jc w:val="center"/>
    </w:pPr>
    <w:rPr>
      <w:color w:val="000000"/>
      <w:kern w:val="0"/>
      <w:sz w:val="24"/>
      <w:szCs w:val="20"/>
    </w:rPr>
  </w:style>
  <w:style w:type="paragraph" w:customStyle="1" w:styleId="657">
    <w:name w:val="文字"/>
    <w:basedOn w:val="1"/>
    <w:qFormat/>
    <w:uiPriority w:val="0"/>
    <w:pPr>
      <w:adjustRightInd w:val="0"/>
      <w:snapToGrid w:val="0"/>
      <w:spacing w:line="300" w:lineRule="auto"/>
      <w:ind w:firstLine="200" w:firstLineChars="200"/>
    </w:pPr>
    <w:rPr>
      <w:szCs w:val="20"/>
    </w:rPr>
  </w:style>
  <w:style w:type="paragraph" w:customStyle="1" w:styleId="658">
    <w:name w:val="xl48"/>
    <w:basedOn w:val="1"/>
    <w:qFormat/>
    <w:uiPriority w:val="0"/>
    <w:pPr>
      <w:widowControl/>
      <w:pBdr>
        <w:bottom w:val="single" w:color="auto" w:sz="8" w:space="0"/>
      </w:pBdr>
      <w:spacing w:before="100" w:beforeAutospacing="1" w:after="100" w:afterAutospacing="1"/>
      <w:jc w:val="left"/>
    </w:pPr>
    <w:rPr>
      <w:rFonts w:eastAsia="Arial Unicode MS"/>
      <w:b/>
      <w:bCs/>
      <w:kern w:val="0"/>
      <w:sz w:val="44"/>
      <w:szCs w:val="44"/>
    </w:rPr>
  </w:style>
  <w:style w:type="paragraph" w:customStyle="1" w:styleId="659">
    <w:name w:val="MTDisplayEquation"/>
    <w:basedOn w:val="1"/>
    <w:next w:val="1"/>
    <w:semiHidden/>
    <w:qFormat/>
    <w:uiPriority w:val="0"/>
    <w:pPr>
      <w:widowControl/>
      <w:tabs>
        <w:tab w:val="center" w:pos="4160"/>
        <w:tab w:val="right" w:pos="8300"/>
      </w:tabs>
      <w:spacing w:line="360" w:lineRule="auto"/>
      <w:ind w:firstLine="200" w:firstLineChars="200"/>
      <w:jc w:val="left"/>
    </w:pPr>
    <w:rPr>
      <w:rFonts w:ascii="宋体" w:hAnsi="宋体" w:cs="宋体"/>
      <w:kern w:val="0"/>
      <w:sz w:val="28"/>
      <w:szCs w:val="28"/>
      <w:shd w:val="clear" w:color="auto" w:fill="FFFBF0"/>
    </w:rPr>
  </w:style>
  <w:style w:type="paragraph" w:customStyle="1" w:styleId="660">
    <w:name w:val="xl47"/>
    <w:basedOn w:val="1"/>
    <w:qFormat/>
    <w:uiPriority w:val="0"/>
    <w:pPr>
      <w:widowControl/>
      <w:pBdr>
        <w:bottom w:val="single" w:color="auto" w:sz="8" w:space="0"/>
      </w:pBdr>
      <w:spacing w:before="100" w:beforeAutospacing="1" w:after="100" w:afterAutospacing="1"/>
      <w:jc w:val="center"/>
    </w:pPr>
    <w:rPr>
      <w:rFonts w:ascii="Arial Unicode MS" w:hAnsi="Arial Unicode MS" w:eastAsia="Arial Unicode MS"/>
      <w:kern w:val="0"/>
      <w:sz w:val="20"/>
      <w:szCs w:val="20"/>
    </w:rPr>
  </w:style>
  <w:style w:type="paragraph" w:customStyle="1" w:styleId="661">
    <w:name w:val="样式 标题 3 + 段前: 0.25 行 段后: 0.25 行"/>
    <w:basedOn w:val="7"/>
    <w:qFormat/>
    <w:uiPriority w:val="0"/>
    <w:pPr>
      <w:keepNext w:val="0"/>
      <w:numPr>
        <w:ilvl w:val="0"/>
        <w:numId w:val="0"/>
      </w:numPr>
      <w:suppressLineNumbers/>
      <w:tabs>
        <w:tab w:val="left" w:pos="1134"/>
        <w:tab w:val="left" w:pos="1880"/>
      </w:tabs>
      <w:suppressAutoHyphens/>
      <w:topLinePunct/>
      <w:adjustRightInd w:val="0"/>
      <w:snapToGrid w:val="0"/>
      <w:spacing w:before="25" w:beforeLines="25" w:after="25" w:afterLines="25" w:line="360" w:lineRule="auto"/>
      <w:ind w:left="1418" w:hanging="420" w:firstLineChars="186"/>
      <w:jc w:val="left"/>
      <w:textAlignment w:val="baseline"/>
    </w:pPr>
    <w:rPr>
      <w:rFonts w:ascii="宋体" w:eastAsia="宋体"/>
      <w:bCs w:val="0"/>
      <w:snapToGrid w:val="0"/>
      <w:kern w:val="0"/>
    </w:rPr>
  </w:style>
  <w:style w:type="paragraph" w:customStyle="1" w:styleId="662">
    <w:name w:val="标题-4"/>
    <w:basedOn w:val="1"/>
    <w:qFormat/>
    <w:uiPriority w:val="0"/>
    <w:pPr>
      <w:widowControl/>
      <w:topLinePunct/>
      <w:ind w:left="480"/>
      <w:jc w:val="center"/>
    </w:pPr>
    <w:rPr>
      <w:rFonts w:ascii="宋体" w:hAnsi="宋体"/>
      <w:b/>
      <w:szCs w:val="20"/>
    </w:rPr>
  </w:style>
  <w:style w:type="paragraph" w:customStyle="1" w:styleId="663">
    <w:name w:val="内文"/>
    <w:qFormat/>
    <w:uiPriority w:val="0"/>
    <w:pPr>
      <w:widowControl w:val="0"/>
      <w:autoSpaceDE w:val="0"/>
      <w:autoSpaceDN w:val="0"/>
      <w:adjustRightInd w:val="0"/>
      <w:spacing w:line="480" w:lineRule="atLeast"/>
      <w:ind w:firstLine="454"/>
      <w:jc w:val="both"/>
    </w:pPr>
    <w:rPr>
      <w:rFonts w:ascii="方正黑体简体" w:hAnsi="Times New Roman" w:eastAsia="方正黑体简体" w:cs="Times New Roman"/>
      <w:color w:val="000000"/>
      <w:kern w:val="2"/>
      <w:sz w:val="24"/>
      <w:szCs w:val="24"/>
      <w:lang w:val="en-US" w:eastAsia="zh-CN" w:bidi="ar-SA"/>
    </w:rPr>
  </w:style>
  <w:style w:type="paragraph" w:customStyle="1" w:styleId="664">
    <w:name w:val="目录"/>
    <w:qFormat/>
    <w:uiPriority w:val="0"/>
    <w:pPr>
      <w:jc w:val="center"/>
      <w:outlineLvl w:val="0"/>
    </w:pPr>
    <w:rPr>
      <w:rFonts w:ascii="宋体" w:hAnsi="Times New Roman" w:eastAsia="宋体" w:cs="Times New Roman"/>
      <w:color w:val="FF0000"/>
      <w:kern w:val="2"/>
      <w:sz w:val="32"/>
      <w:szCs w:val="24"/>
      <w:lang w:val="en-US" w:eastAsia="zh-CN" w:bidi="ar-SA"/>
    </w:rPr>
  </w:style>
  <w:style w:type="paragraph" w:customStyle="1" w:styleId="665">
    <w:name w:val="xl30"/>
    <w:basedOn w:val="1"/>
    <w:qFormat/>
    <w:uiPriority w:val="0"/>
    <w:pPr>
      <w:widowControl/>
      <w:pBdr>
        <w:left w:val="single" w:color="auto" w:sz="8" w:space="0"/>
        <w:right w:val="single" w:color="auto" w:sz="8" w:space="0"/>
      </w:pBdr>
      <w:spacing w:before="100" w:beforeAutospacing="1" w:after="100" w:afterAutospacing="1"/>
      <w:jc w:val="center"/>
      <w:textAlignment w:val="center"/>
    </w:pPr>
    <w:rPr>
      <w:rFonts w:ascii="Arial Unicode MS" w:hAnsi="Arial Unicode MS" w:eastAsia="Arial Unicode MS"/>
      <w:kern w:val="0"/>
      <w:sz w:val="20"/>
      <w:szCs w:val="20"/>
    </w:rPr>
  </w:style>
  <w:style w:type="paragraph" w:customStyle="1" w:styleId="666">
    <w:name w:val="数字编号列项（二级）"/>
    <w:qFormat/>
    <w:uiPriority w:val="0"/>
    <w:pPr>
      <w:tabs>
        <w:tab w:val="left" w:pos="360"/>
      </w:tabs>
      <w:ind w:left="360" w:hanging="360"/>
      <w:jc w:val="both"/>
    </w:pPr>
    <w:rPr>
      <w:rFonts w:ascii="宋体" w:hAnsi="Times New Roman" w:eastAsia="宋体" w:cs="Times New Roman"/>
      <w:kern w:val="2"/>
      <w:sz w:val="21"/>
      <w:szCs w:val="24"/>
      <w:lang w:val="en-US" w:eastAsia="zh-CN" w:bidi="ar-SA"/>
    </w:rPr>
  </w:style>
  <w:style w:type="paragraph" w:customStyle="1" w:styleId="667">
    <w:name w:val=" Char2"/>
    <w:basedOn w:val="1"/>
    <w:qFormat/>
    <w:uiPriority w:val="0"/>
  </w:style>
  <w:style w:type="paragraph" w:customStyle="1" w:styleId="668">
    <w:name w:val="reader-word-layer reader-word-s1-19"/>
    <w:basedOn w:val="1"/>
    <w:qFormat/>
    <w:uiPriority w:val="0"/>
    <w:pPr>
      <w:widowControl/>
      <w:spacing w:before="100" w:beforeAutospacing="1" w:after="100" w:afterAutospacing="1"/>
      <w:jc w:val="left"/>
    </w:pPr>
    <w:rPr>
      <w:rFonts w:ascii="宋体" w:hAnsi="宋体" w:cs="宋体"/>
      <w:kern w:val="0"/>
      <w:sz w:val="24"/>
    </w:rPr>
  </w:style>
  <w:style w:type="paragraph" w:customStyle="1" w:styleId="669">
    <w:name w:val="xl180"/>
    <w:basedOn w:val="1"/>
    <w:qFormat/>
    <w:uiPriority w:val="0"/>
    <w:pPr>
      <w:widowControl/>
      <w:pBdr>
        <w:top w:val="single" w:color="auto" w:sz="8" w:space="0"/>
        <w:left w:val="single" w:color="auto" w:sz="12"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670">
    <w:name w:val="xl147"/>
    <w:basedOn w:val="1"/>
    <w:qFormat/>
    <w:uiPriority w:val="0"/>
    <w:pPr>
      <w:widowControl/>
      <w:pBdr>
        <w:top w:val="single" w:color="auto" w:sz="4" w:space="0"/>
        <w:left w:val="single" w:color="auto" w:sz="4" w:space="0"/>
        <w:bottom w:val="single" w:color="auto" w:sz="12"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b/>
      <w:bCs/>
      <w:i/>
      <w:iCs/>
      <w:color w:val="003366"/>
      <w:kern w:val="0"/>
      <w:sz w:val="16"/>
      <w:szCs w:val="16"/>
    </w:rPr>
  </w:style>
  <w:style w:type="paragraph" w:customStyle="1" w:styleId="671">
    <w:name w:val="图表"/>
    <w:basedOn w:val="1"/>
    <w:qFormat/>
    <w:uiPriority w:val="0"/>
    <w:pPr>
      <w:spacing w:line="300" w:lineRule="auto"/>
      <w:ind w:firstLine="200" w:firstLineChars="200"/>
      <w:jc w:val="center"/>
    </w:pPr>
    <w:rPr>
      <w:rFonts w:ascii="黑体" w:eastAsia="黑体"/>
      <w:bCs/>
      <w:color w:val="000000"/>
      <w:spacing w:val="8"/>
      <w:szCs w:val="20"/>
    </w:rPr>
  </w:style>
  <w:style w:type="paragraph" w:customStyle="1" w:styleId="672">
    <w:name w:val="报告书"/>
    <w:basedOn w:val="1"/>
    <w:qFormat/>
    <w:uiPriority w:val="0"/>
    <w:pPr>
      <w:autoSpaceDE w:val="0"/>
      <w:autoSpaceDN w:val="0"/>
      <w:ind w:firstLine="480"/>
      <w:textAlignment w:val="bottom"/>
    </w:pPr>
    <w:rPr>
      <w:rFonts w:ascii="宋体" w:hAnsi="宋体"/>
      <w:sz w:val="20"/>
      <w:szCs w:val="20"/>
    </w:rPr>
  </w:style>
  <w:style w:type="paragraph" w:customStyle="1" w:styleId="673">
    <w:name w:val="xl1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FF"/>
      <w:kern w:val="0"/>
      <w:sz w:val="28"/>
      <w:szCs w:val="28"/>
    </w:rPr>
  </w:style>
  <w:style w:type="paragraph" w:customStyle="1" w:styleId="674">
    <w:name w:val="付正文"/>
    <w:basedOn w:val="1"/>
    <w:semiHidden/>
    <w:qFormat/>
    <w:uiPriority w:val="0"/>
    <w:pPr>
      <w:spacing w:line="360" w:lineRule="auto"/>
      <w:ind w:firstLine="200" w:firstLineChars="200"/>
    </w:pPr>
    <w:rPr>
      <w:rFonts w:ascii="宋体"/>
      <w:color w:val="000000"/>
      <w:sz w:val="24"/>
      <w:szCs w:val="21"/>
    </w:rPr>
  </w:style>
  <w:style w:type="paragraph" w:customStyle="1" w:styleId="675">
    <w:name w:val="报告书正文"/>
    <w:basedOn w:val="49"/>
    <w:qFormat/>
    <w:uiPriority w:val="0"/>
    <w:pPr>
      <w:adjustRightInd w:val="0"/>
      <w:snapToGrid w:val="0"/>
      <w:spacing w:line="360" w:lineRule="auto"/>
      <w:ind w:firstLine="425"/>
      <w:textAlignment w:val="baseline"/>
    </w:pPr>
    <w:rPr>
      <w:rFonts w:ascii="Arial" w:hAnsi="Arial"/>
    </w:rPr>
  </w:style>
  <w:style w:type="paragraph" w:customStyle="1" w:styleId="676">
    <w:name w:val="xl183"/>
    <w:basedOn w:val="1"/>
    <w:qFormat/>
    <w:uiPriority w:val="0"/>
    <w:pPr>
      <w:widowControl/>
      <w:pBdr>
        <w:top w:val="single" w:color="auto" w:sz="8" w:space="0"/>
        <w:left w:val="single" w:color="auto" w:sz="4"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color w:val="FF00FF"/>
      <w:kern w:val="0"/>
      <w:sz w:val="16"/>
      <w:szCs w:val="16"/>
    </w:rPr>
  </w:style>
  <w:style w:type="paragraph" w:customStyle="1" w:styleId="677">
    <w:name w:val="样式 标题 2 + 左侧:  -0.13 厘米 悬挂缩进: 0.84 字符 段前: 7.8 磅"/>
    <w:basedOn w:val="6"/>
    <w:qFormat/>
    <w:uiPriority w:val="0"/>
    <w:pPr>
      <w:widowControl/>
      <w:tabs>
        <w:tab w:val="left" w:pos="540"/>
        <w:tab w:val="left" w:pos="5355"/>
      </w:tabs>
      <w:topLinePunct/>
      <w:spacing w:before="50" w:beforeLines="50" w:after="50" w:afterLines="50" w:line="360" w:lineRule="auto"/>
      <w:ind w:left="-540" w:firstLine="560"/>
      <w:jc w:val="center"/>
    </w:pPr>
    <w:rPr>
      <w:rFonts w:ascii="宋体" w:hAnsi="宋体" w:eastAsia="宋体"/>
      <w:bCs w:val="0"/>
      <w:snapToGrid w:val="0"/>
      <w:kern w:val="0"/>
      <w:sz w:val="24"/>
      <w:lang w:val="zh-CN"/>
    </w:rPr>
  </w:style>
  <w:style w:type="paragraph" w:customStyle="1" w:styleId="678">
    <w:name w:val="_Style 670"/>
    <w:basedOn w:val="1"/>
    <w:next w:val="1"/>
    <w:qFormat/>
    <w:uiPriority w:val="0"/>
    <w:pPr>
      <w:widowControl/>
      <w:pBdr>
        <w:top w:val="single" w:color="auto" w:sz="6" w:space="1"/>
      </w:pBdr>
      <w:jc w:val="center"/>
    </w:pPr>
    <w:rPr>
      <w:rFonts w:ascii="Arial" w:hAnsi="Arial" w:cs="Arial"/>
      <w:vanish/>
      <w:kern w:val="0"/>
      <w:sz w:val="16"/>
      <w:szCs w:val="16"/>
    </w:rPr>
  </w:style>
  <w:style w:type="paragraph" w:customStyle="1" w:styleId="679">
    <w:name w:val="样式 3 + 字距调整小六"/>
    <w:basedOn w:val="680"/>
    <w:qFormat/>
    <w:uiPriority w:val="0"/>
    <w:rPr>
      <w:bCs/>
      <w:kern w:val="13"/>
    </w:rPr>
  </w:style>
  <w:style w:type="paragraph" w:customStyle="1" w:styleId="680">
    <w:name w:val="3"/>
    <w:basedOn w:val="6"/>
    <w:next w:val="202"/>
    <w:qFormat/>
    <w:uiPriority w:val="0"/>
    <w:pPr>
      <w:keepNext w:val="0"/>
      <w:keepLines w:val="0"/>
      <w:adjustRightInd w:val="0"/>
      <w:spacing w:before="0" w:after="0" w:line="360" w:lineRule="auto"/>
      <w:jc w:val="left"/>
      <w:textAlignment w:val="baseline"/>
    </w:pPr>
    <w:rPr>
      <w:rFonts w:ascii="楷体_GB2312" w:hAnsi="Arial" w:eastAsia="楷体_GB2312"/>
      <w:b w:val="0"/>
      <w:bCs w:val="0"/>
      <w:color w:val="000000"/>
      <w:kern w:val="0"/>
      <w:sz w:val="30"/>
      <w:szCs w:val="30"/>
    </w:rPr>
  </w:style>
  <w:style w:type="paragraph" w:customStyle="1" w:styleId="681">
    <w:name w:val="首消息标题"/>
    <w:basedOn w:val="75"/>
    <w:next w:val="75"/>
    <w:qFormat/>
    <w:uiPriority w:val="0"/>
  </w:style>
  <w:style w:type="paragraph" w:customStyle="1" w:styleId="682">
    <w:name w:val="标题 31"/>
    <w:basedOn w:val="1"/>
    <w:next w:val="1"/>
    <w:qFormat/>
    <w:uiPriority w:val="0"/>
    <w:pPr>
      <w:keepNext/>
      <w:keepLines/>
      <w:spacing w:before="260" w:after="260" w:line="413" w:lineRule="auto"/>
      <w:outlineLvl w:val="2"/>
    </w:pPr>
    <w:rPr>
      <w:rFonts w:hint="eastAsia"/>
      <w:b/>
      <w:sz w:val="32"/>
      <w:szCs w:val="20"/>
    </w:rPr>
  </w:style>
  <w:style w:type="paragraph" w:customStyle="1" w:styleId="683">
    <w:name w:val="xl156"/>
    <w:basedOn w:val="1"/>
    <w:qFormat/>
    <w:uiPriority w:val="0"/>
    <w:pPr>
      <w:widowControl/>
      <w:pBdr>
        <w:top w:val="single" w:color="auto" w:sz="4" w:space="0"/>
        <w:left w:val="single" w:color="auto" w:sz="4" w:space="0"/>
        <w:bottom w:val="single" w:color="auto" w:sz="12" w:space="0"/>
      </w:pBdr>
      <w:spacing w:before="100" w:beforeAutospacing="1" w:after="100" w:afterAutospacing="1"/>
      <w:jc w:val="center"/>
      <w:textAlignment w:val="center"/>
    </w:pPr>
    <w:rPr>
      <w:rFonts w:hint="eastAsia" w:ascii="华文隶书" w:hAnsi="Arial Unicode MS" w:eastAsia="华文隶书" w:cs="TimesNewRomanPSMT"/>
      <w:b/>
      <w:bCs/>
      <w:color w:val="0000FF"/>
      <w:kern w:val="0"/>
      <w:sz w:val="16"/>
      <w:szCs w:val="16"/>
    </w:rPr>
  </w:style>
  <w:style w:type="paragraph" w:customStyle="1" w:styleId="684">
    <w:name w:val="xl112"/>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hint="eastAsia" w:ascii="楷体_GB2312" w:hAnsi="宋体" w:eastAsia="楷体_GB2312"/>
      <w:kern w:val="0"/>
      <w:sz w:val="28"/>
      <w:szCs w:val="28"/>
    </w:rPr>
  </w:style>
  <w:style w:type="paragraph" w:customStyle="1" w:styleId="685">
    <w:name w:val="qilu"/>
    <w:basedOn w:val="1"/>
    <w:qFormat/>
    <w:uiPriority w:val="0"/>
    <w:pPr>
      <w:autoSpaceDE w:val="0"/>
      <w:autoSpaceDN w:val="0"/>
      <w:adjustRightInd w:val="0"/>
      <w:jc w:val="left"/>
      <w:textAlignment w:val="baseline"/>
    </w:pPr>
    <w:rPr>
      <w:rFonts w:ascii="宋体"/>
      <w:b/>
      <w:kern w:val="0"/>
      <w:sz w:val="28"/>
      <w:szCs w:val="20"/>
    </w:rPr>
  </w:style>
  <w:style w:type="paragraph" w:customStyle="1" w:styleId="686">
    <w:name w:val="xl4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kern w:val="0"/>
      <w:szCs w:val="21"/>
    </w:rPr>
  </w:style>
  <w:style w:type="paragraph" w:customStyle="1" w:styleId="687">
    <w:name w:val="xl11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688">
    <w:name w:val="一级条标题"/>
    <w:next w:val="689"/>
    <w:qFormat/>
    <w:uiPriority w:val="0"/>
    <w:pPr>
      <w:tabs>
        <w:tab w:val="left" w:pos="1742"/>
      </w:tabs>
      <w:spacing w:line="440" w:lineRule="exact"/>
      <w:ind w:left="1742" w:hanging="420"/>
      <w:outlineLvl w:val="1"/>
    </w:pPr>
    <w:rPr>
      <w:rFonts w:ascii="黑体" w:hAnsi="Times New Roman" w:eastAsia="黑体" w:cs="Times New Roman"/>
      <w:kern w:val="2"/>
      <w:sz w:val="24"/>
      <w:szCs w:val="24"/>
      <w:lang w:val="en-US" w:eastAsia="zh-CN" w:bidi="ar-SA"/>
    </w:rPr>
  </w:style>
  <w:style w:type="paragraph" w:customStyle="1" w:styleId="689">
    <w:name w:val="二级条"/>
    <w:next w:val="8"/>
    <w:qFormat/>
    <w:uiPriority w:val="0"/>
    <w:pPr>
      <w:spacing w:line="440" w:lineRule="exact"/>
      <w:ind w:left="513" w:firstLine="567"/>
    </w:pPr>
    <w:rPr>
      <w:rFonts w:ascii="宋体" w:hAnsi="Times New Roman" w:eastAsia="宋体" w:cs="Times New Roman"/>
      <w:kern w:val="2"/>
      <w:sz w:val="24"/>
      <w:szCs w:val="24"/>
      <w:lang w:val="en-US" w:eastAsia="zh-CN" w:bidi="ar-SA"/>
    </w:rPr>
  </w:style>
  <w:style w:type="paragraph" w:customStyle="1" w:styleId="690">
    <w:name w:val="xl62"/>
    <w:basedOn w:val="1"/>
    <w:qFormat/>
    <w:uiPriority w:val="0"/>
    <w:pPr>
      <w:widowControl/>
      <w:pBdr>
        <w:top w:val="single" w:color="auto" w:sz="4" w:space="0"/>
        <w:left w:val="single" w:color="auto" w:sz="4" w:space="0"/>
        <w:right w:val="single" w:color="auto" w:sz="8" w:space="0"/>
      </w:pBdr>
      <w:spacing w:before="100" w:beforeAutospacing="1" w:after="100" w:afterAutospacing="1"/>
      <w:jc w:val="left"/>
      <w:textAlignment w:val="center"/>
    </w:pPr>
    <w:rPr>
      <w:rFonts w:ascii="Arial Unicode MS" w:hAnsi="Arial Unicode MS" w:eastAsia="Arial Unicode MS"/>
      <w:kern w:val="0"/>
      <w:sz w:val="24"/>
    </w:rPr>
  </w:style>
  <w:style w:type="paragraph" w:customStyle="1" w:styleId="691">
    <w:name w:val="length-tip"/>
    <w:basedOn w:val="1"/>
    <w:qFormat/>
    <w:uiPriority w:val="0"/>
    <w:pPr>
      <w:widowControl/>
      <w:spacing w:before="100" w:beforeAutospacing="1" w:after="100" w:afterAutospacing="1"/>
      <w:jc w:val="left"/>
    </w:pPr>
    <w:rPr>
      <w:rFonts w:ascii="宋体" w:hAnsi="宋体" w:cs="宋体"/>
      <w:kern w:val="0"/>
      <w:sz w:val="24"/>
    </w:rPr>
  </w:style>
  <w:style w:type="paragraph" w:customStyle="1" w:styleId="692">
    <w:name w:val="Y页眉-右边"/>
    <w:basedOn w:val="1"/>
    <w:next w:val="1"/>
    <w:qFormat/>
    <w:uiPriority w:val="0"/>
    <w:pPr>
      <w:overflowPunct w:val="0"/>
      <w:autoSpaceDE w:val="0"/>
      <w:autoSpaceDN w:val="0"/>
      <w:adjustRightInd w:val="0"/>
      <w:jc w:val="left"/>
      <w:textAlignment w:val="center"/>
    </w:pPr>
    <w:rPr>
      <w:rFonts w:ascii="宋体" w:hAnsi="宋体"/>
      <w:kern w:val="0"/>
      <w:szCs w:val="21"/>
    </w:rPr>
  </w:style>
  <w:style w:type="paragraph" w:customStyle="1" w:styleId="693">
    <w:name w:val="表格格式"/>
    <w:basedOn w:val="1"/>
    <w:qFormat/>
    <w:uiPriority w:val="0"/>
    <w:pPr>
      <w:adjustRightInd w:val="0"/>
      <w:snapToGrid w:val="0"/>
      <w:jc w:val="center"/>
    </w:pPr>
    <w:rPr>
      <w:szCs w:val="20"/>
    </w:rPr>
  </w:style>
  <w:style w:type="paragraph" w:customStyle="1" w:styleId="694">
    <w:name w:val="font19"/>
    <w:basedOn w:val="1"/>
    <w:qFormat/>
    <w:uiPriority w:val="0"/>
    <w:pPr>
      <w:widowControl/>
      <w:spacing w:before="100" w:beforeAutospacing="1" w:after="100" w:afterAutospacing="1"/>
      <w:jc w:val="left"/>
    </w:pPr>
    <w:rPr>
      <w:rFonts w:ascii="宋体" w:hAnsi="宋体" w:cs="宋体"/>
      <w:b/>
      <w:bCs/>
      <w:color w:val="000000"/>
      <w:kern w:val="0"/>
      <w:sz w:val="20"/>
      <w:szCs w:val="20"/>
    </w:rPr>
  </w:style>
  <w:style w:type="paragraph" w:customStyle="1" w:styleId="695">
    <w:name w:val="CM102"/>
    <w:basedOn w:val="1"/>
    <w:next w:val="1"/>
    <w:qFormat/>
    <w:uiPriority w:val="0"/>
    <w:pPr>
      <w:autoSpaceDE w:val="0"/>
      <w:autoSpaceDN w:val="0"/>
      <w:adjustRightInd w:val="0"/>
      <w:spacing w:after="555"/>
      <w:jc w:val="left"/>
    </w:pPr>
    <w:rPr>
      <w:rFonts w:ascii="宋体"/>
      <w:kern w:val="0"/>
      <w:sz w:val="24"/>
    </w:rPr>
  </w:style>
  <w:style w:type="paragraph" w:customStyle="1" w:styleId="696">
    <w:name w:val="FIGURES"/>
    <w:qFormat/>
    <w:uiPriority w:val="0"/>
    <w:pPr>
      <w:keepNext/>
      <w:adjustRightInd w:val="0"/>
      <w:spacing w:before="360"/>
      <w:ind w:left="1134" w:right="567"/>
      <w:textAlignment w:val="baseline"/>
    </w:pPr>
    <w:rPr>
      <w:rFonts w:ascii="Arial" w:hAnsi="Arial" w:eastAsia="楷体" w:cs="Times New Roman"/>
      <w:b/>
      <w:caps/>
      <w:kern w:val="2"/>
      <w:sz w:val="24"/>
      <w:szCs w:val="24"/>
      <w:lang w:val="en-US" w:eastAsia="zh-CN" w:bidi="ar-SA"/>
    </w:rPr>
  </w:style>
  <w:style w:type="paragraph" w:customStyle="1" w:styleId="697">
    <w:name w:val="xl57"/>
    <w:basedOn w:val="1"/>
    <w:qFormat/>
    <w:uiPriority w:val="0"/>
    <w:pPr>
      <w:widowControl/>
      <w:pBdr>
        <w:top w:val="single" w:color="auto" w:sz="8"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kern w:val="0"/>
      <w:szCs w:val="21"/>
    </w:rPr>
  </w:style>
  <w:style w:type="paragraph" w:customStyle="1" w:styleId="698">
    <w:name w:val="附录二级条标题"/>
    <w:basedOn w:val="699"/>
    <w:next w:val="1"/>
    <w:qFormat/>
    <w:uiPriority w:val="0"/>
    <w:pPr>
      <w:tabs>
        <w:tab w:val="left" w:pos="360"/>
        <w:tab w:val="left" w:pos="576"/>
        <w:tab w:val="left" w:pos="720"/>
        <w:tab w:val="left" w:pos="864"/>
        <w:tab w:val="left" w:pos="1260"/>
        <w:tab w:val="left" w:pos="1680"/>
      </w:tabs>
      <w:ind w:left="1680"/>
      <w:outlineLvl w:val="3"/>
    </w:pPr>
  </w:style>
  <w:style w:type="paragraph" w:customStyle="1" w:styleId="699">
    <w:name w:val="附录一级条标题"/>
    <w:basedOn w:val="700"/>
    <w:next w:val="1"/>
    <w:qFormat/>
    <w:uiPriority w:val="0"/>
    <w:pPr>
      <w:tabs>
        <w:tab w:val="left" w:pos="360"/>
        <w:tab w:val="left" w:pos="576"/>
        <w:tab w:val="left" w:pos="720"/>
        <w:tab w:val="left" w:pos="1260"/>
      </w:tabs>
      <w:autoSpaceDN w:val="0"/>
      <w:spacing w:before="0" w:beforeLines="0" w:after="0" w:afterLines="0"/>
      <w:ind w:left="1260" w:hanging="420"/>
      <w:outlineLvl w:val="2"/>
    </w:pPr>
  </w:style>
  <w:style w:type="paragraph" w:customStyle="1" w:styleId="700">
    <w:name w:val="附录章标题"/>
    <w:next w:val="1"/>
    <w:qFormat/>
    <w:uiPriority w:val="0"/>
    <w:pPr>
      <w:tabs>
        <w:tab w:val="left" w:pos="360"/>
        <w:tab w:val="left" w:pos="576"/>
      </w:tabs>
      <w:wordWrap w:val="0"/>
      <w:overflowPunct w:val="0"/>
      <w:autoSpaceDE w:val="0"/>
      <w:spacing w:before="50" w:beforeLines="50" w:after="50" w:afterLines="50"/>
      <w:ind w:left="576" w:hanging="576"/>
      <w:jc w:val="both"/>
      <w:textAlignment w:val="baseline"/>
      <w:outlineLvl w:val="1"/>
    </w:pPr>
    <w:rPr>
      <w:rFonts w:ascii="黑体" w:hAnsi="Times New Roman" w:eastAsia="黑体" w:cs="Times New Roman"/>
      <w:kern w:val="21"/>
      <w:sz w:val="21"/>
      <w:szCs w:val="24"/>
      <w:lang w:val="en-US" w:eastAsia="zh-CN" w:bidi="ar-SA"/>
    </w:rPr>
  </w:style>
  <w:style w:type="paragraph" w:customStyle="1" w:styleId="701">
    <w:name w:val="cucd-0"/>
    <w:qFormat/>
    <w:uiPriority w:val="0"/>
    <w:pPr>
      <w:spacing w:line="360" w:lineRule="auto"/>
      <w:ind w:firstLine="480" w:firstLineChars="200"/>
    </w:pPr>
    <w:rPr>
      <w:rFonts w:ascii="Times New Roman" w:hAnsi="Times New Roman" w:eastAsia="宋体" w:cs="Times New Roman"/>
      <w:kern w:val="2"/>
      <w:sz w:val="24"/>
      <w:szCs w:val="24"/>
      <w:lang w:val="en-US" w:eastAsia="zh-CN" w:bidi="ar-SA"/>
    </w:rPr>
  </w:style>
  <w:style w:type="paragraph" w:customStyle="1" w:styleId="702">
    <w:name w:val="环保表头"/>
    <w:qFormat/>
    <w:uiPriority w:val="0"/>
    <w:pPr>
      <w:spacing w:beforeLines="50"/>
      <w:ind w:firstLine="480"/>
      <w:jc w:val="center"/>
    </w:pPr>
    <w:rPr>
      <w:rFonts w:ascii="宋体" w:hAnsi="宋体" w:eastAsia="黑体" w:cs="Times New Roman"/>
      <w:kern w:val="2"/>
      <w:sz w:val="24"/>
      <w:szCs w:val="22"/>
      <w:lang w:val="en-US" w:eastAsia="zh-CN" w:bidi="ar-SA"/>
    </w:rPr>
  </w:style>
  <w:style w:type="paragraph" w:customStyle="1" w:styleId="703">
    <w:name w:val="font1"/>
    <w:basedOn w:val="1"/>
    <w:qFormat/>
    <w:uiPriority w:val="0"/>
    <w:pPr>
      <w:widowControl/>
      <w:spacing w:before="100" w:beforeAutospacing="1" w:after="100" w:afterAutospacing="1"/>
      <w:jc w:val="left"/>
    </w:pPr>
    <w:rPr>
      <w:rFonts w:hint="eastAsia" w:ascii="宋体" w:hAnsi="宋体"/>
      <w:kern w:val="0"/>
      <w:sz w:val="24"/>
    </w:rPr>
  </w:style>
  <w:style w:type="paragraph" w:customStyle="1" w:styleId="704">
    <w:name w:val="Plain Text"/>
    <w:basedOn w:val="1"/>
    <w:qFormat/>
    <w:uiPriority w:val="0"/>
    <w:pPr>
      <w:adjustRightInd w:val="0"/>
      <w:textAlignment w:val="baseline"/>
    </w:pPr>
    <w:rPr>
      <w:rFonts w:ascii="宋体"/>
      <w:kern w:val="0"/>
      <w:szCs w:val="20"/>
    </w:rPr>
  </w:style>
  <w:style w:type="paragraph" w:customStyle="1" w:styleId="705">
    <w:name w:val="表题"/>
    <w:basedOn w:val="62"/>
    <w:qFormat/>
    <w:uiPriority w:val="0"/>
    <w:pPr>
      <w:spacing w:before="50" w:beforeLines="50" w:line="400" w:lineRule="exact"/>
      <w:ind w:left="0" w:firstLine="0"/>
      <w:jc w:val="center"/>
    </w:pPr>
    <w:rPr>
      <w:rFonts w:ascii="Times New Roman" w:eastAsia="宋体"/>
      <w:b/>
      <w:szCs w:val="24"/>
    </w:rPr>
  </w:style>
  <w:style w:type="paragraph" w:customStyle="1" w:styleId="706">
    <w:name w:val="样式 目录 2 + 左侧:  2 字符2"/>
    <w:basedOn w:val="70"/>
    <w:semiHidden/>
    <w:qFormat/>
    <w:uiPriority w:val="0"/>
    <w:pPr>
      <w:widowControl/>
      <w:tabs>
        <w:tab w:val="left" w:pos="540"/>
        <w:tab w:val="right" w:leader="dot" w:pos="8302"/>
      </w:tabs>
      <w:topLinePunct/>
      <w:autoSpaceDE w:val="0"/>
      <w:adjustRightInd w:val="0"/>
      <w:snapToGrid w:val="0"/>
      <w:spacing w:line="360" w:lineRule="auto"/>
      <w:ind w:left="50" w:leftChars="50"/>
    </w:pPr>
    <w:rPr>
      <w:smallCaps w:val="0"/>
      <w:sz w:val="28"/>
      <w:szCs w:val="28"/>
    </w:rPr>
  </w:style>
  <w:style w:type="paragraph" w:customStyle="1" w:styleId="707">
    <w:name w:val="插图"/>
    <w:basedOn w:val="1"/>
    <w:qFormat/>
    <w:uiPriority w:val="0"/>
    <w:pPr>
      <w:spacing w:line="300" w:lineRule="auto"/>
      <w:jc w:val="center"/>
    </w:pPr>
    <w:rPr>
      <w:szCs w:val="20"/>
    </w:rPr>
  </w:style>
  <w:style w:type="paragraph" w:customStyle="1" w:styleId="708">
    <w:name w:val="标题3新标准"/>
    <w:basedOn w:val="7"/>
    <w:qFormat/>
    <w:uiPriority w:val="0"/>
    <w:pPr>
      <w:numPr>
        <w:ilvl w:val="0"/>
        <w:numId w:val="0"/>
      </w:numPr>
      <w:spacing w:before="0" w:after="0" w:line="560" w:lineRule="exact"/>
      <w:ind w:firstLine="567" w:firstLineChars="186"/>
      <w:jc w:val="left"/>
    </w:pPr>
    <w:rPr>
      <w:rFonts w:eastAsia="宋体" w:cs="宋体"/>
      <w:b w:val="0"/>
      <w:snapToGrid w:val="0"/>
      <w:szCs w:val="28"/>
      <w:lang w:val="zh-CN"/>
    </w:rPr>
  </w:style>
  <w:style w:type="paragraph" w:customStyle="1" w:styleId="709">
    <w:name w:val="样式 Arial 首行缩进:  1.01 厘米 行距: 最小值 20 磅"/>
    <w:basedOn w:val="1"/>
    <w:qFormat/>
    <w:uiPriority w:val="0"/>
    <w:pPr>
      <w:spacing w:line="400" w:lineRule="atLeast"/>
    </w:pPr>
    <w:rPr>
      <w:rFonts w:ascii="Arial" w:hAnsi="Arial"/>
      <w:sz w:val="24"/>
      <w:szCs w:val="20"/>
    </w:rPr>
  </w:style>
  <w:style w:type="paragraph" w:customStyle="1" w:styleId="710">
    <w:name w:val="xl74"/>
    <w:basedOn w:val="1"/>
    <w:qFormat/>
    <w:uiPriority w:val="0"/>
    <w:pPr>
      <w:widowControl/>
      <w:spacing w:before="100" w:beforeAutospacing="1" w:after="100" w:afterAutospacing="1"/>
      <w:jc w:val="center"/>
      <w:textAlignment w:val="center"/>
    </w:pPr>
    <w:rPr>
      <w:b/>
      <w:bCs/>
      <w:kern w:val="0"/>
      <w:sz w:val="36"/>
      <w:szCs w:val="36"/>
    </w:rPr>
  </w:style>
  <w:style w:type="paragraph" w:customStyle="1" w:styleId="711">
    <w:name w:val="xl165"/>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hint="eastAsia" w:ascii="华文隶书" w:hAnsi="Arial Unicode MS" w:eastAsia="华文隶书" w:cs="TimesNewRomanPSMT"/>
      <w:b/>
      <w:bCs/>
      <w:color w:val="0000FF"/>
      <w:kern w:val="0"/>
      <w:sz w:val="16"/>
      <w:szCs w:val="16"/>
    </w:rPr>
  </w:style>
  <w:style w:type="paragraph" w:customStyle="1" w:styleId="712">
    <w:name w:val="xl164"/>
    <w:basedOn w:val="1"/>
    <w:qFormat/>
    <w:uiPriority w:val="0"/>
    <w:pPr>
      <w:widowControl/>
      <w:pBdr>
        <w:top w:val="single" w:color="auto" w:sz="4" w:space="0"/>
        <w:left w:val="single" w:color="auto" w:sz="12" w:space="0"/>
        <w:bottom w:val="single" w:color="auto" w:sz="4" w:space="0"/>
      </w:pBdr>
      <w:spacing w:before="100" w:beforeAutospacing="1" w:after="100" w:afterAutospacing="1"/>
      <w:jc w:val="center"/>
      <w:textAlignment w:val="center"/>
    </w:pPr>
    <w:rPr>
      <w:rFonts w:hint="eastAsia" w:ascii="华文隶书" w:hAnsi="Arial Unicode MS" w:eastAsia="华文隶书" w:cs="TimesNewRomanPSMT"/>
      <w:b/>
      <w:bCs/>
      <w:color w:val="0000FF"/>
      <w:kern w:val="0"/>
      <w:sz w:val="16"/>
      <w:szCs w:val="16"/>
    </w:rPr>
  </w:style>
  <w:style w:type="paragraph" w:customStyle="1" w:styleId="713">
    <w:name w:val="EQUATIONS"/>
    <w:qFormat/>
    <w:uiPriority w:val="0"/>
    <w:pPr>
      <w:keepNext/>
      <w:adjustRightInd w:val="0"/>
      <w:spacing w:before="360"/>
      <w:ind w:left="1134" w:right="567"/>
      <w:textAlignment w:val="baseline"/>
    </w:pPr>
    <w:rPr>
      <w:rFonts w:ascii="Arial" w:hAnsi="Arial" w:eastAsia="楷体" w:cs="Times New Roman"/>
      <w:b/>
      <w:caps/>
      <w:kern w:val="2"/>
      <w:sz w:val="24"/>
      <w:szCs w:val="24"/>
      <w:lang w:val="en-US" w:eastAsia="zh-CN" w:bidi="ar-SA"/>
    </w:rPr>
  </w:style>
  <w:style w:type="paragraph" w:customStyle="1" w:styleId="714">
    <w:name w:val="表格备注"/>
    <w:basedOn w:val="11"/>
    <w:next w:val="2"/>
    <w:qFormat/>
    <w:uiPriority w:val="0"/>
    <w:pPr>
      <w:keepLines w:val="0"/>
      <w:numPr>
        <w:ilvl w:val="0"/>
        <w:numId w:val="0"/>
      </w:numPr>
      <w:tabs>
        <w:tab w:val="left" w:pos="560"/>
        <w:tab w:val="clear" w:pos="1296"/>
      </w:tabs>
      <w:autoSpaceDE/>
      <w:autoSpaceDN/>
      <w:adjustRightInd/>
      <w:spacing w:before="0" w:after="0" w:line="336" w:lineRule="auto"/>
      <w:jc w:val="center"/>
      <w:textAlignment w:val="auto"/>
    </w:pPr>
    <w:rPr>
      <w:rFonts w:ascii="黑体"/>
      <w:b w:val="0"/>
      <w:color w:val="auto"/>
      <w:kern w:val="2"/>
      <w:sz w:val="21"/>
    </w:rPr>
  </w:style>
  <w:style w:type="paragraph" w:customStyle="1" w:styleId="715">
    <w:name w:val="xl24"/>
    <w:basedOn w:val="1"/>
    <w:qFormat/>
    <w:uiPriority w:val="0"/>
    <w:pPr>
      <w:widowControl/>
      <w:spacing w:before="100" w:after="100"/>
      <w:jc w:val="right"/>
    </w:pPr>
    <w:rPr>
      <w:rFonts w:ascii="宋体" w:hAnsi="宋体"/>
      <w:kern w:val="0"/>
      <w:szCs w:val="20"/>
    </w:rPr>
  </w:style>
  <w:style w:type="paragraph" w:customStyle="1" w:styleId="716">
    <w:name w:val="xl32"/>
    <w:basedOn w:val="1"/>
    <w:qFormat/>
    <w:uiPriority w:val="0"/>
    <w:pPr>
      <w:widowControl/>
      <w:pBdr>
        <w:left w:val="single" w:color="auto" w:sz="8" w:space="0"/>
        <w:bottom w:val="single" w:color="auto" w:sz="8" w:space="0"/>
        <w:right w:val="single" w:color="auto" w:sz="8" w:space="0"/>
      </w:pBdr>
      <w:spacing w:before="100" w:beforeAutospacing="1" w:after="100" w:afterAutospacing="1"/>
      <w:jc w:val="center"/>
      <w:textAlignment w:val="center"/>
    </w:pPr>
    <w:rPr>
      <w:rFonts w:ascii="Arial Unicode MS" w:hAnsi="Arial Unicode MS" w:eastAsia="Arial Unicode MS"/>
      <w:kern w:val="0"/>
      <w:sz w:val="24"/>
    </w:rPr>
  </w:style>
  <w:style w:type="paragraph" w:customStyle="1" w:styleId="717">
    <w:name w:val="I目录2级"/>
    <w:basedOn w:val="1"/>
    <w:qFormat/>
    <w:uiPriority w:val="0"/>
    <w:pPr>
      <w:widowControl/>
      <w:tabs>
        <w:tab w:val="right" w:leader="dot" w:pos="8800"/>
      </w:tabs>
      <w:overflowPunct w:val="0"/>
      <w:autoSpaceDE w:val="0"/>
      <w:autoSpaceDN w:val="0"/>
      <w:adjustRightInd w:val="0"/>
      <w:spacing w:before="156" w:beforeLines="50"/>
      <w:ind w:left="420" w:leftChars="200"/>
      <w:textAlignment w:val="center"/>
    </w:pPr>
    <w:rPr>
      <w:rFonts w:ascii="仿宋_GB2312" w:eastAsia="仿宋_GB2312"/>
      <w:b/>
      <w:kern w:val="0"/>
      <w:sz w:val="24"/>
      <w:szCs w:val="20"/>
    </w:rPr>
  </w:style>
  <w:style w:type="paragraph" w:customStyle="1" w:styleId="718">
    <w:name w:val="正文表格"/>
    <w:basedOn w:val="1"/>
    <w:qFormat/>
    <w:uiPriority w:val="0"/>
    <w:pPr>
      <w:keepNext/>
      <w:keepLines/>
      <w:tabs>
        <w:tab w:val="center" w:pos="6804"/>
      </w:tabs>
      <w:overflowPunct w:val="0"/>
      <w:adjustRightInd w:val="0"/>
      <w:spacing w:before="80"/>
      <w:jc w:val="center"/>
      <w:textAlignment w:val="bottom"/>
    </w:pPr>
    <w:rPr>
      <w:kern w:val="0"/>
      <w:sz w:val="28"/>
      <w:szCs w:val="20"/>
    </w:rPr>
  </w:style>
  <w:style w:type="paragraph" w:customStyle="1" w:styleId="719">
    <w:name w:val="reader-word-layer reader-word-s4-19"/>
    <w:basedOn w:val="1"/>
    <w:qFormat/>
    <w:uiPriority w:val="0"/>
    <w:pPr>
      <w:widowControl/>
      <w:spacing w:before="100" w:beforeAutospacing="1" w:after="100" w:afterAutospacing="1"/>
      <w:jc w:val="left"/>
    </w:pPr>
    <w:rPr>
      <w:rFonts w:ascii="宋体" w:hAnsi="宋体" w:cs="宋体"/>
      <w:kern w:val="0"/>
      <w:sz w:val="24"/>
    </w:rPr>
  </w:style>
  <w:style w:type="paragraph" w:customStyle="1" w:styleId="720">
    <w:name w:val="A正文"/>
    <w:basedOn w:val="1"/>
    <w:qFormat/>
    <w:uiPriority w:val="0"/>
    <w:pPr>
      <w:widowControl/>
      <w:overflowPunct w:val="0"/>
      <w:autoSpaceDE w:val="0"/>
      <w:autoSpaceDN w:val="0"/>
      <w:adjustRightInd w:val="0"/>
      <w:spacing w:line="360" w:lineRule="auto"/>
      <w:ind w:firstLine="200" w:firstLineChars="200"/>
      <w:jc w:val="left"/>
      <w:textAlignment w:val="baseline"/>
    </w:pPr>
    <w:rPr>
      <w:rFonts w:eastAsia="仿宋_GB2312"/>
      <w:kern w:val="0"/>
      <w:sz w:val="24"/>
      <w:szCs w:val="20"/>
    </w:rPr>
  </w:style>
  <w:style w:type="paragraph" w:customStyle="1" w:styleId="721">
    <w:name w:val="文-7"/>
    <w:basedOn w:val="621"/>
    <w:qFormat/>
    <w:uiPriority w:val="0"/>
    <w:pPr>
      <w:ind w:left="1701"/>
    </w:pPr>
  </w:style>
  <w:style w:type="paragraph" w:customStyle="1" w:styleId="722">
    <w:name w:val="普通(网站)1"/>
    <w:basedOn w:val="1"/>
    <w:qFormat/>
    <w:uiPriority w:val="0"/>
    <w:pPr>
      <w:widowControl/>
      <w:spacing w:before="100" w:beforeAutospacing="1" w:after="100" w:afterAutospacing="1"/>
      <w:jc w:val="left"/>
    </w:pPr>
    <w:rPr>
      <w:rFonts w:hint="eastAsia" w:ascii="宋体" w:hAnsi="宋体"/>
      <w:color w:val="000000"/>
      <w:kern w:val="0"/>
      <w:sz w:val="24"/>
      <w:szCs w:val="20"/>
    </w:rPr>
  </w:style>
  <w:style w:type="paragraph" w:customStyle="1" w:styleId="723">
    <w:name w:val="font9"/>
    <w:basedOn w:val="1"/>
    <w:qFormat/>
    <w:uiPriority w:val="0"/>
    <w:pPr>
      <w:widowControl/>
      <w:spacing w:before="100" w:beforeAutospacing="1" w:after="100" w:afterAutospacing="1"/>
      <w:jc w:val="left"/>
    </w:pPr>
    <w:rPr>
      <w:rFonts w:hint="eastAsia" w:ascii="宋体" w:hAnsi="宋体"/>
      <w:kern w:val="0"/>
      <w:sz w:val="20"/>
      <w:szCs w:val="20"/>
    </w:rPr>
  </w:style>
  <w:style w:type="paragraph" w:customStyle="1" w:styleId="724">
    <w:name w:val="样式 Times New Roman 首行缩进:  2 字符 行距: 固定值 26 磅"/>
    <w:basedOn w:val="1"/>
    <w:qFormat/>
    <w:uiPriority w:val="0"/>
    <w:pPr>
      <w:spacing w:line="324" w:lineRule="auto"/>
      <w:ind w:firstLine="560" w:firstLineChars="200"/>
      <w:textAlignment w:val="baseline"/>
    </w:pPr>
    <w:rPr>
      <w:rFonts w:ascii="仿宋_GB2312" w:eastAsia="仿宋_GB2312"/>
      <w:sz w:val="28"/>
      <w:szCs w:val="20"/>
      <w:lang w:val="en-GB"/>
    </w:rPr>
  </w:style>
  <w:style w:type="paragraph" w:customStyle="1" w:styleId="725">
    <w:name w:val="xl10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726">
    <w:name w:val="font10"/>
    <w:basedOn w:val="1"/>
    <w:qFormat/>
    <w:uiPriority w:val="0"/>
    <w:pPr>
      <w:widowControl/>
      <w:spacing w:before="100" w:beforeAutospacing="1" w:after="100" w:afterAutospacing="1"/>
      <w:jc w:val="left"/>
    </w:pPr>
    <w:rPr>
      <w:rFonts w:hint="eastAsia" w:ascii="宋体" w:hAnsi="宋体"/>
      <w:kern w:val="0"/>
      <w:sz w:val="20"/>
      <w:szCs w:val="20"/>
    </w:rPr>
  </w:style>
  <w:style w:type="paragraph" w:customStyle="1" w:styleId="727">
    <w:name w:val="xl181"/>
    <w:basedOn w:val="1"/>
    <w:qFormat/>
    <w:uiPriority w:val="0"/>
    <w:pPr>
      <w:widowControl/>
      <w:pBdr>
        <w:left w:val="single" w:color="auto" w:sz="12"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728">
    <w:name w:val="目录1"/>
    <w:basedOn w:val="1"/>
    <w:next w:val="70"/>
    <w:qFormat/>
    <w:uiPriority w:val="0"/>
    <w:rPr>
      <w:rFonts w:eastAsia="黑体"/>
      <w:b/>
      <w:bCs/>
      <w:sz w:val="28"/>
      <w:szCs w:val="28"/>
    </w:rPr>
  </w:style>
  <w:style w:type="paragraph" w:customStyle="1" w:styleId="729">
    <w:name w:val="Body Text 21"/>
    <w:basedOn w:val="1"/>
    <w:qFormat/>
    <w:uiPriority w:val="0"/>
    <w:pPr>
      <w:adjustRightInd w:val="0"/>
      <w:spacing w:line="240" w:lineRule="exact"/>
      <w:textAlignment w:val="baseline"/>
    </w:pPr>
    <w:rPr>
      <w:rFonts w:ascii="宋体"/>
      <w:kern w:val="0"/>
      <w:sz w:val="18"/>
      <w:szCs w:val="20"/>
    </w:rPr>
  </w:style>
  <w:style w:type="paragraph" w:customStyle="1" w:styleId="730">
    <w:name w:val="样式 样式 样式 样式 样式 标题 3 + + 段前: 0.25 行 段后: 0.25 行 + 段前: 0.25 行 段后: 0..."/>
    <w:basedOn w:val="7"/>
    <w:qFormat/>
    <w:uiPriority w:val="0"/>
    <w:pPr>
      <w:keepNext w:val="0"/>
      <w:numPr>
        <w:ilvl w:val="0"/>
        <w:numId w:val="0"/>
      </w:numPr>
      <w:suppressLineNumbers/>
      <w:tabs>
        <w:tab w:val="left" w:pos="1134"/>
        <w:tab w:val="left" w:pos="1800"/>
        <w:tab w:val="left" w:pos="1880"/>
      </w:tabs>
      <w:suppressAutoHyphens/>
      <w:topLinePunct/>
      <w:adjustRightInd w:val="0"/>
      <w:snapToGrid w:val="0"/>
      <w:spacing w:before="25" w:beforeLines="25" w:after="25" w:afterLines="25" w:line="360" w:lineRule="auto"/>
      <w:ind w:left="1287" w:hanging="420" w:firstLineChars="186"/>
      <w:jc w:val="left"/>
      <w:textAlignment w:val="baseline"/>
    </w:pPr>
    <w:rPr>
      <w:rFonts w:ascii="宋体" w:eastAsia="宋体"/>
      <w:bCs w:val="0"/>
      <w:snapToGrid w:val="0"/>
      <w:kern w:val="0"/>
      <w:szCs w:val="28"/>
    </w:rPr>
  </w:style>
  <w:style w:type="paragraph" w:customStyle="1" w:styleId="731">
    <w:name w:val="标注"/>
    <w:basedOn w:val="1"/>
    <w:qFormat/>
    <w:uiPriority w:val="0"/>
    <w:pPr>
      <w:spacing w:line="312" w:lineRule="auto"/>
    </w:pPr>
    <w:rPr>
      <w:rFonts w:eastAsia="仿宋_GB2312"/>
      <w:sz w:val="24"/>
      <w:szCs w:val="20"/>
    </w:rPr>
  </w:style>
  <w:style w:type="paragraph" w:customStyle="1" w:styleId="732">
    <w:name w:val="样式 标题 3节标题1.1.1标题 3 Char Char Char Char Char Char Char Char C..."/>
    <w:basedOn w:val="7"/>
    <w:qFormat/>
    <w:uiPriority w:val="0"/>
    <w:pPr>
      <w:numPr>
        <w:ilvl w:val="0"/>
        <w:numId w:val="0"/>
      </w:numPr>
      <w:adjustRightInd w:val="0"/>
      <w:snapToGrid w:val="0"/>
      <w:spacing w:beforeLines="50" w:after="120" w:afterLines="50"/>
      <w:ind w:left="3780" w:firstLine="200" w:firstLineChars="200"/>
    </w:pPr>
    <w:rPr>
      <w:rFonts w:ascii="Arial" w:hAnsi="Arial" w:eastAsia="宋体" w:cs="Arial"/>
      <w:b w:val="0"/>
      <w:sz w:val="30"/>
      <w:szCs w:val="30"/>
    </w:rPr>
  </w:style>
  <w:style w:type="paragraph" w:customStyle="1" w:styleId="733">
    <w:name w:val="Text"/>
    <w:basedOn w:val="1"/>
    <w:qFormat/>
    <w:uiPriority w:val="0"/>
    <w:pPr>
      <w:spacing w:after="240" w:line="280" w:lineRule="atLeast"/>
      <w:ind w:left="2880"/>
    </w:pPr>
    <w:rPr>
      <w:rFonts w:ascii="Arial" w:hAnsi="Arial" w:cs="Arial"/>
      <w:sz w:val="20"/>
      <w:szCs w:val="20"/>
    </w:rPr>
  </w:style>
  <w:style w:type="paragraph" w:customStyle="1" w:styleId="734">
    <w:name w:val="xl11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00"/>
      <w:kern w:val="0"/>
      <w:sz w:val="28"/>
      <w:szCs w:val="28"/>
    </w:rPr>
  </w:style>
  <w:style w:type="paragraph" w:customStyle="1" w:styleId="735">
    <w:name w:val="CM4"/>
    <w:basedOn w:val="148"/>
    <w:next w:val="1"/>
    <w:qFormat/>
    <w:uiPriority w:val="0"/>
    <w:pPr>
      <w:spacing w:line="440" w:lineRule="atLeast"/>
    </w:pPr>
    <w:rPr>
      <w:rFonts w:ascii="黑体" w:eastAsia="黑体" w:cs="黑体"/>
      <w:color w:val="auto"/>
    </w:rPr>
  </w:style>
  <w:style w:type="paragraph" w:customStyle="1" w:styleId="736">
    <w:name w:val="xl1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color w:val="003366"/>
      <w:kern w:val="0"/>
      <w:sz w:val="16"/>
      <w:szCs w:val="16"/>
    </w:rPr>
  </w:style>
  <w:style w:type="paragraph" w:customStyle="1" w:styleId="737">
    <w:name w:val="xl124"/>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b/>
      <w:bCs/>
      <w:color w:val="0000FF"/>
      <w:kern w:val="0"/>
      <w:sz w:val="16"/>
      <w:szCs w:val="16"/>
    </w:rPr>
  </w:style>
  <w:style w:type="paragraph" w:customStyle="1" w:styleId="738">
    <w:name w:val="正文 New New New New New New"/>
    <w:qFormat/>
    <w:uiPriority w:val="0"/>
    <w:pPr>
      <w:widowControl w:val="0"/>
      <w:jc w:val="both"/>
    </w:pPr>
    <w:rPr>
      <w:rFonts w:ascii="Calibri" w:hAnsi="Calibri" w:eastAsia="宋体" w:cs="Times New Roman"/>
      <w:kern w:val="2"/>
      <w:sz w:val="24"/>
      <w:szCs w:val="24"/>
      <w:lang w:val="en-US" w:eastAsia="zh-CN" w:bidi="ar-SA"/>
    </w:rPr>
  </w:style>
  <w:style w:type="paragraph" w:customStyle="1" w:styleId="739">
    <w:name w:val="xl123"/>
    <w:basedOn w:val="1"/>
    <w:qFormat/>
    <w:uiPriority w:val="0"/>
    <w:pPr>
      <w:widowControl/>
      <w:spacing w:before="100" w:beforeAutospacing="1" w:after="100" w:afterAutospacing="1"/>
      <w:jc w:val="center"/>
    </w:pPr>
    <w:rPr>
      <w:rFonts w:hint="eastAsia" w:ascii="楷体_GB2312" w:hAnsi="Arial Unicode MS" w:eastAsia="楷体_GB2312" w:cs="TimesNewRomanPSMT"/>
      <w:b/>
      <w:bCs/>
      <w:color w:val="0000FF"/>
      <w:kern w:val="0"/>
      <w:sz w:val="16"/>
      <w:szCs w:val="16"/>
    </w:rPr>
  </w:style>
  <w:style w:type="paragraph" w:customStyle="1" w:styleId="740">
    <w:name w:val="font15"/>
    <w:basedOn w:val="1"/>
    <w:qFormat/>
    <w:uiPriority w:val="0"/>
    <w:pPr>
      <w:widowControl/>
      <w:spacing w:before="100" w:beforeAutospacing="1" w:after="100" w:afterAutospacing="1"/>
      <w:jc w:val="left"/>
    </w:pPr>
    <w:rPr>
      <w:rFonts w:eastAsia="Arial Unicode MS"/>
      <w:b/>
      <w:bCs/>
      <w:kern w:val="0"/>
      <w:sz w:val="24"/>
      <w:szCs w:val="20"/>
    </w:rPr>
  </w:style>
  <w:style w:type="paragraph" w:customStyle="1" w:styleId="741">
    <w:name w:val=" Char1 Char Char Char Char Char Char2 Char Char Char1"/>
    <w:basedOn w:val="1"/>
    <w:qFormat/>
    <w:uiPriority w:val="0"/>
  </w:style>
  <w:style w:type="paragraph" w:customStyle="1" w:styleId="742">
    <w:name w:val="表格（居中）"/>
    <w:basedOn w:val="1"/>
    <w:next w:val="1"/>
    <w:qFormat/>
    <w:uiPriority w:val="0"/>
    <w:pPr>
      <w:widowControl/>
      <w:topLinePunct/>
      <w:autoSpaceDE w:val="0"/>
      <w:adjustRightInd w:val="0"/>
      <w:snapToGrid w:val="0"/>
      <w:ind w:left="480"/>
      <w:jc w:val="center"/>
    </w:pPr>
    <w:rPr>
      <w:rFonts w:ascii="宋体" w:hAnsi="宋体"/>
      <w:sz w:val="24"/>
      <w:szCs w:val="20"/>
    </w:rPr>
  </w:style>
  <w:style w:type="paragraph" w:customStyle="1" w:styleId="743">
    <w:name w:val="Content"/>
    <w:basedOn w:val="1"/>
    <w:qFormat/>
    <w:uiPriority w:val="0"/>
    <w:pPr>
      <w:widowControl/>
      <w:tabs>
        <w:tab w:val="left" w:pos="9480"/>
        <w:tab w:val="left" w:pos="9600"/>
      </w:tabs>
      <w:spacing w:before="120" w:after="120" w:line="240" w:lineRule="atLeast"/>
      <w:jc w:val="center"/>
    </w:pPr>
    <w:rPr>
      <w:rFonts w:ascii="Arial" w:hAnsi="Arial"/>
      <w:b/>
      <w:kern w:val="0"/>
      <w:sz w:val="28"/>
      <w:szCs w:val="20"/>
      <w:lang w:val="fr-FR"/>
    </w:rPr>
  </w:style>
  <w:style w:type="paragraph" w:customStyle="1" w:styleId="744">
    <w:name w:val="T标题2级"/>
    <w:basedOn w:val="6"/>
    <w:next w:val="7"/>
    <w:qFormat/>
    <w:uiPriority w:val="0"/>
    <w:pPr>
      <w:widowControl/>
      <w:tabs>
        <w:tab w:val="center" w:pos="500"/>
        <w:tab w:val="left" w:pos="540"/>
      </w:tabs>
      <w:overflowPunct w:val="0"/>
      <w:spacing w:before="0" w:beforeLines="50" w:after="0" w:afterLines="50" w:line="360" w:lineRule="auto"/>
      <w:contextualSpacing/>
      <w:jc w:val="left"/>
      <w:textAlignment w:val="center"/>
    </w:pPr>
    <w:rPr>
      <w:rFonts w:ascii="宋体" w:hAnsi="宋体" w:eastAsia="宋体"/>
      <w:snapToGrid w:val="0"/>
      <w:kern w:val="0"/>
      <w:sz w:val="24"/>
      <w:szCs w:val="24"/>
      <w:lang w:val="zh-CN"/>
    </w:rPr>
  </w:style>
  <w:style w:type="paragraph" w:customStyle="1" w:styleId="745">
    <w:name w:val="xl8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746">
    <w:name w:val="md五级标题"/>
    <w:basedOn w:val="9"/>
    <w:next w:val="1"/>
    <w:qFormat/>
    <w:locked/>
    <w:uiPriority w:val="0"/>
    <w:pPr>
      <w:widowControl/>
      <w:numPr>
        <w:ilvl w:val="0"/>
        <w:numId w:val="0"/>
      </w:numPr>
      <w:tabs>
        <w:tab w:val="clear" w:pos="1008"/>
      </w:tabs>
      <w:overflowPunct w:val="0"/>
      <w:spacing w:before="0" w:after="0" w:line="360" w:lineRule="auto"/>
      <w:jc w:val="left"/>
    </w:pPr>
    <w:rPr>
      <w:rFonts w:eastAsia="仿宋_GB2312"/>
      <w:b w:val="0"/>
      <w:color w:val="auto"/>
      <w:kern w:val="0"/>
      <w:szCs w:val="24"/>
    </w:rPr>
  </w:style>
  <w:style w:type="paragraph" w:customStyle="1" w:styleId="747">
    <w:name w:val="杨"/>
    <w:basedOn w:val="1"/>
    <w:qFormat/>
    <w:uiPriority w:val="0"/>
    <w:pPr>
      <w:adjustRightInd w:val="0"/>
      <w:snapToGrid w:val="0"/>
      <w:spacing w:line="300" w:lineRule="auto"/>
      <w:ind w:firstLine="200" w:firstLineChars="200"/>
    </w:pPr>
    <w:rPr>
      <w:rFonts w:ascii="宋体" w:hAnsi="宋体"/>
      <w:sz w:val="24"/>
      <w:szCs w:val="20"/>
    </w:rPr>
  </w:style>
  <w:style w:type="paragraph" w:customStyle="1" w:styleId="748">
    <w:name w:val="X-正文"/>
    <w:basedOn w:val="1"/>
    <w:qFormat/>
    <w:uiPriority w:val="0"/>
    <w:pPr>
      <w:spacing w:line="360" w:lineRule="auto"/>
      <w:ind w:firstLine="420" w:firstLineChars="200"/>
    </w:pPr>
    <w:rPr>
      <w:rFonts w:cs="宋体"/>
      <w:szCs w:val="20"/>
    </w:rPr>
  </w:style>
  <w:style w:type="paragraph" w:customStyle="1" w:styleId="749">
    <w:name w:val="lfu正文"/>
    <w:basedOn w:val="1"/>
    <w:semiHidden/>
    <w:qFormat/>
    <w:uiPriority w:val="0"/>
    <w:pPr>
      <w:spacing w:line="360" w:lineRule="auto"/>
      <w:ind w:firstLine="200" w:firstLineChars="200"/>
    </w:pPr>
    <w:rPr>
      <w:rFonts w:ascii="宋体" w:hAnsi="宋体"/>
      <w:color w:val="000000"/>
      <w:sz w:val="24"/>
      <w:szCs w:val="24"/>
    </w:rPr>
  </w:style>
  <w:style w:type="paragraph" w:customStyle="1" w:styleId="750">
    <w:name w:val="注："/>
    <w:basedOn w:val="148"/>
    <w:next w:val="148"/>
    <w:qFormat/>
    <w:uiPriority w:val="0"/>
    <w:rPr>
      <w:rFonts w:ascii="宋体"/>
      <w:color w:val="auto"/>
      <w:sz w:val="20"/>
    </w:rPr>
  </w:style>
  <w:style w:type="paragraph" w:customStyle="1" w:styleId="751">
    <w:name w:val="图标题"/>
    <w:basedOn w:val="1"/>
    <w:next w:val="1"/>
    <w:qFormat/>
    <w:uiPriority w:val="0"/>
    <w:pPr>
      <w:adjustRightInd w:val="0"/>
      <w:spacing w:before="60" w:after="120" w:line="312" w:lineRule="auto"/>
      <w:ind w:firstLine="601"/>
      <w:jc w:val="center"/>
      <w:textAlignment w:val="baseline"/>
    </w:pPr>
    <w:rPr>
      <w:b/>
      <w:kern w:val="0"/>
      <w:sz w:val="24"/>
      <w:szCs w:val="20"/>
    </w:rPr>
  </w:style>
  <w:style w:type="paragraph" w:customStyle="1" w:styleId="752">
    <w:name w:val="表格文字居中"/>
    <w:basedOn w:val="1"/>
    <w:qFormat/>
    <w:uiPriority w:val="0"/>
    <w:pPr>
      <w:tabs>
        <w:tab w:val="left" w:pos="0"/>
        <w:tab w:val="left" w:pos="2660"/>
      </w:tabs>
      <w:autoSpaceDE w:val="0"/>
      <w:autoSpaceDN w:val="0"/>
      <w:adjustRightInd w:val="0"/>
      <w:snapToGrid w:val="0"/>
      <w:spacing w:before="100" w:beforeAutospacing="1"/>
      <w:ind w:right="-2" w:rightChars="-1" w:firstLine="32"/>
    </w:pPr>
    <w:rPr>
      <w:rFonts w:ascii="宋体" w:hAnsi="Arial"/>
      <w:color w:val="000000"/>
      <w:kern w:val="0"/>
      <w:szCs w:val="28"/>
    </w:rPr>
  </w:style>
  <w:style w:type="paragraph" w:customStyle="1" w:styleId="753">
    <w:name w:val="样式 Times New Roman 首行缩进:  0.85 厘米1"/>
    <w:basedOn w:val="1"/>
    <w:qFormat/>
    <w:uiPriority w:val="0"/>
    <w:pPr>
      <w:spacing w:line="360" w:lineRule="auto"/>
      <w:ind w:firstLine="480"/>
    </w:pPr>
    <w:rPr>
      <w:rFonts w:ascii="宋体" w:cs="宋体"/>
      <w:sz w:val="24"/>
      <w:szCs w:val="20"/>
    </w:rPr>
  </w:style>
  <w:style w:type="paragraph" w:customStyle="1" w:styleId="754">
    <w:name w:val="首缩小四"/>
    <w:basedOn w:val="1"/>
    <w:qFormat/>
    <w:uiPriority w:val="0"/>
    <w:pPr>
      <w:spacing w:line="360" w:lineRule="auto"/>
      <w:ind w:firstLine="200" w:firstLineChars="200"/>
    </w:pPr>
    <w:rPr>
      <w:sz w:val="24"/>
    </w:rPr>
  </w:style>
  <w:style w:type="paragraph" w:customStyle="1" w:styleId="755">
    <w:name w:val="reader-word-layer reader-word-s4-17"/>
    <w:basedOn w:val="1"/>
    <w:qFormat/>
    <w:uiPriority w:val="0"/>
    <w:pPr>
      <w:widowControl/>
      <w:spacing w:before="100" w:beforeAutospacing="1" w:after="100" w:afterAutospacing="1"/>
      <w:jc w:val="left"/>
    </w:pPr>
    <w:rPr>
      <w:rFonts w:ascii="宋体" w:hAnsi="宋体" w:cs="宋体"/>
      <w:kern w:val="0"/>
      <w:sz w:val="24"/>
    </w:rPr>
  </w:style>
  <w:style w:type="paragraph" w:customStyle="1" w:styleId="756">
    <w:name w:val="a-文本缩2"/>
    <w:qFormat/>
    <w:uiPriority w:val="0"/>
    <w:pPr>
      <w:widowControl w:val="0"/>
      <w:adjustRightInd w:val="0"/>
      <w:snapToGrid w:val="0"/>
      <w:spacing w:line="360" w:lineRule="auto"/>
      <w:ind w:firstLine="480" w:firstLineChars="200"/>
      <w:jc w:val="both"/>
    </w:pPr>
    <w:rPr>
      <w:rFonts w:ascii="Times New Roman" w:hAnsi="Times New Roman" w:eastAsia="宋体" w:cs="Times New Roman"/>
      <w:kern w:val="2"/>
      <w:sz w:val="24"/>
      <w:szCs w:val="21"/>
      <w:lang w:val="en-US" w:eastAsia="zh-CN" w:bidi="ar-SA"/>
    </w:rPr>
  </w:style>
  <w:style w:type="paragraph" w:customStyle="1" w:styleId="757">
    <w:name w:val="xl1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TimesNewRomanPSMT"/>
      <w:color w:val="FF00FF"/>
      <w:kern w:val="0"/>
      <w:sz w:val="16"/>
      <w:szCs w:val="16"/>
    </w:rPr>
  </w:style>
  <w:style w:type="paragraph" w:customStyle="1" w:styleId="758">
    <w:name w:val="文档结构图1"/>
    <w:basedOn w:val="1"/>
    <w:qFormat/>
    <w:uiPriority w:val="0"/>
    <w:pPr>
      <w:widowControl/>
      <w:shd w:val="clear" w:color="auto" w:fill="000080"/>
      <w:adjustRightInd w:val="0"/>
      <w:jc w:val="left"/>
      <w:textAlignment w:val="baseline"/>
    </w:pPr>
    <w:rPr>
      <w:rFonts w:ascii="Tahoma" w:hAnsi="Tahoma"/>
      <w:kern w:val="0"/>
      <w:sz w:val="20"/>
      <w:szCs w:val="20"/>
      <w:lang w:val="en-GB"/>
    </w:rPr>
  </w:style>
  <w:style w:type="paragraph" w:customStyle="1" w:styleId="759">
    <w:name w:val="font16"/>
    <w:basedOn w:val="1"/>
    <w:qFormat/>
    <w:uiPriority w:val="0"/>
    <w:pPr>
      <w:widowControl/>
      <w:spacing w:before="100" w:beforeAutospacing="1" w:after="100" w:afterAutospacing="1"/>
      <w:jc w:val="left"/>
    </w:pPr>
    <w:rPr>
      <w:b/>
      <w:bCs/>
      <w:kern w:val="0"/>
      <w:sz w:val="24"/>
      <w:szCs w:val="20"/>
    </w:rPr>
  </w:style>
  <w:style w:type="paragraph" w:customStyle="1" w:styleId="760">
    <w:name w:val="正文(首缩进)"/>
    <w:basedOn w:val="1"/>
    <w:qFormat/>
    <w:uiPriority w:val="0"/>
    <w:pPr>
      <w:spacing w:beforeLines="25" w:afterLines="25" w:line="420" w:lineRule="auto"/>
      <w:ind w:firstLine="200" w:firstLineChars="200"/>
    </w:pPr>
    <w:rPr>
      <w:sz w:val="28"/>
      <w:szCs w:val="28"/>
    </w:rPr>
  </w:style>
  <w:style w:type="paragraph" w:customStyle="1" w:styleId="761">
    <w:name w:val="List Alpha"/>
    <w:basedOn w:val="49"/>
    <w:qFormat/>
    <w:uiPriority w:val="0"/>
    <w:pPr>
      <w:tabs>
        <w:tab w:val="left" w:pos="720"/>
      </w:tabs>
      <w:autoSpaceDE w:val="0"/>
      <w:autoSpaceDN w:val="0"/>
      <w:adjustRightInd w:val="0"/>
      <w:spacing w:after="0" w:line="240" w:lineRule="auto"/>
      <w:ind w:left="720" w:leftChars="0" w:hanging="360"/>
    </w:pPr>
    <w:rPr>
      <w:rFonts w:ascii="Arial" w:hAnsi="Arial" w:cs="Arial"/>
      <w:kern w:val="0"/>
      <w:sz w:val="22"/>
      <w:szCs w:val="22"/>
      <w:lang w:eastAsia="en-US"/>
    </w:rPr>
  </w:style>
  <w:style w:type="paragraph" w:customStyle="1" w:styleId="762">
    <w:name w:val="样式1 + 加粗"/>
    <w:basedOn w:val="283"/>
    <w:qFormat/>
    <w:uiPriority w:val="0"/>
    <w:pPr>
      <w:spacing w:line="336" w:lineRule="auto"/>
    </w:pPr>
    <w:rPr>
      <w:rFonts w:eastAsia="黑体"/>
      <w:bCs/>
      <w:sz w:val="24"/>
      <w:szCs w:val="24"/>
    </w:rPr>
  </w:style>
  <w:style w:type="paragraph" w:customStyle="1" w:styleId="763">
    <w:name w:val="附录标识"/>
    <w:next w:val="566"/>
    <w:qFormat/>
    <w:uiPriority w:val="0"/>
    <w:pPr>
      <w:tabs>
        <w:tab w:val="left" w:pos="390"/>
      </w:tabs>
      <w:spacing w:line="360" w:lineRule="auto"/>
      <w:ind w:left="390" w:hanging="390"/>
      <w:jc w:val="center"/>
      <w:outlineLvl w:val="0"/>
    </w:pPr>
    <w:rPr>
      <w:rFonts w:ascii="黑体" w:hAnsi="Times New Roman" w:eastAsia="黑体" w:cs="Times New Roman"/>
      <w:b/>
      <w:kern w:val="2"/>
      <w:sz w:val="32"/>
      <w:szCs w:val="24"/>
      <w:lang w:val="en-US" w:eastAsia="zh-CN" w:bidi="ar-SA"/>
    </w:rPr>
  </w:style>
  <w:style w:type="paragraph" w:customStyle="1" w:styleId="764">
    <w:name w:val="wg"/>
    <w:basedOn w:val="1"/>
    <w:qFormat/>
    <w:uiPriority w:val="0"/>
    <w:rPr>
      <w:sz w:val="28"/>
      <w:szCs w:val="20"/>
    </w:rPr>
  </w:style>
  <w:style w:type="paragraph" w:customStyle="1" w:styleId="765">
    <w:name w:val="章(一级)"/>
    <w:basedOn w:val="5"/>
    <w:next w:val="1"/>
    <w:qFormat/>
    <w:uiPriority w:val="0"/>
    <w:pPr>
      <w:keepNext w:val="0"/>
      <w:keepLines w:val="0"/>
      <w:tabs>
        <w:tab w:val="left" w:pos="-180"/>
        <w:tab w:val="left" w:pos="915"/>
      </w:tabs>
      <w:adjustRightInd w:val="0"/>
      <w:spacing w:before="0" w:after="0" w:line="1100" w:lineRule="exact"/>
      <w:jc w:val="left"/>
      <w:textAlignment w:val="baseline"/>
      <w:outlineLvl w:val="9"/>
    </w:pPr>
    <w:rPr>
      <w:rFonts w:ascii="宋体" w:hAnsi="宋体"/>
      <w:bCs w:val="0"/>
      <w:color w:val="000000"/>
      <w:spacing w:val="20"/>
      <w:kern w:val="0"/>
      <w:sz w:val="24"/>
      <w:szCs w:val="36"/>
    </w:rPr>
  </w:style>
  <w:style w:type="paragraph" w:customStyle="1" w:styleId="766">
    <w:name w:val="可研正文正文"/>
    <w:basedOn w:val="1"/>
    <w:qFormat/>
    <w:uiPriority w:val="0"/>
    <w:pPr>
      <w:spacing w:line="360" w:lineRule="auto"/>
      <w:ind w:firstLine="482"/>
    </w:pPr>
    <w:rPr>
      <w:sz w:val="24"/>
    </w:rPr>
  </w:style>
  <w:style w:type="paragraph" w:customStyle="1" w:styleId="767">
    <w:name w:val="Char Char2 Char Char Char Char"/>
    <w:basedOn w:val="1"/>
    <w:semiHidden/>
    <w:qFormat/>
    <w:uiPriority w:val="0"/>
    <w:rPr>
      <w:szCs w:val="20"/>
    </w:rPr>
  </w:style>
  <w:style w:type="paragraph" w:customStyle="1" w:styleId="768">
    <w:name w:val="样式 正文"/>
    <w:basedOn w:val="1"/>
    <w:qFormat/>
    <w:uiPriority w:val="0"/>
    <w:pPr>
      <w:spacing w:line="440" w:lineRule="atLeast"/>
      <w:ind w:firstLine="200" w:firstLineChars="200"/>
    </w:pPr>
    <w:rPr>
      <w:sz w:val="24"/>
      <w:szCs w:val="20"/>
    </w:rPr>
  </w:style>
  <w:style w:type="paragraph" w:customStyle="1" w:styleId="769">
    <w:name w:val="xl1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hint="eastAsia" w:ascii="仿宋_GB2312" w:hAnsi="Arial Unicode MS" w:eastAsia="仿宋_GB2312" w:cs="TimesNewRomanPSMT"/>
      <w:kern w:val="0"/>
      <w:sz w:val="16"/>
      <w:szCs w:val="16"/>
    </w:rPr>
  </w:style>
  <w:style w:type="paragraph" w:customStyle="1" w:styleId="770">
    <w:name w:val="xl185"/>
    <w:basedOn w:val="1"/>
    <w:qFormat/>
    <w:uiPriority w:val="0"/>
    <w:pPr>
      <w:widowControl/>
      <w:pBdr>
        <w:bottom w:val="single" w:color="auto" w:sz="12" w:space="0"/>
      </w:pBdr>
      <w:spacing w:before="100" w:beforeAutospacing="1" w:after="100" w:afterAutospacing="1"/>
      <w:jc w:val="center"/>
    </w:pPr>
    <w:rPr>
      <w:rFonts w:hint="eastAsia" w:ascii="楷体_GB2312" w:hAnsi="Arial Unicode MS" w:eastAsia="楷体_GB2312" w:cs="TimesNewRomanPSMT"/>
      <w:b/>
      <w:bCs/>
      <w:kern w:val="0"/>
      <w:sz w:val="24"/>
      <w:szCs w:val="20"/>
    </w:rPr>
  </w:style>
  <w:style w:type="paragraph" w:customStyle="1" w:styleId="771">
    <w:name w:val="样式 样式 标题 3条节标题1.1.1标题2三级标题Alt+C标题 3 Char Char标题 3 Char三级标题... + ..."/>
    <w:basedOn w:val="1"/>
    <w:qFormat/>
    <w:uiPriority w:val="0"/>
    <w:pPr>
      <w:keepNext/>
      <w:keepLines/>
      <w:widowControl/>
      <w:spacing w:before="120" w:after="120" w:line="440" w:lineRule="exact"/>
      <w:jc w:val="left"/>
      <w:outlineLvl w:val="2"/>
    </w:pPr>
    <w:rPr>
      <w:rFonts w:eastAsia="黑体" w:cs="宋体"/>
      <w:bCs/>
      <w:kern w:val="0"/>
      <w:sz w:val="28"/>
      <w:szCs w:val="28"/>
    </w:rPr>
  </w:style>
  <w:style w:type="paragraph" w:customStyle="1" w:styleId="772">
    <w:name w:val="文"/>
    <w:basedOn w:val="1"/>
    <w:qFormat/>
    <w:uiPriority w:val="0"/>
    <w:pPr>
      <w:spacing w:line="360" w:lineRule="auto"/>
      <w:ind w:firstLine="200" w:firstLineChars="200"/>
      <w:jc w:val="left"/>
    </w:pPr>
    <w:rPr>
      <w:sz w:val="24"/>
      <w:szCs w:val="24"/>
    </w:rPr>
  </w:style>
  <w:style w:type="paragraph" w:customStyle="1" w:styleId="773">
    <w:name w:val="Achievement"/>
    <w:basedOn w:val="3"/>
    <w:qFormat/>
    <w:uiPriority w:val="0"/>
    <w:pPr>
      <w:widowControl/>
      <w:tabs>
        <w:tab w:val="left" w:pos="900"/>
      </w:tabs>
      <w:spacing w:after="60" w:line="220" w:lineRule="atLeast"/>
      <w:ind w:left="900" w:right="-360" w:hanging="420"/>
      <w:jc w:val="left"/>
    </w:pPr>
    <w:rPr>
      <w:kern w:val="0"/>
      <w:sz w:val="20"/>
      <w:szCs w:val="20"/>
    </w:rPr>
  </w:style>
  <w:style w:type="paragraph" w:customStyle="1" w:styleId="774">
    <w:name w:val="中文报告书样式"/>
    <w:basedOn w:val="1"/>
    <w:qFormat/>
    <w:uiPriority w:val="0"/>
    <w:pPr>
      <w:tabs>
        <w:tab w:val="left" w:pos="360"/>
      </w:tabs>
      <w:adjustRightInd w:val="0"/>
      <w:snapToGrid w:val="0"/>
      <w:jc w:val="center"/>
      <w:textAlignment w:val="baseline"/>
    </w:pPr>
    <w:rPr>
      <w:rFonts w:ascii="Calibri" w:hAnsi="Calibri"/>
    </w:rPr>
  </w:style>
  <w:style w:type="paragraph" w:customStyle="1" w:styleId="775">
    <w:name w:val="1级标题"/>
    <w:basedOn w:val="1"/>
    <w:qFormat/>
    <w:uiPriority w:val="0"/>
    <w:pPr>
      <w:spacing w:line="360" w:lineRule="auto"/>
    </w:pPr>
    <w:rPr>
      <w:rFonts w:ascii="仿宋_GB2312" w:eastAsia="仿宋_GB2312"/>
      <w:b/>
      <w:sz w:val="28"/>
      <w:szCs w:val="20"/>
      <w:lang w:val="zh-CN"/>
    </w:rPr>
  </w:style>
  <w:style w:type="paragraph" w:customStyle="1" w:styleId="776">
    <w:name w:val="默认段落字体 Para Char Char Char Char Char Char Char Char Char Char"/>
    <w:basedOn w:val="1"/>
    <w:qFormat/>
    <w:uiPriority w:val="0"/>
    <w:rPr>
      <w:szCs w:val="21"/>
    </w:rPr>
  </w:style>
  <w:style w:type="paragraph" w:customStyle="1" w:styleId="777">
    <w:name w:val="样式 （）"/>
    <w:basedOn w:val="8"/>
    <w:next w:val="768"/>
    <w:qFormat/>
    <w:uiPriority w:val="0"/>
    <w:pPr>
      <w:numPr>
        <w:ilvl w:val="0"/>
        <w:numId w:val="0"/>
      </w:numPr>
      <w:tabs>
        <w:tab w:val="left" w:pos="1800"/>
        <w:tab w:val="clear" w:pos="864"/>
      </w:tabs>
      <w:spacing w:before="120" w:line="440" w:lineRule="atLeast"/>
      <w:jc w:val="both"/>
    </w:pPr>
    <w:rPr>
      <w:rFonts w:ascii="黑体" w:eastAsia="宋体" w:cs="黑体"/>
      <w:sz w:val="24"/>
      <w:szCs w:val="24"/>
    </w:rPr>
  </w:style>
  <w:style w:type="paragraph" w:customStyle="1" w:styleId="778">
    <w:name w:val="陕西，正文"/>
    <w:basedOn w:val="1"/>
    <w:qFormat/>
    <w:uiPriority w:val="0"/>
    <w:pPr>
      <w:spacing w:line="360" w:lineRule="auto"/>
      <w:ind w:firstLine="560" w:firstLineChars="200"/>
    </w:pPr>
    <w:rPr>
      <w:sz w:val="28"/>
      <w:szCs w:val="28"/>
    </w:rPr>
  </w:style>
  <w:style w:type="paragraph" w:customStyle="1" w:styleId="779">
    <w:name w:val="reader-word-layer reader-word-s1-2"/>
    <w:basedOn w:val="1"/>
    <w:qFormat/>
    <w:uiPriority w:val="0"/>
    <w:pPr>
      <w:widowControl/>
      <w:spacing w:before="100" w:beforeAutospacing="1" w:after="100" w:afterAutospacing="1"/>
      <w:jc w:val="left"/>
    </w:pPr>
    <w:rPr>
      <w:rFonts w:ascii="宋体" w:hAnsi="宋体" w:cs="宋体"/>
      <w:kern w:val="0"/>
      <w:sz w:val="24"/>
    </w:rPr>
  </w:style>
  <w:style w:type="paragraph" w:customStyle="1" w:styleId="780">
    <w:name w:val="HTML 预先格式化"/>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hAnsi="Courier New" w:eastAsia="黑体"/>
      <w:kern w:val="0"/>
      <w:sz w:val="20"/>
      <w:szCs w:val="20"/>
    </w:rPr>
  </w:style>
  <w:style w:type="paragraph" w:customStyle="1" w:styleId="781">
    <w:name w:val="zjpbodytext"/>
    <w:basedOn w:val="1"/>
    <w:semiHidden/>
    <w:qFormat/>
    <w:uiPriority w:val="0"/>
    <w:pPr>
      <w:autoSpaceDE w:val="0"/>
      <w:autoSpaceDN w:val="0"/>
      <w:adjustRightInd w:val="0"/>
      <w:spacing w:line="360" w:lineRule="auto"/>
      <w:ind w:firstLine="567" w:firstLineChars="200"/>
    </w:pPr>
    <w:rPr>
      <w:rFonts w:ascii="宋体"/>
      <w:kern w:val="0"/>
      <w:sz w:val="24"/>
      <w:szCs w:val="20"/>
    </w:rPr>
  </w:style>
  <w:style w:type="paragraph" w:customStyle="1" w:styleId="782">
    <w:name w:val="图名1"/>
    <w:basedOn w:val="1"/>
    <w:qFormat/>
    <w:uiPriority w:val="0"/>
    <w:rPr>
      <w:rFonts w:ascii="Arial" w:hAnsi="Arial" w:eastAsia="黑体"/>
      <w:snapToGrid w:val="0"/>
      <w:kern w:val="0"/>
      <w:szCs w:val="20"/>
    </w:rPr>
  </w:style>
  <w:style w:type="paragraph" w:customStyle="1" w:styleId="783">
    <w:name w:val="xl8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FF"/>
      <w:kern w:val="0"/>
      <w:sz w:val="28"/>
      <w:szCs w:val="28"/>
    </w:rPr>
  </w:style>
  <w:style w:type="paragraph" w:customStyle="1" w:styleId="784">
    <w:name w:val="TESTO"/>
    <w:basedOn w:val="1"/>
    <w:qFormat/>
    <w:uiPriority w:val="0"/>
    <w:pPr>
      <w:widowControl/>
      <w:tabs>
        <w:tab w:val="left" w:pos="1418"/>
        <w:tab w:val="left" w:pos="1701"/>
        <w:tab w:val="left" w:pos="2424"/>
        <w:tab w:val="left" w:pos="3024"/>
        <w:tab w:val="left" w:pos="3624"/>
        <w:tab w:val="left" w:pos="4224"/>
        <w:tab w:val="left" w:pos="4824"/>
        <w:tab w:val="left" w:pos="5424"/>
        <w:tab w:val="left" w:pos="6024"/>
        <w:tab w:val="left" w:pos="6624"/>
        <w:tab w:val="left" w:pos="7224"/>
      </w:tabs>
      <w:overflowPunct w:val="0"/>
      <w:autoSpaceDE w:val="0"/>
      <w:autoSpaceDN w:val="0"/>
      <w:adjustRightInd w:val="0"/>
      <w:spacing w:line="240" w:lineRule="atLeast"/>
      <w:ind w:left="1247" w:right="851" w:hanging="851"/>
      <w:textAlignment w:val="baseline"/>
    </w:pPr>
    <w:rPr>
      <w:rFonts w:ascii="Arial" w:hAnsi="Arial"/>
      <w:kern w:val="0"/>
      <w:sz w:val="22"/>
      <w:szCs w:val="20"/>
      <w:lang w:val="en-GB"/>
    </w:rPr>
  </w:style>
  <w:style w:type="paragraph" w:customStyle="1" w:styleId="785">
    <w:name w:val="xl182"/>
    <w:basedOn w:val="1"/>
    <w:qFormat/>
    <w:uiPriority w:val="0"/>
    <w:pPr>
      <w:widowControl/>
      <w:pBdr>
        <w:left w:val="single" w:color="auto" w:sz="12" w:space="0"/>
        <w:bottom w:val="double" w:color="auto" w:sz="6"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786">
    <w:name w:val="xl1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FF"/>
      <w:kern w:val="0"/>
      <w:sz w:val="16"/>
      <w:szCs w:val="16"/>
    </w:rPr>
  </w:style>
  <w:style w:type="paragraph" w:customStyle="1" w:styleId="787">
    <w:name w:val=" Char Char Char Char"/>
    <w:basedOn w:val="1"/>
    <w:qFormat/>
    <w:uiPriority w:val="0"/>
    <w:pPr>
      <w:spacing w:line="360" w:lineRule="auto"/>
      <w:ind w:firstLine="200" w:firstLineChars="200"/>
    </w:pPr>
    <w:rPr>
      <w:rFonts w:ascii="宋体" w:hAnsi="宋体" w:cs="宋体"/>
      <w:sz w:val="24"/>
    </w:rPr>
  </w:style>
  <w:style w:type="paragraph" w:customStyle="1" w:styleId="788">
    <w:name w:val="8"/>
    <w:basedOn w:val="1"/>
    <w:next w:val="3"/>
    <w:qFormat/>
    <w:uiPriority w:val="0"/>
    <w:rPr>
      <w:b/>
      <w:bCs/>
      <w:sz w:val="28"/>
      <w:szCs w:val="20"/>
    </w:rPr>
  </w:style>
  <w:style w:type="paragraph" w:customStyle="1" w:styleId="789">
    <w:name w:val="图和表标题"/>
    <w:next w:val="8"/>
    <w:qFormat/>
    <w:uiPriority w:val="0"/>
    <w:pPr>
      <w:widowControl w:val="0"/>
      <w:spacing w:line="440" w:lineRule="exact"/>
      <w:jc w:val="center"/>
    </w:pPr>
    <w:rPr>
      <w:rFonts w:ascii="黑体" w:hAnsi="Times New Roman" w:eastAsia="黑体" w:cs="Times New Roman"/>
      <w:kern w:val="2"/>
      <w:sz w:val="24"/>
      <w:szCs w:val="24"/>
      <w:lang w:val="en-US" w:eastAsia="zh-CN" w:bidi="ar-SA"/>
    </w:rPr>
  </w:style>
  <w:style w:type="paragraph" w:customStyle="1" w:styleId="790">
    <w:name w:val="小标题2"/>
    <w:basedOn w:val="1"/>
    <w:qFormat/>
    <w:uiPriority w:val="0"/>
    <w:pPr>
      <w:tabs>
        <w:tab w:val="left" w:pos="1120"/>
      </w:tabs>
      <w:overflowPunct w:val="0"/>
      <w:adjustRightInd w:val="0"/>
      <w:snapToGrid w:val="0"/>
      <w:spacing w:line="480" w:lineRule="exact"/>
      <w:ind w:firstLine="567"/>
    </w:pPr>
    <w:rPr>
      <w:rFonts w:ascii="Arial" w:hAnsi="Arial" w:eastAsia="仿宋_GB2312"/>
      <w:color w:val="000000"/>
      <w:sz w:val="28"/>
      <w:szCs w:val="20"/>
    </w:rPr>
  </w:style>
  <w:style w:type="paragraph" w:customStyle="1" w:styleId="791">
    <w:name w:val="xl1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FF"/>
      <w:kern w:val="0"/>
      <w:sz w:val="16"/>
      <w:szCs w:val="16"/>
    </w:rPr>
  </w:style>
  <w:style w:type="paragraph" w:customStyle="1" w:styleId="792">
    <w:name w:val="NOTES"/>
    <w:qFormat/>
    <w:uiPriority w:val="0"/>
    <w:pPr>
      <w:adjustRightInd w:val="0"/>
      <w:ind w:left="1701" w:right="567" w:hanging="567"/>
      <w:textAlignment w:val="baseline"/>
    </w:pPr>
    <w:rPr>
      <w:rFonts w:ascii="Arial" w:hAnsi="Arial" w:eastAsia="宋体" w:cs="Times New Roman"/>
      <w:kern w:val="2"/>
      <w:sz w:val="24"/>
      <w:szCs w:val="24"/>
      <w:lang w:val="en-US" w:eastAsia="zh-CN" w:bidi="ar-SA"/>
    </w:rPr>
  </w:style>
  <w:style w:type="paragraph" w:customStyle="1" w:styleId="793">
    <w:name w:val="附录四级条标题"/>
    <w:basedOn w:val="794"/>
    <w:next w:val="1"/>
    <w:qFormat/>
    <w:uiPriority w:val="0"/>
    <w:pPr>
      <w:tabs>
        <w:tab w:val="left" w:pos="360"/>
        <w:tab w:val="left" w:pos="576"/>
        <w:tab w:val="left" w:pos="720"/>
        <w:tab w:val="left" w:pos="864"/>
        <w:tab w:val="left" w:pos="1008"/>
        <w:tab w:val="left" w:pos="1152"/>
        <w:tab w:val="left" w:pos="1260"/>
        <w:tab w:val="left" w:pos="1680"/>
        <w:tab w:val="left" w:pos="2100"/>
        <w:tab w:val="left" w:pos="2520"/>
      </w:tabs>
      <w:ind w:left="2520"/>
      <w:outlineLvl w:val="5"/>
    </w:pPr>
  </w:style>
  <w:style w:type="paragraph" w:customStyle="1" w:styleId="794">
    <w:name w:val="附录三级条标题"/>
    <w:basedOn w:val="698"/>
    <w:next w:val="1"/>
    <w:qFormat/>
    <w:uiPriority w:val="0"/>
    <w:pPr>
      <w:tabs>
        <w:tab w:val="left" w:pos="1008"/>
        <w:tab w:val="left" w:pos="2100"/>
      </w:tabs>
      <w:ind w:left="2100"/>
      <w:outlineLvl w:val="4"/>
    </w:pPr>
  </w:style>
  <w:style w:type="paragraph" w:customStyle="1" w:styleId="795">
    <w:name w:val=" Char Char Char Char Char Char Char Char Char Char Char Char Char Char Char Char Char Char Char Char Char"/>
    <w:basedOn w:val="1"/>
    <w:semiHidden/>
    <w:qFormat/>
    <w:uiPriority w:val="0"/>
    <w:pPr>
      <w:spacing w:line="300" w:lineRule="auto"/>
    </w:pPr>
    <w:rPr>
      <w:sz w:val="24"/>
      <w:szCs w:val="20"/>
    </w:rPr>
  </w:style>
  <w:style w:type="paragraph" w:customStyle="1" w:styleId="796">
    <w:name w:val="正文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97">
    <w:name w:val="ZHY正文文字"/>
    <w:basedOn w:val="1"/>
    <w:qFormat/>
    <w:uiPriority w:val="0"/>
    <w:pPr>
      <w:spacing w:line="460" w:lineRule="exact"/>
      <w:ind w:firstLine="200" w:firstLineChars="200"/>
    </w:pPr>
    <w:rPr>
      <w:sz w:val="28"/>
      <w:szCs w:val="28"/>
    </w:rPr>
  </w:style>
  <w:style w:type="paragraph" w:customStyle="1" w:styleId="798">
    <w:name w:val="Normal (Web)"/>
    <w:basedOn w:val="1"/>
    <w:qFormat/>
    <w:uiPriority w:val="0"/>
    <w:pPr>
      <w:widowControl/>
      <w:autoSpaceDE/>
      <w:autoSpaceDN/>
      <w:snapToGrid/>
      <w:spacing w:before="100" w:beforeLines="0" w:beforeAutospacing="1" w:after="100" w:afterLines="0" w:afterAutospacing="1" w:line="240" w:lineRule="auto"/>
      <w:ind w:firstLine="0"/>
      <w:jc w:val="left"/>
    </w:pPr>
    <w:rPr>
      <w:rFonts w:hint="eastAsia" w:ascii="宋体" w:hAnsi="宋体" w:eastAsia="宋体"/>
      <w:sz w:val="24"/>
    </w:rPr>
  </w:style>
  <w:style w:type="paragraph" w:customStyle="1" w:styleId="799">
    <w:name w:val="附录五级条标题"/>
    <w:basedOn w:val="793"/>
    <w:next w:val="1"/>
    <w:qFormat/>
    <w:uiPriority w:val="0"/>
    <w:pPr>
      <w:tabs>
        <w:tab w:val="left" w:pos="1296"/>
        <w:tab w:val="left" w:pos="2940"/>
      </w:tabs>
      <w:ind w:left="2940"/>
      <w:outlineLvl w:val="6"/>
    </w:pPr>
  </w:style>
  <w:style w:type="paragraph" w:customStyle="1" w:styleId="800">
    <w:name w:val="样式 标题 6 + 首行缩进:  2 字符"/>
    <w:basedOn w:val="10"/>
    <w:qFormat/>
    <w:uiPriority w:val="0"/>
    <w:pPr>
      <w:keepNext w:val="0"/>
      <w:keepLines w:val="0"/>
      <w:numPr>
        <w:ilvl w:val="0"/>
        <w:numId w:val="0"/>
      </w:numPr>
      <w:tabs>
        <w:tab w:val="clear" w:pos="1152"/>
      </w:tabs>
      <w:autoSpaceDE/>
      <w:autoSpaceDN/>
      <w:adjustRightInd/>
      <w:spacing w:before="0" w:after="0" w:line="360" w:lineRule="auto"/>
      <w:ind w:firstLine="480" w:firstLineChars="200"/>
      <w:textAlignment w:val="auto"/>
    </w:pPr>
    <w:rPr>
      <w:rFonts w:ascii="宋体" w:hAnsi="宋体" w:eastAsia="宋体" w:cs="宋体"/>
      <w:b w:val="0"/>
      <w:bCs/>
      <w:color w:val="auto"/>
      <w:kern w:val="2"/>
    </w:rPr>
  </w:style>
  <w:style w:type="paragraph" w:customStyle="1" w:styleId="801">
    <w:name w:val="xl25"/>
    <w:basedOn w:val="1"/>
    <w:qFormat/>
    <w:uiPriority w:val="0"/>
    <w:pPr>
      <w:widowControl/>
      <w:pBdr>
        <w:top w:val="single" w:color="auto" w:sz="8" w:space="0"/>
        <w:left w:val="single" w:color="auto" w:sz="8" w:space="0"/>
        <w:right w:val="single" w:color="auto" w:sz="8" w:space="0"/>
      </w:pBdr>
      <w:spacing w:before="100" w:beforeAutospacing="1" w:after="100" w:afterAutospacing="1"/>
      <w:jc w:val="center"/>
      <w:textAlignment w:val="center"/>
    </w:pPr>
    <w:rPr>
      <w:rFonts w:ascii="Arial Unicode MS" w:hAnsi="Arial Unicode MS" w:eastAsia="Arial Unicode MS"/>
      <w:kern w:val="0"/>
      <w:sz w:val="20"/>
      <w:szCs w:val="20"/>
    </w:rPr>
  </w:style>
  <w:style w:type="paragraph" w:customStyle="1" w:styleId="802">
    <w:name w:val="样式9"/>
    <w:basedOn w:val="626"/>
    <w:qFormat/>
    <w:uiPriority w:val="0"/>
    <w:pPr>
      <w:widowControl w:val="0"/>
      <w:topLinePunct w:val="0"/>
      <w:autoSpaceDN w:val="0"/>
      <w:spacing w:before="240" w:line="360" w:lineRule="auto"/>
      <w:ind w:left="0"/>
      <w:jc w:val="both"/>
    </w:pPr>
    <w:rPr>
      <w:b w:val="0"/>
      <w:bCs w:val="0"/>
      <w:sz w:val="24"/>
      <w:szCs w:val="24"/>
    </w:rPr>
  </w:style>
  <w:style w:type="paragraph" w:customStyle="1" w:styleId="803">
    <w:name w:val="Char Char Char Char1"/>
    <w:basedOn w:val="1"/>
    <w:qFormat/>
    <w:uiPriority w:val="0"/>
  </w:style>
  <w:style w:type="paragraph" w:customStyle="1" w:styleId="804">
    <w:name w:val="Char Char Char Char Char Char Char1"/>
    <w:basedOn w:val="1"/>
    <w:qFormat/>
    <w:uiPriority w:val="0"/>
    <w:rPr>
      <w:kern w:val="0"/>
      <w:sz w:val="24"/>
      <w:szCs w:val="20"/>
    </w:rPr>
  </w:style>
  <w:style w:type="paragraph" w:customStyle="1" w:styleId="805">
    <w:name w:val="表格，五宋"/>
    <w:qFormat/>
    <w:uiPriority w:val="0"/>
    <w:pPr>
      <w:keepNext/>
      <w:widowControl w:val="0"/>
      <w:adjustRightInd w:val="0"/>
      <w:spacing w:line="360" w:lineRule="atLeast"/>
      <w:jc w:val="center"/>
    </w:pPr>
    <w:rPr>
      <w:rFonts w:hint="eastAsia" w:ascii="宋体" w:hAnsi="宋体" w:eastAsia="宋体" w:cs="Times New Roman"/>
      <w:kern w:val="2"/>
      <w:sz w:val="21"/>
      <w:szCs w:val="24"/>
      <w:lang w:val="en-US" w:eastAsia="zh-CN" w:bidi="ar-SA"/>
    </w:rPr>
  </w:style>
  <w:style w:type="paragraph" w:customStyle="1" w:styleId="806">
    <w:name w:val="Table Paragraph"/>
    <w:basedOn w:val="1"/>
    <w:qFormat/>
    <w:uiPriority w:val="1"/>
    <w:pPr>
      <w:jc w:val="center"/>
    </w:pPr>
    <w:rPr>
      <w:rFonts w:ascii="Times New Roman" w:hAnsi="Times New Roman" w:eastAsia="Times New Roman" w:cs="Times New Roman"/>
      <w:lang w:val="zh-CN" w:eastAsia="zh-CN" w:bidi="zh-CN"/>
    </w:rPr>
  </w:style>
  <w:style w:type="paragraph" w:customStyle="1" w:styleId="807">
    <w:name w:val="表头-"/>
    <w:basedOn w:val="1"/>
    <w:qFormat/>
    <w:uiPriority w:val="0"/>
    <w:pPr>
      <w:spacing w:line="360" w:lineRule="auto"/>
      <w:jc w:val="center"/>
    </w:pPr>
    <w:rPr>
      <w:rFonts w:ascii="Times New Roman" w:hAnsi="Times New Roman" w:eastAsia="黑体"/>
      <w:b/>
    </w:rPr>
  </w:style>
  <w:style w:type="paragraph" w:customStyle="1" w:styleId="808">
    <w:name w:val="7级"/>
    <w:qFormat/>
    <w:uiPriority w:val="0"/>
    <w:pPr>
      <w:widowControl w:val="0"/>
      <w:spacing w:line="360" w:lineRule="auto"/>
      <w:ind w:firstLine="560" w:firstLineChars="200"/>
      <w:jc w:val="both"/>
    </w:pPr>
    <w:rPr>
      <w:rFonts w:ascii="楷体_GB2312" w:hAnsi="宋体" w:eastAsia="楷体_GB2312" w:cs="Arial"/>
      <w:kern w:val="2"/>
      <w:sz w:val="28"/>
      <w:szCs w:val="28"/>
      <w:lang w:val="en-US" w:eastAsia="zh-CN" w:bidi="ar-SA"/>
    </w:rPr>
  </w:style>
  <w:style w:type="paragraph" w:customStyle="1" w:styleId="809">
    <w:name w:val="reader-word-layer reader-word-s2-0"/>
    <w:basedOn w:val="1"/>
    <w:qFormat/>
    <w:uiPriority w:val="0"/>
    <w:pPr>
      <w:widowControl/>
      <w:spacing w:before="100" w:beforeAutospacing="1" w:after="100" w:afterAutospacing="1"/>
      <w:jc w:val="left"/>
    </w:pPr>
    <w:rPr>
      <w:rFonts w:ascii="宋体" w:hAnsi="宋体" w:cs="宋体"/>
      <w:kern w:val="0"/>
      <w:sz w:val="24"/>
    </w:rPr>
  </w:style>
  <w:style w:type="paragraph" w:customStyle="1" w:styleId="810">
    <w:name w:val="xl59"/>
    <w:basedOn w:val="1"/>
    <w:qFormat/>
    <w:uiPriority w:val="0"/>
    <w:pPr>
      <w:widowControl/>
      <w:pBdr>
        <w:top w:val="single" w:color="auto" w:sz="8" w:space="0"/>
        <w:bottom w:val="single" w:color="auto" w:sz="4" w:space="0"/>
        <w:right w:val="single" w:color="auto" w:sz="4" w:space="0"/>
      </w:pBdr>
      <w:spacing w:before="100" w:beforeAutospacing="1" w:after="100" w:afterAutospacing="1"/>
      <w:jc w:val="center"/>
      <w:textAlignment w:val="center"/>
    </w:pPr>
    <w:rPr>
      <w:rFonts w:eastAsia="Arial Unicode MS"/>
      <w:kern w:val="0"/>
      <w:sz w:val="24"/>
    </w:rPr>
  </w:style>
  <w:style w:type="paragraph" w:customStyle="1" w:styleId="811">
    <w:name w:val="xl103"/>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FF"/>
      <w:kern w:val="0"/>
      <w:sz w:val="28"/>
      <w:szCs w:val="28"/>
    </w:rPr>
  </w:style>
  <w:style w:type="paragraph" w:customStyle="1" w:styleId="812">
    <w:name w:val="Cover"/>
    <w:qFormat/>
    <w:uiPriority w:val="0"/>
    <w:pPr>
      <w:adjustRightInd w:val="0"/>
      <w:spacing w:before="240" w:after="240"/>
      <w:jc w:val="center"/>
      <w:textAlignment w:val="baseline"/>
    </w:pPr>
    <w:rPr>
      <w:rFonts w:ascii="Arial" w:hAnsi="Arial" w:eastAsia="宋体" w:cs="Times New Roman"/>
      <w:b/>
      <w:kern w:val="2"/>
      <w:sz w:val="40"/>
      <w:szCs w:val="24"/>
      <w:lang w:val="en-US" w:eastAsia="zh-CN" w:bidi="ar-SA"/>
    </w:rPr>
  </w:style>
  <w:style w:type="paragraph" w:customStyle="1" w:styleId="813">
    <w:name w:val="正文 + 首行缩进:  2 字符"/>
    <w:basedOn w:val="1"/>
    <w:qFormat/>
    <w:uiPriority w:val="0"/>
    <w:pPr>
      <w:spacing w:line="480" w:lineRule="exact"/>
      <w:ind w:firstLine="200" w:firstLineChars="200"/>
      <w:jc w:val="left"/>
    </w:pPr>
    <w:rPr>
      <w:snapToGrid w:val="0"/>
      <w:kern w:val="0"/>
      <w:sz w:val="24"/>
    </w:rPr>
  </w:style>
  <w:style w:type="paragraph" w:customStyle="1" w:styleId="814">
    <w:name w:val="内容"/>
    <w:basedOn w:val="1"/>
    <w:qFormat/>
    <w:uiPriority w:val="0"/>
    <w:pPr>
      <w:widowControl/>
      <w:topLinePunct/>
      <w:adjustRightInd w:val="0"/>
      <w:snapToGrid w:val="0"/>
      <w:spacing w:line="360" w:lineRule="auto"/>
      <w:ind w:left="100" w:leftChars="100" w:right="100" w:rightChars="100"/>
      <w:jc w:val="left"/>
    </w:pPr>
    <w:rPr>
      <w:rFonts w:ascii="宋体" w:hAnsi="宋体"/>
      <w:sz w:val="28"/>
      <w:szCs w:val="20"/>
    </w:rPr>
  </w:style>
  <w:style w:type="paragraph" w:customStyle="1" w:styleId="815">
    <w:name w:val="xl126"/>
    <w:basedOn w:val="1"/>
    <w:qFormat/>
    <w:uiPriority w:val="0"/>
    <w:pPr>
      <w:widowControl/>
      <w:pBdr>
        <w:left w:val="single" w:color="auto" w:sz="4" w:space="0"/>
        <w:right w:val="single" w:color="auto" w:sz="12"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816">
    <w:name w:val="xl176"/>
    <w:basedOn w:val="1"/>
    <w:qFormat/>
    <w:uiPriority w:val="0"/>
    <w:pPr>
      <w:widowControl/>
      <w:pBdr>
        <w:top w:val="single" w:color="auto" w:sz="12" w:space="0"/>
        <w:bottom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00"/>
      <w:kern w:val="0"/>
      <w:sz w:val="16"/>
      <w:szCs w:val="16"/>
    </w:rPr>
  </w:style>
  <w:style w:type="paragraph" w:customStyle="1" w:styleId="817">
    <w:name w:val="xl172"/>
    <w:basedOn w:val="1"/>
    <w:qFormat/>
    <w:uiPriority w:val="0"/>
    <w:pPr>
      <w:widowControl/>
      <w:pBdr>
        <w:top w:val="double" w:color="auto" w:sz="6" w:space="0"/>
        <w:left w:val="single" w:color="auto" w:sz="12"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818">
    <w:name w:val="样式 标题 4 + 小四 两端对齐"/>
    <w:basedOn w:val="8"/>
    <w:qFormat/>
    <w:uiPriority w:val="0"/>
    <w:pPr>
      <w:keepNext w:val="0"/>
      <w:widowControl/>
      <w:numPr>
        <w:ilvl w:val="0"/>
        <w:numId w:val="0"/>
      </w:numPr>
      <w:tabs>
        <w:tab w:val="left" w:pos="454"/>
        <w:tab w:val="clear" w:pos="864"/>
      </w:tabs>
      <w:spacing w:before="76" w:after="76" w:line="360" w:lineRule="auto"/>
      <w:ind w:left="454" w:hanging="454"/>
      <w:jc w:val="both"/>
    </w:pPr>
    <w:rPr>
      <w:rFonts w:ascii="宋体" w:hAnsi="宋体" w:eastAsia="宋体"/>
      <w:b w:val="0"/>
      <w:kern w:val="0"/>
      <w:sz w:val="24"/>
    </w:rPr>
  </w:style>
  <w:style w:type="paragraph" w:customStyle="1" w:styleId="819">
    <w:name w:val="标题1"/>
    <w:basedOn w:val="5"/>
    <w:qFormat/>
    <w:uiPriority w:val="0"/>
    <w:pPr>
      <w:tabs>
        <w:tab w:val="left" w:pos="-180"/>
      </w:tabs>
      <w:spacing w:before="300" w:after="300" w:line="560" w:lineRule="exact"/>
    </w:pPr>
    <w:rPr>
      <w:rFonts w:ascii="方正粗圆简体" w:hAnsi="宋体"/>
      <w:bCs w:val="0"/>
      <w:color w:val="000000"/>
      <w:sz w:val="30"/>
      <w:szCs w:val="32"/>
    </w:rPr>
  </w:style>
  <w:style w:type="paragraph" w:customStyle="1" w:styleId="820">
    <w:name w:val="字元 字元"/>
    <w:basedOn w:val="1"/>
    <w:qFormat/>
    <w:uiPriority w:val="0"/>
    <w:rPr>
      <w:sz w:val="24"/>
    </w:rPr>
  </w:style>
  <w:style w:type="paragraph" w:customStyle="1" w:styleId="821">
    <w:name w:val="标准"/>
    <w:basedOn w:val="1"/>
    <w:qFormat/>
    <w:uiPriority w:val="0"/>
    <w:pPr>
      <w:adjustRightInd w:val="0"/>
      <w:spacing w:line="480" w:lineRule="exact"/>
      <w:textAlignment w:val="baseline"/>
    </w:pPr>
    <w:rPr>
      <w:kern w:val="0"/>
      <w:sz w:val="28"/>
      <w:szCs w:val="20"/>
      <w:lang w:val="en-GB"/>
    </w:rPr>
  </w:style>
  <w:style w:type="paragraph" w:customStyle="1" w:styleId="822">
    <w:name w:val="cd1"/>
    <w:basedOn w:val="1"/>
    <w:qFormat/>
    <w:uiPriority w:val="0"/>
    <w:pPr>
      <w:spacing w:before="120"/>
      <w:jc w:val="center"/>
    </w:pPr>
    <w:rPr>
      <w:rFonts w:eastAsia="黑体"/>
      <w:b/>
      <w:sz w:val="24"/>
      <w:szCs w:val="20"/>
    </w:rPr>
  </w:style>
  <w:style w:type="paragraph" w:customStyle="1" w:styleId="823">
    <w:name w:val="7"/>
    <w:basedOn w:val="1"/>
    <w:next w:val="1"/>
    <w:qFormat/>
    <w:uiPriority w:val="0"/>
    <w:pPr>
      <w:spacing w:after="120"/>
      <w:ind w:left="1440" w:leftChars="700" w:right="1440" w:rightChars="700"/>
    </w:pPr>
    <w:rPr>
      <w:szCs w:val="20"/>
    </w:rPr>
  </w:style>
  <w:style w:type="paragraph" w:customStyle="1" w:styleId="824">
    <w:name w:val="a-表内"/>
    <w:qFormat/>
    <w:uiPriority w:val="0"/>
    <w:pPr>
      <w:adjustRightInd w:val="0"/>
      <w:snapToGrid w:val="0"/>
      <w:jc w:val="center"/>
    </w:pPr>
    <w:rPr>
      <w:rFonts w:ascii="Times New Roman" w:hAnsi="Times New Roman" w:eastAsia="宋体" w:cs="Times New Roman"/>
      <w:color w:val="000000"/>
      <w:kern w:val="2"/>
      <w:sz w:val="21"/>
      <w:szCs w:val="21"/>
      <w:lang w:val="en-US" w:eastAsia="zh-CN" w:bidi="ar-SA"/>
    </w:rPr>
  </w:style>
  <w:style w:type="paragraph" w:customStyle="1" w:styleId="825">
    <w:name w:val="表中小五"/>
    <w:basedOn w:val="1"/>
    <w:qFormat/>
    <w:uiPriority w:val="0"/>
    <w:pPr>
      <w:snapToGrid w:val="0"/>
      <w:jc w:val="center"/>
    </w:pPr>
    <w:rPr>
      <w:sz w:val="18"/>
      <w:szCs w:val="20"/>
    </w:rPr>
  </w:style>
  <w:style w:type="paragraph" w:customStyle="1" w:styleId="826">
    <w:name w:val="Objective"/>
    <w:basedOn w:val="1"/>
    <w:next w:val="3"/>
    <w:qFormat/>
    <w:uiPriority w:val="0"/>
    <w:pPr>
      <w:widowControl/>
      <w:spacing w:before="220" w:after="220" w:line="220" w:lineRule="atLeast"/>
      <w:jc w:val="left"/>
    </w:pPr>
    <w:rPr>
      <w:kern w:val="0"/>
      <w:sz w:val="20"/>
      <w:szCs w:val="20"/>
    </w:rPr>
  </w:style>
  <w:style w:type="paragraph" w:customStyle="1" w:styleId="827">
    <w:name w:val="INE Normal"/>
    <w:basedOn w:val="1"/>
    <w:qFormat/>
    <w:uiPriority w:val="0"/>
    <w:pPr>
      <w:widowControl/>
      <w:tabs>
        <w:tab w:val="left" w:pos="6445"/>
      </w:tabs>
      <w:ind w:left="1077"/>
    </w:pPr>
    <w:rPr>
      <w:rFonts w:ascii="Arial" w:hAnsi="Arial"/>
      <w:kern w:val="0"/>
      <w:sz w:val="22"/>
      <w:szCs w:val="20"/>
    </w:rPr>
  </w:style>
  <w:style w:type="paragraph" w:customStyle="1" w:styleId="828">
    <w:name w:val="正文文本缩进 Char Char Char Char"/>
    <w:basedOn w:val="1"/>
    <w:next w:val="1"/>
    <w:qFormat/>
    <w:uiPriority w:val="0"/>
    <w:pPr>
      <w:widowControl/>
      <w:spacing w:before="100" w:beforeAutospacing="1" w:after="100" w:afterAutospacing="1"/>
      <w:jc w:val="left"/>
    </w:pPr>
    <w:rPr>
      <w:rFonts w:ascii="宋体" w:hAnsi="宋体"/>
      <w:kern w:val="0"/>
      <w:sz w:val="24"/>
      <w:szCs w:val="20"/>
    </w:rPr>
  </w:style>
  <w:style w:type="paragraph" w:customStyle="1" w:styleId="829">
    <w:name w:val="中石化可研正文"/>
    <w:basedOn w:val="1"/>
    <w:qFormat/>
    <w:uiPriority w:val="0"/>
    <w:pPr>
      <w:adjustRightInd w:val="0"/>
      <w:snapToGrid w:val="0"/>
      <w:spacing w:line="400" w:lineRule="exact"/>
    </w:pPr>
    <w:rPr>
      <w:rFonts w:ascii="Arial" w:cs="Arial"/>
      <w:color w:val="000000"/>
      <w:szCs w:val="21"/>
    </w:rPr>
  </w:style>
  <w:style w:type="paragraph" w:customStyle="1" w:styleId="830">
    <w:name w:val="标题 51"/>
    <w:basedOn w:val="1"/>
    <w:next w:val="1"/>
    <w:qFormat/>
    <w:uiPriority w:val="0"/>
    <w:pPr>
      <w:keepNext/>
      <w:keepLines/>
      <w:adjustRightInd w:val="0"/>
      <w:ind w:left="1247" w:hanging="396"/>
      <w:textAlignment w:val="baseline"/>
      <w:outlineLvl w:val="4"/>
    </w:pPr>
    <w:rPr>
      <w:rFonts w:hint="eastAsia"/>
      <w:kern w:val="0"/>
      <w:sz w:val="24"/>
      <w:szCs w:val="20"/>
    </w:rPr>
  </w:style>
  <w:style w:type="paragraph" w:customStyle="1" w:styleId="831">
    <w:name w:val="六级条标题"/>
    <w:next w:val="566"/>
    <w:qFormat/>
    <w:uiPriority w:val="0"/>
    <w:pPr>
      <w:spacing w:line="360" w:lineRule="auto"/>
      <w:outlineLvl w:val="7"/>
    </w:pPr>
    <w:rPr>
      <w:rFonts w:ascii="黑体" w:hAnsi="Times New Roman" w:eastAsia="黑体" w:cs="Times New Roman"/>
      <w:kern w:val="2"/>
      <w:sz w:val="21"/>
      <w:szCs w:val="24"/>
      <w:lang w:val="en-US" w:eastAsia="zh-CN" w:bidi="ar-SA"/>
    </w:rPr>
  </w:style>
  <w:style w:type="paragraph" w:customStyle="1" w:styleId="832">
    <w:name w:val="我的标题2"/>
    <w:basedOn w:val="6"/>
    <w:qFormat/>
    <w:uiPriority w:val="0"/>
    <w:pPr>
      <w:tabs>
        <w:tab w:val="left" w:pos="540"/>
      </w:tabs>
      <w:spacing w:before="0" w:beforeLines="50" w:after="0" w:afterLines="50" w:line="360" w:lineRule="auto"/>
      <w:jc w:val="left"/>
    </w:pPr>
    <w:rPr>
      <w:rFonts w:ascii="宋体" w:hAnsi="Arial" w:eastAsia="宋体"/>
      <w:bCs w:val="0"/>
      <w:snapToGrid w:val="0"/>
      <w:kern w:val="28"/>
      <w:sz w:val="28"/>
      <w:lang w:val="zh-CN"/>
    </w:rPr>
  </w:style>
  <w:style w:type="paragraph" w:customStyle="1" w:styleId="833">
    <w:name w:val="Body text|3"/>
    <w:basedOn w:val="1"/>
    <w:qFormat/>
    <w:uiPriority w:val="0"/>
    <w:pPr>
      <w:widowControl w:val="0"/>
      <w:shd w:val="clear" w:color="auto" w:fill="auto"/>
      <w:spacing w:after="200"/>
      <w:jc w:val="center"/>
    </w:pPr>
    <w:rPr>
      <w:color w:val="232426"/>
      <w:sz w:val="15"/>
      <w:szCs w:val="15"/>
      <w:u w:val="none"/>
      <w:shd w:val="clear" w:color="auto" w:fill="auto"/>
      <w:lang w:val="zh-TW" w:eastAsia="zh-TW" w:bidi="zh-TW"/>
    </w:rPr>
  </w:style>
  <w:style w:type="paragraph" w:customStyle="1" w:styleId="834">
    <w:name w:val="默认段落字体11 Char1"/>
    <w:basedOn w:val="1"/>
    <w:qFormat/>
    <w:uiPriority w:val="0"/>
    <w:rPr>
      <w:szCs w:val="20"/>
    </w:rPr>
  </w:style>
  <w:style w:type="paragraph" w:customStyle="1" w:styleId="835">
    <w:name w:val="列出段落2"/>
    <w:basedOn w:val="1"/>
    <w:qFormat/>
    <w:uiPriority w:val="0"/>
    <w:pPr>
      <w:ind w:firstLine="420" w:firstLineChars="200"/>
    </w:pPr>
  </w:style>
  <w:style w:type="paragraph" w:customStyle="1" w:styleId="836">
    <w:name w:val="font8"/>
    <w:basedOn w:val="1"/>
    <w:qFormat/>
    <w:uiPriority w:val="0"/>
    <w:pPr>
      <w:widowControl/>
      <w:spacing w:before="100" w:beforeAutospacing="1" w:after="100" w:afterAutospacing="1"/>
      <w:jc w:val="left"/>
    </w:pPr>
    <w:rPr>
      <w:rFonts w:hint="eastAsia" w:ascii="宋体" w:hAnsi="宋体"/>
      <w:b/>
      <w:bCs/>
      <w:kern w:val="0"/>
      <w:sz w:val="44"/>
      <w:szCs w:val="44"/>
    </w:rPr>
  </w:style>
  <w:style w:type="paragraph" w:customStyle="1" w:styleId="837">
    <w:name w:val="xl177"/>
    <w:basedOn w:val="1"/>
    <w:qFormat/>
    <w:uiPriority w:val="0"/>
    <w:pPr>
      <w:widowControl/>
      <w:pBdr>
        <w:top w:val="single" w:color="auto" w:sz="12" w:space="0"/>
        <w:bottom w:val="single" w:color="auto" w:sz="4" w:space="0"/>
        <w:right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00"/>
      <w:kern w:val="0"/>
      <w:sz w:val="16"/>
      <w:szCs w:val="16"/>
    </w:rPr>
  </w:style>
  <w:style w:type="paragraph" w:customStyle="1" w:styleId="838">
    <w:name w:val="胡1"/>
    <w:basedOn w:val="81"/>
    <w:qFormat/>
    <w:uiPriority w:val="0"/>
    <w:pPr>
      <w:spacing w:line="360" w:lineRule="auto"/>
    </w:pPr>
    <w:rPr>
      <w:sz w:val="36"/>
    </w:rPr>
  </w:style>
  <w:style w:type="paragraph" w:customStyle="1" w:styleId="839">
    <w:name w:val="proposal"/>
    <w:basedOn w:val="1"/>
    <w:semiHidden/>
    <w:qFormat/>
    <w:uiPriority w:val="0"/>
    <w:pPr>
      <w:widowControl/>
      <w:spacing w:line="300" w:lineRule="auto"/>
      <w:ind w:left="1440" w:hanging="1440" w:firstLineChars="200"/>
    </w:pPr>
    <w:rPr>
      <w:kern w:val="0"/>
      <w:sz w:val="24"/>
      <w:szCs w:val="20"/>
      <w:lang w:val="en-GB"/>
    </w:rPr>
  </w:style>
  <w:style w:type="paragraph" w:customStyle="1" w:styleId="840">
    <w:name w:val="reader-word-layer reader-word-s4-1 reader-word-s4-6"/>
    <w:basedOn w:val="1"/>
    <w:qFormat/>
    <w:uiPriority w:val="0"/>
    <w:pPr>
      <w:widowControl/>
      <w:spacing w:before="100" w:beforeAutospacing="1" w:after="100" w:afterAutospacing="1"/>
      <w:jc w:val="left"/>
    </w:pPr>
    <w:rPr>
      <w:rFonts w:ascii="宋体" w:hAnsi="宋体" w:cs="宋体"/>
      <w:kern w:val="0"/>
      <w:sz w:val="24"/>
    </w:rPr>
  </w:style>
  <w:style w:type="paragraph" w:customStyle="1" w:styleId="841">
    <w:name w:val="List Bullet 1"/>
    <w:qFormat/>
    <w:uiPriority w:val="0"/>
    <w:pPr>
      <w:adjustRightInd w:val="0"/>
      <w:ind w:left="1135" w:right="567" w:hanging="284"/>
      <w:textAlignment w:val="baseline"/>
    </w:pPr>
    <w:rPr>
      <w:rFonts w:ascii="Arial" w:hAnsi="Arial" w:eastAsia="宋体" w:cs="Times New Roman"/>
      <w:kern w:val="2"/>
      <w:sz w:val="24"/>
      <w:szCs w:val="24"/>
      <w:lang w:val="en-US" w:eastAsia="zh-CN" w:bidi="ar-SA"/>
    </w:rPr>
  </w:style>
  <w:style w:type="paragraph" w:customStyle="1" w:styleId="842">
    <w:name w:val="CM5"/>
    <w:basedOn w:val="148"/>
    <w:next w:val="148"/>
    <w:qFormat/>
    <w:uiPriority w:val="0"/>
    <w:pPr>
      <w:spacing w:line="638" w:lineRule="atLeast"/>
    </w:pPr>
    <w:rPr>
      <w:rFonts w:ascii="黑体" w:eastAsia="黑体"/>
      <w:color w:val="auto"/>
      <w:szCs w:val="20"/>
    </w:rPr>
  </w:style>
  <w:style w:type="paragraph" w:customStyle="1" w:styleId="843">
    <w:name w:val="xl102"/>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FF"/>
      <w:kern w:val="0"/>
      <w:sz w:val="28"/>
      <w:szCs w:val="28"/>
    </w:rPr>
  </w:style>
  <w:style w:type="paragraph" w:customStyle="1" w:styleId="844">
    <w:name w:val=" Char Char Char1 Char Char Char Char"/>
    <w:basedOn w:val="1"/>
    <w:semiHidden/>
    <w:qFormat/>
    <w:uiPriority w:val="0"/>
    <w:pPr>
      <w:jc w:val="center"/>
    </w:pPr>
    <w:rPr>
      <w:szCs w:val="20"/>
    </w:rPr>
  </w:style>
  <w:style w:type="paragraph" w:customStyle="1" w:styleId="845">
    <w:name w:val="Header or footer|2"/>
    <w:basedOn w:val="1"/>
    <w:qFormat/>
    <w:uiPriority w:val="0"/>
    <w:pPr>
      <w:widowControl w:val="0"/>
      <w:shd w:val="clear" w:color="auto" w:fill="auto"/>
    </w:pPr>
    <w:rPr>
      <w:sz w:val="20"/>
      <w:szCs w:val="20"/>
      <w:u w:val="none"/>
      <w:shd w:val="clear" w:color="auto" w:fill="auto"/>
    </w:rPr>
  </w:style>
  <w:style w:type="paragraph" w:customStyle="1" w:styleId="846">
    <w:name w:val="xl52"/>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kern w:val="0"/>
      <w:sz w:val="20"/>
      <w:szCs w:val="20"/>
    </w:rPr>
  </w:style>
  <w:style w:type="paragraph" w:customStyle="1" w:styleId="847">
    <w:name w:val="xl63"/>
    <w:basedOn w:val="1"/>
    <w:qFormat/>
    <w:uiPriority w:val="0"/>
    <w:pPr>
      <w:widowControl/>
      <w:pBdr>
        <w:left w:val="single" w:color="auto" w:sz="8" w:space="0"/>
        <w:bottom w:val="single" w:color="auto" w:sz="4" w:space="0"/>
        <w:right w:val="single" w:color="auto" w:sz="4" w:space="0"/>
      </w:pBdr>
      <w:spacing w:before="100" w:beforeAutospacing="1" w:after="100" w:afterAutospacing="1"/>
      <w:jc w:val="center"/>
      <w:textAlignment w:val="center"/>
    </w:pPr>
    <w:rPr>
      <w:rFonts w:eastAsia="Arial Unicode MS"/>
      <w:kern w:val="0"/>
      <w:sz w:val="20"/>
      <w:szCs w:val="20"/>
    </w:rPr>
  </w:style>
  <w:style w:type="paragraph" w:customStyle="1" w:styleId="848">
    <w:name w:val="默认段落字体 Para Char Char Char Char Char Char Char"/>
    <w:basedOn w:val="1"/>
    <w:qFormat/>
    <w:uiPriority w:val="0"/>
    <w:pPr>
      <w:spacing w:line="360" w:lineRule="auto"/>
    </w:pPr>
    <w:rPr>
      <w:sz w:val="24"/>
      <w:szCs w:val="20"/>
    </w:rPr>
  </w:style>
  <w:style w:type="paragraph" w:customStyle="1" w:styleId="849">
    <w:name w:val="样式 五号 黑色 行距: 多倍行距 1.4 字行"/>
    <w:basedOn w:val="1"/>
    <w:qFormat/>
    <w:uiPriority w:val="0"/>
    <w:pPr>
      <w:spacing w:line="336" w:lineRule="auto"/>
    </w:pPr>
    <w:rPr>
      <w:rFonts w:cs="宋体"/>
      <w:szCs w:val="21"/>
    </w:rPr>
  </w:style>
  <w:style w:type="paragraph" w:customStyle="1" w:styleId="850">
    <w:name w:val="標準インデント　2"/>
    <w:basedOn w:val="22"/>
    <w:qFormat/>
    <w:uiPriority w:val="0"/>
    <w:pPr>
      <w:overflowPunct w:val="0"/>
      <w:autoSpaceDE w:val="0"/>
      <w:autoSpaceDN w:val="0"/>
      <w:adjustRightInd w:val="0"/>
      <w:ind w:left="2900" w:hanging="2038"/>
      <w:jc w:val="left"/>
      <w:textAlignment w:val="baseline"/>
    </w:pPr>
    <w:rPr>
      <w:rFonts w:eastAsia="MS Mincho"/>
      <w:kern w:val="0"/>
      <w:sz w:val="20"/>
      <w:szCs w:val="20"/>
      <w:lang w:eastAsia="ja-JP"/>
    </w:rPr>
  </w:style>
  <w:style w:type="paragraph" w:customStyle="1" w:styleId="851">
    <w:name w:val="xl121"/>
    <w:basedOn w:val="1"/>
    <w:qFormat/>
    <w:uiPriority w:val="0"/>
    <w:pPr>
      <w:widowControl/>
      <w:pBdr>
        <w:left w:val="single" w:color="auto" w:sz="4" w:space="0"/>
        <w:right w:val="single" w:color="auto" w:sz="4" w:space="0"/>
      </w:pBdr>
      <w:spacing w:before="100" w:beforeAutospacing="1" w:after="100" w:afterAutospacing="1"/>
      <w:jc w:val="center"/>
    </w:pPr>
    <w:rPr>
      <w:rFonts w:hint="eastAsia" w:ascii="楷体_GB2312" w:hAnsi="Arial Unicode MS" w:eastAsia="楷体_GB2312" w:cs="TimesNewRomanPSMT"/>
      <w:kern w:val="0"/>
      <w:sz w:val="16"/>
      <w:szCs w:val="16"/>
    </w:rPr>
  </w:style>
  <w:style w:type="paragraph" w:customStyle="1" w:styleId="852">
    <w:name w:val="３标题"/>
    <w:basedOn w:val="7"/>
    <w:next w:val="3"/>
    <w:qFormat/>
    <w:uiPriority w:val="0"/>
    <w:pPr>
      <w:numPr>
        <w:ilvl w:val="0"/>
        <w:numId w:val="0"/>
      </w:numPr>
      <w:spacing w:after="120"/>
      <w:ind w:firstLine="200" w:firstLineChars="186"/>
    </w:pPr>
    <w:rPr>
      <w:rFonts w:ascii="黑体" w:hAnsi="Arial" w:eastAsia="宋体" w:cs="宋体"/>
      <w:snapToGrid w:val="0"/>
      <w:kern w:val="44"/>
      <w:lang w:val="zh-CN"/>
    </w:rPr>
  </w:style>
  <w:style w:type="paragraph" w:customStyle="1" w:styleId="853">
    <w:name w:val="reader-word-layer reader-word-s4-13"/>
    <w:basedOn w:val="1"/>
    <w:qFormat/>
    <w:uiPriority w:val="0"/>
    <w:pPr>
      <w:widowControl/>
      <w:spacing w:before="100" w:beforeAutospacing="1" w:after="100" w:afterAutospacing="1"/>
      <w:jc w:val="left"/>
    </w:pPr>
    <w:rPr>
      <w:rFonts w:ascii="宋体" w:hAnsi="宋体" w:cs="宋体"/>
      <w:kern w:val="0"/>
      <w:sz w:val="24"/>
    </w:rPr>
  </w:style>
  <w:style w:type="paragraph" w:customStyle="1" w:styleId="854">
    <w:name w:val="xl171"/>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FF"/>
      <w:kern w:val="0"/>
      <w:sz w:val="16"/>
      <w:szCs w:val="16"/>
    </w:rPr>
  </w:style>
  <w:style w:type="paragraph" w:customStyle="1" w:styleId="855">
    <w:name w:val="xl162"/>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FF"/>
      <w:kern w:val="0"/>
      <w:sz w:val="16"/>
      <w:szCs w:val="16"/>
    </w:rPr>
  </w:style>
  <w:style w:type="paragraph" w:customStyle="1" w:styleId="856">
    <w:name w:val="标题-1"/>
    <w:basedOn w:val="1"/>
    <w:qFormat/>
    <w:uiPriority w:val="0"/>
    <w:pPr>
      <w:widowControl/>
      <w:numPr>
        <w:ilvl w:val="0"/>
        <w:numId w:val="5"/>
      </w:numPr>
      <w:topLinePunct/>
      <w:jc w:val="center"/>
    </w:pPr>
    <w:rPr>
      <w:rFonts w:ascii="宋体" w:hAnsi="宋体"/>
      <w:b/>
      <w:szCs w:val="28"/>
      <w:lang w:val="zh-CN"/>
    </w:rPr>
  </w:style>
  <w:style w:type="paragraph" w:customStyle="1" w:styleId="857">
    <w:name w:val="表"/>
    <w:basedOn w:val="1"/>
    <w:qFormat/>
    <w:uiPriority w:val="0"/>
    <w:pPr>
      <w:snapToGrid w:val="0"/>
      <w:jc w:val="center"/>
    </w:pPr>
    <w:rPr>
      <w:spacing w:val="2"/>
      <w:szCs w:val="20"/>
    </w:rPr>
  </w:style>
  <w:style w:type="paragraph" w:customStyle="1" w:styleId="858">
    <w:name w:val="xl128"/>
    <w:basedOn w:val="1"/>
    <w:qFormat/>
    <w:uiPriority w:val="0"/>
    <w:pPr>
      <w:widowControl/>
      <w:pBdr>
        <w:top w:val="single" w:color="auto" w:sz="12" w:space="0"/>
        <w:left w:val="single" w:color="auto" w:sz="4" w:space="0"/>
        <w:bottom w:val="single" w:color="auto" w:sz="4" w:space="0"/>
        <w:right w:val="single" w:color="auto" w:sz="4" w:space="0"/>
      </w:pBdr>
      <w:spacing w:before="100" w:beforeAutospacing="1" w:after="100" w:afterAutospacing="1"/>
      <w:jc w:val="left"/>
      <w:textAlignment w:val="center"/>
    </w:pPr>
    <w:rPr>
      <w:rFonts w:hint="eastAsia" w:ascii="楷体_GB2312" w:hAnsi="Arial Unicode MS" w:eastAsia="楷体_GB2312" w:cs="TimesNewRomanPSMT"/>
      <w:kern w:val="0"/>
      <w:sz w:val="16"/>
      <w:szCs w:val="16"/>
    </w:rPr>
  </w:style>
  <w:style w:type="paragraph" w:customStyle="1" w:styleId="859">
    <w:name w:val="1级"/>
    <w:qFormat/>
    <w:uiPriority w:val="0"/>
    <w:pPr>
      <w:numPr>
        <w:ilvl w:val="0"/>
        <w:numId w:val="6"/>
      </w:numPr>
      <w:spacing w:before="240" w:after="120"/>
      <w:jc w:val="both"/>
      <w:outlineLvl w:val="0"/>
    </w:pPr>
    <w:rPr>
      <w:rFonts w:ascii="Arial" w:hAnsi="Arial" w:eastAsia="宋体" w:cs="Arial"/>
      <w:b/>
      <w:caps/>
      <w:kern w:val="2"/>
      <w:sz w:val="22"/>
      <w:szCs w:val="24"/>
      <w:lang w:val="en-US" w:eastAsia="zh-CN" w:bidi="ar-SA"/>
    </w:rPr>
  </w:style>
  <w:style w:type="paragraph" w:customStyle="1" w:styleId="860">
    <w:name w:val="CM46"/>
    <w:basedOn w:val="148"/>
    <w:next w:val="148"/>
    <w:qFormat/>
    <w:uiPriority w:val="0"/>
    <w:pPr>
      <w:spacing w:line="440" w:lineRule="atLeast"/>
    </w:pPr>
    <w:rPr>
      <w:rFonts w:ascii="黑体" w:eastAsia="黑体" w:cs="黑体"/>
      <w:color w:val="auto"/>
    </w:rPr>
  </w:style>
  <w:style w:type="paragraph" w:customStyle="1" w:styleId="861">
    <w:name w:val="c"/>
    <w:qFormat/>
    <w:uiPriority w:val="0"/>
    <w:pPr>
      <w:widowControl w:val="0"/>
      <w:autoSpaceDE w:val="0"/>
      <w:autoSpaceDN w:val="0"/>
      <w:adjustRightInd w:val="0"/>
      <w:jc w:val="both"/>
    </w:pPr>
    <w:rPr>
      <w:rFonts w:ascii="Arial" w:hAnsi="Arial" w:eastAsia="宋体" w:cs="Times New Roman"/>
      <w:kern w:val="2"/>
      <w:sz w:val="24"/>
      <w:szCs w:val="24"/>
      <w:lang w:val="en-US" w:eastAsia="zh-CN" w:bidi="ar-SA"/>
    </w:rPr>
  </w:style>
  <w:style w:type="paragraph" w:customStyle="1" w:styleId="862">
    <w:name w:val="GM"/>
    <w:basedOn w:val="5"/>
    <w:qFormat/>
    <w:uiPriority w:val="0"/>
    <w:pPr>
      <w:keepLines w:val="0"/>
      <w:widowControl/>
      <w:tabs>
        <w:tab w:val="left" w:pos="-105"/>
        <w:tab w:val="left" w:pos="1680"/>
        <w:tab w:val="left" w:pos="2260"/>
        <w:tab w:val="left" w:pos="2820"/>
        <w:tab w:val="left" w:pos="3420"/>
      </w:tabs>
      <w:spacing w:before="0" w:after="0" w:line="240" w:lineRule="auto"/>
      <w:ind w:left="851" w:right="-28" w:hanging="851"/>
    </w:pPr>
    <w:rPr>
      <w:rFonts w:ascii="Arial" w:hAnsi="Arial"/>
      <w:bCs w:val="0"/>
      <w:color w:val="000000"/>
      <w:kern w:val="0"/>
      <w:sz w:val="22"/>
      <w:szCs w:val="20"/>
      <w:lang w:val="en-GB"/>
    </w:rPr>
  </w:style>
  <w:style w:type="paragraph" w:customStyle="1" w:styleId="863">
    <w:name w:val="he"/>
    <w:basedOn w:val="1"/>
    <w:next w:val="1"/>
    <w:qFormat/>
    <w:uiPriority w:val="0"/>
    <w:pPr>
      <w:keepNext/>
      <w:keepLines/>
      <w:tabs>
        <w:tab w:val="left" w:pos="1328"/>
      </w:tabs>
      <w:spacing w:before="260" w:after="260" w:line="413" w:lineRule="auto"/>
      <w:ind w:left="1328" w:hanging="855"/>
    </w:pPr>
    <w:rPr>
      <w:rFonts w:ascii="Arial" w:hAnsi="Arial" w:eastAsia="黑体" w:cs="Arial"/>
      <w:sz w:val="32"/>
      <w:szCs w:val="32"/>
    </w:rPr>
  </w:style>
  <w:style w:type="paragraph" w:customStyle="1" w:styleId="864">
    <w:name w:val="表内文字"/>
    <w:qFormat/>
    <w:uiPriority w:val="0"/>
    <w:pPr>
      <w:spacing w:line="360" w:lineRule="exact"/>
      <w:jc w:val="center"/>
    </w:pPr>
    <w:rPr>
      <w:rFonts w:ascii="Times New Roman" w:hAnsi="Times New Roman" w:eastAsia="宋体" w:cs="Times New Roman"/>
      <w:kern w:val="2"/>
      <w:sz w:val="24"/>
      <w:szCs w:val="24"/>
      <w:lang w:val="en-US" w:eastAsia="zh-CN" w:bidi="ar-SA"/>
    </w:rPr>
  </w:style>
  <w:style w:type="paragraph" w:customStyle="1" w:styleId="865">
    <w:name w:val="样式 表内文字 + 首行缩进:  1.57 字符"/>
    <w:basedOn w:val="864"/>
    <w:qFormat/>
    <w:uiPriority w:val="0"/>
    <w:pPr>
      <w:widowControl w:val="0"/>
      <w:autoSpaceDE w:val="0"/>
      <w:autoSpaceDN w:val="0"/>
      <w:adjustRightInd w:val="0"/>
      <w:spacing w:line="240" w:lineRule="auto"/>
      <w:ind w:left="499" w:right="35" w:rightChars="35"/>
      <w:jc w:val="left"/>
    </w:pPr>
    <w:rPr>
      <w:rFonts w:ascii="宋体"/>
      <w:color w:val="000000"/>
      <w:spacing w:val="20"/>
      <w:sz w:val="18"/>
    </w:rPr>
  </w:style>
  <w:style w:type="paragraph" w:customStyle="1" w:styleId="866">
    <w:name w:val="项目符号1"/>
    <w:basedOn w:val="1"/>
    <w:qFormat/>
    <w:uiPriority w:val="0"/>
    <w:pPr>
      <w:tabs>
        <w:tab w:val="left" w:pos="935"/>
      </w:tabs>
      <w:snapToGrid w:val="0"/>
      <w:spacing w:before="120" w:after="120" w:line="312" w:lineRule="auto"/>
      <w:ind w:left="935" w:hanging="425"/>
    </w:pPr>
    <w:rPr>
      <w:rFonts w:ascii="Arial" w:hAnsi="Arial" w:eastAsia="楷体_GB2312"/>
      <w:b/>
      <w:sz w:val="28"/>
      <w:szCs w:val="20"/>
    </w:rPr>
  </w:style>
  <w:style w:type="paragraph" w:customStyle="1" w:styleId="867">
    <w:name w:val="样式 宋体 小四 黑色 行距: 固定值 22 磅"/>
    <w:basedOn w:val="1"/>
    <w:qFormat/>
    <w:uiPriority w:val="0"/>
    <w:pPr>
      <w:spacing w:line="440" w:lineRule="exact"/>
    </w:pPr>
    <w:rPr>
      <w:rFonts w:ascii="Arial" w:hAnsi="Arial"/>
      <w:color w:val="000000"/>
      <w:sz w:val="24"/>
    </w:rPr>
  </w:style>
  <w:style w:type="paragraph" w:customStyle="1" w:styleId="868">
    <w:name w:val="样式 首行缩进:  2 字符"/>
    <w:basedOn w:val="1"/>
    <w:qFormat/>
    <w:uiPriority w:val="0"/>
    <w:pPr>
      <w:widowControl/>
      <w:spacing w:line="300" w:lineRule="auto"/>
      <w:ind w:firstLine="200" w:firstLineChars="200"/>
      <w:jc w:val="left"/>
    </w:pPr>
    <w:rPr>
      <w:rFonts w:ascii="宋体" w:cs="宋体"/>
      <w:kern w:val="0"/>
      <w:szCs w:val="20"/>
    </w:rPr>
  </w:style>
  <w:style w:type="paragraph" w:customStyle="1" w:styleId="869">
    <w:name w:val="正文文本1"/>
    <w:basedOn w:val="1"/>
    <w:qFormat/>
    <w:uiPriority w:val="0"/>
    <w:pPr>
      <w:adjustRightInd w:val="0"/>
      <w:spacing w:after="120" w:line="360" w:lineRule="atLeast"/>
      <w:jc w:val="left"/>
      <w:textAlignment w:val="baseline"/>
    </w:pPr>
    <w:rPr>
      <w:rFonts w:hint="eastAsia"/>
      <w:kern w:val="0"/>
      <w:sz w:val="24"/>
      <w:szCs w:val="20"/>
    </w:rPr>
  </w:style>
  <w:style w:type="paragraph" w:customStyle="1" w:styleId="870">
    <w:name w:val="图表正文"/>
    <w:basedOn w:val="1"/>
    <w:qFormat/>
    <w:uiPriority w:val="0"/>
    <w:pPr>
      <w:wordWrap w:val="0"/>
      <w:adjustRightInd w:val="0"/>
      <w:snapToGrid w:val="0"/>
      <w:jc w:val="center"/>
    </w:pPr>
    <w:rPr>
      <w:szCs w:val="21"/>
    </w:rPr>
  </w:style>
  <w:style w:type="paragraph" w:customStyle="1" w:styleId="871">
    <w:name w:val="首行缩进"/>
    <w:basedOn w:val="1"/>
    <w:qFormat/>
    <w:uiPriority w:val="0"/>
    <w:pPr>
      <w:spacing w:line="320" w:lineRule="exact"/>
      <w:jc w:val="center"/>
    </w:pPr>
    <w:rPr>
      <w:color w:val="000000"/>
      <w:spacing w:val="16"/>
      <w:szCs w:val="21"/>
    </w:rPr>
  </w:style>
  <w:style w:type="paragraph" w:customStyle="1" w:styleId="872">
    <w:name w:val="项目符号2"/>
    <w:basedOn w:val="866"/>
    <w:qFormat/>
    <w:uiPriority w:val="0"/>
    <w:pPr>
      <w:tabs>
        <w:tab w:val="left" w:pos="360"/>
        <w:tab w:val="left" w:pos="425"/>
        <w:tab w:val="left" w:pos="1275"/>
      </w:tabs>
      <w:ind w:left="850" w:hanging="1275"/>
    </w:pPr>
    <w:rPr>
      <w:b w:val="0"/>
    </w:rPr>
  </w:style>
  <w:style w:type="paragraph" w:customStyle="1" w:styleId="873">
    <w:name w:val="12Z1H08KX"/>
    <w:basedOn w:val="1"/>
    <w:qFormat/>
    <w:uiPriority w:val="0"/>
    <w:pPr>
      <w:adjustRightInd w:val="0"/>
      <w:spacing w:after="113" w:line="340" w:lineRule="atLeast"/>
      <w:textAlignment w:val="baseline"/>
    </w:pPr>
    <w:rPr>
      <w:rFonts w:ascii="昆仑细圆" w:eastAsia="昆仑细圆"/>
      <w:spacing w:val="20"/>
      <w:kern w:val="0"/>
      <w:sz w:val="24"/>
      <w:szCs w:val="20"/>
    </w:rPr>
  </w:style>
  <w:style w:type="paragraph" w:customStyle="1" w:styleId="874">
    <w:name w:val="xl3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3"/>
      <w:kern w:val="0"/>
      <w:sz w:val="20"/>
      <w:szCs w:val="20"/>
    </w:rPr>
  </w:style>
  <w:style w:type="paragraph" w:customStyle="1" w:styleId="875">
    <w:name w:val="数字编号（二级）"/>
    <w:qFormat/>
    <w:uiPriority w:val="0"/>
    <w:pPr>
      <w:spacing w:line="360" w:lineRule="auto"/>
    </w:pPr>
    <w:rPr>
      <w:rFonts w:ascii="宋体" w:hAnsi="Times New Roman" w:eastAsia="宋体" w:cs="Times New Roman"/>
      <w:kern w:val="2"/>
      <w:sz w:val="21"/>
      <w:szCs w:val="24"/>
      <w:lang w:val="en-US" w:eastAsia="zh-CN" w:bidi="ar-SA"/>
    </w:rPr>
  </w:style>
  <w:style w:type="paragraph" w:customStyle="1" w:styleId="876">
    <w:name w:val="内封小"/>
    <w:basedOn w:val="1"/>
    <w:qFormat/>
    <w:uiPriority w:val="0"/>
    <w:pPr>
      <w:jc w:val="left"/>
    </w:pPr>
    <w:rPr>
      <w:rFonts w:ascii="宋体" w:hAnsi="宋体"/>
      <w:kern w:val="0"/>
      <w:sz w:val="28"/>
      <w:szCs w:val="20"/>
    </w:rPr>
  </w:style>
  <w:style w:type="paragraph" w:customStyle="1" w:styleId="877">
    <w:name w:val="xl94"/>
    <w:basedOn w:val="1"/>
    <w:qFormat/>
    <w:uiPriority w:val="0"/>
    <w:pPr>
      <w:widowControl/>
      <w:pBdr>
        <w:bottom w:val="single" w:color="auto" w:sz="4" w:space="0"/>
      </w:pBdr>
      <w:spacing w:before="100" w:beforeAutospacing="1" w:after="100" w:afterAutospacing="1"/>
      <w:jc w:val="left"/>
      <w:textAlignment w:val="center"/>
    </w:pPr>
    <w:rPr>
      <w:rFonts w:hint="eastAsia" w:ascii="楷体_GB2312" w:hAnsi="宋体" w:eastAsia="楷体_GB2312"/>
      <w:b/>
      <w:bCs/>
      <w:kern w:val="0"/>
      <w:sz w:val="32"/>
      <w:szCs w:val="32"/>
    </w:rPr>
  </w:style>
  <w:style w:type="paragraph" w:customStyle="1" w:styleId="878">
    <w:name w:val="F文字-公式注解"/>
    <w:basedOn w:val="1"/>
    <w:qFormat/>
    <w:uiPriority w:val="0"/>
    <w:pPr>
      <w:widowControl/>
      <w:overflowPunct w:val="0"/>
      <w:autoSpaceDE w:val="0"/>
      <w:autoSpaceDN w:val="0"/>
      <w:adjustRightInd w:val="0"/>
      <w:ind w:firstLine="500" w:firstLineChars="500"/>
      <w:jc w:val="left"/>
      <w:textAlignment w:val="center"/>
    </w:pPr>
    <w:rPr>
      <w:rFonts w:eastAsia="仿宋_GB2312"/>
      <w:kern w:val="0"/>
      <w:sz w:val="24"/>
      <w:szCs w:val="20"/>
    </w:rPr>
  </w:style>
  <w:style w:type="paragraph" w:customStyle="1" w:styleId="879">
    <w:name w:val="xl11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880">
    <w:name w:val="xl29"/>
    <w:basedOn w:val="1"/>
    <w:qFormat/>
    <w:uiPriority w:val="0"/>
    <w:pPr>
      <w:widowControl/>
      <w:pBdr>
        <w:left w:val="single" w:color="auto" w:sz="8" w:space="0"/>
        <w:right w:val="single" w:color="auto" w:sz="8" w:space="0"/>
      </w:pBdr>
      <w:spacing w:before="100" w:beforeAutospacing="1" w:after="100" w:afterAutospacing="1"/>
      <w:jc w:val="center"/>
      <w:textAlignment w:val="center"/>
    </w:pPr>
    <w:rPr>
      <w:rFonts w:ascii="Arial Unicode MS" w:hAnsi="Arial Unicode MS" w:eastAsia="Arial Unicode MS" w:cs="Arial Unicode MS"/>
      <w:kern w:val="0"/>
      <w:sz w:val="24"/>
    </w:rPr>
  </w:style>
  <w:style w:type="paragraph" w:customStyle="1" w:styleId="881">
    <w:name w:val="Char Char Char1 Char Char Char Char Char Char Char Char Char Char"/>
    <w:basedOn w:val="1"/>
    <w:qFormat/>
    <w:uiPriority w:val="0"/>
    <w:rPr>
      <w:szCs w:val="20"/>
    </w:rPr>
  </w:style>
  <w:style w:type="paragraph" w:customStyle="1" w:styleId="882">
    <w:name w:val="font18"/>
    <w:basedOn w:val="1"/>
    <w:qFormat/>
    <w:uiPriority w:val="0"/>
    <w:pPr>
      <w:widowControl/>
      <w:spacing w:before="100" w:beforeAutospacing="1" w:after="100" w:afterAutospacing="1"/>
      <w:jc w:val="left"/>
    </w:pPr>
    <w:rPr>
      <w:b/>
      <w:bCs/>
      <w:color w:val="000000"/>
      <w:kern w:val="0"/>
      <w:sz w:val="20"/>
      <w:szCs w:val="20"/>
    </w:rPr>
  </w:style>
  <w:style w:type="paragraph" w:customStyle="1" w:styleId="883">
    <w:name w:val="reader-word-layer reader-word-s4-9"/>
    <w:basedOn w:val="1"/>
    <w:qFormat/>
    <w:uiPriority w:val="0"/>
    <w:pPr>
      <w:widowControl/>
      <w:spacing w:before="100" w:beforeAutospacing="1" w:after="100" w:afterAutospacing="1"/>
      <w:jc w:val="left"/>
    </w:pPr>
    <w:rPr>
      <w:rFonts w:ascii="宋体" w:hAnsi="宋体" w:cs="宋体"/>
      <w:kern w:val="0"/>
      <w:sz w:val="24"/>
    </w:rPr>
  </w:style>
  <w:style w:type="paragraph" w:customStyle="1" w:styleId="884">
    <w:name w:val="样式 四号 行距: 1.5 倍行距3"/>
    <w:basedOn w:val="1"/>
    <w:qFormat/>
    <w:uiPriority w:val="0"/>
    <w:pPr>
      <w:spacing w:line="360" w:lineRule="auto"/>
      <w:ind w:firstLine="1260" w:firstLineChars="450"/>
    </w:pPr>
    <w:rPr>
      <w:rFonts w:cs="宋体"/>
      <w:sz w:val="24"/>
      <w:szCs w:val="20"/>
    </w:rPr>
  </w:style>
  <w:style w:type="paragraph" w:customStyle="1" w:styleId="885">
    <w:name w:val="编号1)"/>
    <w:basedOn w:val="552"/>
    <w:qFormat/>
    <w:uiPriority w:val="0"/>
    <w:pPr>
      <w:tabs>
        <w:tab w:val="left" w:pos="105"/>
        <w:tab w:val="left" w:pos="1328"/>
      </w:tabs>
      <w:ind w:left="1328" w:firstLine="0" w:firstLineChars="0"/>
    </w:pPr>
  </w:style>
  <w:style w:type="paragraph" w:customStyle="1" w:styleId="886">
    <w:name w:val="font14"/>
    <w:basedOn w:val="1"/>
    <w:qFormat/>
    <w:uiPriority w:val="0"/>
    <w:pPr>
      <w:widowControl/>
      <w:spacing w:before="100" w:beforeAutospacing="1" w:after="100" w:afterAutospacing="1"/>
      <w:jc w:val="left"/>
    </w:pPr>
    <w:rPr>
      <w:rFonts w:eastAsia="Arial Unicode MS"/>
      <w:b/>
      <w:bCs/>
      <w:kern w:val="0"/>
      <w:sz w:val="18"/>
      <w:szCs w:val="18"/>
    </w:rPr>
  </w:style>
  <w:style w:type="paragraph" w:customStyle="1" w:styleId="887">
    <w:name w:val="样式 标题 2 + 三号"/>
    <w:basedOn w:val="6"/>
    <w:qFormat/>
    <w:uiPriority w:val="0"/>
    <w:pPr>
      <w:widowControl/>
      <w:tabs>
        <w:tab w:val="left" w:pos="540"/>
        <w:tab w:val="left" w:pos="780"/>
      </w:tabs>
      <w:topLinePunct/>
      <w:spacing w:before="0" w:beforeLines="50" w:after="0" w:afterLines="50" w:line="300" w:lineRule="auto"/>
      <w:ind w:left="780" w:hanging="360"/>
      <w:jc w:val="center"/>
    </w:pPr>
    <w:rPr>
      <w:rFonts w:ascii="宋体" w:hAnsi="宋体" w:eastAsia="宋体"/>
      <w:bCs w:val="0"/>
      <w:snapToGrid w:val="0"/>
      <w:kern w:val="28"/>
      <w:sz w:val="30"/>
      <w:lang w:val="zh-CN"/>
    </w:rPr>
  </w:style>
  <w:style w:type="paragraph" w:customStyle="1" w:styleId="888">
    <w:name w:val="xl28"/>
    <w:basedOn w:val="1"/>
    <w:qFormat/>
    <w:uiPriority w:val="0"/>
    <w:pPr>
      <w:widowControl/>
      <w:pBdr>
        <w:top w:val="single" w:color="auto" w:sz="8" w:space="0"/>
        <w:left w:val="single" w:color="auto" w:sz="8" w:space="0"/>
        <w:right w:val="single" w:color="auto" w:sz="8" w:space="0"/>
      </w:pBdr>
      <w:spacing w:before="100" w:beforeAutospacing="1" w:after="100" w:afterAutospacing="1"/>
      <w:jc w:val="center"/>
      <w:textAlignment w:val="center"/>
    </w:pPr>
    <w:rPr>
      <w:rFonts w:ascii="Arial Unicode MS" w:hAnsi="Arial Unicode MS" w:eastAsia="Arial Unicode MS"/>
      <w:kern w:val="0"/>
      <w:sz w:val="24"/>
    </w:rPr>
  </w:style>
  <w:style w:type="paragraph" w:customStyle="1" w:styleId="889">
    <w:name w:val="xl161"/>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hint="eastAsia" w:ascii="华文细黑" w:hAnsi="华文细黑" w:eastAsia="华文细黑" w:cs="TimesNewRomanPSMT"/>
      <w:color w:val="FF0000"/>
      <w:kern w:val="0"/>
      <w:sz w:val="16"/>
      <w:szCs w:val="16"/>
    </w:rPr>
  </w:style>
  <w:style w:type="paragraph" w:customStyle="1" w:styleId="890">
    <w:name w:val="正文(首行缩进)"/>
    <w:basedOn w:val="1"/>
    <w:qFormat/>
    <w:uiPriority w:val="0"/>
    <w:pPr>
      <w:spacing w:line="360" w:lineRule="auto"/>
      <w:ind w:firstLine="448" w:firstLineChars="200"/>
    </w:pPr>
    <w:rPr>
      <w:rFonts w:hint="eastAsia" w:ascii="宋体"/>
      <w:spacing w:val="-8"/>
      <w:sz w:val="24"/>
    </w:rPr>
  </w:style>
  <w:style w:type="paragraph" w:customStyle="1" w:styleId="891">
    <w:name w:val="正文样式3"/>
    <w:basedOn w:val="1"/>
    <w:qFormat/>
    <w:uiPriority w:val="0"/>
    <w:pPr>
      <w:keepLines/>
      <w:adjustRightInd w:val="0"/>
      <w:spacing w:line="20" w:lineRule="atLeast"/>
      <w:jc w:val="center"/>
      <w:textAlignment w:val="baseline"/>
    </w:pPr>
    <w:rPr>
      <w:kern w:val="0"/>
      <w:sz w:val="24"/>
      <w:szCs w:val="20"/>
    </w:rPr>
  </w:style>
  <w:style w:type="paragraph" w:customStyle="1" w:styleId="892">
    <w:name w:val="1-正文"/>
    <w:basedOn w:val="1"/>
    <w:qFormat/>
    <w:uiPriority w:val="0"/>
    <w:pPr>
      <w:spacing w:line="360" w:lineRule="auto"/>
      <w:ind w:firstLine="480" w:firstLineChars="200"/>
    </w:pPr>
    <w:rPr>
      <w:rFonts w:ascii="宋体" w:hAnsi="宋体"/>
      <w:sz w:val="24"/>
      <w:szCs w:val="20"/>
    </w:rPr>
  </w:style>
  <w:style w:type="paragraph" w:customStyle="1" w:styleId="893">
    <w:name w:val="xl1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894">
    <w:name w:val="xl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olor w:val="FF00FF"/>
      <w:kern w:val="0"/>
      <w:sz w:val="28"/>
      <w:szCs w:val="28"/>
    </w:rPr>
  </w:style>
  <w:style w:type="paragraph" w:customStyle="1" w:styleId="895">
    <w:name w:val="Body text|2"/>
    <w:basedOn w:val="1"/>
    <w:qFormat/>
    <w:uiPriority w:val="0"/>
    <w:pPr>
      <w:widowControl w:val="0"/>
      <w:shd w:val="clear" w:color="auto" w:fill="auto"/>
      <w:spacing w:line="443" w:lineRule="exact"/>
      <w:ind w:firstLine="520"/>
    </w:pPr>
    <w:rPr>
      <w:rFonts w:ascii="宋体" w:hAnsi="宋体" w:eastAsia="宋体" w:cs="宋体"/>
      <w:color w:val="232426"/>
      <w:sz w:val="26"/>
      <w:szCs w:val="26"/>
      <w:u w:val="none"/>
      <w:shd w:val="clear" w:color="auto" w:fill="auto"/>
      <w:lang w:val="zh-TW" w:eastAsia="zh-TW" w:bidi="zh-TW"/>
    </w:rPr>
  </w:style>
  <w:style w:type="paragraph" w:customStyle="1" w:styleId="896">
    <w:name w:val="Paragraph 2"/>
    <w:basedOn w:val="1"/>
    <w:qFormat/>
    <w:uiPriority w:val="0"/>
    <w:pPr>
      <w:widowControl/>
      <w:tabs>
        <w:tab w:val="left" w:pos="720"/>
        <w:tab w:val="left" w:pos="1728"/>
        <w:tab w:val="left" w:pos="2736"/>
      </w:tabs>
      <w:spacing w:after="120"/>
      <w:ind w:left="1728" w:hanging="1008"/>
    </w:pPr>
    <w:rPr>
      <w:rFonts w:ascii="Arial" w:hAnsi="Arial"/>
      <w:spacing w:val="-2"/>
      <w:kern w:val="0"/>
      <w:sz w:val="22"/>
      <w:szCs w:val="20"/>
    </w:rPr>
  </w:style>
  <w:style w:type="paragraph" w:customStyle="1" w:styleId="897">
    <w:name w:val="三级条"/>
    <w:basedOn w:val="1"/>
    <w:qFormat/>
    <w:uiPriority w:val="0"/>
    <w:pPr>
      <w:widowControl/>
      <w:tabs>
        <w:tab w:val="left" w:pos="2100"/>
      </w:tabs>
      <w:spacing w:line="440" w:lineRule="exact"/>
      <w:ind w:left="2100" w:hanging="420"/>
      <w:jc w:val="left"/>
    </w:pPr>
    <w:rPr>
      <w:rFonts w:ascii="宋体"/>
      <w:kern w:val="0"/>
      <w:sz w:val="24"/>
      <w:szCs w:val="20"/>
    </w:rPr>
  </w:style>
  <w:style w:type="paragraph" w:customStyle="1" w:styleId="898">
    <w:name w:val="1 Char Char Char Char"/>
    <w:basedOn w:val="1"/>
    <w:semiHidden/>
    <w:qFormat/>
    <w:uiPriority w:val="0"/>
    <w:pPr>
      <w:spacing w:line="360" w:lineRule="auto"/>
      <w:ind w:firstLine="200" w:firstLineChars="200"/>
    </w:pPr>
    <w:rPr>
      <w:sz w:val="24"/>
    </w:rPr>
  </w:style>
  <w:style w:type="paragraph" w:customStyle="1" w:styleId="899">
    <w:name w:val="xl166"/>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hint="eastAsia" w:ascii="华文隶书" w:hAnsi="Arial Unicode MS" w:eastAsia="华文隶书" w:cs="TimesNewRomanPSMT"/>
      <w:b/>
      <w:bCs/>
      <w:color w:val="0000FF"/>
      <w:kern w:val="0"/>
      <w:sz w:val="16"/>
      <w:szCs w:val="16"/>
    </w:rPr>
  </w:style>
  <w:style w:type="paragraph" w:customStyle="1" w:styleId="900">
    <w:name w:val="表格左对齐"/>
    <w:basedOn w:val="1"/>
    <w:qFormat/>
    <w:uiPriority w:val="0"/>
    <w:pPr>
      <w:adjustRightInd w:val="0"/>
      <w:snapToGrid w:val="0"/>
      <w:spacing w:line="360" w:lineRule="auto"/>
      <w:jc w:val="left"/>
      <w:textAlignment w:val="baseline"/>
    </w:pPr>
    <w:rPr>
      <w:rFonts w:ascii="宋体" w:hAnsi="Arial"/>
      <w:bCs/>
      <w:kern w:val="0"/>
      <w:sz w:val="24"/>
      <w:szCs w:val="20"/>
    </w:rPr>
  </w:style>
  <w:style w:type="paragraph" w:customStyle="1" w:styleId="901">
    <w:name w:val="xl105"/>
    <w:basedOn w:val="1"/>
    <w:qFormat/>
    <w:uiPriority w:val="0"/>
    <w:pPr>
      <w:widowControl/>
      <w:pBdr>
        <w:left w:val="single" w:color="auto" w:sz="4" w:space="0"/>
        <w:right w:val="single" w:color="auto" w:sz="4" w:space="0"/>
      </w:pBdr>
      <w:spacing w:before="100" w:beforeAutospacing="1" w:after="100" w:afterAutospacing="1"/>
      <w:jc w:val="center"/>
      <w:textAlignment w:val="center"/>
    </w:pPr>
    <w:rPr>
      <w:kern w:val="0"/>
      <w:sz w:val="28"/>
      <w:szCs w:val="28"/>
    </w:rPr>
  </w:style>
  <w:style w:type="paragraph" w:customStyle="1" w:styleId="902">
    <w:name w:val="字母项"/>
    <w:basedOn w:val="8"/>
    <w:qFormat/>
    <w:uiPriority w:val="0"/>
    <w:pPr>
      <w:keepNext w:val="0"/>
      <w:keepLines w:val="0"/>
      <w:widowControl/>
      <w:numPr>
        <w:ilvl w:val="0"/>
        <w:numId w:val="0"/>
      </w:numPr>
      <w:tabs>
        <w:tab w:val="left" w:pos="1440"/>
        <w:tab w:val="clear" w:pos="864"/>
      </w:tabs>
      <w:spacing w:after="0" w:line="440" w:lineRule="exact"/>
      <w:ind w:left="1440" w:hanging="1440"/>
      <w:outlineLvl w:val="9"/>
    </w:pPr>
    <w:rPr>
      <w:rFonts w:ascii="宋体" w:eastAsia="宋体"/>
      <w:kern w:val="0"/>
      <w:sz w:val="24"/>
    </w:rPr>
  </w:style>
  <w:style w:type="paragraph" w:customStyle="1" w:styleId="903">
    <w:name w:val="基准标题"/>
    <w:basedOn w:val="3"/>
    <w:next w:val="3"/>
    <w:qFormat/>
    <w:uiPriority w:val="0"/>
    <w:pPr>
      <w:autoSpaceDE w:val="0"/>
      <w:autoSpaceDN w:val="0"/>
      <w:adjustRightInd w:val="0"/>
      <w:snapToGrid w:val="0"/>
      <w:spacing w:before="80" w:after="80"/>
      <w:ind w:left="-8" w:leftChars="-4"/>
      <w:jc w:val="center"/>
    </w:pPr>
    <w:rPr>
      <w:b/>
      <w:bCs/>
      <w:color w:val="000000"/>
      <w:sz w:val="24"/>
      <w:lang w:val="zh-CN"/>
    </w:rPr>
  </w:style>
  <w:style w:type="paragraph" w:customStyle="1" w:styleId="904">
    <w:name w:val="biao-2"/>
    <w:basedOn w:val="1"/>
    <w:qFormat/>
    <w:uiPriority w:val="0"/>
    <w:pPr>
      <w:widowControl/>
      <w:topLinePunct/>
      <w:autoSpaceDE w:val="0"/>
      <w:adjustRightInd w:val="0"/>
      <w:snapToGrid w:val="0"/>
      <w:spacing w:line="360" w:lineRule="exact"/>
      <w:ind w:left="480"/>
      <w:jc w:val="center"/>
    </w:pPr>
    <w:rPr>
      <w:rFonts w:ascii="宋体" w:hAnsi="宋体"/>
      <w:sz w:val="24"/>
      <w:szCs w:val="20"/>
    </w:rPr>
  </w:style>
  <w:style w:type="paragraph" w:customStyle="1" w:styleId="905">
    <w:name w:val="xl119"/>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00"/>
      <w:kern w:val="0"/>
      <w:sz w:val="28"/>
      <w:szCs w:val="28"/>
    </w:rPr>
  </w:style>
  <w:style w:type="paragraph" w:customStyle="1" w:styleId="906">
    <w:name w:val="题注1"/>
    <w:basedOn w:val="1"/>
    <w:next w:val="1"/>
    <w:qFormat/>
    <w:uiPriority w:val="0"/>
    <w:pPr>
      <w:spacing w:beforeLines="100"/>
      <w:jc w:val="center"/>
    </w:pPr>
    <w:rPr>
      <w:rFonts w:hint="eastAsia" w:ascii="Arial" w:hAnsi="Arial" w:eastAsia="黑体"/>
      <w:sz w:val="24"/>
      <w:szCs w:val="20"/>
    </w:rPr>
  </w:style>
  <w:style w:type="paragraph" w:customStyle="1" w:styleId="907">
    <w:name w:val="正文内容."/>
    <w:basedOn w:val="43"/>
    <w:qFormat/>
    <w:uiPriority w:val="0"/>
    <w:pPr>
      <w:ind w:firstLine="420" w:firstLineChars="200"/>
    </w:pPr>
    <w:rPr>
      <w:rFonts w:ascii="Times New Roman" w:hAnsi="Times New Roman" w:cs="宋体"/>
      <w:sz w:val="21"/>
    </w:rPr>
  </w:style>
  <w:style w:type="paragraph" w:customStyle="1" w:styleId="908">
    <w:name w:val="Char Char Char Char Char Char Char Char Char Char Char Char Char Char Char Char Char Char Char Char Char Char"/>
    <w:basedOn w:val="1"/>
    <w:semiHidden/>
    <w:qFormat/>
    <w:uiPriority w:val="0"/>
    <w:pPr>
      <w:spacing w:line="360" w:lineRule="auto"/>
      <w:ind w:firstLine="200" w:firstLineChars="200"/>
    </w:pPr>
    <w:rPr>
      <w:rFonts w:ascii="宋体" w:hAnsi="宋体" w:cs="宋体"/>
      <w:sz w:val="24"/>
    </w:rPr>
  </w:style>
  <w:style w:type="paragraph" w:customStyle="1" w:styleId="909">
    <w:name w:val="样式 样式 表内文字 + 首行缩进:  1.57 字符 + 右侧:  0.35 字符"/>
    <w:basedOn w:val="865"/>
    <w:qFormat/>
    <w:uiPriority w:val="0"/>
    <w:pPr>
      <w:ind w:left="57" w:right="0" w:rightChars="0"/>
      <w:jc w:val="center"/>
    </w:pPr>
    <w:rPr>
      <w:sz w:val="21"/>
      <w:szCs w:val="24"/>
    </w:rPr>
  </w:style>
  <w:style w:type="paragraph" w:customStyle="1" w:styleId="910">
    <w:name w:val="条(三级)"/>
    <w:basedOn w:val="1"/>
    <w:next w:val="1"/>
    <w:qFormat/>
    <w:uiPriority w:val="0"/>
    <w:pPr>
      <w:keepNext/>
      <w:keepLines/>
      <w:adjustRightInd w:val="0"/>
      <w:spacing w:line="460" w:lineRule="exact"/>
      <w:jc w:val="left"/>
      <w:textAlignment w:val="baseline"/>
    </w:pPr>
    <w:rPr>
      <w:rFonts w:hAnsi="Arial"/>
      <w:spacing w:val="3"/>
      <w:kern w:val="24"/>
      <w:sz w:val="24"/>
      <w:szCs w:val="20"/>
    </w:rPr>
  </w:style>
  <w:style w:type="paragraph" w:customStyle="1" w:styleId="911">
    <w:name w:val="Personal Info"/>
    <w:basedOn w:val="773"/>
    <w:qFormat/>
    <w:uiPriority w:val="0"/>
    <w:pPr>
      <w:spacing w:before="220"/>
    </w:pPr>
  </w:style>
  <w:style w:type="paragraph" w:customStyle="1" w:styleId="912">
    <w:name w:val="F文字-标准规范"/>
    <w:basedOn w:val="720"/>
    <w:qFormat/>
    <w:uiPriority w:val="0"/>
    <w:pPr>
      <w:numPr>
        <w:ilvl w:val="0"/>
        <w:numId w:val="7"/>
      </w:numPr>
      <w:tabs>
        <w:tab w:val="right" w:leader="dot" w:pos="9000"/>
      </w:tabs>
      <w:spacing w:line="240" w:lineRule="auto"/>
      <w:ind w:firstLineChars="0"/>
      <w:jc w:val="both"/>
      <w:textAlignment w:val="center"/>
    </w:pPr>
  </w:style>
  <w:style w:type="paragraph" w:customStyle="1" w:styleId="913">
    <w:name w:val="I目录3级"/>
    <w:basedOn w:val="1"/>
    <w:qFormat/>
    <w:uiPriority w:val="0"/>
    <w:pPr>
      <w:widowControl/>
      <w:tabs>
        <w:tab w:val="right" w:leader="dot" w:pos="8800"/>
      </w:tabs>
      <w:overflowPunct w:val="0"/>
      <w:autoSpaceDE w:val="0"/>
      <w:autoSpaceDN w:val="0"/>
      <w:adjustRightInd w:val="0"/>
      <w:ind w:firstLine="400" w:firstLineChars="400"/>
      <w:textAlignment w:val="center"/>
    </w:pPr>
    <w:rPr>
      <w:rFonts w:eastAsia="仿宋_GB2312"/>
      <w:kern w:val="0"/>
      <w:szCs w:val="21"/>
    </w:rPr>
  </w:style>
  <w:style w:type="paragraph" w:customStyle="1" w:styleId="914">
    <w:name w:val="md四级标题"/>
    <w:basedOn w:val="8"/>
    <w:next w:val="1"/>
    <w:qFormat/>
    <w:locked/>
    <w:uiPriority w:val="0"/>
    <w:pPr>
      <w:widowControl/>
      <w:numPr>
        <w:ilvl w:val="0"/>
        <w:numId w:val="0"/>
      </w:numPr>
      <w:tabs>
        <w:tab w:val="clear" w:pos="864"/>
      </w:tabs>
      <w:overflowPunct w:val="0"/>
      <w:autoSpaceDE w:val="0"/>
      <w:autoSpaceDN w:val="0"/>
      <w:adjustRightInd w:val="0"/>
      <w:spacing w:afterLines="50" w:line="360" w:lineRule="auto"/>
      <w:textAlignment w:val="baseline"/>
    </w:pPr>
    <w:rPr>
      <w:rFonts w:eastAsia="仿宋_GB2312"/>
      <w:b w:val="0"/>
      <w:kern w:val="0"/>
      <w:sz w:val="24"/>
      <w:szCs w:val="24"/>
    </w:rPr>
  </w:style>
  <w:style w:type="paragraph" w:customStyle="1" w:styleId="915">
    <w:name w:val="正文 + 五号"/>
    <w:basedOn w:val="1"/>
    <w:qFormat/>
    <w:uiPriority w:val="0"/>
    <w:pPr>
      <w:suppressLineNumbers/>
      <w:suppressAutoHyphens/>
      <w:topLinePunct/>
      <w:adjustRightInd w:val="0"/>
      <w:snapToGrid w:val="0"/>
      <w:spacing w:line="340" w:lineRule="exact"/>
      <w:jc w:val="center"/>
      <w:textAlignment w:val="baseline"/>
    </w:pPr>
    <w:rPr>
      <w:bCs/>
      <w:kern w:val="0"/>
      <w:szCs w:val="21"/>
    </w:rPr>
  </w:style>
  <w:style w:type="paragraph" w:customStyle="1" w:styleId="916">
    <w:name w:val="2级标题"/>
    <w:basedOn w:val="10"/>
    <w:qFormat/>
    <w:uiPriority w:val="0"/>
    <w:pPr>
      <w:numPr>
        <w:ilvl w:val="0"/>
        <w:numId w:val="0"/>
      </w:numPr>
      <w:tabs>
        <w:tab w:val="clear" w:pos="1152"/>
      </w:tabs>
      <w:autoSpaceDE/>
      <w:autoSpaceDN/>
      <w:snapToGrid w:val="0"/>
      <w:spacing w:before="156" w:beforeLines="50" w:after="156" w:afterLines="50" w:line="440" w:lineRule="exact"/>
      <w:textAlignment w:val="auto"/>
    </w:pPr>
    <w:rPr>
      <w:rFonts w:ascii="Times New Roman" w:hAnsi="Times New Roman" w:eastAsia="仿宋_GB2312"/>
      <w:b w:val="0"/>
      <w:color w:val="FF0000"/>
      <w:kern w:val="2"/>
      <w:szCs w:val="24"/>
    </w:rPr>
  </w:style>
  <w:style w:type="paragraph" w:customStyle="1" w:styleId="917">
    <w:name w:val="首页脚注"/>
    <w:basedOn w:val="53"/>
    <w:semiHidden/>
    <w:qFormat/>
    <w:uiPriority w:val="0"/>
    <w:pPr>
      <w:keepLines/>
      <w:widowControl/>
      <w:tabs>
        <w:tab w:val="center" w:pos="4320"/>
        <w:tab w:val="clear" w:pos="4153"/>
        <w:tab w:val="clear" w:pos="8306"/>
      </w:tabs>
      <w:overflowPunct w:val="0"/>
      <w:autoSpaceDE w:val="0"/>
      <w:autoSpaceDN w:val="0"/>
      <w:adjustRightInd w:val="0"/>
      <w:snapToGrid/>
      <w:spacing w:line="360" w:lineRule="auto"/>
      <w:ind w:firstLine="200" w:firstLineChars="200"/>
      <w:jc w:val="center"/>
    </w:pPr>
    <w:rPr>
      <w:rFonts w:eastAsia="Times New Roman"/>
      <w:kern w:val="0"/>
      <w:sz w:val="28"/>
      <w:szCs w:val="20"/>
    </w:rPr>
  </w:style>
  <w:style w:type="paragraph" w:customStyle="1" w:styleId="918">
    <w:name w:val="表号"/>
    <w:basedOn w:val="535"/>
    <w:next w:val="535"/>
    <w:qFormat/>
    <w:uiPriority w:val="0"/>
    <w:pPr>
      <w:tabs>
        <w:tab w:val="left" w:pos="360"/>
      </w:tabs>
      <w:spacing w:line="240" w:lineRule="atLeast"/>
      <w:ind w:left="-264" w:firstLine="264"/>
      <w:jc w:val="right"/>
    </w:pPr>
    <w:rPr>
      <w:rFonts w:ascii="黑体" w:eastAsia="黑体"/>
      <w:color w:val="auto"/>
    </w:rPr>
  </w:style>
  <w:style w:type="paragraph" w:customStyle="1" w:styleId="919">
    <w:name w:val="xl10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00"/>
      <w:kern w:val="0"/>
      <w:sz w:val="28"/>
      <w:szCs w:val="28"/>
    </w:rPr>
  </w:style>
  <w:style w:type="paragraph" w:customStyle="1" w:styleId="920">
    <w:name w:val=" Char Char Char Char Char Char Char Char Char Char Char Char Char Char Char Char Char Char Char"/>
    <w:basedOn w:val="1"/>
    <w:qFormat/>
    <w:uiPriority w:val="0"/>
  </w:style>
  <w:style w:type="paragraph" w:customStyle="1" w:styleId="921">
    <w:name w:val="我的正文"/>
    <w:qFormat/>
    <w:uiPriority w:val="0"/>
    <w:pPr>
      <w:adjustRightInd w:val="0"/>
      <w:snapToGrid w:val="0"/>
      <w:spacing w:line="360" w:lineRule="auto"/>
      <w:ind w:firstLine="200" w:firstLineChars="200"/>
    </w:pPr>
    <w:rPr>
      <w:rFonts w:ascii="宋体" w:hAnsi="宋体" w:eastAsia="宋体" w:cs="宋体"/>
      <w:color w:val="000000"/>
      <w:kern w:val="2"/>
      <w:sz w:val="24"/>
      <w:szCs w:val="22"/>
      <w:lang w:val="en-US" w:eastAsia="zh-CN" w:bidi="ar-SA"/>
    </w:rPr>
  </w:style>
  <w:style w:type="paragraph" w:customStyle="1" w:styleId="922">
    <w:name w:val="reader-word-layer reader-word-s1-6"/>
    <w:basedOn w:val="1"/>
    <w:qFormat/>
    <w:uiPriority w:val="0"/>
    <w:pPr>
      <w:widowControl/>
      <w:spacing w:before="100" w:beforeAutospacing="1" w:after="100" w:afterAutospacing="1"/>
      <w:jc w:val="left"/>
    </w:pPr>
    <w:rPr>
      <w:rFonts w:ascii="宋体" w:hAnsi="宋体" w:cs="宋体"/>
      <w:kern w:val="0"/>
      <w:sz w:val="24"/>
    </w:rPr>
  </w:style>
  <w:style w:type="paragraph" w:customStyle="1" w:styleId="923">
    <w:name w:val="md目录标题"/>
    <w:qFormat/>
    <w:locked/>
    <w:uiPriority w:val="0"/>
    <w:pPr>
      <w:spacing w:before="120" w:after="50" w:afterLines="50"/>
      <w:jc w:val="center"/>
      <w:textAlignment w:val="center"/>
    </w:pPr>
    <w:rPr>
      <w:rFonts w:ascii="Times New Roman" w:hAnsi="Times New Roman" w:eastAsia="仿宋_GB2312" w:cs="Times New Roman"/>
      <w:b/>
      <w:bCs/>
      <w:caps/>
      <w:kern w:val="2"/>
      <w:sz w:val="28"/>
      <w:szCs w:val="28"/>
      <w:lang w:val="en-US" w:eastAsia="zh-CN" w:bidi="ar-SA"/>
    </w:rPr>
  </w:style>
  <w:style w:type="paragraph" w:customStyle="1" w:styleId="924">
    <w:name w:val="xl191"/>
    <w:basedOn w:val="1"/>
    <w:qFormat/>
    <w:uiPriority w:val="0"/>
    <w:pPr>
      <w:widowControl/>
      <w:pBdr>
        <w:top w:val="double" w:color="auto" w:sz="6" w:space="0"/>
        <w:left w:val="single" w:color="auto" w:sz="4" w:space="0"/>
        <w:right w:val="single" w:color="auto" w:sz="4" w:space="0"/>
      </w:pBdr>
      <w:spacing w:before="100" w:beforeAutospacing="1" w:after="100" w:afterAutospacing="1"/>
      <w:jc w:val="center"/>
    </w:pPr>
    <w:rPr>
      <w:rFonts w:hint="eastAsia" w:ascii="楷体_GB2312" w:hAnsi="Arial Unicode MS" w:eastAsia="楷体_GB2312" w:cs="TimesNewRomanPSMT"/>
      <w:color w:val="FF0000"/>
      <w:kern w:val="0"/>
      <w:sz w:val="16"/>
      <w:szCs w:val="16"/>
    </w:rPr>
  </w:style>
  <w:style w:type="paragraph" w:customStyle="1" w:styleId="925">
    <w:name w:val="样式 (西文) Times New Roman (中文) 黑体 居中 行距: 1.5 倍行距"/>
    <w:basedOn w:val="1"/>
    <w:qFormat/>
    <w:uiPriority w:val="0"/>
    <w:pPr>
      <w:spacing w:line="360" w:lineRule="auto"/>
      <w:jc w:val="center"/>
    </w:pPr>
    <w:rPr>
      <w:rFonts w:ascii="Times New Roman" w:eastAsia="黑体" w:cs="宋体"/>
    </w:rPr>
  </w:style>
  <w:style w:type="paragraph" w:customStyle="1" w:styleId="926">
    <w:name w:val="I目录～标题1级"/>
    <w:basedOn w:val="57"/>
    <w:qFormat/>
    <w:uiPriority w:val="0"/>
    <w:pPr>
      <w:widowControl/>
      <w:tabs>
        <w:tab w:val="left" w:pos="420"/>
        <w:tab w:val="center" w:leader="dot" w:pos="1200"/>
        <w:tab w:val="right" w:leader="dot" w:pos="8302"/>
        <w:tab w:val="center" w:leader="dot" w:pos="9000"/>
        <w:tab w:val="right" w:leader="dot" w:pos="9345"/>
      </w:tabs>
      <w:overflowPunct w:val="0"/>
      <w:autoSpaceDE w:val="0"/>
      <w:autoSpaceDN w:val="0"/>
      <w:adjustRightInd w:val="0"/>
      <w:spacing w:before="50" w:beforeLines="50" w:after="0" w:line="360" w:lineRule="auto"/>
      <w:textAlignment w:val="center"/>
    </w:pPr>
    <w:rPr>
      <w:rFonts w:ascii="宋体" w:hAnsi="宋体" w:eastAsia="仿宋_GB2312"/>
      <w:b w:val="0"/>
      <w:bCs w:val="0"/>
      <w:caps w:val="0"/>
      <w:kern w:val="0"/>
      <w:sz w:val="32"/>
      <w:szCs w:val="32"/>
    </w:rPr>
  </w:style>
  <w:style w:type="paragraph" w:customStyle="1" w:styleId="927">
    <w:name w:val="表文5中"/>
    <w:basedOn w:val="1"/>
    <w:qFormat/>
    <w:uiPriority w:val="0"/>
    <w:pPr>
      <w:adjustRightInd w:val="0"/>
      <w:jc w:val="center"/>
      <w:textAlignment w:val="baseline"/>
    </w:pPr>
    <w:rPr>
      <w:kern w:val="0"/>
      <w:szCs w:val="20"/>
    </w:rPr>
  </w:style>
  <w:style w:type="paragraph" w:customStyle="1" w:styleId="928">
    <w:name w:val="表中文字居中"/>
    <w:basedOn w:val="43"/>
    <w:qFormat/>
    <w:uiPriority w:val="0"/>
    <w:pPr>
      <w:spacing w:before="156" w:beforeLines="50"/>
      <w:ind w:firstLine="0"/>
      <w:jc w:val="center"/>
    </w:pPr>
    <w:rPr>
      <w:rFonts w:ascii="黑体" w:eastAsia="黑体"/>
      <w:sz w:val="24"/>
    </w:rPr>
  </w:style>
  <w:style w:type="paragraph" w:customStyle="1" w:styleId="929">
    <w:name w:val="２标题"/>
    <w:basedOn w:val="6"/>
    <w:next w:val="22"/>
    <w:qFormat/>
    <w:uiPriority w:val="0"/>
    <w:pPr>
      <w:tabs>
        <w:tab w:val="left" w:pos="540"/>
      </w:tabs>
      <w:spacing w:beforeLines="50" w:afterLines="50" w:line="440" w:lineRule="exact"/>
      <w:jc w:val="left"/>
      <w:textAlignment w:val="baseline"/>
    </w:pPr>
    <w:rPr>
      <w:rFonts w:ascii="仿宋_GB2312" w:hAnsi="宋体" w:eastAsia="仿宋_GB2312"/>
      <w:b w:val="0"/>
      <w:caps/>
      <w:snapToGrid w:val="0"/>
      <w:kern w:val="28"/>
      <w:sz w:val="28"/>
      <w:szCs w:val="28"/>
      <w:lang w:val="zh-CN"/>
    </w:rPr>
  </w:style>
  <w:style w:type="paragraph" w:customStyle="1" w:styleId="930">
    <w:name w:val="Text1"/>
    <w:qFormat/>
    <w:uiPriority w:val="0"/>
    <w:pPr>
      <w:adjustRightInd w:val="0"/>
      <w:spacing w:before="60" w:line="360" w:lineRule="auto"/>
      <w:ind w:left="1134" w:right="567"/>
      <w:textAlignment w:val="baseline"/>
    </w:pPr>
    <w:rPr>
      <w:rFonts w:ascii="Arial" w:hAnsi="Arial" w:eastAsia="宋体" w:cs="Times New Roman"/>
      <w:kern w:val="2"/>
      <w:sz w:val="24"/>
      <w:szCs w:val="24"/>
      <w:lang w:val="en-US" w:eastAsia="zh-CN" w:bidi="ar-SA"/>
    </w:rPr>
  </w:style>
  <w:style w:type="paragraph" w:customStyle="1" w:styleId="931">
    <w:name w:val="reader-word-layer reader-word-s4-18"/>
    <w:basedOn w:val="1"/>
    <w:qFormat/>
    <w:uiPriority w:val="0"/>
    <w:pPr>
      <w:widowControl/>
      <w:spacing w:before="100" w:beforeAutospacing="1" w:after="100" w:afterAutospacing="1"/>
      <w:jc w:val="left"/>
    </w:pPr>
    <w:rPr>
      <w:rFonts w:ascii="宋体" w:hAnsi="宋体" w:cs="宋体"/>
      <w:kern w:val="0"/>
      <w:sz w:val="24"/>
    </w:rPr>
  </w:style>
  <w:style w:type="paragraph" w:customStyle="1" w:styleId="932">
    <w:name w:val="Char Char Char Char Char Char Char Char Char Char Char Char Char Char Char Char Char Char Char Char Char"/>
    <w:basedOn w:val="1"/>
    <w:semiHidden/>
    <w:qFormat/>
    <w:uiPriority w:val="0"/>
    <w:pPr>
      <w:spacing w:line="300" w:lineRule="auto"/>
    </w:pPr>
    <w:rPr>
      <w:sz w:val="24"/>
      <w:szCs w:val="20"/>
    </w:rPr>
  </w:style>
  <w:style w:type="paragraph" w:customStyle="1" w:styleId="933">
    <w:name w:val="reader-word-layer reader-word-s1-10"/>
    <w:basedOn w:val="1"/>
    <w:qFormat/>
    <w:uiPriority w:val="0"/>
    <w:pPr>
      <w:widowControl/>
      <w:spacing w:before="100" w:beforeAutospacing="1" w:after="100" w:afterAutospacing="1"/>
      <w:jc w:val="left"/>
    </w:pPr>
    <w:rPr>
      <w:rFonts w:ascii="宋体" w:hAnsi="宋体" w:cs="宋体"/>
      <w:kern w:val="0"/>
      <w:sz w:val="24"/>
    </w:rPr>
  </w:style>
  <w:style w:type="paragraph" w:customStyle="1" w:styleId="934">
    <w:name w:val="xl23"/>
    <w:basedOn w:val="1"/>
    <w:qFormat/>
    <w:uiPriority w:val="0"/>
    <w:pPr>
      <w:widowControl/>
      <w:spacing w:before="100" w:beforeAutospacing="1" w:after="100" w:afterAutospacing="1"/>
      <w:jc w:val="center"/>
      <w:textAlignment w:val="center"/>
    </w:pPr>
    <w:rPr>
      <w:rFonts w:ascii="宋体" w:hAnsi="宋体"/>
      <w:kern w:val="0"/>
      <w:sz w:val="24"/>
      <w:szCs w:val="20"/>
    </w:rPr>
  </w:style>
  <w:style w:type="paragraph" w:customStyle="1" w:styleId="935">
    <w:name w:val="xl9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FF"/>
      <w:kern w:val="0"/>
      <w:sz w:val="28"/>
      <w:szCs w:val="28"/>
    </w:rPr>
  </w:style>
  <w:style w:type="paragraph" w:customStyle="1" w:styleId="936">
    <w:name w:val="F文字-图片注解"/>
    <w:basedOn w:val="720"/>
    <w:qFormat/>
    <w:uiPriority w:val="0"/>
    <w:pPr>
      <w:spacing w:after="50" w:afterLines="50"/>
      <w:ind w:firstLine="0" w:firstLineChars="0"/>
      <w:jc w:val="center"/>
      <w:textAlignment w:val="center"/>
    </w:pPr>
    <w:rPr>
      <w:sz w:val="21"/>
    </w:rPr>
  </w:style>
  <w:style w:type="paragraph" w:customStyle="1" w:styleId="937">
    <w:name w:val="List Paragraph1"/>
    <w:basedOn w:val="1"/>
    <w:qFormat/>
    <w:uiPriority w:val="0"/>
    <w:pPr>
      <w:ind w:firstLine="420" w:firstLineChars="200"/>
    </w:pPr>
    <w:rPr>
      <w:rFonts w:ascii="Calibri" w:hAnsi="Calibri"/>
      <w:szCs w:val="22"/>
    </w:rPr>
  </w:style>
  <w:style w:type="paragraph" w:customStyle="1" w:styleId="938">
    <w:name w:val="reader-word-layer reader-word-s4-3"/>
    <w:basedOn w:val="1"/>
    <w:qFormat/>
    <w:uiPriority w:val="0"/>
    <w:pPr>
      <w:widowControl/>
      <w:spacing w:before="100" w:beforeAutospacing="1" w:after="100" w:afterAutospacing="1"/>
      <w:jc w:val="left"/>
    </w:pPr>
    <w:rPr>
      <w:rFonts w:ascii="宋体" w:hAnsi="宋体" w:cs="宋体"/>
      <w:kern w:val="0"/>
      <w:sz w:val="24"/>
    </w:rPr>
  </w:style>
  <w:style w:type="paragraph" w:customStyle="1" w:styleId="939">
    <w:name w:val="font7"/>
    <w:basedOn w:val="1"/>
    <w:qFormat/>
    <w:uiPriority w:val="0"/>
    <w:pPr>
      <w:widowControl/>
      <w:spacing w:before="100" w:beforeAutospacing="1" w:after="100" w:afterAutospacing="1"/>
      <w:jc w:val="left"/>
    </w:pPr>
    <w:rPr>
      <w:rFonts w:hint="eastAsia" w:ascii="宋体" w:hAnsi="宋体"/>
      <w:kern w:val="0"/>
      <w:sz w:val="18"/>
      <w:szCs w:val="18"/>
    </w:rPr>
  </w:style>
  <w:style w:type="paragraph" w:customStyle="1" w:styleId="940">
    <w:name w:val="xl167"/>
    <w:basedOn w:val="1"/>
    <w:qFormat/>
    <w:uiPriority w:val="0"/>
    <w:pPr>
      <w:widowControl/>
      <w:pBdr>
        <w:top w:val="single" w:color="auto" w:sz="12" w:space="0"/>
        <w:left w:val="single" w:color="auto" w:sz="4" w:space="0"/>
        <w:bottom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FF"/>
      <w:kern w:val="0"/>
      <w:sz w:val="16"/>
      <w:szCs w:val="16"/>
    </w:rPr>
  </w:style>
  <w:style w:type="paragraph" w:customStyle="1" w:styleId="941">
    <w:name w:val="xl58"/>
    <w:basedOn w:val="1"/>
    <w:qFormat/>
    <w:uiPriority w:val="0"/>
    <w:pPr>
      <w:widowControl/>
      <w:pBdr>
        <w:top w:val="single" w:color="auto" w:sz="8" w:space="0"/>
        <w:bottom w:val="single" w:color="auto" w:sz="4" w:space="0"/>
        <w:right w:val="single" w:color="auto" w:sz="4" w:space="0"/>
      </w:pBdr>
      <w:spacing w:before="100" w:beforeAutospacing="1" w:after="100" w:afterAutospacing="1"/>
      <w:jc w:val="center"/>
      <w:textAlignment w:val="center"/>
    </w:pPr>
    <w:rPr>
      <w:rFonts w:eastAsia="Arial Unicode MS"/>
      <w:kern w:val="0"/>
      <w:szCs w:val="21"/>
    </w:rPr>
  </w:style>
  <w:style w:type="paragraph" w:customStyle="1" w:styleId="942">
    <w:name w:val="表格新"/>
    <w:basedOn w:val="1"/>
    <w:qFormat/>
    <w:uiPriority w:val="0"/>
    <w:pPr>
      <w:spacing w:line="400" w:lineRule="exact"/>
      <w:jc w:val="center"/>
    </w:pPr>
    <w:rPr>
      <w:sz w:val="18"/>
      <w:szCs w:val="20"/>
    </w:rPr>
  </w:style>
  <w:style w:type="paragraph" w:customStyle="1" w:styleId="943">
    <w:name w:val="基准页脚样式"/>
    <w:basedOn w:val="1"/>
    <w:qFormat/>
    <w:uiPriority w:val="0"/>
    <w:pPr>
      <w:adjustRightInd w:val="0"/>
      <w:snapToGrid w:val="0"/>
      <w:spacing w:before="80" w:after="80"/>
    </w:pPr>
    <w:rPr>
      <w:kern w:val="0"/>
      <w:sz w:val="22"/>
      <w:szCs w:val="21"/>
    </w:rPr>
  </w:style>
  <w:style w:type="paragraph" w:customStyle="1" w:styleId="944">
    <w:name w:val=" Char2 Char Char Char"/>
    <w:basedOn w:val="1"/>
    <w:qFormat/>
    <w:uiPriority w:val="0"/>
    <w:pPr>
      <w:autoSpaceDE w:val="0"/>
      <w:autoSpaceDN w:val="0"/>
      <w:adjustRightInd w:val="0"/>
      <w:snapToGrid w:val="0"/>
      <w:spacing w:before="50" w:after="50" w:line="360" w:lineRule="auto"/>
      <w:ind w:firstLine="560" w:firstLineChars="200"/>
    </w:pPr>
    <w:rPr>
      <w:rFonts w:ascii="宋体" w:hAnsi="宋体" w:eastAsia="仿宋_GB2312"/>
      <w:color w:val="000000"/>
      <w:sz w:val="24"/>
    </w:rPr>
  </w:style>
  <w:style w:type="paragraph" w:customStyle="1" w:styleId="945">
    <w:name w:val="xl168"/>
    <w:basedOn w:val="1"/>
    <w:qFormat/>
    <w:uiPriority w:val="0"/>
    <w:pPr>
      <w:widowControl/>
      <w:pBdr>
        <w:top w:val="single" w:color="auto" w:sz="12" w:space="0"/>
        <w:bottom w:val="single" w:color="auto" w:sz="4" w:space="0"/>
        <w:right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FF"/>
      <w:kern w:val="0"/>
      <w:sz w:val="16"/>
      <w:szCs w:val="16"/>
    </w:rPr>
  </w:style>
  <w:style w:type="paragraph" w:customStyle="1" w:styleId="946">
    <w:name w:val="样式 宋体 居中"/>
    <w:basedOn w:val="1"/>
    <w:qFormat/>
    <w:uiPriority w:val="0"/>
    <w:pPr>
      <w:adjustRightInd w:val="0"/>
      <w:snapToGrid w:val="0"/>
      <w:jc w:val="center"/>
    </w:pPr>
    <w:rPr>
      <w:color w:val="000000"/>
      <w:sz w:val="20"/>
      <w:szCs w:val="20"/>
    </w:rPr>
  </w:style>
  <w:style w:type="paragraph" w:customStyle="1" w:styleId="947">
    <w:name w:val="xl1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i/>
      <w:iCs/>
      <w:kern w:val="0"/>
      <w:sz w:val="16"/>
      <w:szCs w:val="16"/>
    </w:rPr>
  </w:style>
  <w:style w:type="paragraph" w:customStyle="1" w:styleId="948">
    <w:name w:val="xl19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hint="eastAsia" w:ascii="楷体_GB2312" w:hAnsi="Arial Unicode MS" w:eastAsia="楷体_GB2312" w:cs="TimesNewRomanPSMT"/>
      <w:color w:val="FF0000"/>
      <w:kern w:val="0"/>
      <w:sz w:val="16"/>
      <w:szCs w:val="16"/>
    </w:rPr>
  </w:style>
  <w:style w:type="paragraph" w:customStyle="1" w:styleId="949">
    <w:name w:val="a12"/>
    <w:basedOn w:val="1"/>
    <w:qFormat/>
    <w:uiPriority w:val="0"/>
    <w:pPr>
      <w:widowControl/>
      <w:spacing w:before="100" w:beforeAutospacing="1" w:after="100" w:afterAutospacing="1"/>
      <w:jc w:val="left"/>
    </w:pPr>
    <w:rPr>
      <w:rFonts w:ascii="宋体" w:hAnsi="宋体" w:cs="宋体"/>
      <w:kern w:val="0"/>
      <w:sz w:val="24"/>
    </w:rPr>
  </w:style>
  <w:style w:type="paragraph" w:customStyle="1" w:styleId="950">
    <w:name w:val="表格表头"/>
    <w:basedOn w:val="1"/>
    <w:qFormat/>
    <w:uiPriority w:val="0"/>
    <w:pPr>
      <w:widowControl/>
      <w:topLinePunct/>
      <w:autoSpaceDE w:val="0"/>
      <w:adjustRightInd w:val="0"/>
      <w:snapToGrid w:val="0"/>
      <w:spacing w:before="187" w:beforeLines="60" w:after="124" w:afterLines="40"/>
      <w:ind w:left="-72" w:firstLine="960" w:firstLineChars="400"/>
      <w:jc w:val="center"/>
    </w:pPr>
    <w:rPr>
      <w:rFonts w:ascii="宋体" w:hAnsi="宋体"/>
      <w:kern w:val="24"/>
      <w:sz w:val="24"/>
      <w:szCs w:val="28"/>
    </w:rPr>
  </w:style>
  <w:style w:type="paragraph" w:customStyle="1" w:styleId="951">
    <w:name w:val="样式 标题4 + (中文) 黑体 四号 非加粗 蓝色 首行缩进:  1.8 字符"/>
    <w:basedOn w:val="8"/>
    <w:qFormat/>
    <w:uiPriority w:val="0"/>
    <w:pPr>
      <w:numPr>
        <w:ilvl w:val="0"/>
        <w:numId w:val="0"/>
      </w:numPr>
      <w:tabs>
        <w:tab w:val="clear" w:pos="864"/>
      </w:tabs>
      <w:spacing w:before="280" w:after="290" w:line="372" w:lineRule="auto"/>
      <w:ind w:firstLine="504"/>
      <w:jc w:val="both"/>
    </w:pPr>
    <w:rPr>
      <w:rFonts w:ascii="Arial" w:hAnsi="Arial" w:cs="宋体"/>
      <w:b w:val="0"/>
      <w:bCs w:val="0"/>
      <w:color w:val="0000FF"/>
      <w:szCs w:val="24"/>
    </w:rPr>
  </w:style>
  <w:style w:type="paragraph" w:customStyle="1" w:styleId="952">
    <w:name w:val=" Char Char2 Char Char Char Char"/>
    <w:basedOn w:val="1"/>
    <w:semiHidden/>
    <w:qFormat/>
    <w:uiPriority w:val="0"/>
    <w:rPr>
      <w:szCs w:val="20"/>
    </w:rPr>
  </w:style>
  <w:style w:type="paragraph" w:customStyle="1" w:styleId="953">
    <w:name w:val="xl1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hint="eastAsia" w:ascii="楷体_GB2312" w:hAnsi="Arial Unicode MS" w:eastAsia="楷体_GB2312" w:cs="TimesNewRomanPSMT"/>
      <w:i/>
      <w:iCs/>
      <w:kern w:val="0"/>
      <w:sz w:val="16"/>
      <w:szCs w:val="16"/>
    </w:rPr>
  </w:style>
  <w:style w:type="paragraph" w:customStyle="1" w:styleId="954">
    <w:name w:val="Fließtext"/>
    <w:basedOn w:val="1"/>
    <w:qFormat/>
    <w:uiPriority w:val="0"/>
    <w:pPr>
      <w:widowControl/>
      <w:spacing w:line="280" w:lineRule="exact"/>
    </w:pPr>
    <w:rPr>
      <w:rFonts w:ascii="Arial" w:hAnsi="Arial"/>
      <w:kern w:val="0"/>
      <w:sz w:val="22"/>
      <w:szCs w:val="20"/>
      <w:lang w:eastAsia="de-DE"/>
    </w:rPr>
  </w:style>
  <w:style w:type="paragraph" w:customStyle="1" w:styleId="955">
    <w:name w:val="M"/>
    <w:basedOn w:val="5"/>
    <w:qFormat/>
    <w:uiPriority w:val="0"/>
    <w:pPr>
      <w:keepLines w:val="0"/>
      <w:widowControl/>
      <w:tabs>
        <w:tab w:val="left" w:pos="-105"/>
        <w:tab w:val="left" w:pos="1680"/>
        <w:tab w:val="left" w:pos="2260"/>
        <w:tab w:val="left" w:pos="2820"/>
        <w:tab w:val="left" w:pos="3420"/>
      </w:tabs>
      <w:spacing w:before="0" w:after="0" w:line="240" w:lineRule="auto"/>
      <w:ind w:left="851" w:right="-28" w:hanging="851"/>
    </w:pPr>
    <w:rPr>
      <w:rFonts w:ascii="Arial" w:hAnsi="Arial"/>
      <w:b w:val="0"/>
      <w:bCs w:val="0"/>
      <w:color w:val="000000"/>
      <w:kern w:val="0"/>
      <w:sz w:val="22"/>
      <w:szCs w:val="20"/>
      <w:lang w:val="en-GB"/>
    </w:rPr>
  </w:style>
  <w:style w:type="paragraph" w:customStyle="1" w:styleId="956">
    <w:name w:val="A标题2"/>
    <w:basedOn w:val="6"/>
    <w:qFormat/>
    <w:uiPriority w:val="0"/>
    <w:pPr>
      <w:widowControl/>
      <w:tabs>
        <w:tab w:val="left" w:pos="540"/>
      </w:tabs>
      <w:topLinePunct/>
      <w:spacing w:before="0" w:beforeLines="50" w:after="0" w:afterLines="50" w:line="400" w:lineRule="exact"/>
      <w:ind w:left="-540" w:firstLine="480" w:firstLineChars="150"/>
      <w:jc w:val="left"/>
    </w:pPr>
    <w:rPr>
      <w:rFonts w:ascii="仿宋_GB2312" w:hAnsi="宋体" w:eastAsia="仿宋_GB2312"/>
      <w:b w:val="0"/>
      <w:snapToGrid w:val="0"/>
      <w:kern w:val="28"/>
      <w:szCs w:val="32"/>
      <w:lang w:val="zh-CN"/>
    </w:rPr>
  </w:style>
  <w:style w:type="paragraph" w:customStyle="1" w:styleId="957">
    <w:name w:val="xl41"/>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eastAsia="Arial Unicode MS"/>
      <w:kern w:val="0"/>
      <w:sz w:val="24"/>
    </w:rPr>
  </w:style>
  <w:style w:type="paragraph" w:customStyle="1" w:styleId="958">
    <w:name w:val="xl67"/>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textAlignment w:val="center"/>
    </w:pPr>
    <w:rPr>
      <w:rFonts w:eastAsia="Arial Unicode MS"/>
      <w:kern w:val="0"/>
      <w:sz w:val="20"/>
      <w:szCs w:val="20"/>
    </w:rPr>
  </w:style>
  <w:style w:type="paragraph" w:customStyle="1" w:styleId="959">
    <w:name w:val="xl186"/>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hint="eastAsia" w:ascii="华文隶书" w:hAnsi="Arial Unicode MS" w:eastAsia="华文隶书" w:cs="TimesNewRomanPSMT"/>
      <w:b/>
      <w:bCs/>
      <w:color w:val="003366"/>
      <w:kern w:val="0"/>
      <w:sz w:val="18"/>
      <w:szCs w:val="18"/>
    </w:rPr>
  </w:style>
  <w:style w:type="paragraph" w:customStyle="1" w:styleId="960">
    <w:name w:val="Y页眉-中间"/>
    <w:basedOn w:val="1"/>
    <w:next w:val="1"/>
    <w:qFormat/>
    <w:uiPriority w:val="0"/>
    <w:pPr>
      <w:widowControl/>
      <w:overflowPunct w:val="0"/>
      <w:autoSpaceDE w:val="0"/>
      <w:autoSpaceDN w:val="0"/>
      <w:adjustRightInd w:val="0"/>
      <w:jc w:val="center"/>
      <w:textAlignment w:val="center"/>
    </w:pPr>
    <w:rPr>
      <w:rFonts w:ascii="宋体"/>
      <w:b/>
      <w:kern w:val="0"/>
      <w:sz w:val="28"/>
      <w:szCs w:val="20"/>
    </w:rPr>
  </w:style>
  <w:style w:type="paragraph" w:customStyle="1" w:styleId="961">
    <w:name w:val="xl50"/>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kern w:val="0"/>
      <w:szCs w:val="21"/>
    </w:rPr>
  </w:style>
  <w:style w:type="paragraph" w:customStyle="1" w:styleId="962">
    <w:name w:val="Other|1"/>
    <w:basedOn w:val="1"/>
    <w:qFormat/>
    <w:uiPriority w:val="0"/>
    <w:pPr>
      <w:widowControl w:val="0"/>
      <w:shd w:val="clear" w:color="auto" w:fill="auto"/>
      <w:spacing w:after="160"/>
    </w:pPr>
    <w:rPr>
      <w:rFonts w:ascii="宋体" w:hAnsi="宋体" w:eastAsia="宋体" w:cs="宋体"/>
      <w:color w:val="232426"/>
      <w:sz w:val="22"/>
      <w:szCs w:val="22"/>
      <w:u w:val="none"/>
      <w:shd w:val="clear" w:color="auto" w:fill="auto"/>
    </w:rPr>
  </w:style>
  <w:style w:type="paragraph" w:customStyle="1" w:styleId="963">
    <w:name w:val="内文（缩2个字）"/>
    <w:basedOn w:val="1"/>
    <w:qFormat/>
    <w:uiPriority w:val="0"/>
    <w:pPr>
      <w:spacing w:line="400" w:lineRule="exact"/>
      <w:ind w:firstLine="200" w:firstLineChars="200"/>
    </w:pPr>
    <w:rPr>
      <w:color w:val="000000"/>
      <w:sz w:val="24"/>
      <w:szCs w:val="36"/>
    </w:rPr>
  </w:style>
  <w:style w:type="paragraph" w:customStyle="1" w:styleId="964">
    <w:name w:val="Body text|1"/>
    <w:basedOn w:val="1"/>
    <w:qFormat/>
    <w:uiPriority w:val="0"/>
    <w:pPr>
      <w:widowControl w:val="0"/>
      <w:shd w:val="clear" w:color="auto" w:fill="auto"/>
      <w:spacing w:after="160"/>
    </w:pPr>
    <w:rPr>
      <w:rFonts w:ascii="宋体" w:hAnsi="宋体" w:eastAsia="宋体" w:cs="宋体"/>
      <w:color w:val="232426"/>
      <w:sz w:val="22"/>
      <w:szCs w:val="22"/>
      <w:u w:val="none"/>
      <w:shd w:val="clear" w:color="auto" w:fill="auto"/>
    </w:rPr>
  </w:style>
  <w:style w:type="paragraph" w:customStyle="1" w:styleId="965">
    <w:name w:val="Text2"/>
    <w:qFormat/>
    <w:uiPriority w:val="0"/>
    <w:pPr>
      <w:adjustRightInd w:val="0"/>
      <w:spacing w:before="60" w:line="360" w:lineRule="auto"/>
      <w:ind w:left="1701" w:right="567"/>
      <w:textAlignment w:val="baseline"/>
    </w:pPr>
    <w:rPr>
      <w:rFonts w:ascii="Arial" w:hAnsi="Arial" w:eastAsia="宋体" w:cs="Times New Roman"/>
      <w:kern w:val="2"/>
      <w:sz w:val="24"/>
      <w:szCs w:val="24"/>
      <w:lang w:val="en-US" w:eastAsia="zh-CN" w:bidi="ar-SA"/>
    </w:rPr>
  </w:style>
  <w:style w:type="paragraph" w:customStyle="1" w:styleId="966">
    <w:name w:val="正文文字2"/>
    <w:basedOn w:val="1"/>
    <w:qFormat/>
    <w:uiPriority w:val="0"/>
    <w:pPr>
      <w:autoSpaceDE w:val="0"/>
      <w:autoSpaceDN w:val="0"/>
      <w:adjustRightInd w:val="0"/>
      <w:snapToGrid w:val="0"/>
      <w:ind w:right="-137"/>
      <w:jc w:val="center"/>
    </w:pPr>
    <w:rPr>
      <w:rFonts w:ascii="宋体"/>
      <w:sz w:val="18"/>
      <w:szCs w:val="20"/>
    </w:rPr>
  </w:style>
  <w:style w:type="paragraph" w:customStyle="1" w:styleId="967">
    <w:name w:val="正文居中"/>
    <w:basedOn w:val="1"/>
    <w:qFormat/>
    <w:uiPriority w:val="0"/>
    <w:pPr>
      <w:adjustRightInd w:val="0"/>
      <w:snapToGrid w:val="0"/>
      <w:spacing w:line="360" w:lineRule="auto"/>
      <w:jc w:val="center"/>
    </w:pPr>
    <w:rPr>
      <w:rFonts w:hAnsi="宋体"/>
      <w:kern w:val="0"/>
      <w:sz w:val="24"/>
      <w:szCs w:val="20"/>
    </w:rPr>
  </w:style>
  <w:style w:type="paragraph" w:customStyle="1" w:styleId="968">
    <w:name w:val="p0"/>
    <w:basedOn w:val="1"/>
    <w:qFormat/>
    <w:uiPriority w:val="0"/>
    <w:pPr>
      <w:widowControl/>
    </w:pPr>
    <w:rPr>
      <w:kern w:val="0"/>
      <w:szCs w:val="21"/>
    </w:rPr>
  </w:style>
  <w:style w:type="paragraph" w:customStyle="1" w:styleId="969">
    <w:name w:val="Char Char Char Char Char Char Char Char Char Char Char Char Char Char Char Char"/>
    <w:basedOn w:val="1"/>
    <w:semiHidden/>
    <w:qFormat/>
    <w:uiPriority w:val="0"/>
    <w:pPr>
      <w:spacing w:line="360" w:lineRule="auto"/>
      <w:ind w:firstLine="200" w:firstLineChars="200"/>
    </w:pPr>
    <w:rPr>
      <w:rFonts w:ascii="宋体" w:hAnsi="宋体" w:cs="宋体"/>
      <w:sz w:val="24"/>
    </w:rPr>
  </w:style>
  <w:style w:type="paragraph" w:customStyle="1" w:styleId="970">
    <w:name w:val="font12"/>
    <w:basedOn w:val="1"/>
    <w:qFormat/>
    <w:uiPriority w:val="0"/>
    <w:pPr>
      <w:widowControl/>
      <w:spacing w:before="100" w:beforeAutospacing="1" w:after="100" w:afterAutospacing="1"/>
      <w:jc w:val="left"/>
    </w:pPr>
    <w:rPr>
      <w:rFonts w:eastAsia="Arial Unicode MS"/>
      <w:b/>
      <w:bCs/>
      <w:kern w:val="0"/>
      <w:sz w:val="20"/>
      <w:szCs w:val="20"/>
    </w:rPr>
  </w:style>
  <w:style w:type="paragraph" w:customStyle="1" w:styleId="971">
    <w:name w:val="xl188"/>
    <w:basedOn w:val="1"/>
    <w:qFormat/>
    <w:uiPriority w:val="0"/>
    <w:pPr>
      <w:widowControl/>
      <w:pBdr>
        <w:top w:val="single" w:color="auto" w:sz="8" w:space="0"/>
        <w:left w:val="single" w:color="auto" w:sz="4" w:space="0"/>
        <w:right w:val="single" w:color="auto" w:sz="4" w:space="0"/>
      </w:pBdr>
      <w:spacing w:before="100" w:beforeAutospacing="1" w:after="100" w:afterAutospacing="1"/>
      <w:jc w:val="center"/>
    </w:pPr>
    <w:rPr>
      <w:rFonts w:hint="eastAsia" w:ascii="楷体_GB2312" w:hAnsi="Arial Unicode MS" w:eastAsia="楷体_GB2312" w:cs="TimesNewRomanPSMT"/>
      <w:color w:val="FF0000"/>
      <w:kern w:val="0"/>
      <w:sz w:val="16"/>
      <w:szCs w:val="16"/>
    </w:rPr>
  </w:style>
  <w:style w:type="paragraph" w:customStyle="1" w:styleId="972">
    <w:name w:val="附录标识 Char"/>
    <w:basedOn w:val="1"/>
    <w:qFormat/>
    <w:uiPriority w:val="0"/>
    <w:pPr>
      <w:widowControl/>
      <w:shd w:val="clear" w:color="FFFFFF" w:fill="FFFFFF"/>
      <w:tabs>
        <w:tab w:val="left" w:pos="420"/>
        <w:tab w:val="left" w:pos="789"/>
        <w:tab w:val="left" w:pos="6405"/>
      </w:tabs>
      <w:spacing w:before="640" w:after="200"/>
      <w:ind w:left="789" w:hanging="264"/>
      <w:jc w:val="center"/>
      <w:outlineLvl w:val="0"/>
    </w:pPr>
    <w:rPr>
      <w:rFonts w:ascii="黑体" w:eastAsia="黑体"/>
      <w:szCs w:val="21"/>
    </w:rPr>
  </w:style>
  <w:style w:type="paragraph" w:customStyle="1" w:styleId="973">
    <w:name w:val="xl10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FF"/>
      <w:kern w:val="0"/>
      <w:sz w:val="28"/>
      <w:szCs w:val="28"/>
    </w:rPr>
  </w:style>
  <w:style w:type="paragraph" w:customStyle="1" w:styleId="974">
    <w:name w:val="样式 标题 1 + 段前: 1 行 段后: 1 行"/>
    <w:basedOn w:val="5"/>
    <w:qFormat/>
    <w:uiPriority w:val="0"/>
    <w:pPr>
      <w:tabs>
        <w:tab w:val="left" w:pos="360"/>
      </w:tabs>
      <w:spacing w:before="0" w:beforeLines="100" w:after="0" w:afterLines="100" w:line="900" w:lineRule="exact"/>
      <w:ind w:left="-4" w:leftChars="-2"/>
    </w:pPr>
    <w:rPr>
      <w:rFonts w:ascii="方正粗圆简体" w:eastAsia="方正粗圆简体"/>
      <w:color w:val="000000"/>
      <w:sz w:val="36"/>
      <w:szCs w:val="20"/>
    </w:rPr>
  </w:style>
  <w:style w:type="paragraph" w:customStyle="1" w:styleId="975">
    <w:name w:val="xl56"/>
    <w:basedOn w:val="1"/>
    <w:qFormat/>
    <w:uiPriority w:val="0"/>
    <w:pPr>
      <w:widowControl/>
      <w:pBdr>
        <w:top w:val="single" w:color="auto" w:sz="8" w:space="0"/>
        <w:left w:val="single" w:color="auto" w:sz="8" w:space="0"/>
        <w:right w:val="single" w:color="auto" w:sz="4" w:space="0"/>
      </w:pBdr>
      <w:spacing w:before="100" w:beforeAutospacing="1" w:after="100" w:afterAutospacing="1"/>
      <w:jc w:val="center"/>
      <w:textAlignment w:val="center"/>
    </w:pPr>
    <w:rPr>
      <w:rFonts w:eastAsia="Arial Unicode MS"/>
      <w:kern w:val="0"/>
      <w:sz w:val="20"/>
      <w:szCs w:val="20"/>
    </w:rPr>
  </w:style>
  <w:style w:type="paragraph" w:customStyle="1" w:styleId="976">
    <w:name w:val="小五号表格内容"/>
    <w:basedOn w:val="1"/>
    <w:qFormat/>
    <w:uiPriority w:val="0"/>
    <w:pPr>
      <w:jc w:val="center"/>
    </w:pPr>
    <w:rPr>
      <w:rFonts w:eastAsia="仿宋_GB2312"/>
      <w:sz w:val="18"/>
      <w:szCs w:val="18"/>
    </w:rPr>
  </w:style>
  <w:style w:type="paragraph" w:customStyle="1" w:styleId="977">
    <w:name w:val="正文首缩四"/>
    <w:basedOn w:val="1"/>
    <w:qFormat/>
    <w:uiPriority w:val="0"/>
    <w:pPr>
      <w:adjustRightInd w:val="0"/>
      <w:snapToGrid w:val="0"/>
      <w:spacing w:line="360" w:lineRule="auto"/>
      <w:ind w:firstLine="200" w:firstLineChars="200"/>
    </w:pPr>
    <w:rPr>
      <w:sz w:val="28"/>
      <w:szCs w:val="28"/>
    </w:rPr>
  </w:style>
  <w:style w:type="paragraph" w:customStyle="1" w:styleId="978">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hint="eastAsia" w:ascii="楷体_GB2312" w:hAnsi="宋体" w:eastAsia="楷体_GB2312"/>
      <w:kern w:val="0"/>
      <w:sz w:val="28"/>
      <w:szCs w:val="28"/>
    </w:rPr>
  </w:style>
  <w:style w:type="paragraph" w:customStyle="1" w:styleId="979">
    <w:name w:val="xl22"/>
    <w:basedOn w:val="1"/>
    <w:qFormat/>
    <w:uiPriority w:val="0"/>
    <w:pPr>
      <w:widowControl/>
      <w:pBdr>
        <w:bottom w:val="single" w:color="auto" w:sz="4" w:space="0"/>
        <w:right w:val="single" w:color="auto" w:sz="4" w:space="0"/>
      </w:pBdr>
      <w:spacing w:before="100" w:after="100"/>
      <w:jc w:val="center"/>
      <w:textAlignment w:val="center"/>
    </w:pPr>
    <w:rPr>
      <w:rFonts w:ascii="宋体" w:hAnsi="宋体"/>
      <w:kern w:val="0"/>
      <w:sz w:val="24"/>
      <w:szCs w:val="20"/>
    </w:rPr>
  </w:style>
  <w:style w:type="paragraph" w:customStyle="1" w:styleId="980">
    <w:name w:val="内封大"/>
    <w:basedOn w:val="1"/>
    <w:qFormat/>
    <w:uiPriority w:val="0"/>
    <w:pPr>
      <w:spacing w:line="360" w:lineRule="auto"/>
      <w:jc w:val="center"/>
    </w:pPr>
    <w:rPr>
      <w:rFonts w:ascii="黑体" w:hAnsi="华文细黑" w:eastAsia="黑体"/>
      <w:b/>
      <w:bCs/>
      <w:kern w:val="0"/>
      <w:sz w:val="48"/>
      <w:szCs w:val="20"/>
    </w:rPr>
  </w:style>
  <w:style w:type="paragraph" w:customStyle="1" w:styleId="981">
    <w:name w:val="二级条标题"/>
    <w:next w:val="566"/>
    <w:qFormat/>
    <w:uiPriority w:val="0"/>
    <w:pPr>
      <w:spacing w:line="360" w:lineRule="auto"/>
      <w:outlineLvl w:val="3"/>
    </w:pPr>
    <w:rPr>
      <w:rFonts w:ascii="黑体" w:hAnsi="Times New Roman" w:eastAsia="黑体" w:cs="Times New Roman"/>
      <w:kern w:val="2"/>
      <w:sz w:val="21"/>
      <w:szCs w:val="24"/>
      <w:lang w:val="en-US" w:eastAsia="zh-CN" w:bidi="ar-SA"/>
    </w:rPr>
  </w:style>
  <w:style w:type="paragraph" w:customStyle="1" w:styleId="982">
    <w:name w:val="项目编号文字"/>
    <w:basedOn w:val="1"/>
    <w:next w:val="22"/>
    <w:qFormat/>
    <w:uiPriority w:val="0"/>
    <w:pPr>
      <w:spacing w:before="120" w:after="120" w:line="360" w:lineRule="auto"/>
      <w:ind w:left="1077"/>
    </w:pPr>
    <w:rPr>
      <w:sz w:val="24"/>
      <w:szCs w:val="20"/>
    </w:rPr>
  </w:style>
  <w:style w:type="paragraph" w:customStyle="1" w:styleId="983">
    <w:name w:val="T标题4级"/>
    <w:basedOn w:val="8"/>
    <w:next w:val="1"/>
    <w:qFormat/>
    <w:uiPriority w:val="0"/>
    <w:pPr>
      <w:widowControl/>
      <w:numPr>
        <w:ilvl w:val="3"/>
        <w:numId w:val="4"/>
      </w:numPr>
      <w:overflowPunct w:val="0"/>
      <w:autoSpaceDE w:val="0"/>
      <w:autoSpaceDN w:val="0"/>
      <w:adjustRightInd w:val="0"/>
      <w:spacing w:afterLines="50" w:line="360" w:lineRule="auto"/>
      <w:textAlignment w:val="baseline"/>
    </w:pPr>
    <w:rPr>
      <w:rFonts w:eastAsia="仿宋_GB2312"/>
      <w:b w:val="0"/>
      <w:kern w:val="0"/>
      <w:sz w:val="24"/>
      <w:szCs w:val="24"/>
    </w:rPr>
  </w:style>
  <w:style w:type="paragraph" w:customStyle="1" w:styleId="984">
    <w:name w:val="table"/>
    <w:basedOn w:val="1"/>
    <w:next w:val="71"/>
    <w:qFormat/>
    <w:uiPriority w:val="0"/>
    <w:pPr>
      <w:spacing w:line="240" w:lineRule="atLeast"/>
      <w:jc w:val="center"/>
    </w:pPr>
    <w:rPr>
      <w:rFonts w:ascii="宋体" w:hAnsi="宋体" w:cs="Arial"/>
      <w:bCs/>
      <w:color w:val="FF0000"/>
      <w:sz w:val="24"/>
      <w:szCs w:val="32"/>
    </w:rPr>
  </w:style>
  <w:style w:type="paragraph" w:styleId="985">
    <w:name w:val="No Spacing"/>
    <w:qFormat/>
    <w:uiPriority w:val="0"/>
    <w:pPr>
      <w:widowControl w:val="0"/>
      <w:autoSpaceDE w:val="0"/>
      <w:autoSpaceDN w:val="0"/>
      <w:ind w:left="-48" w:firstLine="480" w:firstLineChars="200"/>
      <w:jc w:val="both"/>
    </w:pPr>
    <w:rPr>
      <w:rFonts w:ascii="Times New Roman" w:hAnsi="Times New Roman" w:eastAsia="仿宋_GB2312" w:cs="Times New Roman"/>
      <w:kern w:val="2"/>
      <w:sz w:val="24"/>
      <w:szCs w:val="24"/>
      <w:lang w:val="en-US" w:eastAsia="zh-CN" w:bidi="ar-SA"/>
    </w:rPr>
  </w:style>
  <w:style w:type="paragraph" w:customStyle="1" w:styleId="986">
    <w:name w:val=".."/>
    <w:basedOn w:val="148"/>
    <w:next w:val="148"/>
    <w:qFormat/>
    <w:uiPriority w:val="0"/>
    <w:rPr>
      <w:rFonts w:ascii="Sim Sun" w:eastAsia="Sim Sun"/>
      <w:color w:val="auto"/>
    </w:rPr>
  </w:style>
  <w:style w:type="paragraph" w:customStyle="1" w:styleId="987">
    <w:name w:val="reader-word-layer reader-word-s4-20"/>
    <w:basedOn w:val="1"/>
    <w:qFormat/>
    <w:uiPriority w:val="0"/>
    <w:pPr>
      <w:widowControl/>
      <w:spacing w:before="100" w:beforeAutospacing="1" w:after="100" w:afterAutospacing="1"/>
      <w:jc w:val="left"/>
    </w:pPr>
    <w:rPr>
      <w:rFonts w:ascii="宋体" w:hAnsi="宋体" w:cs="宋体"/>
      <w:kern w:val="0"/>
      <w:sz w:val="24"/>
    </w:rPr>
  </w:style>
  <w:style w:type="paragraph" w:customStyle="1" w:styleId="988">
    <w:name w:val="表格居中小四"/>
    <w:basedOn w:val="1"/>
    <w:qFormat/>
    <w:uiPriority w:val="0"/>
    <w:pPr>
      <w:autoSpaceDE w:val="0"/>
      <w:autoSpaceDN w:val="0"/>
      <w:adjustRightInd w:val="0"/>
      <w:snapToGrid w:val="0"/>
      <w:jc w:val="center"/>
    </w:pPr>
    <w:rPr>
      <w:rFonts w:ascii="宋体" w:hAnsi="宋体"/>
      <w:kern w:val="0"/>
      <w:sz w:val="24"/>
      <w:szCs w:val="20"/>
    </w:rPr>
  </w:style>
  <w:style w:type="paragraph" w:customStyle="1" w:styleId="989">
    <w:name w:val="I目录～标题2级"/>
    <w:basedOn w:val="70"/>
    <w:qFormat/>
    <w:uiPriority w:val="0"/>
    <w:pPr>
      <w:widowControl/>
      <w:tabs>
        <w:tab w:val="center" w:leader="dot" w:pos="1400"/>
        <w:tab w:val="center" w:leader="dot" w:pos="9000"/>
      </w:tabs>
      <w:overflowPunct w:val="0"/>
      <w:autoSpaceDE w:val="0"/>
      <w:autoSpaceDN w:val="0"/>
      <w:adjustRightInd w:val="0"/>
      <w:spacing w:before="50" w:beforeLines="50"/>
      <w:ind w:left="200"/>
      <w:textAlignment w:val="center"/>
    </w:pPr>
    <w:rPr>
      <w:rFonts w:ascii="仿宋_GB2312" w:eastAsia="仿宋_GB2312"/>
      <w:smallCaps w:val="0"/>
      <w:kern w:val="0"/>
      <w:sz w:val="24"/>
    </w:rPr>
  </w:style>
  <w:style w:type="paragraph" w:customStyle="1" w:styleId="990">
    <w:name w:val="表-lgh"/>
    <w:basedOn w:val="1"/>
    <w:qFormat/>
    <w:uiPriority w:val="0"/>
    <w:pPr>
      <w:autoSpaceDE w:val="0"/>
      <w:autoSpaceDN w:val="0"/>
      <w:adjustRightInd w:val="0"/>
      <w:snapToGrid w:val="0"/>
      <w:spacing w:line="360" w:lineRule="exact"/>
      <w:jc w:val="left"/>
    </w:pPr>
    <w:rPr>
      <w:rFonts w:ascii="宋体" w:hAnsi="宋体" w:eastAsia="仿宋_GB2312"/>
      <w:sz w:val="24"/>
      <w:szCs w:val="20"/>
      <w:lang w:val="zh-CN"/>
    </w:rPr>
  </w:style>
  <w:style w:type="paragraph" w:customStyle="1" w:styleId="991">
    <w:name w:val="样式 样式 5 + 首行缩进:  2 字符 + 首行缩进:  2 字符"/>
    <w:basedOn w:val="201"/>
    <w:qFormat/>
    <w:uiPriority w:val="0"/>
    <w:pPr>
      <w:ind w:firstLine="352"/>
    </w:pPr>
    <w:rPr>
      <w:szCs w:val="20"/>
    </w:rPr>
  </w:style>
  <w:style w:type="paragraph" w:customStyle="1" w:styleId="992">
    <w:name w:val="样式 样式 标题 2 + 居中 段前: 0.75 行 段后: 0.75 行 行距: 多倍行距 1.3 字行1 + 段前: 0.7..."/>
    <w:basedOn w:val="1"/>
    <w:qFormat/>
    <w:uiPriority w:val="0"/>
    <w:pPr>
      <w:keepNext/>
      <w:keepLines/>
      <w:widowControl/>
      <w:adjustRightInd w:val="0"/>
      <w:snapToGrid w:val="0"/>
      <w:spacing w:before="75" w:beforeLines="75" w:after="75" w:afterLines="75" w:line="312" w:lineRule="auto"/>
      <w:jc w:val="center"/>
      <w:textAlignment w:val="baseline"/>
      <w:outlineLvl w:val="1"/>
    </w:pPr>
    <w:rPr>
      <w:rFonts w:ascii="Arial" w:hAnsi="Arial" w:cs="Arial"/>
      <w:b/>
      <w:bCs/>
      <w:kern w:val="0"/>
      <w:sz w:val="28"/>
      <w:szCs w:val="28"/>
    </w:rPr>
  </w:style>
  <w:style w:type="paragraph" w:customStyle="1" w:styleId="993">
    <w:name w:val="xl9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994">
    <w:name w:val="font17"/>
    <w:basedOn w:val="1"/>
    <w:qFormat/>
    <w:uiPriority w:val="0"/>
    <w:pPr>
      <w:widowControl/>
      <w:spacing w:before="100" w:beforeAutospacing="1" w:after="100" w:afterAutospacing="1"/>
      <w:jc w:val="left"/>
    </w:pPr>
    <w:rPr>
      <w:rFonts w:ascii="宋体" w:hAnsi="宋体" w:cs="宋体"/>
      <w:color w:val="000000"/>
      <w:kern w:val="0"/>
      <w:szCs w:val="21"/>
    </w:rPr>
  </w:style>
  <w:style w:type="paragraph" w:customStyle="1" w:styleId="995">
    <w:name w:val="xl170"/>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FF"/>
      <w:kern w:val="0"/>
      <w:sz w:val="16"/>
      <w:szCs w:val="16"/>
    </w:rPr>
  </w:style>
  <w:style w:type="paragraph" w:customStyle="1" w:styleId="996">
    <w:name w:val="表格不居中五号"/>
    <w:basedOn w:val="997"/>
    <w:qFormat/>
    <w:uiPriority w:val="0"/>
    <w:pPr>
      <w:jc w:val="both"/>
    </w:pPr>
  </w:style>
  <w:style w:type="paragraph" w:customStyle="1" w:styleId="997">
    <w:name w:val="表格居中五号"/>
    <w:basedOn w:val="988"/>
    <w:qFormat/>
    <w:uiPriority w:val="0"/>
    <w:rPr>
      <w:sz w:val="21"/>
    </w:rPr>
  </w:style>
  <w:style w:type="paragraph" w:customStyle="1" w:styleId="998">
    <w:name w:val="xl169"/>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00"/>
      <w:kern w:val="0"/>
      <w:sz w:val="16"/>
      <w:szCs w:val="16"/>
    </w:rPr>
  </w:style>
  <w:style w:type="paragraph" w:customStyle="1" w:styleId="999">
    <w:name w:val="表格不居中小四"/>
    <w:basedOn w:val="3"/>
    <w:qFormat/>
    <w:uiPriority w:val="0"/>
    <w:pPr>
      <w:autoSpaceDE w:val="0"/>
      <w:autoSpaceDN w:val="0"/>
      <w:adjustRightInd w:val="0"/>
      <w:snapToGrid w:val="0"/>
      <w:spacing w:after="0"/>
    </w:pPr>
    <w:rPr>
      <w:rFonts w:ascii="宋体" w:hAnsi="宋体"/>
      <w:kern w:val="0"/>
      <w:sz w:val="24"/>
      <w:szCs w:val="20"/>
    </w:rPr>
  </w:style>
  <w:style w:type="paragraph" w:customStyle="1" w:styleId="1000">
    <w:name w:val="样式7"/>
    <w:basedOn w:val="573"/>
    <w:qFormat/>
    <w:uiPriority w:val="0"/>
    <w:pPr>
      <w:numPr>
        <w:ilvl w:val="0"/>
        <w:numId w:val="0"/>
      </w:numPr>
      <w:tabs>
        <w:tab w:val="left" w:pos="1992"/>
      </w:tabs>
      <w:spacing w:before="240" w:line="360" w:lineRule="auto"/>
      <w:ind w:left="1992"/>
    </w:pPr>
    <w:rPr>
      <w:rFonts w:ascii="宋体" w:hAnsi="宋体"/>
      <w:b/>
      <w:bCs/>
      <w:sz w:val="24"/>
    </w:rPr>
  </w:style>
  <w:style w:type="paragraph" w:customStyle="1" w:styleId="1001">
    <w:name w:val="gb1"/>
    <w:basedOn w:val="1"/>
    <w:qFormat/>
    <w:uiPriority w:val="0"/>
    <w:pPr>
      <w:widowControl/>
      <w:tabs>
        <w:tab w:val="left" w:pos="227"/>
      </w:tabs>
      <w:overflowPunct w:val="0"/>
      <w:autoSpaceDE w:val="0"/>
      <w:autoSpaceDN w:val="0"/>
      <w:adjustRightInd w:val="0"/>
      <w:spacing w:before="120" w:after="120"/>
      <w:jc w:val="left"/>
    </w:pPr>
    <w:rPr>
      <w:rFonts w:ascii="Arial" w:hAnsi="Arial" w:eastAsia="仿宋体"/>
      <w:kern w:val="0"/>
      <w:sz w:val="24"/>
      <w:szCs w:val="20"/>
    </w:rPr>
  </w:style>
  <w:style w:type="paragraph" w:customStyle="1" w:styleId="1002">
    <w:name w:val="项目编号"/>
    <w:basedOn w:val="1"/>
    <w:next w:val="982"/>
    <w:qFormat/>
    <w:uiPriority w:val="0"/>
    <w:pPr>
      <w:tabs>
        <w:tab w:val="left" w:pos="1077"/>
      </w:tabs>
      <w:spacing w:before="120" w:after="120" w:line="360" w:lineRule="auto"/>
      <w:ind w:left="1077" w:hanging="567"/>
    </w:pPr>
    <w:rPr>
      <w:sz w:val="24"/>
      <w:szCs w:val="20"/>
    </w:rPr>
  </w:style>
  <w:style w:type="paragraph" w:customStyle="1" w:styleId="1003">
    <w:name w:val="3 Char"/>
    <w:basedOn w:val="1"/>
    <w:qFormat/>
    <w:uiPriority w:val="0"/>
    <w:rPr>
      <w:szCs w:val="20"/>
    </w:rPr>
  </w:style>
  <w:style w:type="paragraph" w:customStyle="1" w:styleId="1004">
    <w:name w:val="Normal Indent"/>
    <w:basedOn w:val="1"/>
    <w:qFormat/>
    <w:uiPriority w:val="0"/>
    <w:pPr>
      <w:ind w:firstLine="420" w:firstLineChars="200"/>
    </w:pPr>
    <w:rPr>
      <w:rFonts w:eastAsia="仿宋_GB2312"/>
      <w:sz w:val="30"/>
      <w:szCs w:val="20"/>
    </w:rPr>
  </w:style>
  <w:style w:type="paragraph" w:customStyle="1" w:styleId="1005">
    <w:name w:val="f－标题3"/>
    <w:basedOn w:val="48"/>
    <w:qFormat/>
    <w:uiPriority w:val="0"/>
    <w:pPr>
      <w:jc w:val="center"/>
    </w:pPr>
    <w:rPr>
      <w:rFonts w:ascii="黑体" w:eastAsia="黑体"/>
      <w:b/>
      <w:color w:val="FF0000"/>
      <w:kern w:val="0"/>
      <w:sz w:val="36"/>
      <w:szCs w:val="36"/>
      <w:lang w:val="zh-CN"/>
    </w:rPr>
  </w:style>
  <w:style w:type="paragraph" w:customStyle="1" w:styleId="1006">
    <w:name w:val="xl61"/>
    <w:basedOn w:val="1"/>
    <w:qFormat/>
    <w:uiPriority w:val="0"/>
    <w:pPr>
      <w:widowControl/>
      <w:pBdr>
        <w:top w:val="single" w:color="auto" w:sz="4" w:space="0"/>
        <w:left w:val="single" w:color="auto" w:sz="8" w:space="0"/>
        <w:right w:val="single" w:color="auto" w:sz="4" w:space="0"/>
      </w:pBdr>
      <w:spacing w:before="100" w:beforeAutospacing="1" w:after="100" w:afterAutospacing="1"/>
      <w:jc w:val="center"/>
      <w:textAlignment w:val="center"/>
    </w:pPr>
    <w:rPr>
      <w:rFonts w:eastAsia="Arial Unicode MS"/>
      <w:kern w:val="0"/>
      <w:sz w:val="20"/>
      <w:szCs w:val="20"/>
    </w:rPr>
  </w:style>
  <w:style w:type="paragraph" w:customStyle="1" w:styleId="1007">
    <w:name w:val="正文并立"/>
    <w:basedOn w:val="1"/>
    <w:qFormat/>
    <w:uiPriority w:val="0"/>
    <w:pPr>
      <w:adjustRightInd w:val="0"/>
      <w:spacing w:line="408" w:lineRule="atLeast"/>
      <w:ind w:firstLine="601"/>
      <w:textAlignment w:val="baseline"/>
    </w:pPr>
    <w:rPr>
      <w:kern w:val="0"/>
      <w:sz w:val="28"/>
      <w:szCs w:val="20"/>
    </w:rPr>
  </w:style>
  <w:style w:type="paragraph" w:customStyle="1" w:styleId="1008">
    <w:name w:val="xl189"/>
    <w:basedOn w:val="1"/>
    <w:qFormat/>
    <w:uiPriority w:val="0"/>
    <w:pPr>
      <w:widowControl/>
      <w:pBdr>
        <w:left w:val="single" w:color="auto" w:sz="4" w:space="0"/>
        <w:right w:val="single" w:color="auto" w:sz="4" w:space="0"/>
      </w:pBdr>
      <w:spacing w:before="100" w:beforeAutospacing="1" w:after="100" w:afterAutospacing="1"/>
      <w:jc w:val="center"/>
    </w:pPr>
    <w:rPr>
      <w:rFonts w:hint="eastAsia" w:ascii="楷体_GB2312" w:hAnsi="Arial Unicode MS" w:eastAsia="楷体_GB2312" w:cs="TimesNewRomanPSMT"/>
      <w:color w:val="FF0000"/>
      <w:kern w:val="0"/>
      <w:sz w:val="16"/>
      <w:szCs w:val="16"/>
    </w:rPr>
  </w:style>
  <w:style w:type="paragraph" w:customStyle="1" w:styleId="1009">
    <w:name w:val="xl9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FF"/>
      <w:kern w:val="0"/>
      <w:sz w:val="28"/>
      <w:szCs w:val="28"/>
    </w:rPr>
  </w:style>
  <w:style w:type="paragraph" w:customStyle="1" w:styleId="1010">
    <w:name w:val="样式 标题 1Part1.标题 1h11headingHeader 1st Pageh1 chapter head..."/>
    <w:basedOn w:val="5"/>
    <w:qFormat/>
    <w:uiPriority w:val="0"/>
    <w:pPr>
      <w:keepLines w:val="0"/>
      <w:tabs>
        <w:tab w:val="left" w:pos="-105"/>
        <w:tab w:val="left" w:pos="425"/>
      </w:tabs>
      <w:snapToGrid w:val="0"/>
      <w:spacing w:before="0" w:after="0" w:line="240" w:lineRule="auto"/>
      <w:ind w:left="425" w:hanging="425"/>
    </w:pPr>
    <w:rPr>
      <w:rFonts w:ascii="方正粗圆简体" w:eastAsia="方正粗圆简体" w:cs="宋体"/>
      <w:color w:val="000000"/>
      <w:kern w:val="2"/>
      <w:sz w:val="36"/>
      <w:szCs w:val="36"/>
    </w:rPr>
  </w:style>
  <w:style w:type="paragraph" w:customStyle="1" w:styleId="1011">
    <w:name w:val="批注框文本1"/>
    <w:basedOn w:val="1"/>
    <w:qFormat/>
    <w:uiPriority w:val="0"/>
    <w:pPr>
      <w:adjustRightInd w:val="0"/>
      <w:spacing w:line="360" w:lineRule="atLeast"/>
      <w:jc w:val="left"/>
      <w:textAlignment w:val="baseline"/>
    </w:pPr>
    <w:rPr>
      <w:rFonts w:hint="eastAsia"/>
      <w:kern w:val="0"/>
      <w:sz w:val="18"/>
      <w:szCs w:val="20"/>
    </w:rPr>
  </w:style>
  <w:style w:type="paragraph" w:customStyle="1" w:styleId="1012">
    <w:name w:val="样式5"/>
    <w:basedOn w:val="1"/>
    <w:qFormat/>
    <w:uiPriority w:val="0"/>
    <w:pPr>
      <w:snapToGrid w:val="0"/>
      <w:spacing w:line="360" w:lineRule="auto"/>
      <w:ind w:firstLine="480" w:firstLineChars="200"/>
    </w:pPr>
    <w:rPr>
      <w:rFonts w:ascii="宋体" w:hAnsi="宋体"/>
      <w:sz w:val="24"/>
    </w:rPr>
  </w:style>
  <w:style w:type="paragraph" w:customStyle="1" w:styleId="1013">
    <w:name w:val="表格1"/>
    <w:basedOn w:val="1"/>
    <w:qFormat/>
    <w:uiPriority w:val="0"/>
    <w:pPr>
      <w:adjustRightInd w:val="0"/>
      <w:jc w:val="center"/>
    </w:pPr>
    <w:rPr>
      <w:rFonts w:ascii="宋体"/>
      <w:kern w:val="0"/>
      <w:sz w:val="20"/>
      <w:szCs w:val="20"/>
    </w:rPr>
  </w:style>
  <w:style w:type="paragraph" w:customStyle="1" w:styleId="1014">
    <w:name w:val="reader-word-layer reader-word-s4-22"/>
    <w:basedOn w:val="1"/>
    <w:qFormat/>
    <w:uiPriority w:val="0"/>
    <w:pPr>
      <w:widowControl/>
      <w:spacing w:before="100" w:beforeAutospacing="1" w:after="100" w:afterAutospacing="1"/>
      <w:jc w:val="left"/>
    </w:pPr>
    <w:rPr>
      <w:rFonts w:ascii="宋体" w:hAnsi="宋体" w:cs="宋体"/>
      <w:kern w:val="0"/>
      <w:sz w:val="24"/>
    </w:rPr>
  </w:style>
  <w:style w:type="paragraph" w:customStyle="1" w:styleId="1015">
    <w:name w:val="样式 标题 5 + 加粗 左侧:  0 厘米 段前: 0.5 行 段后: 0.5 行 行距: 固定值 22 磅1"/>
    <w:basedOn w:val="9"/>
    <w:qFormat/>
    <w:uiPriority w:val="0"/>
    <w:pPr>
      <w:numPr>
        <w:ilvl w:val="0"/>
        <w:numId w:val="0"/>
      </w:numPr>
      <w:tabs>
        <w:tab w:val="clear" w:pos="1008"/>
      </w:tabs>
      <w:autoSpaceDE/>
      <w:autoSpaceDN/>
      <w:snapToGrid w:val="0"/>
      <w:spacing w:before="120" w:after="120" w:line="440" w:lineRule="exact"/>
      <w:ind w:firstLine="200" w:firstLineChars="200"/>
      <w:jc w:val="left"/>
      <w:textAlignment w:val="auto"/>
    </w:pPr>
    <w:rPr>
      <w:rFonts w:cs="宋体"/>
      <w:b w:val="0"/>
      <w:bCs/>
      <w:color w:val="auto"/>
      <w:kern w:val="2"/>
    </w:rPr>
  </w:style>
  <w:style w:type="paragraph" w:customStyle="1" w:styleId="1016">
    <w:name w:val="reader-word-layer reader-word-s4-4"/>
    <w:basedOn w:val="1"/>
    <w:qFormat/>
    <w:uiPriority w:val="0"/>
    <w:pPr>
      <w:widowControl/>
      <w:spacing w:before="100" w:beforeAutospacing="1" w:after="100" w:afterAutospacing="1"/>
      <w:jc w:val="left"/>
    </w:pPr>
    <w:rPr>
      <w:rFonts w:ascii="宋体" w:hAnsi="宋体" w:cs="宋体"/>
      <w:kern w:val="0"/>
      <w:sz w:val="24"/>
    </w:rPr>
  </w:style>
  <w:style w:type="paragraph" w:customStyle="1" w:styleId="1017">
    <w:name w:val="三级条标题"/>
    <w:next w:val="566"/>
    <w:qFormat/>
    <w:uiPriority w:val="0"/>
    <w:pPr>
      <w:spacing w:line="360" w:lineRule="auto"/>
      <w:outlineLvl w:val="4"/>
    </w:pPr>
    <w:rPr>
      <w:rFonts w:ascii="黑体" w:hAnsi="Times New Roman" w:eastAsia="黑体" w:cs="Times New Roman"/>
      <w:kern w:val="2"/>
      <w:sz w:val="21"/>
      <w:szCs w:val="24"/>
      <w:lang w:val="en-US" w:eastAsia="zh-CN" w:bidi="ar-SA"/>
    </w:rPr>
  </w:style>
  <w:style w:type="paragraph" w:customStyle="1" w:styleId="1018">
    <w:name w:val="xl37"/>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kern w:val="0"/>
      <w:szCs w:val="21"/>
    </w:rPr>
  </w:style>
  <w:style w:type="paragraph" w:customStyle="1" w:styleId="1019">
    <w:name w:val="a0"/>
    <w:basedOn w:val="1"/>
    <w:semiHidden/>
    <w:qFormat/>
    <w:uiPriority w:val="0"/>
    <w:pPr>
      <w:widowControl/>
      <w:spacing w:before="100" w:beforeAutospacing="1" w:after="100" w:afterAutospacing="1" w:line="360" w:lineRule="auto"/>
      <w:ind w:firstLine="200" w:firstLineChars="200"/>
      <w:jc w:val="left"/>
    </w:pPr>
    <w:rPr>
      <w:rFonts w:ascii="宋体" w:hAnsi="宋体" w:cs="宋体"/>
      <w:kern w:val="0"/>
      <w:sz w:val="24"/>
    </w:rPr>
  </w:style>
  <w:style w:type="paragraph" w:customStyle="1" w:styleId="1020">
    <w:name w:val="Style4"/>
    <w:basedOn w:val="1"/>
    <w:qFormat/>
    <w:uiPriority w:val="0"/>
    <w:pPr>
      <w:autoSpaceDE w:val="0"/>
      <w:autoSpaceDN w:val="0"/>
      <w:adjustRightInd w:val="0"/>
      <w:spacing w:line="355" w:lineRule="exact"/>
    </w:pPr>
    <w:rPr>
      <w:kern w:val="0"/>
      <w:sz w:val="24"/>
      <w:lang w:eastAsia="en-US" w:bidi="he-IL"/>
    </w:rPr>
  </w:style>
  <w:style w:type="paragraph" w:customStyle="1" w:styleId="1021">
    <w:name w:val="reader-word-layer reader-word-s1-7"/>
    <w:basedOn w:val="1"/>
    <w:qFormat/>
    <w:uiPriority w:val="0"/>
    <w:pPr>
      <w:widowControl/>
      <w:spacing w:before="100" w:beforeAutospacing="1" w:after="100" w:afterAutospacing="1"/>
      <w:jc w:val="left"/>
    </w:pPr>
    <w:rPr>
      <w:rFonts w:ascii="宋体" w:hAnsi="宋体" w:cs="宋体"/>
      <w:kern w:val="0"/>
      <w:sz w:val="24"/>
    </w:rPr>
  </w:style>
  <w:style w:type="paragraph" w:customStyle="1" w:styleId="1022">
    <w:name w:val="小4黑居中行1"/>
    <w:qFormat/>
    <w:uiPriority w:val="0"/>
    <w:pPr>
      <w:widowControl w:val="0"/>
      <w:tabs>
        <w:tab w:val="right" w:leader="middleDot" w:pos="8222"/>
      </w:tabs>
      <w:jc w:val="center"/>
    </w:pPr>
    <w:rPr>
      <w:rFonts w:ascii="仿宋_GB2312" w:hAnsi="宋体" w:eastAsia="仿宋_GB2312" w:cs="Times New Roman"/>
      <w:kern w:val="2"/>
      <w:sz w:val="24"/>
      <w:szCs w:val="24"/>
      <w:lang w:val="en-US" w:eastAsia="zh-CN" w:bidi="ar-SA"/>
    </w:rPr>
  </w:style>
  <w:style w:type="paragraph" w:customStyle="1" w:styleId="1023">
    <w:name w:val="3级"/>
    <w:qFormat/>
    <w:uiPriority w:val="0"/>
    <w:pPr>
      <w:keepNext/>
      <w:numPr>
        <w:ilvl w:val="2"/>
        <w:numId w:val="6"/>
      </w:numPr>
      <w:spacing w:before="120" w:after="120"/>
      <w:jc w:val="both"/>
      <w:outlineLvl w:val="2"/>
    </w:pPr>
    <w:rPr>
      <w:rFonts w:ascii="Arial" w:hAnsi="Arial" w:eastAsia="宋体" w:cs="Arial"/>
      <w:kern w:val="2"/>
      <w:sz w:val="22"/>
      <w:szCs w:val="24"/>
      <w:lang w:val="en-US" w:eastAsia="zh-CN" w:bidi="ar-SA"/>
    </w:rPr>
  </w:style>
  <w:style w:type="paragraph" w:customStyle="1" w:styleId="1024">
    <w:name w:val="t表格题目"/>
    <w:basedOn w:val="720"/>
    <w:qFormat/>
    <w:uiPriority w:val="0"/>
    <w:pPr>
      <w:spacing w:line="240" w:lineRule="auto"/>
      <w:ind w:firstLine="0" w:firstLineChars="0"/>
      <w:jc w:val="center"/>
    </w:pPr>
    <w:rPr>
      <w:sz w:val="21"/>
    </w:rPr>
  </w:style>
  <w:style w:type="paragraph" w:customStyle="1" w:styleId="1025">
    <w:name w:val="样式 (中文) 仿宋_GB2312 小三 首行缩进:  2 字符"/>
    <w:basedOn w:val="1"/>
    <w:qFormat/>
    <w:uiPriority w:val="0"/>
    <w:pPr>
      <w:spacing w:line="480" w:lineRule="exact"/>
      <w:ind w:firstLine="517" w:firstLineChars="235"/>
    </w:pPr>
    <w:rPr>
      <w:rFonts w:ascii="宋体" w:hAnsi="宋体"/>
      <w:bCs/>
      <w:spacing w:val="-10"/>
      <w:sz w:val="24"/>
      <w:szCs w:val="20"/>
    </w:rPr>
  </w:style>
  <w:style w:type="paragraph" w:customStyle="1" w:styleId="1026">
    <w:name w:val="Header Base"/>
    <w:basedOn w:val="1"/>
    <w:qFormat/>
    <w:uiPriority w:val="0"/>
    <w:pPr>
      <w:widowControl/>
      <w:spacing w:line="360" w:lineRule="auto"/>
      <w:ind w:right="-360"/>
      <w:jc w:val="left"/>
    </w:pPr>
    <w:rPr>
      <w:kern w:val="0"/>
      <w:sz w:val="20"/>
      <w:szCs w:val="20"/>
    </w:rPr>
  </w:style>
  <w:style w:type="paragraph" w:customStyle="1" w:styleId="1027">
    <w:name w:val="reader-word-layer reader-word-s1-22"/>
    <w:basedOn w:val="1"/>
    <w:qFormat/>
    <w:uiPriority w:val="0"/>
    <w:pPr>
      <w:widowControl/>
      <w:spacing w:before="100" w:beforeAutospacing="1" w:after="100" w:afterAutospacing="1"/>
      <w:jc w:val="left"/>
    </w:pPr>
    <w:rPr>
      <w:rFonts w:ascii="宋体" w:hAnsi="宋体" w:cs="宋体"/>
      <w:kern w:val="0"/>
      <w:sz w:val="24"/>
    </w:rPr>
  </w:style>
  <w:style w:type="paragraph" w:customStyle="1" w:styleId="1028">
    <w:name w:val="样式 正文文本 + 首行缩进:  2 字符 段后: 0 磅"/>
    <w:basedOn w:val="3"/>
    <w:qFormat/>
    <w:uiPriority w:val="0"/>
    <w:pPr>
      <w:spacing w:after="0" w:line="400" w:lineRule="exact"/>
      <w:ind w:firstLine="200" w:firstLineChars="200"/>
    </w:pPr>
    <w:rPr>
      <w:rFonts w:eastAsia="黑体" w:cs="宋体"/>
      <w:sz w:val="24"/>
      <w:szCs w:val="20"/>
    </w:rPr>
  </w:style>
  <w:style w:type="paragraph" w:customStyle="1" w:styleId="1029">
    <w:name w:val="reader-word-layer reader-word-s1-1"/>
    <w:basedOn w:val="1"/>
    <w:qFormat/>
    <w:uiPriority w:val="0"/>
    <w:pPr>
      <w:widowControl/>
      <w:spacing w:before="100" w:beforeAutospacing="1" w:after="100" w:afterAutospacing="1"/>
      <w:jc w:val="left"/>
    </w:pPr>
    <w:rPr>
      <w:rFonts w:ascii="宋体" w:hAnsi="宋体" w:cs="宋体"/>
      <w:kern w:val="0"/>
      <w:sz w:val="24"/>
    </w:rPr>
  </w:style>
  <w:style w:type="paragraph" w:customStyle="1" w:styleId="1030">
    <w:name w:val="A标题4"/>
    <w:basedOn w:val="1"/>
    <w:qFormat/>
    <w:uiPriority w:val="0"/>
    <w:pPr>
      <w:widowControl/>
      <w:topLinePunct/>
      <w:spacing w:line="480" w:lineRule="exact"/>
      <w:ind w:left="480" w:firstLine="542"/>
      <w:jc w:val="center"/>
    </w:pPr>
    <w:rPr>
      <w:rFonts w:ascii="宋体" w:hAnsi="宋体" w:eastAsia="方正黑体简体"/>
      <w:b/>
      <w:bCs/>
      <w:color w:val="000000"/>
      <w:sz w:val="24"/>
      <w:szCs w:val="20"/>
    </w:rPr>
  </w:style>
  <w:style w:type="paragraph" w:customStyle="1" w:styleId="1031">
    <w:name w:val="md三级标题"/>
    <w:basedOn w:val="7"/>
    <w:next w:val="1"/>
    <w:qFormat/>
    <w:locked/>
    <w:uiPriority w:val="0"/>
    <w:pPr>
      <w:widowControl/>
      <w:numPr>
        <w:ilvl w:val="0"/>
        <w:numId w:val="0"/>
      </w:numPr>
      <w:tabs>
        <w:tab w:val="left" w:pos="500"/>
      </w:tabs>
      <w:overflowPunct w:val="0"/>
      <w:spacing w:before="156" w:beforeLines="50" w:after="156" w:afterLines="50" w:line="360" w:lineRule="auto"/>
      <w:ind w:firstLine="200" w:firstLineChars="186"/>
      <w:jc w:val="left"/>
      <w:textAlignment w:val="baseline"/>
    </w:pPr>
    <w:rPr>
      <w:rFonts w:ascii="宋体" w:hAnsi="宋体" w:eastAsia="宋体"/>
      <w:snapToGrid w:val="0"/>
      <w:kern w:val="0"/>
      <w:sz w:val="24"/>
      <w:szCs w:val="24"/>
    </w:rPr>
  </w:style>
  <w:style w:type="paragraph" w:customStyle="1" w:styleId="1032">
    <w:name w:val="表格标题"/>
    <w:basedOn w:val="1"/>
    <w:next w:val="605"/>
    <w:qFormat/>
    <w:uiPriority w:val="0"/>
    <w:pPr>
      <w:keepNext/>
      <w:widowControl/>
      <w:overflowPunct w:val="0"/>
      <w:adjustRightInd w:val="0"/>
      <w:snapToGrid w:val="0"/>
      <w:spacing w:before="360" w:after="120" w:line="480" w:lineRule="exact"/>
      <w:jc w:val="center"/>
      <w:textAlignment w:val="baseline"/>
    </w:pPr>
    <w:rPr>
      <w:rFonts w:ascii="Arial" w:hAnsi="Arial" w:eastAsia="黑体"/>
      <w:kern w:val="0"/>
      <w:sz w:val="24"/>
      <w:szCs w:val="20"/>
    </w:rPr>
  </w:style>
  <w:style w:type="paragraph" w:customStyle="1" w:styleId="1033">
    <w:name w:val="xl11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00"/>
      <w:kern w:val="0"/>
      <w:sz w:val="28"/>
      <w:szCs w:val="28"/>
    </w:rPr>
  </w:style>
  <w:style w:type="paragraph" w:customStyle="1" w:styleId="1034">
    <w:name w:val="报告"/>
    <w:basedOn w:val="1"/>
    <w:qFormat/>
    <w:uiPriority w:val="0"/>
    <w:pPr>
      <w:spacing w:line="440" w:lineRule="exact"/>
      <w:ind w:firstLine="451" w:firstLineChars="196"/>
    </w:pPr>
    <w:rPr>
      <w:rFonts w:ascii="宋体" w:hAnsi="宋体"/>
      <w:spacing w:val="-5"/>
      <w:sz w:val="24"/>
      <w:szCs w:val="32"/>
    </w:rPr>
  </w:style>
  <w:style w:type="paragraph" w:customStyle="1" w:styleId="1035">
    <w:name w:val="正文林立世"/>
    <w:basedOn w:val="1"/>
    <w:qFormat/>
    <w:uiPriority w:val="0"/>
    <w:pPr>
      <w:spacing w:line="360" w:lineRule="auto"/>
      <w:ind w:firstLine="567"/>
      <w:jc w:val="left"/>
    </w:pPr>
    <w:rPr>
      <w:sz w:val="24"/>
      <w:szCs w:val="20"/>
    </w:rPr>
  </w:style>
  <w:style w:type="paragraph" w:customStyle="1" w:styleId="1036">
    <w:name w:val="Char2 Char Char Char"/>
    <w:basedOn w:val="1"/>
    <w:qFormat/>
    <w:uiPriority w:val="0"/>
    <w:pPr>
      <w:autoSpaceDE w:val="0"/>
      <w:autoSpaceDN w:val="0"/>
      <w:adjustRightInd w:val="0"/>
      <w:snapToGrid w:val="0"/>
      <w:spacing w:before="50" w:after="50" w:line="360" w:lineRule="auto"/>
      <w:ind w:firstLine="560" w:firstLineChars="200"/>
    </w:pPr>
    <w:rPr>
      <w:rFonts w:ascii="宋体" w:hAnsi="宋体" w:eastAsia="仿宋_GB2312"/>
      <w:color w:val="000000"/>
      <w:sz w:val="24"/>
    </w:rPr>
  </w:style>
  <w:style w:type="paragraph" w:customStyle="1" w:styleId="1037">
    <w:name w:val="付正文1"/>
    <w:basedOn w:val="326"/>
    <w:next w:val="326"/>
    <w:semiHidden/>
    <w:qFormat/>
    <w:uiPriority w:val="0"/>
    <w:rPr>
      <w:rFonts w:cs="Arial"/>
    </w:rPr>
  </w:style>
  <w:style w:type="paragraph" w:customStyle="1" w:styleId="1038">
    <w:name w:val="puce"/>
    <w:basedOn w:val="1"/>
    <w:qFormat/>
    <w:uiPriority w:val="0"/>
    <w:pPr>
      <w:widowControl/>
      <w:adjustRightInd w:val="0"/>
      <w:snapToGrid w:val="0"/>
      <w:spacing w:line="360" w:lineRule="auto"/>
      <w:ind w:left="899" w:leftChars="428" w:firstLine="1"/>
    </w:pPr>
    <w:rPr>
      <w:rFonts w:ascii="Arial" w:hAnsi="Arial"/>
      <w:color w:val="000000"/>
      <w:kern w:val="0"/>
      <w:sz w:val="24"/>
      <w:szCs w:val="20"/>
      <w:lang w:val="fr-FR"/>
    </w:rPr>
  </w:style>
  <w:style w:type="paragraph" w:customStyle="1" w:styleId="1039">
    <w:name w:val="文字2"/>
    <w:basedOn w:val="1"/>
    <w:qFormat/>
    <w:uiPriority w:val="0"/>
    <w:pPr>
      <w:spacing w:line="300" w:lineRule="auto"/>
    </w:pPr>
    <w:rPr>
      <w:szCs w:val="20"/>
    </w:rPr>
  </w:style>
  <w:style w:type="paragraph" w:customStyle="1" w:styleId="1040">
    <w:name w:val="reader-word-layer"/>
    <w:basedOn w:val="1"/>
    <w:qFormat/>
    <w:uiPriority w:val="0"/>
    <w:pPr>
      <w:widowControl/>
      <w:spacing w:before="100" w:beforeAutospacing="1" w:after="100" w:afterAutospacing="1"/>
      <w:jc w:val="left"/>
    </w:pPr>
    <w:rPr>
      <w:rFonts w:ascii="宋体" w:hAnsi="宋体" w:cs="宋体"/>
      <w:kern w:val="0"/>
      <w:sz w:val="24"/>
    </w:rPr>
  </w:style>
  <w:style w:type="paragraph" w:customStyle="1" w:styleId="1041">
    <w:name w:val="列出段落1"/>
    <w:basedOn w:val="1"/>
    <w:qFormat/>
    <w:uiPriority w:val="0"/>
    <w:pPr>
      <w:ind w:firstLine="420" w:firstLineChars="200"/>
    </w:pPr>
    <w:rPr>
      <w:rFonts w:ascii="Calibri" w:hAnsi="Calibri"/>
      <w:szCs w:val="22"/>
    </w:rPr>
  </w:style>
  <w:style w:type="paragraph" w:customStyle="1" w:styleId="1042">
    <w:name w:val=" Char"/>
    <w:basedOn w:val="1"/>
    <w:qFormat/>
    <w:uiPriority w:val="0"/>
    <w:pPr>
      <w:spacing w:line="360" w:lineRule="auto"/>
      <w:ind w:firstLine="200" w:firstLineChars="200"/>
    </w:pPr>
    <w:rPr>
      <w:rFonts w:ascii="宋体" w:hAnsi="宋体" w:cs="宋体"/>
      <w:sz w:val="24"/>
    </w:rPr>
  </w:style>
  <w:style w:type="paragraph" w:customStyle="1" w:styleId="1043">
    <w:name w:val="正文表"/>
    <w:basedOn w:val="1"/>
    <w:qFormat/>
    <w:uiPriority w:val="0"/>
    <w:pPr>
      <w:tabs>
        <w:tab w:val="left" w:pos="2451"/>
        <w:tab w:val="left" w:pos="4614"/>
        <w:tab w:val="left" w:pos="6777"/>
        <w:tab w:val="left" w:pos="8940"/>
      </w:tabs>
      <w:autoSpaceDE w:val="0"/>
      <w:autoSpaceDN w:val="0"/>
      <w:adjustRightInd w:val="0"/>
      <w:jc w:val="center"/>
      <w:textAlignment w:val="bottom"/>
    </w:pPr>
    <w:rPr>
      <w:color w:val="000000"/>
      <w:kern w:val="0"/>
      <w:sz w:val="28"/>
      <w:szCs w:val="20"/>
    </w:rPr>
  </w:style>
  <w:style w:type="paragraph" w:customStyle="1" w:styleId="1044">
    <w:name w:val="正文(首缩进) Char Char Char"/>
    <w:basedOn w:val="1"/>
    <w:qFormat/>
    <w:uiPriority w:val="0"/>
    <w:pPr>
      <w:adjustRightInd w:val="0"/>
      <w:snapToGrid w:val="0"/>
      <w:spacing w:line="360" w:lineRule="auto"/>
      <w:ind w:firstLine="200" w:firstLineChars="200"/>
    </w:pPr>
    <w:rPr>
      <w:rFonts w:ascii="Arial" w:hAnsi="Arial" w:eastAsia="仿宋_GB2312" w:cs="Arial"/>
      <w:sz w:val="28"/>
      <w:szCs w:val="28"/>
    </w:rPr>
  </w:style>
  <w:style w:type="paragraph" w:customStyle="1" w:styleId="1045">
    <w:name w:val="ENUM"/>
    <w:basedOn w:val="1"/>
    <w:qFormat/>
    <w:uiPriority w:val="0"/>
    <w:pPr>
      <w:widowControl/>
      <w:numPr>
        <w:ilvl w:val="1"/>
        <w:numId w:val="8"/>
      </w:numPr>
      <w:tabs>
        <w:tab w:val="left" w:pos="1418"/>
        <w:tab w:val="clear" w:pos="1460"/>
      </w:tabs>
      <w:spacing w:before="60" w:after="60"/>
      <w:ind w:left="1418" w:hanging="284" w:firstLineChars="200"/>
    </w:pPr>
    <w:rPr>
      <w:rFonts w:ascii="Arial" w:hAnsi="Arial"/>
      <w:kern w:val="0"/>
      <w:sz w:val="22"/>
      <w:szCs w:val="20"/>
      <w:lang w:val="en-GB"/>
    </w:rPr>
  </w:style>
  <w:style w:type="paragraph" w:customStyle="1" w:styleId="1046">
    <w:name w:val="np_zhengwen"/>
    <w:basedOn w:val="1"/>
    <w:qFormat/>
    <w:uiPriority w:val="0"/>
    <w:pPr>
      <w:widowControl/>
      <w:spacing w:before="100" w:beforeAutospacing="1" w:after="100" w:afterAutospacing="1" w:line="432" w:lineRule="auto"/>
      <w:jc w:val="left"/>
    </w:pPr>
    <w:rPr>
      <w:rFonts w:ascii="宋体" w:hAnsi="宋体" w:cs="宋体"/>
      <w:color w:val="666666"/>
      <w:kern w:val="0"/>
      <w:sz w:val="16"/>
      <w:szCs w:val="16"/>
    </w:rPr>
  </w:style>
  <w:style w:type="paragraph" w:customStyle="1" w:styleId="1047">
    <w:name w:val="cdb"/>
    <w:basedOn w:val="1"/>
    <w:qFormat/>
    <w:uiPriority w:val="0"/>
    <w:pPr>
      <w:spacing w:before="120"/>
      <w:ind w:left="851" w:firstLine="482"/>
    </w:pPr>
    <w:rPr>
      <w:sz w:val="24"/>
      <w:szCs w:val="20"/>
    </w:rPr>
  </w:style>
  <w:style w:type="paragraph" w:customStyle="1" w:styleId="1048">
    <w:name w:val="xl163"/>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FF"/>
      <w:kern w:val="0"/>
      <w:sz w:val="16"/>
      <w:szCs w:val="16"/>
    </w:rPr>
  </w:style>
  <w:style w:type="paragraph" w:customStyle="1" w:styleId="1049">
    <w:name w:val="样式 标题 1 + 加粗 段前: 2.5 磅 段后: 2.5 磅 行距: 单倍行距"/>
    <w:basedOn w:val="5"/>
    <w:qFormat/>
    <w:uiPriority w:val="0"/>
    <w:pPr>
      <w:spacing w:before="0" w:after="0" w:line="240" w:lineRule="auto"/>
    </w:pPr>
    <w:rPr>
      <w:rFonts w:ascii="Arial" w:hAnsi="Arial"/>
      <w:color w:val="000000"/>
      <w:sz w:val="22"/>
      <w:szCs w:val="20"/>
    </w:rPr>
  </w:style>
  <w:style w:type="paragraph" w:customStyle="1" w:styleId="1050">
    <w:name w:val="xl66"/>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left"/>
      <w:textAlignment w:val="center"/>
    </w:pPr>
    <w:rPr>
      <w:rFonts w:ascii="Arial Unicode MS" w:hAnsi="Arial Unicode MS" w:eastAsia="Arial Unicode MS"/>
      <w:kern w:val="0"/>
      <w:sz w:val="24"/>
    </w:rPr>
  </w:style>
  <w:style w:type="paragraph" w:customStyle="1" w:styleId="1051">
    <w:name w:val="正文首行缩进0"/>
    <w:basedOn w:val="33"/>
    <w:qFormat/>
    <w:uiPriority w:val="0"/>
    <w:pPr>
      <w:autoSpaceDE w:val="0"/>
      <w:autoSpaceDN w:val="0"/>
      <w:spacing w:after="0" w:line="400" w:lineRule="exact"/>
      <w:ind w:left="0" w:leftChars="0" w:firstLine="480" w:firstLineChars="200"/>
    </w:pPr>
    <w:rPr>
      <w:rFonts w:ascii="宋体" w:hAnsi="宋体"/>
      <w:color w:val="000000"/>
      <w:sz w:val="24"/>
      <w:szCs w:val="20"/>
    </w:rPr>
  </w:style>
  <w:style w:type="paragraph" w:customStyle="1" w:styleId="1052">
    <w:name w:val="样式 表格内容 + (中文) 宋体 居中"/>
    <w:basedOn w:val="1"/>
    <w:qFormat/>
    <w:uiPriority w:val="0"/>
    <w:pPr>
      <w:overflowPunct w:val="0"/>
      <w:adjustRightInd w:val="0"/>
      <w:snapToGrid w:val="0"/>
      <w:spacing w:after="120" w:line="440" w:lineRule="exact"/>
      <w:jc w:val="center"/>
      <w:textAlignment w:val="baseline"/>
    </w:pPr>
    <w:rPr>
      <w:rFonts w:ascii="Arial" w:hAnsi="Arial" w:cs="宋体"/>
      <w:kern w:val="0"/>
      <w:szCs w:val="21"/>
    </w:rPr>
  </w:style>
  <w:style w:type="paragraph" w:customStyle="1" w:styleId="1053">
    <w:name w:val="Table Text"/>
    <w:qFormat/>
    <w:uiPriority w:val="0"/>
    <w:rPr>
      <w:rFonts w:ascii="Times New Roman" w:hAnsi="Times New Roman" w:eastAsia="宋体" w:cs="Times New Roman"/>
      <w:snapToGrid w:val="0"/>
      <w:color w:val="000000"/>
      <w:kern w:val="2"/>
      <w:sz w:val="24"/>
      <w:szCs w:val="24"/>
      <w:lang w:val="en-GB" w:eastAsia="zh-CN" w:bidi="ar-SA"/>
    </w:rPr>
  </w:style>
  <w:style w:type="paragraph" w:customStyle="1" w:styleId="1054">
    <w:name w:val=" Char Char Char Char Char Char Char"/>
    <w:basedOn w:val="1"/>
    <w:qFormat/>
    <w:uiPriority w:val="0"/>
    <w:pPr>
      <w:spacing w:line="360" w:lineRule="auto"/>
      <w:ind w:firstLine="200" w:firstLineChars="200"/>
    </w:pPr>
    <w:rPr>
      <w:rFonts w:ascii="宋体" w:hAnsi="宋体"/>
      <w:sz w:val="24"/>
    </w:rPr>
  </w:style>
  <w:style w:type="paragraph" w:customStyle="1" w:styleId="1055">
    <w:name w:val="xl158"/>
    <w:basedOn w:val="1"/>
    <w:qFormat/>
    <w:uiPriority w:val="0"/>
    <w:pPr>
      <w:widowControl/>
      <w:pBdr>
        <w:top w:val="single" w:color="auto" w:sz="4" w:space="0"/>
        <w:bottom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00"/>
      <w:kern w:val="0"/>
      <w:sz w:val="16"/>
      <w:szCs w:val="16"/>
    </w:rPr>
  </w:style>
  <w:style w:type="paragraph" w:customStyle="1" w:styleId="1056">
    <w:name w:val="四级条标题"/>
    <w:next w:val="566"/>
    <w:qFormat/>
    <w:uiPriority w:val="0"/>
    <w:pPr>
      <w:spacing w:line="360" w:lineRule="auto"/>
      <w:outlineLvl w:val="5"/>
    </w:pPr>
    <w:rPr>
      <w:rFonts w:ascii="黑体" w:hAnsi="Times New Roman" w:eastAsia="黑体" w:cs="Times New Roman"/>
      <w:kern w:val="2"/>
      <w:sz w:val="21"/>
      <w:szCs w:val="24"/>
      <w:lang w:val="en-US" w:eastAsia="zh-CN" w:bidi="ar-SA"/>
    </w:rPr>
  </w:style>
  <w:style w:type="paragraph" w:customStyle="1" w:styleId="1057">
    <w:name w:val="4级"/>
    <w:qFormat/>
    <w:uiPriority w:val="0"/>
    <w:pPr>
      <w:keepNext/>
      <w:numPr>
        <w:ilvl w:val="3"/>
        <w:numId w:val="6"/>
      </w:numPr>
      <w:spacing w:before="120" w:after="120"/>
      <w:jc w:val="both"/>
      <w:outlineLvl w:val="3"/>
    </w:pPr>
    <w:rPr>
      <w:rFonts w:ascii="Arial" w:hAnsi="Arial" w:eastAsia="宋体" w:cs="Arial"/>
      <w:kern w:val="2"/>
      <w:sz w:val="22"/>
      <w:szCs w:val="24"/>
      <w:lang w:val="en-US" w:eastAsia="zh-CN" w:bidi="ar-SA"/>
    </w:rPr>
  </w:style>
  <w:style w:type="paragraph" w:customStyle="1" w:styleId="1058">
    <w:name w:val="内部地址"/>
    <w:basedOn w:val="1"/>
    <w:qFormat/>
    <w:uiPriority w:val="0"/>
    <w:rPr>
      <w:szCs w:val="20"/>
    </w:rPr>
  </w:style>
  <w:style w:type="paragraph" w:customStyle="1" w:styleId="1059">
    <w:name w:val="样式 宋体 小四 行距: 1.5 倍行距"/>
    <w:basedOn w:val="1"/>
    <w:qFormat/>
    <w:uiPriority w:val="0"/>
    <w:pPr>
      <w:spacing w:line="400" w:lineRule="exact"/>
      <w:ind w:firstLine="200" w:firstLineChars="200"/>
    </w:pPr>
    <w:rPr>
      <w:rFonts w:ascii="宋体" w:hAnsi="Courier New"/>
      <w:sz w:val="24"/>
      <w:szCs w:val="20"/>
    </w:rPr>
  </w:style>
  <w:style w:type="paragraph" w:customStyle="1" w:styleId="1060">
    <w:name w:val="默认段落字体11"/>
    <w:basedOn w:val="1"/>
    <w:qFormat/>
    <w:uiPriority w:val="0"/>
    <w:rPr>
      <w:szCs w:val="20"/>
    </w:rPr>
  </w:style>
  <w:style w:type="paragraph" w:customStyle="1" w:styleId="1061">
    <w:name w:val="档案号"/>
    <w:basedOn w:val="55"/>
    <w:qFormat/>
    <w:uiPriority w:val="0"/>
    <w:pPr>
      <w:pBdr>
        <w:bottom w:val="none" w:color="auto" w:sz="0" w:space="0"/>
      </w:pBdr>
      <w:tabs>
        <w:tab w:val="center" w:pos="4320"/>
        <w:tab w:val="right" w:pos="8640"/>
        <w:tab w:val="clear" w:pos="4153"/>
        <w:tab w:val="clear" w:pos="8306"/>
      </w:tabs>
      <w:adjustRightInd w:val="0"/>
      <w:snapToGrid/>
      <w:spacing w:line="460" w:lineRule="exact"/>
      <w:jc w:val="right"/>
      <w:textAlignment w:val="baseline"/>
    </w:pPr>
    <w:rPr>
      <w:rFonts w:ascii="宋体" w:hAnsi="Arial"/>
      <w:spacing w:val="3"/>
      <w:kern w:val="24"/>
      <w:sz w:val="24"/>
    </w:rPr>
  </w:style>
  <w:style w:type="paragraph" w:customStyle="1" w:styleId="1062">
    <w:name w:val="标题 41"/>
    <w:basedOn w:val="1"/>
    <w:next w:val="1"/>
    <w:qFormat/>
    <w:uiPriority w:val="0"/>
    <w:pPr>
      <w:keepNext/>
      <w:keepLines/>
      <w:spacing w:before="280" w:after="290" w:line="372" w:lineRule="auto"/>
      <w:outlineLvl w:val="3"/>
    </w:pPr>
    <w:rPr>
      <w:rFonts w:hint="eastAsia" w:ascii="Arial" w:hAnsi="Arial" w:eastAsia="黑体"/>
      <w:b/>
      <w:sz w:val="28"/>
      <w:szCs w:val="20"/>
    </w:rPr>
  </w:style>
  <w:style w:type="paragraph" w:customStyle="1" w:styleId="1063">
    <w:name w:val=" Char Char13"/>
    <w:basedOn w:val="1"/>
    <w:qFormat/>
    <w:uiPriority w:val="0"/>
  </w:style>
  <w:style w:type="paragraph" w:customStyle="1" w:styleId="1064">
    <w:name w:val="xl51"/>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kern w:val="0"/>
      <w:sz w:val="24"/>
    </w:rPr>
  </w:style>
  <w:style w:type="paragraph" w:customStyle="1" w:styleId="1065">
    <w:name w:val="样式 四号 行距: 1.5 倍行距2"/>
    <w:basedOn w:val="1"/>
    <w:qFormat/>
    <w:uiPriority w:val="0"/>
    <w:pPr>
      <w:spacing w:line="360" w:lineRule="auto"/>
      <w:ind w:firstLine="560" w:firstLineChars="200"/>
    </w:pPr>
    <w:rPr>
      <w:rFonts w:cs="宋体"/>
      <w:sz w:val="24"/>
      <w:szCs w:val="20"/>
    </w:rPr>
  </w:style>
  <w:style w:type="paragraph" w:customStyle="1" w:styleId="1066">
    <w:name w:val="表文正文"/>
    <w:basedOn w:val="671"/>
    <w:qFormat/>
    <w:uiPriority w:val="0"/>
    <w:pPr>
      <w:spacing w:line="240" w:lineRule="auto"/>
      <w:ind w:firstLine="0" w:firstLineChars="0"/>
    </w:pPr>
    <w:rPr>
      <w:rFonts w:eastAsia="宋体"/>
      <w:sz w:val="18"/>
    </w:rPr>
  </w:style>
  <w:style w:type="paragraph" w:customStyle="1" w:styleId="1067">
    <w:name w:val="reader-word-layer reader-word-s4-21"/>
    <w:basedOn w:val="1"/>
    <w:qFormat/>
    <w:uiPriority w:val="0"/>
    <w:pPr>
      <w:widowControl/>
      <w:spacing w:before="100" w:beforeAutospacing="1" w:after="100" w:afterAutospacing="1"/>
      <w:jc w:val="left"/>
    </w:pPr>
    <w:rPr>
      <w:rFonts w:ascii="宋体" w:hAnsi="宋体" w:cs="宋体"/>
      <w:kern w:val="0"/>
      <w:sz w:val="24"/>
    </w:rPr>
  </w:style>
  <w:style w:type="paragraph" w:customStyle="1" w:styleId="1068">
    <w:name w:val="Char1 Char Char Char Char Char Char2 Char Char Char1"/>
    <w:basedOn w:val="1"/>
    <w:qFormat/>
    <w:uiPriority w:val="0"/>
    <w:rPr>
      <w:szCs w:val="20"/>
    </w:rPr>
  </w:style>
  <w:style w:type="paragraph" w:customStyle="1" w:styleId="1069">
    <w:name w:val="xl184"/>
    <w:basedOn w:val="1"/>
    <w:qFormat/>
    <w:uiPriority w:val="0"/>
    <w:pPr>
      <w:widowControl/>
      <w:pBdr>
        <w:top w:val="double" w:color="auto" w:sz="6" w:space="0"/>
        <w:left w:val="single" w:color="auto" w:sz="12"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1070">
    <w:name w:val="xl114"/>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1071">
    <w:name w:val="段落"/>
    <w:basedOn w:val="1"/>
    <w:qFormat/>
    <w:uiPriority w:val="0"/>
    <w:pPr>
      <w:adjustRightInd w:val="0"/>
      <w:spacing w:line="400" w:lineRule="atLeast"/>
      <w:ind w:firstLine="482"/>
      <w:textAlignment w:val="baseline"/>
    </w:pPr>
    <w:rPr>
      <w:kern w:val="0"/>
      <w:sz w:val="24"/>
      <w:szCs w:val="20"/>
    </w:rPr>
  </w:style>
  <w:style w:type="paragraph" w:customStyle="1" w:styleId="1072">
    <w:name w:val="biao-00"/>
    <w:basedOn w:val="1"/>
    <w:qFormat/>
    <w:uiPriority w:val="0"/>
    <w:pPr>
      <w:widowControl/>
      <w:tabs>
        <w:tab w:val="left" w:pos="5580"/>
      </w:tabs>
      <w:topLinePunct/>
      <w:autoSpaceDE w:val="0"/>
      <w:adjustRightInd w:val="0"/>
      <w:snapToGrid w:val="0"/>
      <w:spacing w:line="360" w:lineRule="exact"/>
      <w:ind w:left="480"/>
      <w:jc w:val="center"/>
    </w:pPr>
    <w:rPr>
      <w:rFonts w:ascii="宋体" w:hAnsi="宋体"/>
      <w:w w:val="80"/>
      <w:szCs w:val="21"/>
    </w:rPr>
  </w:style>
  <w:style w:type="paragraph" w:customStyle="1" w:styleId="1073">
    <w:name w:val="xl75"/>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textAlignment w:val="center"/>
    </w:pPr>
    <w:rPr>
      <w:rFonts w:hint="eastAsia" w:ascii="楷体_GB2312" w:hAnsi="宋体" w:eastAsia="楷体_GB2312"/>
      <w:kern w:val="0"/>
      <w:sz w:val="28"/>
      <w:szCs w:val="28"/>
    </w:rPr>
  </w:style>
  <w:style w:type="paragraph" w:customStyle="1" w:styleId="1074">
    <w:name w:val="I目录 题头"/>
    <w:qFormat/>
    <w:uiPriority w:val="0"/>
    <w:pPr>
      <w:spacing w:before="120" w:after="50" w:afterLines="50"/>
      <w:jc w:val="center"/>
      <w:textAlignment w:val="center"/>
    </w:pPr>
    <w:rPr>
      <w:rFonts w:ascii="Times New Roman" w:hAnsi="Times New Roman" w:eastAsia="仿宋_GB2312" w:cs="Times New Roman"/>
      <w:b/>
      <w:bCs/>
      <w:caps/>
      <w:kern w:val="2"/>
      <w:sz w:val="28"/>
      <w:szCs w:val="28"/>
      <w:lang w:val="en-US" w:eastAsia="zh-CN" w:bidi="ar-SA"/>
    </w:rPr>
  </w:style>
  <w:style w:type="paragraph" w:customStyle="1" w:styleId="1075">
    <w:name w:val="BGBT"/>
    <w:basedOn w:val="191"/>
    <w:qFormat/>
    <w:uiPriority w:val="0"/>
    <w:pPr>
      <w:spacing w:before="156" w:beforeLines="50"/>
    </w:pPr>
    <w:rPr>
      <w:b/>
    </w:rPr>
  </w:style>
  <w:style w:type="paragraph" w:customStyle="1" w:styleId="1076">
    <w:name w:val="页眉j"/>
    <w:basedOn w:val="1"/>
    <w:qFormat/>
    <w:uiPriority w:val="0"/>
    <w:pPr>
      <w:pBdr>
        <w:bottom w:val="single" w:color="auto" w:sz="4" w:space="1"/>
      </w:pBdr>
    </w:pPr>
    <w:rPr>
      <w:szCs w:val="21"/>
    </w:rPr>
  </w:style>
  <w:style w:type="paragraph" w:customStyle="1" w:styleId="1077">
    <w:name w:val="xl33"/>
    <w:basedOn w:val="1"/>
    <w:qFormat/>
    <w:uiPriority w:val="0"/>
    <w:pPr>
      <w:widowControl/>
      <w:pBdr>
        <w:left w:val="single" w:color="auto" w:sz="8" w:space="0"/>
        <w:bottom w:val="single" w:color="auto" w:sz="8" w:space="0"/>
        <w:right w:val="single" w:color="auto" w:sz="8" w:space="0"/>
      </w:pBdr>
      <w:spacing w:before="100" w:beforeAutospacing="1" w:after="100" w:afterAutospacing="1"/>
      <w:jc w:val="center"/>
      <w:textAlignment w:val="center"/>
    </w:pPr>
    <w:rPr>
      <w:rFonts w:ascii="Arial Unicode MS" w:hAnsi="Arial Unicode MS" w:eastAsia="Arial Unicode MS"/>
      <w:kern w:val="0"/>
      <w:sz w:val="20"/>
      <w:szCs w:val="20"/>
    </w:rPr>
  </w:style>
  <w:style w:type="paragraph" w:customStyle="1" w:styleId="1078">
    <w:name w:val="样式 标题 1 + (符号) 宋体"/>
    <w:basedOn w:val="5"/>
    <w:qFormat/>
    <w:uiPriority w:val="0"/>
    <w:pPr>
      <w:keepNext w:val="0"/>
      <w:keepLines w:val="0"/>
      <w:pageBreakBefore/>
      <w:tabs>
        <w:tab w:val="left" w:pos="360"/>
      </w:tabs>
      <w:autoSpaceDE w:val="0"/>
      <w:autoSpaceDN w:val="0"/>
      <w:adjustRightInd w:val="0"/>
      <w:spacing w:before="0" w:after="0" w:afterLines="50" w:line="900" w:lineRule="exact"/>
      <w:ind w:left="578" w:hanging="578"/>
      <w:jc w:val="center"/>
    </w:pPr>
    <w:rPr>
      <w:rFonts w:eastAsia="黑体" w:cs="Arial"/>
      <w:b w:val="0"/>
      <w:color w:val="000000"/>
      <w:kern w:val="0"/>
      <w:sz w:val="28"/>
      <w:szCs w:val="32"/>
    </w:rPr>
  </w:style>
  <w:style w:type="paragraph" w:customStyle="1" w:styleId="1079">
    <w:name w:val="样式 标题 3条H3h3 sub headingh3zhenwen1.1.1标题 3 Char Char标题 3..."/>
    <w:basedOn w:val="7"/>
    <w:qFormat/>
    <w:uiPriority w:val="0"/>
    <w:pPr>
      <w:numPr>
        <w:ilvl w:val="2"/>
        <w:numId w:val="9"/>
      </w:numPr>
      <w:adjustRightInd w:val="0"/>
      <w:spacing w:before="0" w:after="0" w:line="360" w:lineRule="auto"/>
      <w:ind w:firstLine="0"/>
      <w:jc w:val="left"/>
    </w:pPr>
    <w:rPr>
      <w:rFonts w:ascii="Arial" w:hAnsi="Arial" w:eastAsia="宋体"/>
      <w:b w:val="0"/>
      <w:kern w:val="0"/>
      <w:szCs w:val="28"/>
    </w:rPr>
  </w:style>
  <w:style w:type="paragraph" w:customStyle="1" w:styleId="1080">
    <w:name w:val="【表中文字】"/>
    <w:basedOn w:val="1081"/>
    <w:qFormat/>
    <w:uiPriority w:val="0"/>
    <w:pPr>
      <w:spacing w:line="240" w:lineRule="auto"/>
      <w:jc w:val="center"/>
    </w:pPr>
    <w:rPr>
      <w:kern w:val="0"/>
      <w:sz w:val="20"/>
    </w:rPr>
  </w:style>
  <w:style w:type="paragraph" w:customStyle="1" w:styleId="1081">
    <w:name w:val=".表1-1-1内容"/>
    <w:basedOn w:val="1"/>
    <w:qFormat/>
    <w:uiPriority w:val="0"/>
    <w:pPr>
      <w:spacing w:line="300" w:lineRule="exact"/>
      <w:jc w:val="center"/>
    </w:pPr>
    <w:rPr>
      <w:kern w:val="0"/>
      <w:szCs w:val="21"/>
    </w:rPr>
  </w:style>
  <w:style w:type="paragraph" w:customStyle="1" w:styleId="1082">
    <w:name w:val="标题5"/>
    <w:basedOn w:val="9"/>
    <w:next w:val="10"/>
    <w:qFormat/>
    <w:uiPriority w:val="0"/>
    <w:pPr>
      <w:numPr>
        <w:ilvl w:val="0"/>
        <w:numId w:val="0"/>
      </w:numPr>
      <w:tabs>
        <w:tab w:val="left" w:pos="567"/>
        <w:tab w:val="clear" w:pos="1008"/>
      </w:tabs>
      <w:autoSpaceDE/>
      <w:autoSpaceDN/>
      <w:adjustRightInd/>
      <w:spacing w:before="0" w:after="0" w:line="240" w:lineRule="auto"/>
      <w:ind w:firstLine="562" w:firstLineChars="200"/>
      <w:textAlignment w:val="auto"/>
    </w:pPr>
    <w:rPr>
      <w:kern w:val="2"/>
      <w:sz w:val="28"/>
    </w:rPr>
  </w:style>
  <w:style w:type="paragraph" w:customStyle="1" w:styleId="1083">
    <w:name w:val="Byline"/>
    <w:basedOn w:val="3"/>
    <w:qFormat/>
    <w:uiPriority w:val="0"/>
    <w:pPr>
      <w:widowControl/>
      <w:numPr>
        <w:ilvl w:val="0"/>
        <w:numId w:val="10"/>
      </w:numPr>
      <w:tabs>
        <w:tab w:val="clear" w:pos="425"/>
      </w:tabs>
      <w:spacing w:after="0" w:line="360" w:lineRule="auto"/>
      <w:ind w:left="0" w:firstLine="0"/>
    </w:pPr>
    <w:rPr>
      <w:rFonts w:ascii="Arial" w:hAnsi="Arial"/>
      <w:kern w:val="0"/>
      <w:sz w:val="24"/>
      <w:szCs w:val="20"/>
    </w:rPr>
  </w:style>
  <w:style w:type="paragraph" w:customStyle="1" w:styleId="1084">
    <w:name w:val="xl87"/>
    <w:basedOn w:val="1"/>
    <w:qFormat/>
    <w:uiPriority w:val="0"/>
    <w:pPr>
      <w:widowControl/>
      <w:pBdr>
        <w:bottom w:val="single" w:color="auto" w:sz="4" w:space="0"/>
      </w:pBdr>
      <w:spacing w:before="100" w:beforeAutospacing="1" w:after="100" w:afterAutospacing="1"/>
      <w:jc w:val="center"/>
    </w:pPr>
    <w:rPr>
      <w:rFonts w:hint="eastAsia" w:ascii="楷体_GB2312" w:hAnsi="宋体" w:eastAsia="楷体_GB2312"/>
      <w:kern w:val="0"/>
      <w:sz w:val="32"/>
      <w:szCs w:val="32"/>
    </w:rPr>
  </w:style>
  <w:style w:type="paragraph" w:customStyle="1" w:styleId="1085">
    <w:name w:val="xl1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hint="eastAsia" w:ascii="楷体_GB2312" w:hAnsi="Arial Unicode MS" w:eastAsia="楷体_GB2312" w:cs="TimesNewRomanPSMT"/>
      <w:kern w:val="0"/>
      <w:sz w:val="16"/>
      <w:szCs w:val="16"/>
    </w:rPr>
  </w:style>
  <w:style w:type="paragraph" w:customStyle="1" w:styleId="1086">
    <w:name w:val="xl173"/>
    <w:basedOn w:val="1"/>
    <w:qFormat/>
    <w:uiPriority w:val="0"/>
    <w:pPr>
      <w:widowControl/>
      <w:pBdr>
        <w:left w:val="single" w:color="auto" w:sz="12" w:space="0"/>
        <w:bottom w:val="single" w:color="auto" w:sz="4"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1087">
    <w:name w:val="xl71"/>
    <w:basedOn w:val="1"/>
    <w:qFormat/>
    <w:uiPriority w:val="0"/>
    <w:pPr>
      <w:widowControl/>
      <w:pBdr>
        <w:left w:val="single" w:color="auto" w:sz="4" w:space="0"/>
        <w:bottom w:val="single" w:color="auto" w:sz="8" w:space="0"/>
      </w:pBdr>
      <w:spacing w:before="100" w:beforeAutospacing="1" w:after="100" w:afterAutospacing="1"/>
      <w:jc w:val="center"/>
      <w:textAlignment w:val="center"/>
    </w:pPr>
    <w:rPr>
      <w:rFonts w:eastAsia="Arial Unicode MS"/>
      <w:kern w:val="0"/>
      <w:sz w:val="24"/>
    </w:rPr>
  </w:style>
  <w:style w:type="paragraph" w:customStyle="1" w:styleId="1088">
    <w:name w:val="目录文字"/>
    <w:basedOn w:val="27"/>
    <w:qFormat/>
    <w:uiPriority w:val="0"/>
    <w:pPr>
      <w:spacing w:before="0" w:line="300" w:lineRule="auto"/>
      <w:ind w:firstLine="200"/>
    </w:pPr>
  </w:style>
  <w:style w:type="paragraph" w:customStyle="1" w:styleId="1089">
    <w:name w:val="xl146"/>
    <w:basedOn w:val="1"/>
    <w:qFormat/>
    <w:uiPriority w:val="0"/>
    <w:pPr>
      <w:widowControl/>
      <w:pBdr>
        <w:top w:val="single" w:color="auto" w:sz="4" w:space="0"/>
        <w:left w:val="single" w:color="auto" w:sz="4" w:space="0"/>
        <w:bottom w:val="single" w:color="auto" w:sz="12" w:space="0"/>
        <w:right w:val="single" w:color="auto" w:sz="4" w:space="0"/>
      </w:pBdr>
      <w:spacing w:before="100" w:beforeAutospacing="1" w:after="100" w:afterAutospacing="1"/>
      <w:jc w:val="right"/>
      <w:textAlignment w:val="center"/>
    </w:pPr>
    <w:rPr>
      <w:rFonts w:ascii="Arial Unicode MS" w:hAnsi="Arial Unicode MS" w:eastAsia="Arial Unicode MS" w:cs="TimesNewRomanPSMT"/>
      <w:color w:val="FF0000"/>
      <w:kern w:val="0"/>
      <w:sz w:val="16"/>
      <w:szCs w:val="16"/>
    </w:rPr>
  </w:style>
  <w:style w:type="paragraph" w:customStyle="1" w:styleId="1090">
    <w:name w:val="标题3 Char Char Char Char"/>
    <w:basedOn w:val="1"/>
    <w:qFormat/>
    <w:uiPriority w:val="0"/>
    <w:pPr>
      <w:spacing w:after="156" w:afterLines="50" w:line="560" w:lineRule="exact"/>
    </w:pPr>
    <w:rPr>
      <w:rFonts w:eastAsia="黑体"/>
      <w:sz w:val="30"/>
      <w:szCs w:val="30"/>
    </w:rPr>
  </w:style>
  <w:style w:type="paragraph" w:customStyle="1" w:styleId="1091">
    <w:name w:val="MG"/>
    <w:basedOn w:val="5"/>
    <w:qFormat/>
    <w:uiPriority w:val="0"/>
    <w:pPr>
      <w:keepLines w:val="0"/>
      <w:widowControl/>
      <w:tabs>
        <w:tab w:val="left" w:pos="-105"/>
        <w:tab w:val="left" w:pos="1680"/>
        <w:tab w:val="left" w:pos="2260"/>
        <w:tab w:val="left" w:pos="2820"/>
        <w:tab w:val="left" w:pos="3420"/>
      </w:tabs>
      <w:spacing w:before="0" w:after="0" w:line="240" w:lineRule="auto"/>
      <w:ind w:left="851" w:right="-28" w:hanging="851"/>
    </w:pPr>
    <w:rPr>
      <w:rFonts w:ascii="Arial" w:hAnsi="Arial"/>
      <w:bCs w:val="0"/>
      <w:color w:val="000000"/>
      <w:kern w:val="0"/>
      <w:sz w:val="22"/>
      <w:szCs w:val="20"/>
      <w:lang w:val="en-GB"/>
    </w:rPr>
  </w:style>
  <w:style w:type="paragraph" w:customStyle="1" w:styleId="1092">
    <w:name w:val="Char2"/>
    <w:basedOn w:val="1"/>
    <w:qFormat/>
    <w:uiPriority w:val="0"/>
  </w:style>
  <w:style w:type="paragraph" w:customStyle="1" w:styleId="1093">
    <w:name w:val="标-4"/>
    <w:basedOn w:val="1"/>
    <w:qFormat/>
    <w:uiPriority w:val="0"/>
    <w:pPr>
      <w:spacing w:before="120"/>
      <w:ind w:left="851" w:hanging="851"/>
    </w:pPr>
    <w:rPr>
      <w:sz w:val="24"/>
      <w:szCs w:val="20"/>
    </w:rPr>
  </w:style>
  <w:style w:type="paragraph" w:customStyle="1" w:styleId="1094">
    <w:name w:val="标题符"/>
    <w:basedOn w:val="1"/>
    <w:qFormat/>
    <w:uiPriority w:val="0"/>
    <w:pPr>
      <w:tabs>
        <w:tab w:val="left" w:pos="360"/>
      </w:tabs>
      <w:overflowPunct w:val="0"/>
      <w:snapToGrid w:val="0"/>
      <w:spacing w:line="480" w:lineRule="exact"/>
      <w:ind w:firstLine="560" w:firstLineChars="200"/>
    </w:pPr>
    <w:rPr>
      <w:rFonts w:ascii="Arial" w:hAnsi="Arial" w:eastAsia="仿宋_GB2312"/>
      <w:sz w:val="28"/>
      <w:szCs w:val="20"/>
    </w:rPr>
  </w:style>
  <w:style w:type="paragraph" w:customStyle="1" w:styleId="1095">
    <w:name w:val="五级条标题"/>
    <w:basedOn w:val="1"/>
    <w:next w:val="8"/>
    <w:qFormat/>
    <w:uiPriority w:val="0"/>
    <w:pPr>
      <w:widowControl/>
      <w:numPr>
        <w:ilvl w:val="6"/>
        <w:numId w:val="0"/>
      </w:numPr>
      <w:jc w:val="left"/>
      <w:outlineLvl w:val="6"/>
    </w:pPr>
    <w:rPr>
      <w:rFonts w:eastAsia="黑体"/>
      <w:kern w:val="0"/>
      <w:szCs w:val="20"/>
    </w:rPr>
  </w:style>
  <w:style w:type="paragraph" w:customStyle="1" w:styleId="1096">
    <w:name w:val="列项●（二级）"/>
    <w:qFormat/>
    <w:uiPriority w:val="0"/>
    <w:pPr>
      <w:tabs>
        <w:tab w:val="left" w:pos="825"/>
        <w:tab w:val="left" w:pos="1260"/>
      </w:tabs>
      <w:spacing w:line="360" w:lineRule="auto"/>
      <w:ind w:left="825" w:hanging="510"/>
    </w:pPr>
    <w:rPr>
      <w:rFonts w:ascii="宋体" w:hAnsi="Times New Roman" w:eastAsia="宋体" w:cs="Times New Roman"/>
      <w:kern w:val="2"/>
      <w:sz w:val="21"/>
      <w:szCs w:val="24"/>
      <w:lang w:val="en-US" w:eastAsia="zh-CN" w:bidi="ar-SA"/>
    </w:rPr>
  </w:style>
  <w:style w:type="paragraph" w:customStyle="1" w:styleId="1097">
    <w:name w:val="日期1"/>
    <w:basedOn w:val="1"/>
    <w:next w:val="1"/>
    <w:qFormat/>
    <w:uiPriority w:val="0"/>
    <w:pPr>
      <w:adjustRightInd w:val="0"/>
      <w:jc w:val="left"/>
      <w:textAlignment w:val="baseline"/>
    </w:pPr>
    <w:rPr>
      <w:rFonts w:ascii="宋体"/>
      <w:spacing w:val="24"/>
      <w:kern w:val="24"/>
      <w:sz w:val="24"/>
      <w:szCs w:val="20"/>
    </w:rPr>
  </w:style>
  <w:style w:type="paragraph" w:customStyle="1" w:styleId="1098">
    <w:name w:val="正文（首行缩进）"/>
    <w:basedOn w:val="1"/>
    <w:qFormat/>
    <w:uiPriority w:val="0"/>
    <w:pPr>
      <w:widowControl/>
      <w:adjustRightInd w:val="0"/>
      <w:snapToGrid w:val="0"/>
      <w:spacing w:line="360" w:lineRule="auto"/>
      <w:ind w:firstLine="480" w:firstLineChars="200"/>
      <w:jc w:val="left"/>
    </w:pPr>
    <w:rPr>
      <w:color w:val="000000"/>
      <w:sz w:val="24"/>
      <w:szCs w:val="20"/>
    </w:rPr>
  </w:style>
  <w:style w:type="paragraph" w:customStyle="1" w:styleId="1099">
    <w:name w:val="图"/>
    <w:basedOn w:val="1"/>
    <w:qFormat/>
    <w:uiPriority w:val="0"/>
    <w:pPr>
      <w:jc w:val="center"/>
    </w:pPr>
    <w:rPr>
      <w:rFonts w:cs="宋体"/>
      <w:sz w:val="24"/>
      <w:szCs w:val="20"/>
    </w:rPr>
  </w:style>
  <w:style w:type="paragraph" w:customStyle="1" w:styleId="1100">
    <w:name w:val="表文字"/>
    <w:basedOn w:val="1"/>
    <w:qFormat/>
    <w:uiPriority w:val="0"/>
    <w:pPr>
      <w:overflowPunct w:val="0"/>
      <w:autoSpaceDE w:val="0"/>
      <w:autoSpaceDN w:val="0"/>
      <w:adjustRightInd w:val="0"/>
      <w:spacing w:line="240" w:lineRule="atLeast"/>
      <w:jc w:val="center"/>
      <w:textAlignment w:val="baseline"/>
    </w:pPr>
    <w:rPr>
      <w:kern w:val="0"/>
      <w:sz w:val="24"/>
      <w:szCs w:val="20"/>
    </w:rPr>
  </w:style>
  <w:style w:type="paragraph" w:customStyle="1" w:styleId="1101">
    <w:name w:val="xl46"/>
    <w:basedOn w:val="1"/>
    <w:qFormat/>
    <w:uiPriority w:val="0"/>
    <w:pPr>
      <w:widowControl/>
      <w:pBdr>
        <w:bottom w:val="single" w:color="auto" w:sz="8" w:space="0"/>
        <w:right w:val="single" w:color="auto" w:sz="4" w:space="0"/>
      </w:pBdr>
      <w:spacing w:before="100" w:beforeAutospacing="1" w:after="100" w:afterAutospacing="1"/>
      <w:jc w:val="center"/>
      <w:textAlignment w:val="center"/>
    </w:pPr>
    <w:rPr>
      <w:rFonts w:eastAsia="Arial Unicode MS"/>
      <w:kern w:val="0"/>
      <w:szCs w:val="21"/>
    </w:rPr>
  </w:style>
  <w:style w:type="paragraph" w:customStyle="1" w:styleId="1102">
    <w:name w:val="main"/>
    <w:basedOn w:val="1"/>
    <w:qFormat/>
    <w:uiPriority w:val="0"/>
    <w:pPr>
      <w:spacing w:line="300" w:lineRule="auto"/>
      <w:ind w:firstLine="200" w:firstLineChars="200"/>
    </w:pPr>
    <w:rPr>
      <w:sz w:val="24"/>
      <w:szCs w:val="20"/>
    </w:rPr>
  </w:style>
  <w:style w:type="paragraph" w:customStyle="1" w:styleId="1103">
    <w:name w:val="6"/>
    <w:basedOn w:val="1"/>
    <w:next w:val="1"/>
    <w:qFormat/>
    <w:uiPriority w:val="0"/>
    <w:rPr>
      <w:b/>
      <w:bCs/>
      <w:sz w:val="28"/>
      <w:szCs w:val="20"/>
    </w:rPr>
  </w:style>
  <w:style w:type="paragraph" w:customStyle="1" w:styleId="1104">
    <w:name w:val="表格（左对齐）"/>
    <w:basedOn w:val="1"/>
    <w:next w:val="1"/>
    <w:qFormat/>
    <w:uiPriority w:val="0"/>
    <w:pPr>
      <w:widowControl/>
      <w:topLinePunct/>
      <w:ind w:left="480"/>
      <w:jc w:val="left"/>
    </w:pPr>
    <w:rPr>
      <w:rFonts w:ascii="宋体" w:hAnsi="宋体"/>
      <w:sz w:val="24"/>
      <w:szCs w:val="20"/>
    </w:rPr>
  </w:style>
  <w:style w:type="paragraph" w:customStyle="1" w:styleId="1105">
    <w:name w:val="wislin正文 Char"/>
    <w:basedOn w:val="1"/>
    <w:qFormat/>
    <w:uiPriority w:val="0"/>
    <w:pPr>
      <w:spacing w:line="300" w:lineRule="auto"/>
      <w:ind w:firstLine="454"/>
    </w:pPr>
    <w:rPr>
      <w:sz w:val="24"/>
      <w:szCs w:val="20"/>
    </w:rPr>
  </w:style>
  <w:style w:type="paragraph" w:customStyle="1" w:styleId="1106">
    <w:name w:val="reader-word-layer reader-word-s5-10"/>
    <w:basedOn w:val="1"/>
    <w:qFormat/>
    <w:uiPriority w:val="0"/>
    <w:pPr>
      <w:widowControl/>
      <w:spacing w:before="100" w:beforeLines="0" w:beforeAutospacing="1" w:after="100" w:afterLines="0" w:afterAutospacing="1"/>
      <w:jc w:val="left"/>
    </w:pPr>
    <w:rPr>
      <w:rFonts w:ascii="宋体" w:hAnsi="宋体" w:cs="宋体"/>
      <w:kern w:val="0"/>
      <w:sz w:val="24"/>
      <w:szCs w:val="24"/>
    </w:rPr>
  </w:style>
  <w:style w:type="paragraph" w:customStyle="1" w:styleId="1107">
    <w:name w:val="T标题3级"/>
    <w:basedOn w:val="7"/>
    <w:next w:val="1"/>
    <w:qFormat/>
    <w:uiPriority w:val="0"/>
    <w:pPr>
      <w:widowControl/>
      <w:numPr>
        <w:ilvl w:val="2"/>
        <w:numId w:val="4"/>
      </w:numPr>
      <w:tabs>
        <w:tab w:val="left" w:pos="500"/>
      </w:tabs>
      <w:overflowPunct w:val="0"/>
      <w:spacing w:beforeLines="50" w:after="120" w:afterLines="50" w:line="360" w:lineRule="auto"/>
      <w:ind w:firstLineChars="186"/>
      <w:jc w:val="left"/>
      <w:textAlignment w:val="baseline"/>
    </w:pPr>
    <w:rPr>
      <w:rFonts w:eastAsia="仿宋_GB2312"/>
      <w:snapToGrid w:val="0"/>
      <w:kern w:val="0"/>
      <w:sz w:val="24"/>
      <w:szCs w:val="24"/>
    </w:rPr>
  </w:style>
  <w:style w:type="paragraph" w:customStyle="1" w:styleId="1108">
    <w:name w:val="s0"/>
    <w:qFormat/>
    <w:uiPriority w:val="0"/>
    <w:pPr>
      <w:widowControl w:val="0"/>
      <w:autoSpaceDE w:val="0"/>
      <w:autoSpaceDN w:val="0"/>
      <w:adjustRightInd w:val="0"/>
    </w:pPr>
    <w:rPr>
      <w:rFonts w:ascii="????" w:hAnsi="Times New Roman" w:eastAsia="????" w:cs="Times New Roman"/>
      <w:kern w:val="2"/>
      <w:sz w:val="24"/>
      <w:szCs w:val="24"/>
      <w:lang w:val="en-US" w:eastAsia="zh-CN" w:bidi="ar-SA"/>
    </w:rPr>
  </w:style>
  <w:style w:type="paragraph" w:customStyle="1" w:styleId="1109">
    <w:name w:val="xl175"/>
    <w:basedOn w:val="1"/>
    <w:qFormat/>
    <w:uiPriority w:val="0"/>
    <w:pPr>
      <w:widowControl/>
      <w:pBdr>
        <w:top w:val="single" w:color="auto" w:sz="12" w:space="0"/>
        <w:left w:val="single" w:color="auto" w:sz="12" w:space="0"/>
        <w:bottom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00"/>
      <w:kern w:val="0"/>
      <w:sz w:val="16"/>
      <w:szCs w:val="16"/>
    </w:rPr>
  </w:style>
  <w:style w:type="paragraph" w:customStyle="1" w:styleId="1110">
    <w:name w:val="标题-2"/>
    <w:basedOn w:val="1"/>
    <w:qFormat/>
    <w:uiPriority w:val="0"/>
    <w:pPr>
      <w:widowControl/>
      <w:topLinePunct/>
      <w:ind w:left="-48" w:firstLine="48" w:firstLineChars="17"/>
      <w:jc w:val="center"/>
    </w:pPr>
    <w:rPr>
      <w:rFonts w:ascii="宋体" w:hAnsi="宋体"/>
      <w:b/>
      <w:szCs w:val="28"/>
      <w:lang w:val="zh-CN"/>
    </w:rPr>
  </w:style>
  <w:style w:type="paragraph" w:customStyle="1" w:styleId="1111">
    <w:name w:val="TxBr_p12"/>
    <w:basedOn w:val="1"/>
    <w:qFormat/>
    <w:uiPriority w:val="0"/>
    <w:pPr>
      <w:tabs>
        <w:tab w:val="left" w:pos="204"/>
      </w:tabs>
      <w:spacing w:line="240" w:lineRule="atLeast"/>
    </w:pPr>
    <w:rPr>
      <w:snapToGrid w:val="0"/>
      <w:kern w:val="0"/>
      <w:sz w:val="24"/>
      <w:szCs w:val="20"/>
      <w:lang w:val="en-GB" w:eastAsia="en-US"/>
    </w:rPr>
  </w:style>
  <w:style w:type="paragraph" w:customStyle="1" w:styleId="1112">
    <w:name w:val="Char Char Char Char Char Char Char Char Char Char"/>
    <w:basedOn w:val="1"/>
    <w:qFormat/>
    <w:uiPriority w:val="0"/>
    <w:rPr>
      <w:szCs w:val="20"/>
    </w:rPr>
  </w:style>
  <w:style w:type="paragraph" w:customStyle="1" w:styleId="1113">
    <w:name w:val="表内容中"/>
    <w:basedOn w:val="48"/>
    <w:qFormat/>
    <w:uiPriority w:val="0"/>
    <w:pPr>
      <w:jc w:val="center"/>
    </w:pPr>
    <w:rPr>
      <w:rFonts w:ascii="楷体_GB2312" w:hAnsi="宋体" w:eastAsia="楷体_GB2312"/>
      <w:color w:val="000000"/>
      <w:kern w:val="0"/>
    </w:rPr>
  </w:style>
  <w:style w:type="paragraph" w:customStyle="1" w:styleId="1114">
    <w:name w:val="标图名"/>
    <w:basedOn w:val="1"/>
    <w:qFormat/>
    <w:uiPriority w:val="0"/>
    <w:pPr>
      <w:keepNext/>
      <w:keepLines/>
      <w:spacing w:beforeLines="30" w:afterLines="30" w:line="440" w:lineRule="exact"/>
      <w:ind w:firstLine="538" w:firstLineChars="192"/>
    </w:pPr>
    <w:rPr>
      <w:rFonts w:ascii="仿宋_GB2312" w:hAnsi="Arial" w:eastAsia="黑体"/>
      <w:bCs/>
      <w:szCs w:val="28"/>
    </w:rPr>
  </w:style>
  <w:style w:type="paragraph" w:customStyle="1" w:styleId="1115">
    <w:name w:val="Texte"/>
    <w:basedOn w:val="1"/>
    <w:qFormat/>
    <w:uiPriority w:val="0"/>
    <w:pPr>
      <w:widowControl/>
      <w:spacing w:before="120" w:after="120"/>
      <w:ind w:left="851" w:firstLine="200" w:firstLineChars="200"/>
    </w:pPr>
    <w:rPr>
      <w:rFonts w:ascii="Arial" w:hAnsi="Arial"/>
      <w:kern w:val="0"/>
      <w:sz w:val="22"/>
      <w:szCs w:val="20"/>
      <w:lang w:val="en-GB"/>
    </w:rPr>
  </w:style>
  <w:style w:type="paragraph" w:customStyle="1" w:styleId="1116">
    <w:name w:val="21"/>
    <w:basedOn w:val="1"/>
    <w:next w:val="72"/>
    <w:qFormat/>
    <w:uiPriority w:val="0"/>
    <w:pPr>
      <w:widowControl/>
      <w:topLinePunct/>
      <w:ind w:left="480"/>
      <w:jc w:val="center"/>
    </w:pPr>
    <w:rPr>
      <w:rFonts w:ascii="宋体" w:hAnsi="宋体"/>
      <w:sz w:val="24"/>
      <w:szCs w:val="20"/>
    </w:rPr>
  </w:style>
  <w:style w:type="paragraph" w:customStyle="1" w:styleId="1117">
    <w:name w:val="2级"/>
    <w:qFormat/>
    <w:uiPriority w:val="0"/>
    <w:pPr>
      <w:numPr>
        <w:ilvl w:val="1"/>
        <w:numId w:val="6"/>
      </w:numPr>
      <w:autoSpaceDE w:val="0"/>
      <w:autoSpaceDN w:val="0"/>
      <w:adjustRightInd w:val="0"/>
      <w:spacing w:before="120" w:after="120"/>
      <w:jc w:val="both"/>
      <w:outlineLvl w:val="1"/>
    </w:pPr>
    <w:rPr>
      <w:rFonts w:ascii="Arial" w:hAnsi="Arial" w:eastAsia="宋体" w:cs="Arial"/>
      <w:b/>
      <w:kern w:val="2"/>
      <w:sz w:val="22"/>
      <w:szCs w:val="24"/>
      <w:lang w:val="en-GB" w:eastAsia="zh-CN" w:bidi="ar-SA"/>
    </w:rPr>
  </w:style>
  <w:style w:type="paragraph" w:customStyle="1" w:styleId="1118">
    <w:name w:val="xl69"/>
    <w:basedOn w:val="1"/>
    <w:qFormat/>
    <w:uiPriority w:val="0"/>
    <w:pPr>
      <w:widowControl/>
      <w:pBdr>
        <w:left w:val="single" w:color="auto" w:sz="4" w:space="0"/>
        <w:bottom w:val="single" w:color="auto" w:sz="8" w:space="0"/>
        <w:right w:val="single" w:color="auto" w:sz="4" w:space="0"/>
      </w:pBdr>
      <w:spacing w:before="100" w:beforeAutospacing="1" w:after="100" w:afterAutospacing="1"/>
      <w:jc w:val="center"/>
      <w:textAlignment w:val="center"/>
    </w:pPr>
    <w:rPr>
      <w:rFonts w:ascii="Arial Unicode MS" w:hAnsi="Arial Unicode MS" w:eastAsia="Arial Unicode MS"/>
      <w:kern w:val="0"/>
      <w:szCs w:val="21"/>
    </w:rPr>
  </w:style>
  <w:style w:type="paragraph" w:customStyle="1" w:styleId="1119">
    <w:name w:val="样式 样式 样式 5 + 首行缩进:  2 字符 + 首行缩进:  2 字符 + 四号 首行缩进:  2 字符"/>
    <w:basedOn w:val="991"/>
    <w:qFormat/>
    <w:uiPriority w:val="0"/>
    <w:pPr>
      <w:ind w:firstLine="552"/>
    </w:pPr>
    <w:rPr>
      <w:sz w:val="28"/>
    </w:rPr>
  </w:style>
  <w:style w:type="paragraph" w:customStyle="1" w:styleId="1120">
    <w:name w:val="标准小四"/>
    <w:basedOn w:val="1"/>
    <w:qFormat/>
    <w:uiPriority w:val="0"/>
    <w:pPr>
      <w:widowControl/>
      <w:topLinePunct/>
      <w:spacing w:line="360" w:lineRule="auto"/>
      <w:ind w:left="480"/>
      <w:jc w:val="center"/>
    </w:pPr>
    <w:rPr>
      <w:rFonts w:ascii="宋体" w:hAnsi="宋体"/>
      <w:sz w:val="24"/>
      <w:szCs w:val="20"/>
    </w:rPr>
  </w:style>
  <w:style w:type="paragraph" w:customStyle="1" w:styleId="1121">
    <w:name w:val="xl104"/>
    <w:basedOn w:val="1"/>
    <w:qFormat/>
    <w:uiPriority w:val="0"/>
    <w:pPr>
      <w:widowControl/>
      <w:pBdr>
        <w:left w:val="single" w:color="auto" w:sz="4" w:space="0"/>
        <w:right w:val="single" w:color="auto" w:sz="4" w:space="0"/>
      </w:pBdr>
      <w:spacing w:before="100" w:beforeAutospacing="1" w:after="100" w:afterAutospacing="1"/>
      <w:jc w:val="center"/>
      <w:textAlignment w:val="center"/>
    </w:pPr>
    <w:rPr>
      <w:kern w:val="0"/>
      <w:sz w:val="28"/>
      <w:szCs w:val="28"/>
    </w:rPr>
  </w:style>
  <w:style w:type="paragraph" w:customStyle="1" w:styleId="1122">
    <w:name w:val=" Char Char2"/>
    <w:basedOn w:val="1"/>
    <w:next w:val="1"/>
    <w:qFormat/>
    <w:uiPriority w:val="0"/>
    <w:pPr>
      <w:spacing w:line="360" w:lineRule="auto"/>
      <w:ind w:firstLine="200" w:firstLineChars="200"/>
    </w:pPr>
    <w:rPr>
      <w:szCs w:val="20"/>
    </w:rPr>
  </w:style>
  <w:style w:type="paragraph" w:customStyle="1" w:styleId="1123">
    <w:name w:val="正文王"/>
    <w:basedOn w:val="43"/>
    <w:qFormat/>
    <w:uiPriority w:val="0"/>
    <w:pPr>
      <w:spacing w:line="440" w:lineRule="exact"/>
      <w:ind w:firstLine="0"/>
    </w:pPr>
    <w:rPr>
      <w:rFonts w:ascii="Arial" w:hAnsi="Arial"/>
      <w:kern w:val="0"/>
      <w:sz w:val="24"/>
      <w:szCs w:val="24"/>
    </w:rPr>
  </w:style>
  <w:style w:type="paragraph" w:customStyle="1" w:styleId="1124">
    <w:name w:val="新正文样式"/>
    <w:basedOn w:val="1"/>
    <w:qFormat/>
    <w:uiPriority w:val="0"/>
    <w:pPr>
      <w:tabs>
        <w:tab w:val="left" w:pos="567"/>
      </w:tabs>
      <w:spacing w:line="360" w:lineRule="auto"/>
      <w:ind w:firstLine="560" w:firstLineChars="200"/>
    </w:pPr>
    <w:rPr>
      <w:rFonts w:eastAsia="华文中宋"/>
      <w:spacing w:val="20"/>
      <w:sz w:val="24"/>
      <w:szCs w:val="20"/>
    </w:rPr>
  </w:style>
  <w:style w:type="paragraph" w:customStyle="1" w:styleId="1125">
    <w:name w:val="基准脚注"/>
    <w:basedOn w:val="1"/>
    <w:qFormat/>
    <w:uiPriority w:val="0"/>
    <w:pPr>
      <w:widowControl/>
      <w:jc w:val="left"/>
    </w:pPr>
    <w:rPr>
      <w:rFonts w:ascii="Garamond" w:hAnsi="Garamond"/>
      <w:kern w:val="0"/>
      <w:sz w:val="24"/>
      <w:szCs w:val="20"/>
    </w:rPr>
  </w:style>
  <w:style w:type="paragraph" w:customStyle="1" w:styleId="1126">
    <w:name w:val="表格编号"/>
    <w:basedOn w:val="1"/>
    <w:next w:val="1"/>
    <w:qFormat/>
    <w:uiPriority w:val="0"/>
    <w:pPr>
      <w:tabs>
        <w:tab w:val="left" w:pos="425"/>
        <w:tab w:val="left" w:pos="624"/>
      </w:tabs>
      <w:spacing w:before="300" w:after="200" w:line="360" w:lineRule="auto"/>
      <w:ind w:left="624" w:hanging="454"/>
      <w:jc w:val="center"/>
    </w:pPr>
    <w:rPr>
      <w:sz w:val="24"/>
      <w:szCs w:val="20"/>
    </w:rPr>
  </w:style>
  <w:style w:type="paragraph" w:customStyle="1" w:styleId="1127">
    <w:name w:val="带编号的正文缩进"/>
    <w:basedOn w:val="22"/>
    <w:qFormat/>
    <w:uiPriority w:val="0"/>
    <w:pPr>
      <w:tabs>
        <w:tab w:val="left" w:pos="1680"/>
      </w:tabs>
      <w:ind w:left="1680" w:hanging="420"/>
    </w:pPr>
    <w:rPr>
      <w:sz w:val="28"/>
      <w:szCs w:val="20"/>
    </w:rPr>
  </w:style>
  <w:style w:type="paragraph" w:customStyle="1" w:styleId="1128">
    <w:name w:val="CM7"/>
    <w:basedOn w:val="148"/>
    <w:next w:val="148"/>
    <w:qFormat/>
    <w:uiPriority w:val="0"/>
    <w:pPr>
      <w:spacing w:line="440" w:lineRule="atLeast"/>
    </w:pPr>
    <w:rPr>
      <w:rFonts w:ascii="黑体" w:eastAsia="黑体" w:cs="黑体"/>
      <w:color w:val="auto"/>
    </w:rPr>
  </w:style>
  <w:style w:type="paragraph" w:customStyle="1" w:styleId="1129">
    <w:name w:val="样式 1"/>
    <w:basedOn w:val="1"/>
    <w:qFormat/>
    <w:uiPriority w:val="0"/>
    <w:pPr>
      <w:tabs>
        <w:tab w:val="right" w:leader="dot" w:pos="8449"/>
      </w:tabs>
      <w:adjustRightInd w:val="0"/>
      <w:snapToGrid w:val="0"/>
      <w:spacing w:line="500" w:lineRule="exact"/>
      <w:jc w:val="center"/>
    </w:pPr>
    <w:rPr>
      <w:rFonts w:ascii="宋体" w:hAnsi="宋体"/>
      <w:b/>
      <w:szCs w:val="18"/>
    </w:rPr>
  </w:style>
  <w:style w:type="paragraph" w:customStyle="1" w:styleId="1130">
    <w:name w:val="xl153"/>
    <w:basedOn w:val="1"/>
    <w:qFormat/>
    <w:uiPriority w:val="0"/>
    <w:pPr>
      <w:widowControl/>
      <w:pBdr>
        <w:top w:val="single" w:color="auto" w:sz="4" w:space="0"/>
        <w:left w:val="single" w:color="auto" w:sz="12" w:space="0"/>
        <w:bottom w:val="single" w:color="auto" w:sz="12" w:space="0"/>
      </w:pBdr>
      <w:spacing w:before="100" w:beforeAutospacing="1" w:after="100" w:afterAutospacing="1"/>
      <w:jc w:val="center"/>
      <w:textAlignment w:val="center"/>
    </w:pPr>
    <w:rPr>
      <w:rFonts w:hint="eastAsia" w:ascii="华文隶书" w:hAnsi="Arial Unicode MS" w:eastAsia="华文隶书" w:cs="TimesNewRomanPSMT"/>
      <w:b/>
      <w:bCs/>
      <w:color w:val="0000FF"/>
      <w:kern w:val="0"/>
      <w:sz w:val="16"/>
      <w:szCs w:val="16"/>
    </w:rPr>
  </w:style>
  <w:style w:type="paragraph" w:customStyle="1" w:styleId="1131">
    <w:name w:val="基准页眉样式"/>
    <w:basedOn w:val="3"/>
    <w:qFormat/>
    <w:uiPriority w:val="0"/>
    <w:pPr>
      <w:autoSpaceDE w:val="0"/>
      <w:autoSpaceDN w:val="0"/>
      <w:adjustRightInd w:val="0"/>
      <w:spacing w:after="0"/>
      <w:jc w:val="center"/>
    </w:pPr>
    <w:rPr>
      <w:b/>
      <w:bCs/>
      <w:color w:val="000000"/>
      <w:spacing w:val="15"/>
      <w:szCs w:val="48"/>
      <w:lang w:val="zh-CN"/>
    </w:rPr>
  </w:style>
  <w:style w:type="paragraph" w:customStyle="1" w:styleId="1132">
    <w:name w:val="reader-word-layer reader-word-s1-9"/>
    <w:basedOn w:val="1"/>
    <w:qFormat/>
    <w:uiPriority w:val="0"/>
    <w:pPr>
      <w:widowControl/>
      <w:spacing w:before="100" w:beforeAutospacing="1" w:after="100" w:afterAutospacing="1"/>
      <w:jc w:val="left"/>
    </w:pPr>
    <w:rPr>
      <w:rFonts w:ascii="宋体" w:hAnsi="宋体" w:cs="宋体"/>
      <w:kern w:val="0"/>
      <w:sz w:val="24"/>
    </w:rPr>
  </w:style>
  <w:style w:type="paragraph" w:customStyle="1" w:styleId="1133">
    <w:name w:val="reader-word-layer reader-word-s1-5"/>
    <w:basedOn w:val="1"/>
    <w:qFormat/>
    <w:uiPriority w:val="0"/>
    <w:pPr>
      <w:widowControl/>
      <w:spacing w:before="100" w:beforeAutospacing="1" w:after="100" w:afterAutospacing="1"/>
      <w:jc w:val="left"/>
    </w:pPr>
    <w:rPr>
      <w:rFonts w:ascii="宋体" w:hAnsi="宋体" w:cs="宋体"/>
      <w:kern w:val="0"/>
      <w:sz w:val="24"/>
    </w:rPr>
  </w:style>
  <w:style w:type="paragraph" w:customStyle="1" w:styleId="1134">
    <w:name w:val="xl9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00"/>
      <w:kern w:val="0"/>
      <w:sz w:val="28"/>
      <w:szCs w:val="28"/>
    </w:rPr>
  </w:style>
  <w:style w:type="paragraph" w:customStyle="1" w:styleId="1135">
    <w:name w:val="reader-word-layer reader-word-s1-14"/>
    <w:basedOn w:val="1"/>
    <w:qFormat/>
    <w:uiPriority w:val="0"/>
    <w:pPr>
      <w:widowControl/>
      <w:spacing w:before="100" w:beforeAutospacing="1" w:after="100" w:afterAutospacing="1"/>
      <w:jc w:val="left"/>
    </w:pPr>
    <w:rPr>
      <w:rFonts w:ascii="宋体" w:hAnsi="宋体" w:cs="宋体"/>
      <w:kern w:val="0"/>
      <w:sz w:val="24"/>
    </w:rPr>
  </w:style>
  <w:style w:type="paragraph" w:customStyle="1" w:styleId="1136">
    <w:name w:val="封面大"/>
    <w:basedOn w:val="22"/>
    <w:qFormat/>
    <w:uiPriority w:val="0"/>
    <w:pPr>
      <w:adjustRightInd w:val="0"/>
      <w:snapToGrid w:val="0"/>
      <w:spacing w:line="360" w:lineRule="auto"/>
      <w:ind w:firstLine="0"/>
      <w:jc w:val="center"/>
    </w:pPr>
    <w:rPr>
      <w:rFonts w:ascii="黑体" w:hAnsi="宋体" w:eastAsia="黑体"/>
      <w:b/>
      <w:kern w:val="0"/>
      <w:sz w:val="52"/>
      <w:szCs w:val="24"/>
    </w:rPr>
  </w:style>
  <w:style w:type="paragraph" w:customStyle="1" w:styleId="1137">
    <w:name w:val="表2"/>
    <w:basedOn w:val="1"/>
    <w:qFormat/>
    <w:uiPriority w:val="0"/>
    <w:pPr>
      <w:jc w:val="center"/>
    </w:pPr>
    <w:rPr>
      <w:rFonts w:ascii="宋体" w:hAnsi="宋体"/>
      <w:szCs w:val="20"/>
    </w:rPr>
  </w:style>
  <w:style w:type="paragraph" w:customStyle="1" w:styleId="1138">
    <w:name w:val="ST20_32"/>
    <w:basedOn w:val="53"/>
    <w:qFormat/>
    <w:uiPriority w:val="0"/>
    <w:pPr>
      <w:keepLines/>
      <w:tabs>
        <w:tab w:val="center" w:pos="4320"/>
        <w:tab w:val="clear" w:pos="4153"/>
        <w:tab w:val="clear" w:pos="8306"/>
      </w:tabs>
      <w:autoSpaceDE w:val="0"/>
      <w:autoSpaceDN w:val="0"/>
      <w:adjustRightInd w:val="0"/>
      <w:snapToGrid/>
      <w:spacing w:line="360" w:lineRule="atLeast"/>
      <w:jc w:val="center"/>
      <w:textAlignment w:val="baseline"/>
    </w:pPr>
    <w:rPr>
      <w:rFonts w:ascii="宋体" w:hAnsi="Tms Rmn"/>
      <w:kern w:val="0"/>
      <w:sz w:val="28"/>
      <w:szCs w:val="20"/>
    </w:rPr>
  </w:style>
  <w:style w:type="paragraph" w:customStyle="1" w:styleId="1139">
    <w:name w:val="标题4"/>
    <w:basedOn w:val="1"/>
    <w:qFormat/>
    <w:uiPriority w:val="0"/>
    <w:pPr>
      <w:autoSpaceDE w:val="0"/>
      <w:autoSpaceDN w:val="0"/>
      <w:adjustRightInd w:val="0"/>
      <w:spacing w:line="360" w:lineRule="auto"/>
      <w:ind w:firstLine="240" w:firstLineChars="100"/>
    </w:pPr>
    <w:rPr>
      <w:rFonts w:ascii="宋体" w:hAnsi="宋体"/>
      <w:kern w:val="0"/>
      <w:sz w:val="24"/>
      <w:szCs w:val="28"/>
    </w:rPr>
  </w:style>
  <w:style w:type="paragraph" w:customStyle="1" w:styleId="1140">
    <w:name w:val="reader-word-layer reader-word-s4-1"/>
    <w:basedOn w:val="1"/>
    <w:qFormat/>
    <w:uiPriority w:val="0"/>
    <w:pPr>
      <w:widowControl/>
      <w:spacing w:before="100" w:beforeAutospacing="1" w:after="100" w:afterAutospacing="1"/>
      <w:jc w:val="left"/>
    </w:pPr>
    <w:rPr>
      <w:rFonts w:ascii="宋体" w:hAnsi="宋体" w:cs="宋体"/>
      <w:kern w:val="0"/>
      <w:sz w:val="24"/>
    </w:rPr>
  </w:style>
  <w:style w:type="paragraph" w:customStyle="1" w:styleId="1141">
    <w:name w:val="a"/>
    <w:basedOn w:val="1"/>
    <w:qFormat/>
    <w:uiPriority w:val="0"/>
    <w:pPr>
      <w:spacing w:line="440" w:lineRule="exact"/>
      <w:jc w:val="center"/>
    </w:pPr>
    <w:rPr>
      <w:rFonts w:ascii="宋体" w:hAnsi="宋体"/>
      <w:sz w:val="32"/>
      <w:szCs w:val="32"/>
    </w:rPr>
  </w:style>
  <w:style w:type="paragraph" w:customStyle="1" w:styleId="1142">
    <w:name w:val="标题二"/>
    <w:basedOn w:val="1"/>
    <w:qFormat/>
    <w:uiPriority w:val="0"/>
    <w:pPr>
      <w:adjustRightInd w:val="0"/>
      <w:spacing w:line="360" w:lineRule="auto"/>
      <w:jc w:val="left"/>
      <w:textAlignment w:val="baseline"/>
      <w:outlineLvl w:val="1"/>
    </w:pPr>
    <w:rPr>
      <w:rFonts w:eastAsia="黑体"/>
      <w:b/>
      <w:kern w:val="0"/>
      <w:sz w:val="24"/>
      <w:szCs w:val="20"/>
    </w:rPr>
  </w:style>
  <w:style w:type="paragraph" w:customStyle="1" w:styleId="1143">
    <w:name w:val="??"/>
    <w:qFormat/>
    <w:uiPriority w:val="0"/>
    <w:pPr>
      <w:widowControl w:val="0"/>
      <w:overflowPunct w:val="0"/>
      <w:autoSpaceDE w:val="0"/>
      <w:autoSpaceDN w:val="0"/>
      <w:adjustRightInd w:val="0"/>
      <w:jc w:val="both"/>
      <w:textAlignment w:val="baseline"/>
    </w:pPr>
    <w:rPr>
      <w:rFonts w:ascii="Times New Roman" w:hAnsi="Times New Roman" w:eastAsia="宋体" w:cs="Times New Roman"/>
      <w:kern w:val="2"/>
      <w:sz w:val="21"/>
      <w:szCs w:val="24"/>
      <w:lang w:val="en-US" w:eastAsia="zh-CN" w:bidi="ar-SA"/>
    </w:rPr>
  </w:style>
  <w:style w:type="paragraph" w:customStyle="1" w:styleId="1144">
    <w:name w:val="页脚1"/>
    <w:basedOn w:val="520"/>
    <w:qFormat/>
    <w:uiPriority w:val="0"/>
    <w:pPr>
      <w:tabs>
        <w:tab w:val="center" w:pos="4320"/>
        <w:tab w:val="right" w:pos="8640"/>
      </w:tabs>
      <w:spacing w:line="240" w:lineRule="atLeast"/>
      <w:textAlignment w:val="auto"/>
    </w:pPr>
    <w:rPr>
      <w:rFonts w:hint="eastAsia" w:ascii="宋体"/>
      <w:sz w:val="18"/>
    </w:rPr>
  </w:style>
  <w:style w:type="paragraph" w:customStyle="1" w:styleId="1145">
    <w:name w:val="xl178"/>
    <w:basedOn w:val="1"/>
    <w:qFormat/>
    <w:uiPriority w:val="0"/>
    <w:pPr>
      <w:widowControl/>
      <w:pBdr>
        <w:top w:val="single" w:color="auto" w:sz="12" w:space="0"/>
        <w:left w:val="single" w:color="auto" w:sz="4" w:space="0"/>
        <w:bottom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00"/>
      <w:kern w:val="0"/>
      <w:sz w:val="16"/>
      <w:szCs w:val="16"/>
    </w:rPr>
  </w:style>
  <w:style w:type="paragraph" w:customStyle="1" w:styleId="1146">
    <w:name w:val="9"/>
    <w:basedOn w:val="1"/>
    <w:next w:val="1"/>
    <w:qFormat/>
    <w:uiPriority w:val="0"/>
    <w:rPr>
      <w:b/>
      <w:bCs/>
      <w:sz w:val="28"/>
      <w:szCs w:val="20"/>
    </w:rPr>
  </w:style>
  <w:style w:type="paragraph" w:customStyle="1" w:styleId="1147">
    <w:name w:val="xl179"/>
    <w:basedOn w:val="1"/>
    <w:qFormat/>
    <w:uiPriority w:val="0"/>
    <w:pPr>
      <w:widowControl/>
      <w:pBdr>
        <w:top w:val="single" w:color="auto" w:sz="12" w:space="0"/>
        <w:bottom w:val="single" w:color="auto" w:sz="4" w:space="0"/>
        <w:right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00"/>
      <w:kern w:val="0"/>
      <w:sz w:val="16"/>
      <w:szCs w:val="16"/>
    </w:rPr>
  </w:style>
  <w:style w:type="paragraph" w:customStyle="1" w:styleId="1148">
    <w:name w:val="Body Text 2"/>
    <w:basedOn w:val="1"/>
    <w:qFormat/>
    <w:uiPriority w:val="0"/>
    <w:pPr>
      <w:autoSpaceDE w:val="0"/>
      <w:autoSpaceDN w:val="0"/>
      <w:adjustRightInd w:val="0"/>
      <w:spacing w:line="360" w:lineRule="auto"/>
      <w:ind w:firstLine="480"/>
      <w:jc w:val="left"/>
      <w:textAlignment w:val="bottom"/>
    </w:pPr>
    <w:rPr>
      <w:kern w:val="0"/>
      <w:sz w:val="24"/>
      <w:szCs w:val="20"/>
    </w:rPr>
  </w:style>
  <w:style w:type="paragraph" w:customStyle="1" w:styleId="1149">
    <w:name w:val="正文（首行缩进两字）"/>
    <w:basedOn w:val="1"/>
    <w:qFormat/>
    <w:uiPriority w:val="0"/>
    <w:pPr>
      <w:autoSpaceDE w:val="0"/>
      <w:autoSpaceDN w:val="0"/>
      <w:adjustRightInd w:val="0"/>
      <w:snapToGrid w:val="0"/>
      <w:spacing w:line="440" w:lineRule="exact"/>
      <w:ind w:firstLine="540" w:firstLineChars="225"/>
    </w:pPr>
    <w:rPr>
      <w:sz w:val="24"/>
      <w:szCs w:val="20"/>
    </w:rPr>
  </w:style>
  <w:style w:type="paragraph" w:customStyle="1" w:styleId="1150">
    <w:name w:val="前言、引言标题"/>
    <w:next w:val="1"/>
    <w:qFormat/>
    <w:uiPriority w:val="0"/>
    <w:pPr>
      <w:spacing w:line="360" w:lineRule="auto"/>
      <w:jc w:val="center"/>
      <w:outlineLvl w:val="0"/>
    </w:pPr>
    <w:rPr>
      <w:rFonts w:ascii="黑体" w:hAnsi="Times New Roman" w:eastAsia="黑体" w:cs="Times New Roman"/>
      <w:b/>
      <w:kern w:val="2"/>
      <w:sz w:val="32"/>
      <w:szCs w:val="24"/>
      <w:lang w:val="en-US" w:eastAsia="zh-CN" w:bidi="ar-SA"/>
    </w:rPr>
  </w:style>
  <w:style w:type="paragraph" w:customStyle="1" w:styleId="1151">
    <w:name w:val="CM12"/>
    <w:basedOn w:val="148"/>
    <w:next w:val="148"/>
    <w:qFormat/>
    <w:uiPriority w:val="0"/>
    <w:pPr>
      <w:spacing w:line="636" w:lineRule="atLeast"/>
    </w:pPr>
    <w:rPr>
      <w:rFonts w:ascii="黑体" w:eastAsia="黑体"/>
      <w:color w:val="auto"/>
      <w:szCs w:val="20"/>
    </w:rPr>
  </w:style>
  <w:style w:type="paragraph" w:customStyle="1" w:styleId="1152">
    <w:name w:val="xl151"/>
    <w:basedOn w:val="1"/>
    <w:qFormat/>
    <w:uiPriority w:val="0"/>
    <w:pPr>
      <w:widowControl/>
      <w:pBdr>
        <w:top w:val="single" w:color="auto" w:sz="4" w:space="0"/>
        <w:left w:val="single" w:color="auto" w:sz="4" w:space="0"/>
        <w:right w:val="single" w:color="auto" w:sz="12" w:space="0"/>
      </w:pBdr>
      <w:spacing w:before="100" w:beforeAutospacing="1" w:after="100" w:afterAutospacing="1"/>
      <w:jc w:val="center"/>
      <w:textAlignment w:val="center"/>
    </w:pPr>
    <w:rPr>
      <w:rFonts w:hint="eastAsia" w:ascii="楷体_GB2312" w:hAnsi="Arial Unicode MS" w:eastAsia="楷体_GB2312" w:cs="TimesNewRomanPSMT"/>
      <w:color w:val="FF0000"/>
      <w:kern w:val="0"/>
      <w:sz w:val="16"/>
      <w:szCs w:val="16"/>
    </w:rPr>
  </w:style>
  <w:style w:type="paragraph" w:customStyle="1" w:styleId="1153">
    <w:name w:val="表格文字居中 Char"/>
    <w:basedOn w:val="2"/>
    <w:qFormat/>
    <w:uiPriority w:val="0"/>
    <w:pPr>
      <w:tabs>
        <w:tab w:val="left" w:pos="900"/>
        <w:tab w:val="left" w:pos="1727"/>
        <w:tab w:val="left" w:pos="1884"/>
      </w:tabs>
      <w:spacing w:before="120" w:beforeLines="50" w:after="0"/>
      <w:ind w:firstLine="0" w:firstLineChars="0"/>
      <w:jc w:val="center"/>
      <w:outlineLvl w:val="0"/>
    </w:pPr>
    <w:rPr>
      <w:rFonts w:ascii="宋体" w:hAnsi="宋体"/>
      <w:snapToGrid w:val="0"/>
      <w:color w:val="000000"/>
      <w:sz w:val="24"/>
      <w:szCs w:val="20"/>
    </w:rPr>
  </w:style>
  <w:style w:type="paragraph" w:customStyle="1" w:styleId="1154">
    <w:name w:val="xl55"/>
    <w:basedOn w:val="1"/>
    <w:qFormat/>
    <w:uiPriority w:val="0"/>
    <w:pPr>
      <w:widowControl/>
      <w:pBdr>
        <w:top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kern w:val="0"/>
      <w:szCs w:val="21"/>
    </w:rPr>
  </w:style>
  <w:style w:type="paragraph" w:customStyle="1" w:styleId="1155">
    <w:name w:val="标题-3"/>
    <w:basedOn w:val="1"/>
    <w:qFormat/>
    <w:uiPriority w:val="0"/>
    <w:pPr>
      <w:widowControl/>
      <w:numPr>
        <w:ilvl w:val="0"/>
        <w:numId w:val="11"/>
      </w:numPr>
      <w:topLinePunct/>
      <w:jc w:val="center"/>
    </w:pPr>
    <w:rPr>
      <w:rFonts w:ascii="宋体" w:hAnsi="宋体"/>
      <w:b/>
      <w:szCs w:val="20"/>
    </w:rPr>
  </w:style>
  <w:style w:type="paragraph" w:customStyle="1" w:styleId="1156">
    <w:name w:val="样式 四号 行距: 1.5 倍行距"/>
    <w:basedOn w:val="1"/>
    <w:qFormat/>
    <w:uiPriority w:val="0"/>
    <w:pPr>
      <w:spacing w:line="360" w:lineRule="auto"/>
      <w:ind w:firstLine="560" w:firstLineChars="200"/>
    </w:pPr>
    <w:rPr>
      <w:rFonts w:cs="宋体"/>
      <w:sz w:val="24"/>
      <w:szCs w:val="20"/>
    </w:rPr>
  </w:style>
  <w:style w:type="paragraph" w:customStyle="1" w:styleId="1157">
    <w:name w:val="样式 标题 4 + (西文) Times New Roman 行距: 固定值 25 磅"/>
    <w:basedOn w:val="8"/>
    <w:qFormat/>
    <w:uiPriority w:val="0"/>
    <w:pPr>
      <w:keepLines/>
      <w:tabs>
        <w:tab w:val="left" w:pos="851"/>
      </w:tabs>
      <w:ind w:left="851" w:hanging="851"/>
    </w:pPr>
    <w:rPr>
      <w:rFonts w:cs="宋体"/>
      <w:snapToGrid w:val="0"/>
      <w:color w:val="auto"/>
      <w:kern w:val="0"/>
      <w:szCs w:val="24"/>
    </w:rPr>
  </w:style>
  <w:style w:type="paragraph" w:customStyle="1" w:styleId="1158">
    <w:name w:val="xl129"/>
    <w:basedOn w:val="1"/>
    <w:qFormat/>
    <w:uiPriority w:val="0"/>
    <w:pPr>
      <w:widowControl/>
      <w:pBdr>
        <w:top w:val="single" w:color="auto" w:sz="12"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1159">
    <w:name w:val="表名、图名"/>
    <w:basedOn w:val="1"/>
    <w:qFormat/>
    <w:uiPriority w:val="0"/>
    <w:pPr>
      <w:spacing w:line="120" w:lineRule="exact"/>
      <w:jc w:val="center"/>
    </w:pPr>
    <w:rPr>
      <w:rFonts w:ascii="宋体" w:hAnsi="宋体"/>
      <w:spacing w:val="-20"/>
      <w:w w:val="90"/>
      <w:szCs w:val="20"/>
    </w:rPr>
  </w:style>
  <w:style w:type="paragraph" w:customStyle="1" w:styleId="1160">
    <w:name w:val="xl8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FF"/>
      <w:kern w:val="0"/>
      <w:sz w:val="28"/>
      <w:szCs w:val="28"/>
    </w:rPr>
  </w:style>
  <w:style w:type="paragraph" w:customStyle="1" w:styleId="1161">
    <w:name w:val="xl125"/>
    <w:basedOn w:val="1"/>
    <w:qFormat/>
    <w:uiPriority w:val="0"/>
    <w:pPr>
      <w:widowControl/>
      <w:pBdr>
        <w:left w:val="single" w:color="auto" w:sz="4"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1162">
    <w:name w:val="Decimal Aligned"/>
    <w:basedOn w:val="1"/>
    <w:qFormat/>
    <w:uiPriority w:val="0"/>
    <w:pPr>
      <w:widowControl/>
      <w:tabs>
        <w:tab w:val="decimal" w:pos="360"/>
      </w:tabs>
      <w:spacing w:after="200" w:line="276" w:lineRule="auto"/>
      <w:jc w:val="left"/>
    </w:pPr>
    <w:rPr>
      <w:rFonts w:ascii="Calibri" w:hAnsi="Calibri"/>
      <w:kern w:val="0"/>
      <w:sz w:val="22"/>
      <w:szCs w:val="22"/>
    </w:rPr>
  </w:style>
  <w:style w:type="paragraph" w:customStyle="1" w:styleId="1163">
    <w:name w:val="表格10"/>
    <w:qFormat/>
    <w:uiPriority w:val="0"/>
    <w:pPr>
      <w:widowControl w:val="0"/>
      <w:jc w:val="center"/>
    </w:pPr>
    <w:rPr>
      <w:rFonts w:ascii="Times New Roman" w:hAnsi="Times New Roman" w:eastAsia="宋体" w:cs="Times New Roman"/>
      <w:kern w:val="2"/>
      <w:sz w:val="21"/>
      <w:szCs w:val="21"/>
      <w:lang w:val="en-US" w:eastAsia="zh-CN" w:bidi="ar-SA"/>
    </w:rPr>
  </w:style>
  <w:style w:type="paragraph" w:customStyle="1" w:styleId="1164">
    <w:name w:val="Y页眉-项目"/>
    <w:basedOn w:val="960"/>
    <w:qFormat/>
    <w:uiPriority w:val="0"/>
    <w:rPr>
      <w:sz w:val="24"/>
      <w:szCs w:val="28"/>
    </w:rPr>
  </w:style>
  <w:style w:type="paragraph" w:customStyle="1" w:styleId="1165">
    <w:name w:val="reader-word-layer reader-word-s1-11"/>
    <w:basedOn w:val="1"/>
    <w:qFormat/>
    <w:uiPriority w:val="0"/>
    <w:pPr>
      <w:widowControl/>
      <w:spacing w:before="100" w:beforeAutospacing="1" w:after="100" w:afterAutospacing="1"/>
      <w:jc w:val="left"/>
    </w:pPr>
    <w:rPr>
      <w:rFonts w:ascii="宋体" w:hAnsi="宋体" w:cs="宋体"/>
      <w:kern w:val="0"/>
      <w:sz w:val="24"/>
    </w:rPr>
  </w:style>
  <w:style w:type="paragraph" w:customStyle="1" w:styleId="1166">
    <w:name w:val="Char Char Char Char Char Char Char Char Char Char Char Char Char"/>
    <w:basedOn w:val="1"/>
    <w:qFormat/>
    <w:uiPriority w:val="0"/>
    <w:rPr>
      <w:szCs w:val="20"/>
    </w:rPr>
  </w:style>
  <w:style w:type="paragraph" w:customStyle="1" w:styleId="1167">
    <w:name w:val="页号"/>
    <w:basedOn w:val="53"/>
    <w:qFormat/>
    <w:uiPriority w:val="0"/>
    <w:pPr>
      <w:tabs>
        <w:tab w:val="center" w:pos="4320"/>
        <w:tab w:val="right" w:pos="8640"/>
        <w:tab w:val="clear" w:pos="4153"/>
        <w:tab w:val="clear" w:pos="8306"/>
      </w:tabs>
      <w:adjustRightInd w:val="0"/>
      <w:snapToGrid/>
      <w:jc w:val="center"/>
      <w:textAlignment w:val="baseline"/>
    </w:pPr>
    <w:rPr>
      <w:rFonts w:ascii="宋体" w:hAnsi="Arial"/>
      <w:spacing w:val="3"/>
      <w:kern w:val="24"/>
      <w:sz w:val="24"/>
      <w:szCs w:val="20"/>
    </w:rPr>
  </w:style>
  <w:style w:type="paragraph" w:customStyle="1" w:styleId="1168">
    <w:name w:val="样式 标题 1章Heading 1pHeading 1p1Heading 1p2Heading 1p11Headin..."/>
    <w:basedOn w:val="5"/>
    <w:qFormat/>
    <w:uiPriority w:val="0"/>
    <w:pPr>
      <w:pageBreakBefore/>
      <w:tabs>
        <w:tab w:val="left" w:pos="240"/>
      </w:tabs>
      <w:adjustRightInd w:val="0"/>
      <w:spacing w:before="0" w:after="0" w:line="900" w:lineRule="exact"/>
      <w:ind w:left="240" w:hanging="240"/>
      <w:jc w:val="left"/>
    </w:pPr>
    <w:rPr>
      <w:rFonts w:ascii="Arial" w:hAnsi="Arial" w:cs="Arial"/>
      <w:color w:val="000000"/>
      <w:sz w:val="28"/>
      <w:szCs w:val="28"/>
    </w:rPr>
  </w:style>
  <w:style w:type="paragraph" w:customStyle="1" w:styleId="1169">
    <w:name w:val="样式 标题 3 +"/>
    <w:basedOn w:val="7"/>
    <w:qFormat/>
    <w:uiPriority w:val="0"/>
    <w:pPr>
      <w:widowControl/>
      <w:numPr>
        <w:ilvl w:val="0"/>
        <w:numId w:val="0"/>
      </w:numPr>
      <w:topLinePunct/>
      <w:autoSpaceDE w:val="0"/>
      <w:adjustRightInd w:val="0"/>
      <w:spacing w:before="0" w:after="0" w:line="300" w:lineRule="auto"/>
      <w:ind w:left="480" w:firstLine="567" w:firstLineChars="186"/>
      <w:jc w:val="center"/>
    </w:pPr>
    <w:rPr>
      <w:rFonts w:hAnsi="宋体" w:eastAsia="宋体"/>
      <w:b w:val="0"/>
      <w:bCs w:val="0"/>
      <w:snapToGrid w:val="0"/>
      <w:szCs w:val="28"/>
    </w:rPr>
  </w:style>
  <w:style w:type="paragraph" w:customStyle="1" w:styleId="1170">
    <w:name w:val="３－３标题"/>
    <w:basedOn w:val="1"/>
    <w:next w:val="3"/>
    <w:qFormat/>
    <w:uiPriority w:val="0"/>
    <w:pPr>
      <w:keepNext/>
      <w:keepLines/>
      <w:outlineLvl w:val="2"/>
    </w:pPr>
    <w:rPr>
      <w:rFonts w:hint="eastAsia" w:ascii="黑体" w:eastAsia="黑体"/>
      <w:sz w:val="30"/>
      <w:szCs w:val="20"/>
    </w:rPr>
  </w:style>
  <w:style w:type="paragraph" w:customStyle="1" w:styleId="1171">
    <w:name w:val="非标题二级条"/>
    <w:basedOn w:val="8"/>
    <w:next w:val="566"/>
    <w:qFormat/>
    <w:uiPriority w:val="0"/>
    <w:pPr>
      <w:keepNext w:val="0"/>
      <w:keepLines w:val="0"/>
      <w:widowControl/>
      <w:numPr>
        <w:ilvl w:val="0"/>
        <w:numId w:val="0"/>
      </w:numPr>
      <w:tabs>
        <w:tab w:val="left" w:pos="420"/>
        <w:tab w:val="clear" w:pos="864"/>
      </w:tabs>
      <w:spacing w:after="0" w:line="360" w:lineRule="auto"/>
      <w:ind w:left="420" w:hanging="420"/>
      <w:jc w:val="both"/>
    </w:pPr>
    <w:rPr>
      <w:rFonts w:ascii="宋体" w:hAnsi="Arial" w:eastAsia="宋体"/>
      <w:b w:val="0"/>
      <w:kern w:val="0"/>
      <w:sz w:val="21"/>
    </w:rPr>
  </w:style>
  <w:style w:type="paragraph" w:customStyle="1" w:styleId="1172">
    <w:name w:val="xl187"/>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hint="eastAsia" w:ascii="华文隶书" w:hAnsi="Arial Unicode MS" w:eastAsia="华文隶书" w:cs="TimesNewRomanPSMT"/>
      <w:b/>
      <w:bCs/>
      <w:color w:val="003366"/>
      <w:kern w:val="0"/>
      <w:sz w:val="18"/>
      <w:szCs w:val="18"/>
    </w:rPr>
  </w:style>
  <w:style w:type="paragraph" w:customStyle="1" w:styleId="1173">
    <w:name w:val="xl53"/>
    <w:basedOn w:val="1"/>
    <w:qFormat/>
    <w:uiPriority w:val="0"/>
    <w:pPr>
      <w:widowControl/>
      <w:pBdr>
        <w:top w:val="single" w:color="auto" w:sz="4" w:space="0"/>
        <w:left w:val="single" w:color="auto" w:sz="4" w:space="0"/>
      </w:pBdr>
      <w:spacing w:before="100" w:beforeAutospacing="1" w:after="100" w:afterAutospacing="1"/>
      <w:jc w:val="center"/>
      <w:textAlignment w:val="center"/>
    </w:pPr>
    <w:rPr>
      <w:rFonts w:eastAsia="Arial Unicode MS"/>
      <w:kern w:val="0"/>
      <w:sz w:val="24"/>
    </w:rPr>
  </w:style>
  <w:style w:type="paragraph" w:customStyle="1" w:styleId="1174">
    <w:name w:val="xl60"/>
    <w:basedOn w:val="1"/>
    <w:qFormat/>
    <w:uiPriority w:val="0"/>
    <w:pPr>
      <w:widowControl/>
      <w:pBdr>
        <w:top w:val="single" w:color="auto" w:sz="8" w:space="0"/>
        <w:left w:val="single" w:color="auto" w:sz="4" w:space="0"/>
        <w:bottom w:val="single" w:color="auto" w:sz="4" w:space="0"/>
        <w:right w:val="single" w:color="auto" w:sz="8" w:space="0"/>
      </w:pBdr>
      <w:spacing w:before="100" w:beforeAutospacing="1" w:after="100" w:afterAutospacing="1"/>
      <w:jc w:val="left"/>
      <w:textAlignment w:val="center"/>
    </w:pPr>
    <w:rPr>
      <w:rFonts w:ascii="Arial Unicode MS" w:hAnsi="Arial Unicode MS" w:eastAsia="Arial Unicode MS"/>
      <w:kern w:val="0"/>
      <w:sz w:val="24"/>
    </w:rPr>
  </w:style>
  <w:style w:type="paragraph" w:customStyle="1" w:styleId="1175">
    <w:name w:val="【表头】"/>
    <w:basedOn w:val="1"/>
    <w:qFormat/>
    <w:uiPriority w:val="0"/>
    <w:pPr>
      <w:spacing w:line="500" w:lineRule="exact"/>
      <w:jc w:val="center"/>
    </w:pPr>
    <w:rPr>
      <w:rFonts w:eastAsia="黑体"/>
    </w:rPr>
  </w:style>
  <w:style w:type="paragraph" w:customStyle="1" w:styleId="1176">
    <w:name w:val="xl107"/>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1177">
    <w:name w:val="调研内容"/>
    <w:basedOn w:val="1"/>
    <w:qFormat/>
    <w:uiPriority w:val="0"/>
    <w:pPr>
      <w:spacing w:line="360" w:lineRule="auto"/>
    </w:pPr>
    <w:rPr>
      <w:szCs w:val="20"/>
    </w:rPr>
  </w:style>
  <w:style w:type="paragraph" w:customStyle="1" w:styleId="1178">
    <w:name w:val="xl155"/>
    <w:basedOn w:val="1"/>
    <w:qFormat/>
    <w:uiPriority w:val="0"/>
    <w:pPr>
      <w:widowControl/>
      <w:pBdr>
        <w:top w:val="single" w:color="auto" w:sz="4" w:space="0"/>
        <w:bottom w:val="single" w:color="auto" w:sz="12" w:space="0"/>
        <w:right w:val="single" w:color="auto" w:sz="4" w:space="0"/>
      </w:pBdr>
      <w:spacing w:before="100" w:beforeAutospacing="1" w:after="100" w:afterAutospacing="1"/>
      <w:jc w:val="center"/>
      <w:textAlignment w:val="center"/>
    </w:pPr>
    <w:rPr>
      <w:rFonts w:hint="eastAsia" w:ascii="华文隶书" w:hAnsi="Arial Unicode MS" w:eastAsia="华文隶书" w:cs="TimesNewRomanPSMT"/>
      <w:b/>
      <w:bCs/>
      <w:color w:val="0000FF"/>
      <w:kern w:val="0"/>
      <w:sz w:val="16"/>
      <w:szCs w:val="16"/>
    </w:rPr>
  </w:style>
  <w:style w:type="paragraph" w:customStyle="1" w:styleId="1179">
    <w:name w:val="正文2 Char"/>
    <w:basedOn w:val="1"/>
    <w:qFormat/>
    <w:uiPriority w:val="0"/>
    <w:pPr>
      <w:adjustRightInd w:val="0"/>
      <w:snapToGrid w:val="0"/>
      <w:spacing w:line="360" w:lineRule="auto"/>
      <w:ind w:firstLine="414" w:firstLineChars="197"/>
      <w:jc w:val="left"/>
      <w:textAlignment w:val="baseline"/>
    </w:pPr>
    <w:rPr>
      <w:rFonts w:ascii="宋体" w:hAnsi="宋体"/>
      <w:color w:val="000000"/>
      <w:szCs w:val="21"/>
    </w:rPr>
  </w:style>
  <w:style w:type="paragraph" w:customStyle="1" w:styleId="1180">
    <w:name w:val="条(四级)"/>
    <w:basedOn w:val="910"/>
    <w:next w:val="8"/>
    <w:qFormat/>
    <w:uiPriority w:val="0"/>
    <w:rPr>
      <w:rFonts w:ascii="宋体"/>
    </w:rPr>
  </w:style>
  <w:style w:type="paragraph" w:customStyle="1" w:styleId="1181">
    <w:name w:val="xl160"/>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hint="eastAsia" w:ascii="华文细黑" w:hAnsi="华文细黑" w:eastAsia="华文细黑" w:cs="TimesNewRomanPSMT"/>
      <w:color w:val="FF0000"/>
      <w:kern w:val="0"/>
      <w:sz w:val="16"/>
      <w:szCs w:val="16"/>
    </w:rPr>
  </w:style>
  <w:style w:type="paragraph" w:customStyle="1" w:styleId="1182">
    <w:name w:val="pl正文"/>
    <w:basedOn w:val="1"/>
    <w:qFormat/>
    <w:uiPriority w:val="0"/>
    <w:pPr>
      <w:snapToGrid w:val="0"/>
      <w:spacing w:line="360" w:lineRule="auto"/>
      <w:ind w:firstLine="492"/>
    </w:pPr>
    <w:rPr>
      <w:rFonts w:ascii="宋体" w:hAnsi="宋体"/>
      <w:color w:val="000000"/>
      <w:spacing w:val="6"/>
      <w:sz w:val="28"/>
    </w:rPr>
  </w:style>
  <w:style w:type="paragraph" w:customStyle="1" w:styleId="1183">
    <w:name w:val="ÑùÊ½2"/>
    <w:basedOn w:val="1"/>
    <w:qFormat/>
    <w:uiPriority w:val="0"/>
    <w:pPr>
      <w:overflowPunct w:val="0"/>
      <w:autoSpaceDE w:val="0"/>
      <w:autoSpaceDN w:val="0"/>
      <w:adjustRightInd w:val="0"/>
      <w:spacing w:line="410" w:lineRule="atLeast"/>
    </w:pPr>
    <w:rPr>
      <w:kern w:val="0"/>
      <w:sz w:val="24"/>
      <w:szCs w:val="20"/>
    </w:rPr>
  </w:style>
  <w:style w:type="paragraph" w:customStyle="1" w:styleId="1184">
    <w:name w:val="目次"/>
    <w:qFormat/>
    <w:uiPriority w:val="0"/>
    <w:pPr>
      <w:tabs>
        <w:tab w:val="left" w:pos="1202"/>
      </w:tabs>
      <w:spacing w:before="200" w:after="100" w:line="440" w:lineRule="exact"/>
      <w:ind w:left="1202" w:hanging="720"/>
      <w:jc w:val="center"/>
    </w:pPr>
    <w:rPr>
      <w:rFonts w:ascii="黑体" w:hAnsi="Times New Roman" w:eastAsia="黑体" w:cs="Times New Roman"/>
      <w:kern w:val="2"/>
      <w:sz w:val="24"/>
      <w:szCs w:val="24"/>
      <w:lang w:val="en-US" w:eastAsia="zh-CN" w:bidi="ar-SA"/>
    </w:rPr>
  </w:style>
  <w:style w:type="paragraph" w:customStyle="1" w:styleId="1185">
    <w:name w:val="reader-word-layer reader-word-s4-12"/>
    <w:basedOn w:val="1"/>
    <w:qFormat/>
    <w:uiPriority w:val="0"/>
    <w:pPr>
      <w:widowControl/>
      <w:spacing w:before="100" w:beforeAutospacing="1" w:after="100" w:afterAutospacing="1"/>
      <w:jc w:val="left"/>
    </w:pPr>
    <w:rPr>
      <w:rFonts w:ascii="宋体" w:hAnsi="宋体" w:cs="宋体"/>
      <w:kern w:val="0"/>
      <w:sz w:val="24"/>
    </w:rPr>
  </w:style>
  <w:style w:type="paragraph" w:customStyle="1" w:styleId="1186">
    <w:name w:val="reader-word-layer reader-word-s4-8"/>
    <w:basedOn w:val="1"/>
    <w:qFormat/>
    <w:uiPriority w:val="0"/>
    <w:pPr>
      <w:widowControl/>
      <w:spacing w:before="100" w:beforeAutospacing="1" w:after="100" w:afterAutospacing="1"/>
      <w:jc w:val="left"/>
    </w:pPr>
    <w:rPr>
      <w:rFonts w:ascii="宋体" w:hAnsi="宋体" w:cs="宋体"/>
      <w:kern w:val="0"/>
      <w:sz w:val="24"/>
    </w:rPr>
  </w:style>
  <w:style w:type="paragraph" w:customStyle="1" w:styleId="1187">
    <w:name w:val="xl82"/>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kern w:val="0"/>
      <w:sz w:val="28"/>
      <w:szCs w:val="28"/>
    </w:rPr>
  </w:style>
  <w:style w:type="paragraph" w:customStyle="1" w:styleId="1188">
    <w:name w:val="样式 正文（首行缩进两字） Char Char + 段前: 0.27 行 段后: 0.27 行"/>
    <w:basedOn w:val="1"/>
    <w:qFormat/>
    <w:uiPriority w:val="0"/>
    <w:pPr>
      <w:autoSpaceDE w:val="0"/>
      <w:autoSpaceDN w:val="0"/>
      <w:adjustRightInd w:val="0"/>
      <w:snapToGrid w:val="0"/>
      <w:spacing w:line="440" w:lineRule="exact"/>
      <w:ind w:firstLine="200" w:firstLineChars="200"/>
      <w:jc w:val="left"/>
    </w:pPr>
    <w:rPr>
      <w:rFonts w:cs="宋体"/>
      <w:sz w:val="24"/>
      <w:szCs w:val="20"/>
    </w:rPr>
  </w:style>
  <w:style w:type="paragraph" w:customStyle="1" w:styleId="1189">
    <w:name w:val="xl92"/>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00"/>
      <w:kern w:val="0"/>
      <w:sz w:val="28"/>
      <w:szCs w:val="28"/>
    </w:rPr>
  </w:style>
  <w:style w:type="paragraph" w:customStyle="1" w:styleId="1190">
    <w:name w:val="五号仿宋"/>
    <w:basedOn w:val="1"/>
    <w:qFormat/>
    <w:uiPriority w:val="0"/>
    <w:pPr>
      <w:widowControl/>
      <w:topLinePunct/>
      <w:autoSpaceDE w:val="0"/>
      <w:adjustRightInd w:val="0"/>
      <w:snapToGrid w:val="0"/>
      <w:ind w:left="480"/>
      <w:jc w:val="center"/>
    </w:pPr>
    <w:rPr>
      <w:rFonts w:ascii="宋体" w:hAnsi="宋体"/>
      <w:spacing w:val="20"/>
      <w:szCs w:val="21"/>
    </w:rPr>
  </w:style>
  <w:style w:type="paragraph" w:customStyle="1" w:styleId="1191">
    <w:name w:val="环科院正文"/>
    <w:basedOn w:val="1"/>
    <w:semiHidden/>
    <w:qFormat/>
    <w:uiPriority w:val="0"/>
    <w:pPr>
      <w:tabs>
        <w:tab w:val="left" w:pos="5760"/>
      </w:tabs>
      <w:ind w:firstLine="560" w:firstLineChars="200"/>
    </w:pPr>
    <w:rPr>
      <w:bCs/>
      <w:color w:val="0000FF"/>
      <w:kern w:val="0"/>
      <w:sz w:val="28"/>
      <w:szCs w:val="28"/>
      <w:lang w:val="zh-CN"/>
    </w:rPr>
  </w:style>
  <w:style w:type="paragraph" w:customStyle="1" w:styleId="1192">
    <w:name w:val="xl35"/>
    <w:basedOn w:val="1"/>
    <w:qFormat/>
    <w:uiPriority w:val="0"/>
    <w:pPr>
      <w:widowControl/>
      <w:pBdr>
        <w:top w:val="single" w:color="auto" w:sz="8" w:space="0"/>
        <w:bottom w:val="single" w:color="auto" w:sz="8" w:space="0"/>
        <w:right w:val="single" w:color="auto" w:sz="8" w:space="0"/>
      </w:pBdr>
      <w:spacing w:before="100" w:beforeAutospacing="1" w:after="100" w:afterAutospacing="1"/>
      <w:jc w:val="center"/>
      <w:textAlignment w:val="center"/>
    </w:pPr>
    <w:rPr>
      <w:rFonts w:ascii="Arial Unicode MS" w:hAnsi="Arial Unicode MS" w:eastAsia="Arial Unicode MS"/>
      <w:kern w:val="0"/>
      <w:sz w:val="24"/>
    </w:rPr>
  </w:style>
  <w:style w:type="paragraph" w:customStyle="1" w:styleId="1193">
    <w:name w:val="新正文"/>
    <w:basedOn w:val="1"/>
    <w:qFormat/>
    <w:uiPriority w:val="0"/>
    <w:pPr>
      <w:spacing w:line="360" w:lineRule="auto"/>
      <w:ind w:firstLine="480" w:firstLineChars="200"/>
    </w:pPr>
    <w:rPr>
      <w:rFonts w:cs="宋体"/>
      <w:sz w:val="24"/>
      <w:szCs w:val="20"/>
    </w:rPr>
  </w:style>
  <w:style w:type="paragraph" w:customStyle="1" w:styleId="1194">
    <w:name w:val="条款"/>
    <w:basedOn w:val="1"/>
    <w:next w:val="43"/>
    <w:qFormat/>
    <w:uiPriority w:val="0"/>
    <w:pPr>
      <w:widowControl/>
      <w:topLinePunct/>
      <w:ind w:left="480"/>
      <w:jc w:val="center"/>
    </w:pPr>
    <w:rPr>
      <w:rFonts w:ascii="宋体" w:hAnsi="Courier New"/>
      <w:sz w:val="28"/>
      <w:szCs w:val="20"/>
    </w:rPr>
  </w:style>
  <w:style w:type="paragraph" w:customStyle="1" w:styleId="1195">
    <w:name w:val="xl130"/>
    <w:basedOn w:val="1"/>
    <w:qFormat/>
    <w:uiPriority w:val="0"/>
    <w:pPr>
      <w:widowControl/>
      <w:pBdr>
        <w:top w:val="single" w:color="auto" w:sz="12"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color w:val="003366"/>
      <w:kern w:val="0"/>
      <w:sz w:val="16"/>
      <w:szCs w:val="16"/>
    </w:rPr>
  </w:style>
  <w:style w:type="paragraph" w:customStyle="1" w:styleId="1196">
    <w:name w:val="c_"/>
    <w:qFormat/>
    <w:uiPriority w:val="0"/>
    <w:pPr>
      <w:widowControl w:val="0"/>
      <w:autoSpaceDE w:val="0"/>
      <w:autoSpaceDN w:val="0"/>
      <w:adjustRightInd w:val="0"/>
      <w:jc w:val="both"/>
    </w:pPr>
    <w:rPr>
      <w:rFonts w:ascii="五" w:hAnsi="Times New Roman" w:eastAsia="五" w:cs="Times New Roman"/>
      <w:kern w:val="2"/>
      <w:sz w:val="24"/>
      <w:szCs w:val="24"/>
      <w:lang w:val="en-US" w:eastAsia="zh-CN" w:bidi="ar-SA"/>
    </w:rPr>
  </w:style>
  <w:style w:type="paragraph" w:customStyle="1" w:styleId="1197">
    <w:name w:val="表格文字－四号"/>
    <w:basedOn w:val="1"/>
    <w:qFormat/>
    <w:uiPriority w:val="0"/>
    <w:pPr>
      <w:adjustRightInd w:val="0"/>
      <w:snapToGrid w:val="0"/>
      <w:spacing w:line="360" w:lineRule="auto"/>
    </w:pPr>
    <w:rPr>
      <w:sz w:val="28"/>
    </w:rPr>
  </w:style>
  <w:style w:type="paragraph" w:customStyle="1" w:styleId="1198">
    <w:name w:val="xl8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1199">
    <w:name w:val="xl31"/>
    <w:basedOn w:val="1"/>
    <w:qFormat/>
    <w:uiPriority w:val="0"/>
    <w:pPr>
      <w:widowControl/>
      <w:pBdr>
        <w:left w:val="single" w:color="auto" w:sz="8" w:space="0"/>
        <w:right w:val="single" w:color="auto" w:sz="8" w:space="0"/>
      </w:pBdr>
      <w:spacing w:before="100" w:beforeAutospacing="1" w:after="100" w:afterAutospacing="1"/>
      <w:jc w:val="center"/>
      <w:textAlignment w:val="center"/>
    </w:pPr>
    <w:rPr>
      <w:rFonts w:ascii="Arial Unicode MS" w:hAnsi="Arial Unicode MS" w:eastAsia="Arial Unicode MS"/>
      <w:kern w:val="0"/>
      <w:sz w:val="22"/>
      <w:szCs w:val="22"/>
    </w:rPr>
  </w:style>
  <w:style w:type="paragraph" w:customStyle="1" w:styleId="1200">
    <w:name w:val="默认段落字体 Para Char Char Char Char"/>
    <w:basedOn w:val="1"/>
    <w:qFormat/>
    <w:uiPriority w:val="0"/>
  </w:style>
  <w:style w:type="paragraph" w:customStyle="1" w:styleId="1201">
    <w:name w:val="Char Char Char Char Char Char Char Char Char Char Char Char Char Char Char Char Char Char Char"/>
    <w:basedOn w:val="1"/>
    <w:semiHidden/>
    <w:qFormat/>
    <w:uiPriority w:val="0"/>
    <w:pPr>
      <w:spacing w:line="360" w:lineRule="auto"/>
      <w:ind w:firstLine="200" w:firstLineChars="200"/>
    </w:pPr>
    <w:rPr>
      <w:rFonts w:ascii="宋体" w:hAnsi="宋体" w:cs="宋体"/>
      <w:sz w:val="24"/>
    </w:rPr>
  </w:style>
  <w:style w:type="paragraph" w:customStyle="1" w:styleId="1202">
    <w:name w:val="Bullet 1"/>
    <w:basedOn w:val="1"/>
    <w:next w:val="1"/>
    <w:qFormat/>
    <w:uiPriority w:val="0"/>
    <w:pPr>
      <w:widowControl/>
      <w:tabs>
        <w:tab w:val="left" w:pos="570"/>
        <w:tab w:val="left" w:pos="1440"/>
        <w:tab w:val="left" w:pos="3510"/>
      </w:tabs>
      <w:ind w:left="2160"/>
      <w:jc w:val="left"/>
    </w:pPr>
    <w:rPr>
      <w:rFonts w:ascii="Arial" w:hAnsi="Arial"/>
      <w:kern w:val="0"/>
      <w:sz w:val="20"/>
      <w:szCs w:val="20"/>
    </w:rPr>
  </w:style>
  <w:style w:type="paragraph" w:customStyle="1" w:styleId="1203">
    <w:name w:val="reader-word-layer reader-word-s1-21"/>
    <w:basedOn w:val="1"/>
    <w:qFormat/>
    <w:uiPriority w:val="0"/>
    <w:pPr>
      <w:widowControl/>
      <w:spacing w:before="100" w:beforeAutospacing="1" w:after="100" w:afterAutospacing="1"/>
      <w:jc w:val="left"/>
    </w:pPr>
    <w:rPr>
      <w:rFonts w:ascii="宋体" w:hAnsi="宋体" w:cs="宋体"/>
      <w:kern w:val="0"/>
      <w:sz w:val="24"/>
    </w:rPr>
  </w:style>
  <w:style w:type="paragraph" w:customStyle="1" w:styleId="1204">
    <w:name w:val="t表格文字居中"/>
    <w:basedOn w:val="1"/>
    <w:qFormat/>
    <w:uiPriority w:val="0"/>
    <w:pPr>
      <w:widowControl/>
      <w:overflowPunct w:val="0"/>
      <w:topLinePunct/>
      <w:autoSpaceDE w:val="0"/>
      <w:adjustRightInd w:val="0"/>
      <w:ind w:left="480"/>
      <w:jc w:val="center"/>
      <w:textAlignment w:val="center"/>
    </w:pPr>
    <w:rPr>
      <w:rFonts w:ascii="宋体" w:hAnsi="宋体" w:eastAsia="仿宋_GB2312"/>
      <w:kern w:val="0"/>
      <w:szCs w:val="21"/>
    </w:rPr>
  </w:style>
  <w:style w:type="paragraph" w:customStyle="1" w:styleId="1205">
    <w:name w:val="二级标题 Char Char Char"/>
    <w:basedOn w:val="1"/>
    <w:next w:val="1"/>
    <w:qFormat/>
    <w:uiPriority w:val="0"/>
    <w:pPr>
      <w:spacing w:line="529" w:lineRule="exact"/>
      <w:ind w:firstLine="200" w:firstLineChars="200"/>
    </w:pPr>
    <w:rPr>
      <w:rFonts w:hint="eastAsia" w:ascii="宋体"/>
      <w:kern w:val="0"/>
      <w:sz w:val="24"/>
      <w:szCs w:val="20"/>
    </w:rPr>
  </w:style>
  <w:style w:type="paragraph" w:customStyle="1" w:styleId="1206">
    <w:name w:val="样式 标题 3节标题1.1.1标题 3 Char Char Char Char Char Char Char Char C...1"/>
    <w:basedOn w:val="7"/>
    <w:qFormat/>
    <w:uiPriority w:val="0"/>
    <w:pPr>
      <w:numPr>
        <w:ilvl w:val="0"/>
        <w:numId w:val="0"/>
      </w:numPr>
      <w:adjustRightInd w:val="0"/>
      <w:snapToGrid w:val="0"/>
      <w:spacing w:beforeLines="50" w:after="120" w:afterLines="50"/>
      <w:ind w:left="3780" w:firstLine="200" w:firstLineChars="200"/>
    </w:pPr>
    <w:rPr>
      <w:rFonts w:ascii="Arial" w:hAnsi="Arial" w:eastAsia="宋体" w:cs="Arial"/>
      <w:bCs w:val="0"/>
      <w:szCs w:val="30"/>
    </w:rPr>
  </w:style>
  <w:style w:type="paragraph" w:customStyle="1" w:styleId="1207">
    <w:name w:val="表1"/>
    <w:next w:val="1"/>
    <w:qFormat/>
    <w:uiPriority w:val="0"/>
    <w:pPr>
      <w:adjustRightInd w:val="0"/>
      <w:snapToGrid w:val="0"/>
      <w:jc w:val="center"/>
    </w:pPr>
    <w:rPr>
      <w:rFonts w:ascii="Times New Roman" w:hAnsi="Times New Roman" w:eastAsia="宋体" w:cs="Times New Roman"/>
      <w:kern w:val="2"/>
      <w:sz w:val="21"/>
      <w:szCs w:val="24"/>
      <w:lang w:val="en-US" w:eastAsia="zh-CN" w:bidi="ar-SA"/>
    </w:rPr>
  </w:style>
  <w:style w:type="paragraph" w:customStyle="1" w:styleId="1208">
    <w:name w:val=" Char Char1 Char Char Char Char Char Char Char Char Char Char Char Char Char Char Char Char Char Char Char Char1 Char"/>
    <w:basedOn w:val="1"/>
    <w:qFormat/>
    <w:uiPriority w:val="0"/>
    <w:pPr>
      <w:spacing w:line="360" w:lineRule="auto"/>
      <w:ind w:firstLine="200" w:firstLineChars="200"/>
      <w:jc w:val="center"/>
    </w:pPr>
    <w:rPr>
      <w:rFonts w:ascii="宋体" w:hAnsi="宋体" w:cs="宋体"/>
      <w:kern w:val="0"/>
      <w:sz w:val="24"/>
    </w:rPr>
  </w:style>
  <w:style w:type="paragraph" w:customStyle="1" w:styleId="1209">
    <w:name w:val="_Style 1200"/>
    <w:basedOn w:val="1"/>
    <w:next w:val="1"/>
    <w:qFormat/>
    <w:uiPriority w:val="0"/>
    <w:pPr>
      <w:widowControl/>
      <w:pBdr>
        <w:bottom w:val="single" w:color="auto" w:sz="6" w:space="1"/>
      </w:pBdr>
      <w:jc w:val="center"/>
    </w:pPr>
    <w:rPr>
      <w:rFonts w:ascii="Arial" w:hAnsi="Arial" w:cs="Arial"/>
      <w:vanish/>
      <w:kern w:val="0"/>
      <w:sz w:val="16"/>
      <w:szCs w:val="16"/>
    </w:rPr>
  </w:style>
  <w:style w:type="paragraph" w:customStyle="1" w:styleId="1210">
    <w:name w:val="reader-word-layer reader-word-s2-2"/>
    <w:basedOn w:val="1"/>
    <w:qFormat/>
    <w:uiPriority w:val="0"/>
    <w:pPr>
      <w:widowControl/>
      <w:spacing w:before="100" w:beforeAutospacing="1" w:after="100" w:afterAutospacing="1"/>
      <w:jc w:val="left"/>
    </w:pPr>
    <w:rPr>
      <w:rFonts w:ascii="宋体" w:hAnsi="宋体" w:cs="宋体"/>
      <w:kern w:val="0"/>
      <w:sz w:val="24"/>
    </w:rPr>
  </w:style>
  <w:style w:type="paragraph" w:customStyle="1" w:styleId="1211">
    <w:name w:val="reader-word-layer reader-word-s4-2"/>
    <w:basedOn w:val="1"/>
    <w:qFormat/>
    <w:uiPriority w:val="0"/>
    <w:pPr>
      <w:widowControl/>
      <w:spacing w:before="100" w:beforeAutospacing="1" w:after="100" w:afterAutospacing="1"/>
      <w:jc w:val="left"/>
    </w:pPr>
    <w:rPr>
      <w:rFonts w:ascii="宋体" w:hAnsi="宋体" w:cs="宋体"/>
      <w:kern w:val="0"/>
      <w:sz w:val="24"/>
    </w:rPr>
  </w:style>
  <w:style w:type="paragraph" w:customStyle="1" w:styleId="1212">
    <w:name w:val="样式 题注 + 非加粗 Char"/>
    <w:basedOn w:val="23"/>
    <w:qFormat/>
    <w:uiPriority w:val="0"/>
    <w:pPr>
      <w:widowControl/>
      <w:topLinePunct/>
      <w:adjustRightInd w:val="0"/>
      <w:spacing w:before="152" w:after="160" w:line="300" w:lineRule="auto"/>
      <w:ind w:left="480"/>
      <w:jc w:val="center"/>
    </w:pPr>
    <w:rPr>
      <w:rFonts w:ascii="宋体" w:hAnsi="宋体" w:eastAsia="宋体" w:cs="Times New Roman"/>
      <w:b/>
      <w:bCs/>
      <w:sz w:val="24"/>
    </w:rPr>
  </w:style>
  <w:style w:type="paragraph" w:customStyle="1" w:styleId="1213">
    <w:name w:val="BG1"/>
    <w:basedOn w:val="1"/>
    <w:qFormat/>
    <w:uiPriority w:val="0"/>
    <w:pPr>
      <w:autoSpaceDE w:val="0"/>
      <w:autoSpaceDN w:val="0"/>
      <w:spacing w:line="336" w:lineRule="auto"/>
      <w:jc w:val="center"/>
    </w:pPr>
    <w:rPr>
      <w:kern w:val="0"/>
    </w:rPr>
  </w:style>
  <w:style w:type="paragraph" w:customStyle="1" w:styleId="1214">
    <w:name w:val="正文林刘"/>
    <w:basedOn w:val="1"/>
    <w:qFormat/>
    <w:uiPriority w:val="0"/>
    <w:pPr>
      <w:spacing w:line="300" w:lineRule="auto"/>
      <w:ind w:firstLine="425"/>
    </w:pPr>
    <w:rPr>
      <w:sz w:val="24"/>
      <w:szCs w:val="20"/>
    </w:rPr>
  </w:style>
  <w:style w:type="paragraph" w:customStyle="1" w:styleId="1215">
    <w:name w:val="reader-word-layer reader-word-s5-0"/>
    <w:basedOn w:val="1"/>
    <w:qFormat/>
    <w:uiPriority w:val="0"/>
    <w:pPr>
      <w:widowControl/>
      <w:spacing w:before="100" w:beforeAutospacing="1" w:after="100" w:afterAutospacing="1"/>
      <w:jc w:val="left"/>
    </w:pPr>
    <w:rPr>
      <w:rFonts w:ascii="宋体" w:hAnsi="宋体" w:cs="宋体"/>
      <w:kern w:val="0"/>
      <w:sz w:val="24"/>
    </w:rPr>
  </w:style>
  <w:style w:type="paragraph" w:customStyle="1" w:styleId="1216">
    <w:name w:val="F文字-注释"/>
    <w:basedOn w:val="720"/>
    <w:qFormat/>
    <w:uiPriority w:val="0"/>
    <w:pPr>
      <w:spacing w:after="50" w:afterLines="50"/>
    </w:pPr>
    <w:rPr>
      <w:sz w:val="21"/>
    </w:rPr>
  </w:style>
  <w:style w:type="paragraph" w:customStyle="1" w:styleId="1217">
    <w:name w:val="4级标题"/>
    <w:basedOn w:val="1"/>
    <w:qFormat/>
    <w:uiPriority w:val="0"/>
    <w:rPr>
      <w:szCs w:val="20"/>
    </w:rPr>
  </w:style>
  <w:style w:type="paragraph" w:customStyle="1" w:styleId="1218">
    <w:name w:val="xl14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cs="TimesNewRomanPSMT"/>
      <w:kern w:val="0"/>
      <w:sz w:val="16"/>
      <w:szCs w:val="16"/>
    </w:rPr>
  </w:style>
  <w:style w:type="paragraph" w:customStyle="1" w:styleId="1219">
    <w:name w:val="t表格文字左齐"/>
    <w:basedOn w:val="1"/>
    <w:qFormat/>
    <w:uiPriority w:val="0"/>
    <w:pPr>
      <w:widowControl/>
      <w:overflowPunct w:val="0"/>
      <w:topLinePunct/>
      <w:autoSpaceDE w:val="0"/>
      <w:adjustRightInd w:val="0"/>
      <w:ind w:left="480"/>
      <w:jc w:val="left"/>
      <w:textAlignment w:val="baseline"/>
    </w:pPr>
    <w:rPr>
      <w:rFonts w:ascii="宋体" w:hAnsi="宋体" w:eastAsia="仿宋_GB2312"/>
      <w:kern w:val="0"/>
      <w:szCs w:val="21"/>
    </w:rPr>
  </w:style>
  <w:style w:type="paragraph" w:customStyle="1" w:styleId="1220">
    <w:name w:val="奉读大示，心折殊深。"/>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221">
    <w:name w:val="xl65"/>
    <w:basedOn w:val="1"/>
    <w:qFormat/>
    <w:uiPriority w:val="0"/>
    <w:pPr>
      <w:widowControl/>
      <w:pBdr>
        <w:left w:val="single" w:color="auto" w:sz="8" w:space="0"/>
        <w:right w:val="single" w:color="auto" w:sz="4" w:space="0"/>
      </w:pBdr>
      <w:spacing w:before="100" w:beforeAutospacing="1" w:after="100" w:afterAutospacing="1"/>
      <w:jc w:val="center"/>
      <w:textAlignment w:val="center"/>
    </w:pPr>
    <w:rPr>
      <w:rFonts w:eastAsia="Arial Unicode MS"/>
      <w:kern w:val="0"/>
      <w:sz w:val="20"/>
      <w:szCs w:val="20"/>
    </w:rPr>
  </w:style>
  <w:style w:type="paragraph" w:customStyle="1" w:styleId="1222">
    <w:name w:val="xl157"/>
    <w:basedOn w:val="1"/>
    <w:qFormat/>
    <w:uiPriority w:val="0"/>
    <w:pPr>
      <w:widowControl/>
      <w:pBdr>
        <w:top w:val="single" w:color="auto" w:sz="4" w:space="0"/>
        <w:left w:val="single" w:color="auto" w:sz="12" w:space="0"/>
        <w:bottom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00"/>
      <w:kern w:val="0"/>
      <w:sz w:val="16"/>
      <w:szCs w:val="16"/>
    </w:rPr>
  </w:style>
  <w:style w:type="paragraph" w:customStyle="1" w:styleId="1223">
    <w:name w:val="reader-word-layer reader-word-s4-10"/>
    <w:basedOn w:val="1"/>
    <w:qFormat/>
    <w:uiPriority w:val="0"/>
    <w:pPr>
      <w:widowControl/>
      <w:spacing w:before="100" w:beforeAutospacing="1" w:after="100" w:afterAutospacing="1"/>
      <w:jc w:val="left"/>
    </w:pPr>
    <w:rPr>
      <w:rFonts w:ascii="宋体" w:hAnsi="宋体" w:cs="宋体"/>
      <w:kern w:val="0"/>
      <w:sz w:val="24"/>
    </w:rPr>
  </w:style>
  <w:style w:type="paragraph" w:customStyle="1" w:styleId="1224">
    <w:name w:val="小节标题"/>
    <w:basedOn w:val="1"/>
    <w:next w:val="1"/>
    <w:qFormat/>
    <w:uiPriority w:val="0"/>
    <w:pPr>
      <w:widowControl/>
      <w:spacing w:before="175" w:after="102" w:line="351" w:lineRule="atLeast"/>
      <w:textAlignment w:val="baseline"/>
    </w:pPr>
    <w:rPr>
      <w:rFonts w:eastAsia="黑体"/>
      <w:color w:val="000000"/>
      <w:kern w:val="0"/>
      <w:szCs w:val="20"/>
      <w:u w:val="none" w:color="000000"/>
    </w:rPr>
  </w:style>
  <w:style w:type="paragraph" w:customStyle="1" w:styleId="1225">
    <w:name w:val="xl54"/>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eastAsia="Arial Unicode MS"/>
      <w:kern w:val="0"/>
      <w:sz w:val="24"/>
    </w:rPr>
  </w:style>
  <w:style w:type="paragraph" w:customStyle="1" w:styleId="1226">
    <w:name w:val="0"/>
    <w:basedOn w:val="1"/>
    <w:qFormat/>
    <w:uiPriority w:val="0"/>
    <w:pPr>
      <w:widowControl/>
      <w:snapToGrid w:val="0"/>
    </w:pPr>
    <w:rPr>
      <w:kern w:val="0"/>
      <w:sz w:val="20"/>
      <w:szCs w:val="20"/>
    </w:rPr>
  </w:style>
  <w:style w:type="paragraph" w:customStyle="1" w:styleId="1227">
    <w:name w:val="md表格文字居中"/>
    <w:basedOn w:val="550"/>
    <w:qFormat/>
    <w:uiPriority w:val="0"/>
    <w:pPr>
      <w:spacing w:line="240" w:lineRule="auto"/>
      <w:ind w:firstLine="0" w:firstLineChars="0"/>
      <w:jc w:val="center"/>
      <w:textAlignment w:val="center"/>
    </w:pPr>
    <w:rPr>
      <w:sz w:val="21"/>
      <w:szCs w:val="21"/>
    </w:rPr>
  </w:style>
  <w:style w:type="paragraph" w:customStyle="1" w:styleId="1228">
    <w:name w:val="表格内部"/>
    <w:basedOn w:val="1"/>
    <w:qFormat/>
    <w:uiPriority w:val="0"/>
    <w:pPr>
      <w:adjustRightInd w:val="0"/>
      <w:snapToGrid w:val="0"/>
      <w:spacing w:line="240" w:lineRule="atLeast"/>
      <w:jc w:val="center"/>
      <w:textAlignment w:val="baseline"/>
    </w:pPr>
    <w:rPr>
      <w:rFonts w:ascii="Arial" w:hAnsi="Arial" w:eastAsia="仿宋_GB2312" w:cs="Arial"/>
      <w:kern w:val="0"/>
      <w:szCs w:val="20"/>
    </w:rPr>
  </w:style>
  <w:style w:type="paragraph" w:customStyle="1" w:styleId="1229">
    <w:name w:val="正文3"/>
    <w:basedOn w:val="1"/>
    <w:qFormat/>
    <w:uiPriority w:val="0"/>
    <w:pPr>
      <w:tabs>
        <w:tab w:val="left" w:pos="1134"/>
      </w:tabs>
      <w:adjustRightInd w:val="0"/>
      <w:spacing w:before="120" w:after="120" w:line="318" w:lineRule="atLeast"/>
      <w:jc w:val="left"/>
      <w:textAlignment w:val="baseline"/>
    </w:pPr>
    <w:rPr>
      <w:rFonts w:ascii="Arial" w:hAnsi="Arial"/>
      <w:kern w:val="0"/>
      <w:sz w:val="24"/>
      <w:szCs w:val="20"/>
    </w:rPr>
  </w:style>
  <w:style w:type="paragraph" w:customStyle="1" w:styleId="1230">
    <w:name w:val="endnote text"/>
    <w:basedOn w:val="374"/>
    <w:qFormat/>
    <w:uiPriority w:val="0"/>
    <w:pPr>
      <w:textAlignment w:val="baseline"/>
    </w:pPr>
    <w:rPr>
      <w:rFonts w:hint="default"/>
      <w:sz w:val="21"/>
    </w:rPr>
  </w:style>
  <w:style w:type="paragraph" w:customStyle="1" w:styleId="1231">
    <w:name w:val="尾消息标题"/>
    <w:basedOn w:val="75"/>
    <w:next w:val="3"/>
    <w:qFormat/>
    <w:uiPriority w:val="0"/>
    <w:pPr>
      <w:pBdr>
        <w:top w:val="double" w:color="auto" w:sz="6" w:space="18"/>
        <w:bottom w:val="double" w:color="auto" w:sz="6" w:space="18"/>
        <w:between w:val="single" w:color="auto" w:sz="6" w:space="18"/>
      </w:pBdr>
      <w:tabs>
        <w:tab w:val="left" w:pos="1279"/>
        <w:tab w:val="left" w:pos="2940"/>
        <w:tab w:val="left" w:pos="5100"/>
        <w:tab w:val="right" w:pos="8640"/>
      </w:tabs>
      <w:spacing w:before="13"/>
      <w:ind w:left="0"/>
    </w:pPr>
  </w:style>
  <w:style w:type="paragraph" w:customStyle="1" w:styleId="1232">
    <w:name w:val="para"/>
    <w:basedOn w:val="1"/>
    <w:qFormat/>
    <w:uiPriority w:val="0"/>
    <w:pPr>
      <w:autoSpaceDE w:val="0"/>
      <w:autoSpaceDN w:val="0"/>
      <w:adjustRightInd w:val="0"/>
      <w:spacing w:after="240"/>
    </w:pPr>
    <w:rPr>
      <w:rFonts w:ascii="Courier New" w:hAnsi="Courier New" w:cs="华文细黑"/>
      <w:sz w:val="20"/>
      <w:szCs w:val="20"/>
    </w:rPr>
  </w:style>
  <w:style w:type="paragraph" w:customStyle="1" w:styleId="1233">
    <w:name w:val="11111"/>
    <w:basedOn w:val="1"/>
    <w:next w:val="1"/>
    <w:qFormat/>
    <w:uiPriority w:val="0"/>
    <w:pPr>
      <w:spacing w:line="360" w:lineRule="auto"/>
      <w:ind w:firstLine="200" w:firstLineChars="200"/>
    </w:pPr>
    <w:rPr>
      <w:rFonts w:hAnsi="宋体" w:cs="宋体"/>
      <w:kern w:val="2"/>
      <w:szCs w:val="24"/>
    </w:rPr>
  </w:style>
  <w:style w:type="paragraph" w:customStyle="1" w:styleId="1234">
    <w:name w:val="样式 样式 宋体 小四 行距: 多倍行距 1.4 字行 + 首行缩进:  2 字符"/>
    <w:basedOn w:val="1"/>
    <w:qFormat/>
    <w:uiPriority w:val="0"/>
    <w:pPr>
      <w:spacing w:line="360" w:lineRule="auto"/>
      <w:ind w:firstLine="200" w:firstLineChars="200"/>
    </w:pPr>
    <w:rPr>
      <w:rFonts w:ascii="宋体" w:hAnsi="宋体"/>
      <w:kern w:val="28"/>
      <w:sz w:val="28"/>
      <w:szCs w:val="20"/>
    </w:rPr>
  </w:style>
  <w:style w:type="paragraph" w:customStyle="1" w:styleId="1235">
    <w:name w:val="xl70"/>
    <w:basedOn w:val="1"/>
    <w:qFormat/>
    <w:uiPriority w:val="0"/>
    <w:pPr>
      <w:widowControl/>
      <w:pBdr>
        <w:left w:val="single" w:color="auto" w:sz="4" w:space="0"/>
        <w:bottom w:val="single" w:color="auto" w:sz="8" w:space="0"/>
        <w:right w:val="single" w:color="auto" w:sz="4" w:space="0"/>
      </w:pBdr>
      <w:spacing w:before="100" w:beforeAutospacing="1" w:after="100" w:afterAutospacing="1"/>
      <w:jc w:val="center"/>
      <w:textAlignment w:val="center"/>
    </w:pPr>
    <w:rPr>
      <w:rFonts w:eastAsia="Arial Unicode MS"/>
      <w:kern w:val="0"/>
      <w:szCs w:val="21"/>
    </w:rPr>
  </w:style>
  <w:style w:type="paragraph" w:customStyle="1" w:styleId="1236">
    <w:name w:val="样式 样式 样式 报告正文 + 首行缩进:  0.71 厘米 + 首行缩进:  2 字符 + 首行缩进:  2 字符"/>
    <w:basedOn w:val="1"/>
    <w:qFormat/>
    <w:uiPriority w:val="0"/>
    <w:pPr>
      <w:autoSpaceDE w:val="0"/>
      <w:autoSpaceDN w:val="0"/>
      <w:adjustRightInd w:val="0"/>
      <w:spacing w:line="500" w:lineRule="exact"/>
      <w:ind w:firstLine="538" w:firstLineChars="192"/>
    </w:pPr>
    <w:rPr>
      <w:rFonts w:ascii="仿宋_GB2312" w:hAnsi="宋体" w:eastAsia="仿宋_GB2312"/>
      <w:sz w:val="28"/>
      <w:szCs w:val="28"/>
    </w:rPr>
  </w:style>
  <w:style w:type="paragraph" w:customStyle="1" w:styleId="1237">
    <w:name w:val="标题 71"/>
    <w:basedOn w:val="1"/>
    <w:next w:val="1"/>
    <w:qFormat/>
    <w:uiPriority w:val="0"/>
    <w:pPr>
      <w:keepNext/>
      <w:keepLines/>
      <w:tabs>
        <w:tab w:val="left" w:pos="0"/>
      </w:tabs>
      <w:adjustRightInd w:val="0"/>
      <w:spacing w:after="64" w:line="320" w:lineRule="atLeast"/>
      <w:ind w:left="3401" w:hanging="425"/>
      <w:textAlignment w:val="baseline"/>
      <w:outlineLvl w:val="6"/>
    </w:pPr>
    <w:rPr>
      <w:rFonts w:hint="eastAsia"/>
      <w:b/>
      <w:kern w:val="0"/>
      <w:sz w:val="24"/>
      <w:szCs w:val="20"/>
    </w:rPr>
  </w:style>
  <w:style w:type="paragraph" w:customStyle="1" w:styleId="1238">
    <w:name w:val="Char Char Char1 Char Char Char Char"/>
    <w:basedOn w:val="1"/>
    <w:semiHidden/>
    <w:qFormat/>
    <w:uiPriority w:val="0"/>
    <w:pPr>
      <w:jc w:val="center"/>
    </w:pPr>
    <w:rPr>
      <w:szCs w:val="20"/>
    </w:rPr>
  </w:style>
  <w:style w:type="paragraph" w:customStyle="1" w:styleId="1239">
    <w:name w:val="作者姓名"/>
    <w:next w:val="1"/>
    <w:qFormat/>
    <w:uiPriority w:val="0"/>
    <w:pPr>
      <w:widowControl w:val="0"/>
      <w:adjustRightInd w:val="0"/>
      <w:snapToGrid w:val="0"/>
      <w:jc w:val="center"/>
    </w:pPr>
    <w:rPr>
      <w:rFonts w:ascii="方正隶变简体" w:hAnsi="Times New Roman" w:eastAsia="方正隶变简体" w:cs="Times New Roman"/>
      <w:kern w:val="2"/>
      <w:sz w:val="28"/>
      <w:szCs w:val="24"/>
      <w:lang w:val="en-US" w:eastAsia="zh-CN" w:bidi="ar-SA"/>
    </w:rPr>
  </w:style>
  <w:style w:type="paragraph" w:customStyle="1" w:styleId="1240">
    <w:name w:val="样式 标题 2 + (西文) Times New Roman (中文) 宋体 黑色"/>
    <w:basedOn w:val="6"/>
    <w:qFormat/>
    <w:uiPriority w:val="0"/>
    <w:pPr>
      <w:tabs>
        <w:tab w:val="left" w:pos="540"/>
        <w:tab w:val="left" w:pos="1322"/>
      </w:tabs>
      <w:spacing w:before="120" w:beforeLines="50" w:after="120" w:afterLines="50" w:line="400" w:lineRule="atLeast"/>
      <w:ind w:left="1322" w:hanging="420" w:firstLineChars="10"/>
    </w:pPr>
    <w:rPr>
      <w:rFonts w:hAnsi="Arial" w:eastAsia="仿宋_GB2312"/>
      <w:b w:val="0"/>
      <w:bCs w:val="0"/>
      <w:snapToGrid w:val="0"/>
      <w:kern w:val="0"/>
      <w:sz w:val="28"/>
      <w:szCs w:val="32"/>
      <w:lang w:val="zh-CN"/>
    </w:rPr>
  </w:style>
  <w:style w:type="paragraph" w:customStyle="1" w:styleId="1241">
    <w:name w:val="xl3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kern w:val="0"/>
      <w:szCs w:val="21"/>
    </w:rPr>
  </w:style>
  <w:style w:type="paragraph" w:customStyle="1" w:styleId="1242">
    <w:name w:val="标-7"/>
    <w:basedOn w:val="1"/>
    <w:qFormat/>
    <w:uiPriority w:val="0"/>
    <w:pPr>
      <w:tabs>
        <w:tab w:val="left" w:pos="420"/>
      </w:tabs>
      <w:spacing w:before="120"/>
      <w:ind w:left="1701" w:hanging="425"/>
    </w:pPr>
    <w:rPr>
      <w:sz w:val="24"/>
      <w:szCs w:val="20"/>
    </w:rPr>
  </w:style>
  <w:style w:type="paragraph" w:customStyle="1" w:styleId="1243">
    <w:name w:val="8级"/>
    <w:qFormat/>
    <w:uiPriority w:val="0"/>
    <w:pPr>
      <w:tabs>
        <w:tab w:val="left" w:pos="1920"/>
      </w:tabs>
      <w:spacing w:before="163" w:beforeLines="50" w:after="163" w:afterLines="50"/>
    </w:pPr>
    <w:rPr>
      <w:rFonts w:ascii="Arial" w:hAnsi="Arial" w:eastAsia="宋体" w:cs="Arial"/>
      <w:kern w:val="2"/>
      <w:sz w:val="22"/>
      <w:szCs w:val="24"/>
      <w:lang w:val="en-US" w:eastAsia="zh-CN" w:bidi="ar-SA"/>
    </w:rPr>
  </w:style>
  <w:style w:type="paragraph" w:customStyle="1" w:styleId="1244">
    <w:name w:val="xl11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00"/>
      <w:kern w:val="0"/>
      <w:sz w:val="28"/>
      <w:szCs w:val="28"/>
    </w:rPr>
  </w:style>
  <w:style w:type="paragraph" w:customStyle="1" w:styleId="1245">
    <w:name w:val="目录标题2"/>
    <w:basedOn w:val="557"/>
    <w:qFormat/>
    <w:uiPriority w:val="0"/>
    <w:pPr>
      <w:ind w:firstLine="602"/>
      <w:jc w:val="left"/>
    </w:pPr>
    <w:rPr>
      <w:sz w:val="24"/>
      <w:szCs w:val="24"/>
    </w:rPr>
  </w:style>
  <w:style w:type="paragraph" w:customStyle="1" w:styleId="1246">
    <w:name w:val="font6"/>
    <w:basedOn w:val="1"/>
    <w:qFormat/>
    <w:uiPriority w:val="0"/>
    <w:pPr>
      <w:widowControl/>
      <w:spacing w:before="100" w:beforeAutospacing="1" w:after="100" w:afterAutospacing="1"/>
      <w:jc w:val="left"/>
    </w:pPr>
    <w:rPr>
      <w:rFonts w:hint="eastAsia" w:ascii="宋体" w:hAnsi="宋体"/>
      <w:kern w:val="0"/>
      <w:szCs w:val="21"/>
    </w:rPr>
  </w:style>
  <w:style w:type="paragraph" w:customStyle="1" w:styleId="1247">
    <w:name w:val="标题目录"/>
    <w:basedOn w:val="1"/>
    <w:qFormat/>
    <w:uiPriority w:val="0"/>
    <w:pPr>
      <w:spacing w:before="120"/>
      <w:jc w:val="center"/>
    </w:pPr>
    <w:rPr>
      <w:rFonts w:ascii="长城黑体" w:eastAsia="长城黑体"/>
      <w:color w:val="000080"/>
      <w:sz w:val="44"/>
      <w:szCs w:val="20"/>
    </w:rPr>
  </w:style>
  <w:style w:type="paragraph" w:customStyle="1" w:styleId="1248">
    <w:name w:val="样式 标题 1Heading 1pHeading 1p1Heading 1p2Heading 1p11Heading ..."/>
    <w:basedOn w:val="5"/>
    <w:qFormat/>
    <w:uiPriority w:val="0"/>
    <w:pPr>
      <w:widowControl/>
      <w:spacing w:before="0" w:after="0" w:line="900" w:lineRule="exact"/>
      <w:ind w:left="432" w:hanging="432"/>
    </w:pPr>
    <w:rPr>
      <w:rFonts w:ascii="宋体" w:hAnsi="宋体" w:cs="Arial"/>
      <w:color w:val="000000"/>
      <w:sz w:val="24"/>
      <w:szCs w:val="20"/>
    </w:rPr>
  </w:style>
  <w:style w:type="paragraph" w:customStyle="1" w:styleId="1249">
    <w:name w:val="标题 4() + 宋体 小三 非加粗 居中 段前: 12 磅 段后: ..."/>
    <w:basedOn w:val="8"/>
    <w:qFormat/>
    <w:uiPriority w:val="0"/>
    <w:pPr>
      <w:numPr>
        <w:ilvl w:val="0"/>
        <w:numId w:val="0"/>
      </w:numPr>
      <w:tabs>
        <w:tab w:val="clear" w:pos="864"/>
      </w:tabs>
      <w:spacing w:before="120" w:line="440" w:lineRule="exact"/>
      <w:jc w:val="both"/>
    </w:pPr>
    <w:rPr>
      <w:rFonts w:ascii="黑体" w:hAnsi="宋体" w:eastAsia="宋体" w:cs="宋体"/>
      <w:sz w:val="24"/>
      <w:szCs w:val="24"/>
    </w:rPr>
  </w:style>
  <w:style w:type="paragraph" w:customStyle="1" w:styleId="1250">
    <w:name w:val="xl68"/>
    <w:basedOn w:val="1"/>
    <w:qFormat/>
    <w:uiPriority w:val="0"/>
    <w:pPr>
      <w:widowControl/>
      <w:pBdr>
        <w:left w:val="single" w:color="auto" w:sz="8" w:space="0"/>
        <w:bottom w:val="single" w:color="auto" w:sz="8" w:space="0"/>
        <w:right w:val="single" w:color="auto" w:sz="4" w:space="0"/>
      </w:pBdr>
      <w:spacing w:before="100" w:beforeAutospacing="1" w:after="100" w:afterAutospacing="1"/>
      <w:jc w:val="center"/>
      <w:textAlignment w:val="center"/>
    </w:pPr>
    <w:rPr>
      <w:rFonts w:eastAsia="Arial Unicode MS"/>
      <w:kern w:val="0"/>
      <w:sz w:val="20"/>
      <w:szCs w:val="20"/>
    </w:rPr>
  </w:style>
  <w:style w:type="paragraph" w:customStyle="1" w:styleId="1251">
    <w:name w:val="xl97"/>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FF"/>
      <w:kern w:val="0"/>
      <w:sz w:val="28"/>
      <w:szCs w:val="28"/>
    </w:rPr>
  </w:style>
  <w:style w:type="paragraph" w:customStyle="1" w:styleId="1252">
    <w:name w:val="b-zw"/>
    <w:basedOn w:val="1"/>
    <w:qFormat/>
    <w:uiPriority w:val="0"/>
    <w:pPr>
      <w:widowControl/>
      <w:tabs>
        <w:tab w:val="left" w:pos="180"/>
      </w:tabs>
      <w:spacing w:line="480" w:lineRule="exact"/>
      <w:ind w:firstLine="480" w:firstLineChars="200"/>
      <w:jc w:val="left"/>
    </w:pPr>
    <w:rPr>
      <w:rFonts w:ascii="宋体" w:hAnsi="宋体" w:cs="宋体"/>
      <w:color w:val="000000"/>
      <w:sz w:val="24"/>
      <w:szCs w:val="20"/>
    </w:rPr>
  </w:style>
  <w:style w:type="paragraph" w:customStyle="1" w:styleId="1253">
    <w:name w:val="xl127"/>
    <w:basedOn w:val="1"/>
    <w:qFormat/>
    <w:uiPriority w:val="0"/>
    <w:pPr>
      <w:widowControl/>
      <w:pBdr>
        <w:top w:val="single" w:color="auto" w:sz="12"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华文细黑" w:hAnsi="华文细黑" w:eastAsia="华文细黑" w:cs="TimesNewRomanPSMT"/>
      <w:b/>
      <w:bCs/>
      <w:color w:val="FF00FF"/>
      <w:kern w:val="0"/>
      <w:sz w:val="16"/>
      <w:szCs w:val="16"/>
    </w:rPr>
  </w:style>
  <w:style w:type="paragraph" w:customStyle="1" w:styleId="1254">
    <w:name w:val="正文文本缩进 2 New"/>
    <w:basedOn w:val="738"/>
    <w:qFormat/>
    <w:uiPriority w:val="0"/>
    <w:pPr>
      <w:spacing w:after="120" w:afterLines="0" w:line="480" w:lineRule="auto"/>
      <w:ind w:left="420" w:leftChars="200"/>
    </w:pPr>
    <w:rPr>
      <w:rFonts w:ascii="Times New Roman" w:hAnsi="Times New Roman" w:eastAsia="宋体" w:cs="Times New Roman"/>
      <w:sz w:val="24"/>
      <w:szCs w:val="24"/>
    </w:rPr>
  </w:style>
  <w:style w:type="paragraph" w:customStyle="1" w:styleId="1255">
    <w:name w:val="xl148"/>
    <w:basedOn w:val="1"/>
    <w:qFormat/>
    <w:uiPriority w:val="0"/>
    <w:pPr>
      <w:widowControl/>
      <w:pBdr>
        <w:top w:val="single" w:color="auto" w:sz="4" w:space="0"/>
        <w:left w:val="single" w:color="auto" w:sz="4" w:space="0"/>
        <w:bottom w:val="single" w:color="auto" w:sz="12"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b/>
      <w:bCs/>
      <w:i/>
      <w:iCs/>
      <w:color w:val="003366"/>
      <w:kern w:val="0"/>
      <w:sz w:val="16"/>
      <w:szCs w:val="16"/>
    </w:rPr>
  </w:style>
  <w:style w:type="paragraph" w:customStyle="1" w:styleId="1256">
    <w:name w:val="xl7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1257">
    <w:name w:val="文-1"/>
    <w:basedOn w:val="1"/>
    <w:qFormat/>
    <w:uiPriority w:val="0"/>
    <w:pPr>
      <w:spacing w:before="120"/>
      <w:ind w:left="851" w:firstLine="482"/>
    </w:pPr>
    <w:rPr>
      <w:sz w:val="24"/>
      <w:szCs w:val="20"/>
    </w:rPr>
  </w:style>
  <w:style w:type="paragraph" w:customStyle="1" w:styleId="1258">
    <w:name w:val="font5"/>
    <w:basedOn w:val="1"/>
    <w:qFormat/>
    <w:uiPriority w:val="0"/>
    <w:pPr>
      <w:widowControl/>
      <w:spacing w:before="100" w:beforeAutospacing="1" w:after="100" w:afterAutospacing="1"/>
      <w:jc w:val="left"/>
    </w:pPr>
    <w:rPr>
      <w:rFonts w:eastAsia="Arial Unicode MS"/>
      <w:kern w:val="0"/>
      <w:szCs w:val="21"/>
    </w:rPr>
  </w:style>
  <w:style w:type="paragraph" w:customStyle="1" w:styleId="1259">
    <w:name w:val="正文文本 21"/>
    <w:basedOn w:val="1"/>
    <w:qFormat/>
    <w:uiPriority w:val="0"/>
    <w:pPr>
      <w:adjustRightInd w:val="0"/>
      <w:spacing w:before="120"/>
      <w:ind w:firstLine="482"/>
      <w:jc w:val="left"/>
    </w:pPr>
    <w:rPr>
      <w:rFonts w:hint="eastAsia" w:ascii="宋体"/>
      <w:sz w:val="24"/>
      <w:szCs w:val="20"/>
    </w:rPr>
  </w:style>
  <w:style w:type="paragraph" w:customStyle="1" w:styleId="1260">
    <w:name w:val="table of figures"/>
    <w:basedOn w:val="374"/>
    <w:next w:val="374"/>
    <w:qFormat/>
    <w:uiPriority w:val="0"/>
    <w:pPr>
      <w:tabs>
        <w:tab w:val="right" w:leader="dot" w:pos="8051"/>
      </w:tabs>
      <w:ind w:left="840" w:hanging="840"/>
      <w:textAlignment w:val="baseline"/>
    </w:pPr>
    <w:rPr>
      <w:rFonts w:hint="default"/>
    </w:rPr>
  </w:style>
  <w:style w:type="paragraph" w:customStyle="1" w:styleId="1261">
    <w:name w:val="样式 标题 1 + 段前: 2 行 段后: 2 行"/>
    <w:basedOn w:val="5"/>
    <w:qFormat/>
    <w:uiPriority w:val="0"/>
    <w:pPr>
      <w:tabs>
        <w:tab w:val="left" w:pos="-180"/>
        <w:tab w:val="left" w:pos="432"/>
      </w:tabs>
      <w:spacing w:before="312" w:beforeLines="100" w:after="312" w:afterLines="100" w:line="360" w:lineRule="auto"/>
      <w:ind w:left="432" w:hanging="432"/>
    </w:pPr>
    <w:rPr>
      <w:rFonts w:eastAsia="方正粗圆简体"/>
      <w:sz w:val="36"/>
      <w:szCs w:val="36"/>
    </w:rPr>
  </w:style>
  <w:style w:type="paragraph" w:customStyle="1" w:styleId="1262">
    <w:name w:val="封面标题1"/>
    <w:basedOn w:val="1"/>
    <w:qFormat/>
    <w:uiPriority w:val="0"/>
    <w:pPr>
      <w:adjustRightInd w:val="0"/>
      <w:snapToGrid w:val="0"/>
      <w:spacing w:line="360" w:lineRule="auto"/>
      <w:jc w:val="center"/>
    </w:pPr>
    <w:rPr>
      <w:rFonts w:ascii="Arial" w:hAnsi="Arial" w:cs="Arial"/>
      <w:b/>
      <w:kern w:val="0"/>
      <w:sz w:val="30"/>
      <w:szCs w:val="20"/>
    </w:rPr>
  </w:style>
  <w:style w:type="paragraph" w:customStyle="1" w:styleId="1263">
    <w:name w:val="样式 标题 3 + 段前: 0.25 行 段后: 0.25 行2"/>
    <w:basedOn w:val="7"/>
    <w:qFormat/>
    <w:uiPriority w:val="0"/>
    <w:pPr>
      <w:keepNext w:val="0"/>
      <w:numPr>
        <w:ilvl w:val="0"/>
        <w:numId w:val="0"/>
      </w:numPr>
      <w:suppressLineNumbers/>
      <w:tabs>
        <w:tab w:val="left" w:pos="1134"/>
        <w:tab w:val="left" w:pos="1880"/>
      </w:tabs>
      <w:suppressAutoHyphens/>
      <w:topLinePunct/>
      <w:adjustRightInd w:val="0"/>
      <w:snapToGrid w:val="0"/>
      <w:spacing w:before="25" w:beforeLines="25" w:after="25" w:afterLines="25" w:line="360" w:lineRule="auto"/>
      <w:ind w:left="1418" w:hanging="420" w:firstLineChars="186"/>
      <w:jc w:val="left"/>
      <w:textAlignment w:val="baseline"/>
    </w:pPr>
    <w:rPr>
      <w:rFonts w:ascii="宋体" w:eastAsia="宋体"/>
      <w:bCs w:val="0"/>
      <w:snapToGrid w:val="0"/>
      <w:kern w:val="0"/>
    </w:rPr>
  </w:style>
  <w:style w:type="paragraph" w:customStyle="1" w:styleId="1264">
    <w:name w:val="宏文本1"/>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hint="eastAsia" w:ascii="Courier New" w:hAnsi="Courier New" w:eastAsia="宋体" w:cs="Times New Roman"/>
      <w:kern w:val="2"/>
      <w:sz w:val="24"/>
      <w:szCs w:val="24"/>
      <w:lang w:val="en-US" w:eastAsia="zh-CN" w:bidi="ar-SA"/>
    </w:rPr>
  </w:style>
  <w:style w:type="paragraph" w:customStyle="1" w:styleId="1265">
    <w:name w:val="标-5"/>
    <w:basedOn w:val="1"/>
    <w:qFormat/>
    <w:uiPriority w:val="0"/>
    <w:pPr>
      <w:tabs>
        <w:tab w:val="right" w:leader="dot" w:pos="8789"/>
      </w:tabs>
      <w:spacing w:before="120"/>
      <w:ind w:left="1276" w:hanging="425"/>
    </w:pPr>
    <w:rPr>
      <w:sz w:val="24"/>
      <w:szCs w:val="20"/>
    </w:rPr>
  </w:style>
  <w:style w:type="paragraph" w:customStyle="1" w:styleId="1266">
    <w:name w:val="xl174"/>
    <w:basedOn w:val="1"/>
    <w:qFormat/>
    <w:uiPriority w:val="0"/>
    <w:pPr>
      <w:widowControl/>
      <w:pBdr>
        <w:left w:val="single" w:color="auto" w:sz="12"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1267">
    <w:name w:val="xl11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1268">
    <w:name w:val="特殊标题３"/>
    <w:basedOn w:val="1"/>
    <w:qFormat/>
    <w:uiPriority w:val="0"/>
    <w:pPr>
      <w:overflowPunct w:val="0"/>
      <w:autoSpaceDE w:val="0"/>
      <w:autoSpaceDN w:val="0"/>
      <w:adjustRightInd w:val="0"/>
      <w:spacing w:line="360" w:lineRule="auto"/>
      <w:textAlignment w:val="baseline"/>
    </w:pPr>
    <w:rPr>
      <w:rFonts w:eastAsia="仿宋_GB2312"/>
      <w:kern w:val="0"/>
      <w:sz w:val="28"/>
      <w:szCs w:val="20"/>
    </w:rPr>
  </w:style>
  <w:style w:type="paragraph" w:customStyle="1" w:styleId="1269">
    <w:name w:val="xl122"/>
    <w:basedOn w:val="1"/>
    <w:qFormat/>
    <w:uiPriority w:val="0"/>
    <w:pPr>
      <w:widowControl/>
      <w:pBdr>
        <w:left w:val="single" w:color="auto" w:sz="4" w:space="0"/>
        <w:right w:val="single" w:color="auto" w:sz="4" w:space="0"/>
      </w:pBdr>
      <w:spacing w:before="100" w:beforeAutospacing="1" w:after="100" w:afterAutospacing="1"/>
      <w:jc w:val="center"/>
    </w:pPr>
    <w:rPr>
      <w:rFonts w:hint="eastAsia" w:ascii="楷体_GB2312" w:hAnsi="Arial Unicode MS" w:eastAsia="楷体_GB2312" w:cs="TimesNewRomanPSMT"/>
      <w:b/>
      <w:bCs/>
      <w:kern w:val="0"/>
      <w:sz w:val="16"/>
      <w:szCs w:val="16"/>
    </w:rPr>
  </w:style>
  <w:style w:type="paragraph" w:customStyle="1" w:styleId="1270">
    <w:name w:val="样式 5 + 首行缩进:  2 字符1"/>
    <w:basedOn w:val="202"/>
    <w:qFormat/>
    <w:uiPriority w:val="0"/>
    <w:pPr>
      <w:adjustRightInd w:val="0"/>
      <w:spacing w:line="480" w:lineRule="auto"/>
      <w:ind w:firstLine="600" w:firstLineChars="200"/>
      <w:jc w:val="left"/>
      <w:textAlignment w:val="baseline"/>
    </w:pPr>
    <w:rPr>
      <w:rFonts w:ascii="楷体_GB2312" w:hAnsi="Times New Roman" w:eastAsia="楷体_GB2312" w:cs="宋体"/>
      <w:kern w:val="0"/>
      <w:sz w:val="30"/>
    </w:rPr>
  </w:style>
  <w:style w:type="paragraph" w:customStyle="1" w:styleId="1271">
    <w:name w:val="J【表中文字】"/>
    <w:basedOn w:val="1"/>
    <w:qFormat/>
    <w:uiPriority w:val="0"/>
    <w:pPr>
      <w:jc w:val="center"/>
      <w:textAlignment w:val="center"/>
    </w:pPr>
    <w:rPr>
      <w:rFonts w:cs="宋体"/>
      <w:szCs w:val="21"/>
    </w:rPr>
  </w:style>
  <w:style w:type="paragraph" w:customStyle="1" w:styleId="1272">
    <w:name w:val="中文表标题"/>
    <w:basedOn w:val="1"/>
    <w:next w:val="1"/>
    <w:qFormat/>
    <w:uiPriority w:val="0"/>
    <w:pPr>
      <w:keepNext/>
      <w:widowControl/>
      <w:overflowPunct w:val="0"/>
      <w:adjustRightInd w:val="0"/>
      <w:snapToGrid w:val="0"/>
      <w:spacing w:before="480" w:after="360" w:line="500" w:lineRule="exact"/>
      <w:jc w:val="center"/>
      <w:textAlignment w:val="baseline"/>
    </w:pPr>
    <w:rPr>
      <w:rFonts w:eastAsia="楷体_GB2312"/>
      <w:kern w:val="0"/>
      <w:sz w:val="28"/>
      <w:szCs w:val="20"/>
    </w:rPr>
  </w:style>
  <w:style w:type="paragraph" w:customStyle="1" w:styleId="1273">
    <w:name w:val="表格文字样式"/>
    <w:basedOn w:val="1"/>
    <w:semiHidden/>
    <w:qFormat/>
    <w:uiPriority w:val="0"/>
    <w:pPr>
      <w:tabs>
        <w:tab w:val="left" w:pos="567"/>
      </w:tabs>
      <w:spacing w:line="360" w:lineRule="auto"/>
      <w:ind w:firstLine="200" w:firstLineChars="200"/>
      <w:jc w:val="center"/>
    </w:pPr>
    <w:rPr>
      <w:rFonts w:eastAsia="华文中宋"/>
      <w:spacing w:val="20"/>
      <w:sz w:val="24"/>
      <w:szCs w:val="20"/>
    </w:rPr>
  </w:style>
  <w:style w:type="paragraph" w:customStyle="1" w:styleId="1274">
    <w:name w:val="xl1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eastAsia="Arial Unicode MS"/>
      <w:color w:val="FF0000"/>
      <w:kern w:val="0"/>
      <w:sz w:val="16"/>
      <w:szCs w:val="16"/>
    </w:rPr>
  </w:style>
  <w:style w:type="paragraph" w:customStyle="1" w:styleId="1275">
    <w:name w:val="样式 标题 3 + Arial"/>
    <w:basedOn w:val="1"/>
    <w:qFormat/>
    <w:uiPriority w:val="0"/>
    <w:rPr>
      <w:szCs w:val="20"/>
    </w:rPr>
  </w:style>
  <w:style w:type="paragraph" w:customStyle="1" w:styleId="1276">
    <w:name w:val="标题 2 + 段前: 1 行"/>
    <w:basedOn w:val="6"/>
    <w:qFormat/>
    <w:uiPriority w:val="0"/>
    <w:pPr>
      <w:keepNext w:val="0"/>
      <w:keepLines w:val="0"/>
      <w:numPr>
        <w:ilvl w:val="1"/>
        <w:numId w:val="0"/>
      </w:numPr>
      <w:tabs>
        <w:tab w:val="left" w:pos="480"/>
      </w:tabs>
      <w:adjustRightInd w:val="0"/>
      <w:snapToGrid w:val="0"/>
      <w:spacing w:before="260" w:beforeLines="100" w:after="0" w:line="360" w:lineRule="auto"/>
      <w:ind w:left="480" w:leftChars="300" w:hanging="420"/>
      <w:jc w:val="left"/>
    </w:pPr>
    <w:rPr>
      <w:rFonts w:ascii="仿宋_GB2312" w:hAnsi="Arial" w:eastAsia="仿宋_GB2312" w:cs="宋体"/>
      <w:bCs w:val="0"/>
      <w:snapToGrid w:val="0"/>
      <w:kern w:val="0"/>
      <w:sz w:val="24"/>
    </w:rPr>
  </w:style>
  <w:style w:type="paragraph" w:customStyle="1" w:styleId="1277">
    <w:name w:val="xl42"/>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eastAsia="Arial Unicode MS"/>
      <w:kern w:val="0"/>
      <w:szCs w:val="21"/>
    </w:rPr>
  </w:style>
  <w:style w:type="paragraph" w:customStyle="1" w:styleId="1278">
    <w:name w:val="附录三级条"/>
    <w:basedOn w:val="1"/>
    <w:next w:val="8"/>
    <w:qFormat/>
    <w:uiPriority w:val="0"/>
    <w:pPr>
      <w:widowControl/>
      <w:tabs>
        <w:tab w:val="left" w:pos="360"/>
      </w:tabs>
      <w:spacing w:line="360" w:lineRule="auto"/>
      <w:ind w:left="360" w:hanging="360"/>
      <w:jc w:val="left"/>
    </w:pPr>
    <w:rPr>
      <w:rFonts w:ascii="宋体"/>
      <w:kern w:val="0"/>
      <w:sz w:val="24"/>
      <w:szCs w:val="20"/>
    </w:rPr>
  </w:style>
  <w:style w:type="paragraph" w:customStyle="1" w:styleId="1279">
    <w:name w:val="表第一列"/>
    <w:basedOn w:val="2"/>
    <w:semiHidden/>
    <w:qFormat/>
    <w:uiPriority w:val="0"/>
    <w:pPr>
      <w:keepNext/>
      <w:keepLines/>
      <w:tabs>
        <w:tab w:val="left" w:pos="1727"/>
        <w:tab w:val="left" w:pos="1884"/>
        <w:tab w:val="left" w:pos="2940"/>
      </w:tabs>
      <w:adjustRightInd w:val="0"/>
      <w:snapToGrid w:val="0"/>
      <w:spacing w:after="0" w:line="0" w:lineRule="atLeast"/>
      <w:ind w:firstLine="0" w:firstLineChars="0"/>
      <w:jc w:val="center"/>
    </w:pPr>
    <w:rPr>
      <w:rFonts w:ascii="宋体" w:hAnsi="宋体"/>
      <w:color w:val="000000"/>
      <w:spacing w:val="-4"/>
      <w:kern w:val="0"/>
      <w:sz w:val="20"/>
      <w:szCs w:val="20"/>
    </w:rPr>
  </w:style>
  <w:style w:type="paragraph" w:customStyle="1" w:styleId="1280">
    <w:name w:val="表格文字－小四"/>
    <w:basedOn w:val="1"/>
    <w:qFormat/>
    <w:uiPriority w:val="0"/>
    <w:pPr>
      <w:adjustRightInd w:val="0"/>
      <w:snapToGrid w:val="0"/>
      <w:spacing w:line="360" w:lineRule="auto"/>
    </w:pPr>
    <w:rPr>
      <w:sz w:val="24"/>
    </w:rPr>
  </w:style>
  <w:style w:type="paragraph" w:customStyle="1" w:styleId="1281">
    <w:name w:val="xl144"/>
    <w:basedOn w:val="1"/>
    <w:qFormat/>
    <w:uiPriority w:val="0"/>
    <w:pPr>
      <w:widowControl/>
      <w:pBdr>
        <w:top w:val="single" w:color="auto" w:sz="4" w:space="0"/>
        <w:left w:val="single" w:color="auto" w:sz="4" w:space="0"/>
        <w:bottom w:val="single" w:color="auto" w:sz="4" w:space="0"/>
        <w:right w:val="single" w:color="auto" w:sz="12" w:space="0"/>
      </w:pBdr>
      <w:spacing w:before="100" w:beforeAutospacing="1" w:after="100" w:afterAutospacing="1"/>
      <w:jc w:val="center"/>
      <w:textAlignment w:val="center"/>
    </w:pPr>
    <w:rPr>
      <w:rFonts w:hint="eastAsia" w:ascii="楷体_GB2312" w:hAnsi="Arial Unicode MS" w:eastAsia="楷体_GB2312" w:cs="TimesNewRomanPSMT"/>
      <w:i/>
      <w:iCs/>
      <w:kern w:val="0"/>
      <w:sz w:val="16"/>
      <w:szCs w:val="16"/>
    </w:rPr>
  </w:style>
  <w:style w:type="paragraph" w:customStyle="1" w:styleId="1282">
    <w:name w:val="xl72"/>
    <w:basedOn w:val="1"/>
    <w:qFormat/>
    <w:uiPriority w:val="0"/>
    <w:pPr>
      <w:widowControl/>
      <w:pBdr>
        <w:left w:val="single" w:color="auto" w:sz="4" w:space="0"/>
        <w:bottom w:val="single" w:color="auto" w:sz="8" w:space="0"/>
        <w:right w:val="single" w:color="auto" w:sz="8" w:space="0"/>
      </w:pBdr>
      <w:spacing w:before="100" w:beforeAutospacing="1" w:after="100" w:afterAutospacing="1"/>
      <w:jc w:val="left"/>
      <w:textAlignment w:val="center"/>
    </w:pPr>
    <w:rPr>
      <w:rFonts w:ascii="Arial Unicode MS" w:hAnsi="Arial Unicode MS" w:eastAsia="Arial Unicode MS"/>
      <w:kern w:val="0"/>
      <w:sz w:val="24"/>
    </w:rPr>
  </w:style>
  <w:style w:type="paragraph" w:customStyle="1" w:styleId="1283">
    <w:name w:val="表标"/>
    <w:basedOn w:val="1"/>
    <w:qFormat/>
    <w:uiPriority w:val="0"/>
    <w:pPr>
      <w:keepNext/>
      <w:snapToGrid w:val="0"/>
      <w:spacing w:beforeLines="50" w:line="360" w:lineRule="auto"/>
      <w:ind w:firstLine="200" w:firstLineChars="200"/>
      <w:jc w:val="left"/>
    </w:pPr>
    <w:rPr>
      <w:rFonts w:ascii="Trebuchet MS" w:hAnsi="Trebuchet MS"/>
      <w:color w:val="000000"/>
      <w:sz w:val="28"/>
      <w:szCs w:val="21"/>
    </w:rPr>
  </w:style>
  <w:style w:type="paragraph" w:customStyle="1" w:styleId="1284">
    <w:name w:val="reader-word-layer reader-word-s1-23"/>
    <w:basedOn w:val="1"/>
    <w:qFormat/>
    <w:uiPriority w:val="0"/>
    <w:pPr>
      <w:widowControl/>
      <w:spacing w:before="100" w:beforeAutospacing="1" w:after="100" w:afterAutospacing="1"/>
      <w:jc w:val="left"/>
    </w:pPr>
    <w:rPr>
      <w:rFonts w:ascii="宋体" w:hAnsi="宋体" w:cs="宋体"/>
      <w:kern w:val="0"/>
      <w:sz w:val="24"/>
    </w:rPr>
  </w:style>
  <w:style w:type="paragraph" w:customStyle="1" w:styleId="1285">
    <w:name w:val="２－２标题"/>
    <w:basedOn w:val="6"/>
    <w:next w:val="3"/>
    <w:qFormat/>
    <w:uiPriority w:val="0"/>
    <w:pPr>
      <w:widowControl/>
      <w:tabs>
        <w:tab w:val="left" w:pos="540"/>
        <w:tab w:val="left" w:pos="1322"/>
      </w:tabs>
      <w:spacing w:before="0" w:beforeLines="50" w:after="0" w:afterLines="50"/>
      <w:ind w:left="1322" w:hanging="420" w:firstLineChars="10"/>
      <w:jc w:val="center"/>
    </w:pPr>
    <w:rPr>
      <w:rFonts w:ascii="Arial" w:hAnsi="宋体" w:eastAsia="仿宋_GB2312"/>
      <w:b w:val="0"/>
      <w:bCs w:val="0"/>
      <w:snapToGrid w:val="0"/>
      <w:kern w:val="0"/>
      <w:sz w:val="30"/>
      <w:szCs w:val="32"/>
      <w:lang w:val="zh-CN"/>
    </w:rPr>
  </w:style>
  <w:style w:type="paragraph" w:customStyle="1" w:styleId="1286">
    <w:name w:val="xl154"/>
    <w:basedOn w:val="1"/>
    <w:qFormat/>
    <w:uiPriority w:val="0"/>
    <w:pPr>
      <w:widowControl/>
      <w:pBdr>
        <w:top w:val="single" w:color="auto" w:sz="4" w:space="0"/>
        <w:bottom w:val="single" w:color="auto" w:sz="12" w:space="0"/>
      </w:pBdr>
      <w:spacing w:before="100" w:beforeAutospacing="1" w:after="100" w:afterAutospacing="1"/>
      <w:jc w:val="center"/>
      <w:textAlignment w:val="center"/>
    </w:pPr>
    <w:rPr>
      <w:rFonts w:hint="eastAsia" w:ascii="华文隶书" w:hAnsi="Arial Unicode MS" w:eastAsia="华文隶书" w:cs="TimesNewRomanPSMT"/>
      <w:b/>
      <w:bCs/>
      <w:color w:val="0000FF"/>
      <w:kern w:val="0"/>
      <w:sz w:val="16"/>
      <w:szCs w:val="16"/>
    </w:rPr>
  </w:style>
  <w:style w:type="paragraph" w:customStyle="1" w:styleId="1287">
    <w:name w:val="xl145"/>
    <w:basedOn w:val="1"/>
    <w:qFormat/>
    <w:uiPriority w:val="0"/>
    <w:pPr>
      <w:widowControl/>
      <w:pBdr>
        <w:top w:val="single" w:color="auto" w:sz="4" w:space="0"/>
        <w:left w:val="single" w:color="auto" w:sz="4" w:space="0"/>
        <w:bottom w:val="single" w:color="auto" w:sz="12" w:space="0"/>
        <w:right w:val="single" w:color="auto" w:sz="4" w:space="0"/>
      </w:pBdr>
      <w:spacing w:before="100" w:beforeAutospacing="1" w:after="100" w:afterAutospacing="1"/>
      <w:jc w:val="center"/>
      <w:textAlignment w:val="center"/>
    </w:pPr>
    <w:rPr>
      <w:rFonts w:hint="eastAsia" w:ascii="楷体_GB2312" w:hAnsi="Arial Unicode MS" w:eastAsia="楷体_GB2312" w:cs="TimesNewRomanPSMT"/>
      <w:kern w:val="0"/>
      <w:sz w:val="16"/>
      <w:szCs w:val="16"/>
    </w:rPr>
  </w:style>
  <w:style w:type="paragraph" w:customStyle="1" w:styleId="1288">
    <w:name w:val="_Style 1279"/>
    <w:unhideWhenUsed/>
    <w:qFormat/>
    <w:uiPriority w:val="99"/>
    <w:rPr>
      <w:rFonts w:ascii="Times New Roman" w:hAnsi="Times New Roman" w:eastAsia="宋体" w:cs="Times New Roman"/>
      <w:kern w:val="2"/>
      <w:sz w:val="21"/>
      <w:szCs w:val="24"/>
      <w:lang w:val="en-US" w:eastAsia="zh-CN" w:bidi="ar-SA"/>
    </w:rPr>
  </w:style>
  <w:style w:type="paragraph" w:customStyle="1" w:styleId="1289">
    <w:name w:val="表中文字"/>
    <w:basedOn w:val="1"/>
    <w:qFormat/>
    <w:uiPriority w:val="0"/>
    <w:pPr>
      <w:jc w:val="center"/>
    </w:pPr>
    <w:rPr>
      <w:szCs w:val="20"/>
    </w:rPr>
  </w:style>
  <w:style w:type="paragraph" w:customStyle="1" w:styleId="1290">
    <w:name w:val="默认段落字体 Para Char Char Char Char Char Char Char Char Char1 Char Char Char Char"/>
    <w:basedOn w:val="1"/>
    <w:qFormat/>
    <w:uiPriority w:val="0"/>
    <w:rPr>
      <w:rFonts w:ascii="Tahoma" w:hAnsi="Tahoma"/>
      <w:sz w:val="24"/>
      <w:szCs w:val="20"/>
    </w:rPr>
  </w:style>
  <w:style w:type="paragraph" w:customStyle="1" w:styleId="1291">
    <w:name w:val="文件"/>
    <w:basedOn w:val="1"/>
    <w:qFormat/>
    <w:uiPriority w:val="0"/>
    <w:pPr>
      <w:widowControl/>
      <w:tabs>
        <w:tab w:val="left" w:pos="300"/>
      </w:tabs>
      <w:spacing w:line="360" w:lineRule="auto"/>
      <w:ind w:left="900"/>
    </w:pPr>
    <w:rPr>
      <w:rFonts w:ascii="楷体_GB2312" w:hAnsi="宋体" w:eastAsia="楷体_GB2312"/>
      <w:kern w:val="0"/>
      <w:sz w:val="30"/>
    </w:rPr>
  </w:style>
  <w:style w:type="paragraph" w:customStyle="1" w:styleId="1292">
    <w:name w:val="正文00"/>
    <w:basedOn w:val="1"/>
    <w:qFormat/>
    <w:uiPriority w:val="0"/>
    <w:pPr>
      <w:spacing w:line="360" w:lineRule="auto"/>
      <w:ind w:firstLine="200" w:firstLineChars="200"/>
    </w:pPr>
    <w:rPr>
      <w:rFonts w:cs="宋体"/>
      <w:sz w:val="24"/>
      <w:szCs w:val="24"/>
    </w:rPr>
  </w:style>
  <w:style w:type="paragraph" w:customStyle="1" w:styleId="1293">
    <w:name w:val="表正文 Char Char Char"/>
    <w:basedOn w:val="1"/>
    <w:qFormat/>
    <w:uiPriority w:val="0"/>
    <w:pPr>
      <w:adjustRightInd w:val="0"/>
      <w:snapToGrid w:val="0"/>
      <w:jc w:val="center"/>
    </w:pPr>
    <w:rPr>
      <w:rFonts w:ascii="Arial" w:hAnsi="Arial" w:eastAsia="仿宋_GB2312" w:cs="Arial"/>
      <w:sz w:val="28"/>
      <w:szCs w:val="28"/>
    </w:rPr>
  </w:style>
  <w:style w:type="paragraph" w:customStyle="1" w:styleId="1294">
    <w:name w:val="图文格式"/>
    <w:basedOn w:val="1"/>
    <w:qFormat/>
    <w:uiPriority w:val="0"/>
    <w:pPr>
      <w:wordWrap w:val="0"/>
      <w:adjustRightInd w:val="0"/>
      <w:snapToGrid w:val="0"/>
      <w:jc w:val="center"/>
    </w:pPr>
    <w:rPr>
      <w:rFonts w:ascii="宋体"/>
      <w:szCs w:val="20"/>
    </w:rPr>
  </w:style>
  <w:style w:type="paragraph" w:customStyle="1" w:styleId="1295">
    <w:name w:val="xl9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kern w:val="0"/>
      <w:sz w:val="28"/>
      <w:szCs w:val="28"/>
    </w:rPr>
  </w:style>
  <w:style w:type="paragraph" w:customStyle="1" w:styleId="1296">
    <w:name w:val="Char Char Char1 Char Char Char Char Char Char Char Char Char Char Char Char Char Char Char Char Char Char Char Char Char Char Char Char Char Char Char1 Char"/>
    <w:basedOn w:val="1"/>
    <w:qFormat/>
    <w:uiPriority w:val="0"/>
    <w:rPr>
      <w:szCs w:val="21"/>
    </w:rPr>
  </w:style>
  <w:style w:type="paragraph" w:customStyle="1" w:styleId="1297">
    <w:name w:val="reader-word-layer reader-word-s1-17"/>
    <w:basedOn w:val="1"/>
    <w:qFormat/>
    <w:uiPriority w:val="0"/>
    <w:pPr>
      <w:widowControl/>
      <w:spacing w:before="100" w:beforeAutospacing="1" w:after="100" w:afterAutospacing="1"/>
      <w:jc w:val="left"/>
    </w:pPr>
    <w:rPr>
      <w:rFonts w:ascii="宋体" w:hAnsi="宋体" w:cs="宋体"/>
      <w:kern w:val="0"/>
      <w:sz w:val="24"/>
    </w:rPr>
  </w:style>
  <w:style w:type="paragraph" w:customStyle="1" w:styleId="1298">
    <w:name w:val="Header or footer|1"/>
    <w:basedOn w:val="1"/>
    <w:qFormat/>
    <w:uiPriority w:val="0"/>
    <w:pPr>
      <w:widowControl w:val="0"/>
      <w:shd w:val="clear" w:color="auto" w:fill="auto"/>
    </w:pPr>
    <w:rPr>
      <w:color w:val="232426"/>
      <w:sz w:val="15"/>
      <w:szCs w:val="15"/>
      <w:u w:val="none"/>
      <w:shd w:val="clear" w:color="auto" w:fill="auto"/>
      <w:lang w:val="zh-TW" w:eastAsia="zh-TW" w:bidi="zh-TW"/>
    </w:rPr>
  </w:style>
  <w:style w:type="paragraph" w:customStyle="1" w:styleId="1299">
    <w:name w:val="reader-word-layer reader-word-s4-16"/>
    <w:basedOn w:val="1"/>
    <w:qFormat/>
    <w:uiPriority w:val="0"/>
    <w:pPr>
      <w:widowControl/>
      <w:spacing w:before="100" w:beforeAutospacing="1" w:after="100" w:afterAutospacing="1"/>
      <w:jc w:val="left"/>
    </w:pPr>
    <w:rPr>
      <w:rFonts w:ascii="宋体" w:hAnsi="宋体" w:cs="宋体"/>
      <w:kern w:val="0"/>
      <w:sz w:val="24"/>
    </w:rPr>
  </w:style>
  <w:style w:type="paragraph" w:customStyle="1" w:styleId="1300">
    <w:name w:val="正文表标题"/>
    <w:next w:val="1"/>
    <w:qFormat/>
    <w:uiPriority w:val="0"/>
    <w:pPr>
      <w:tabs>
        <w:tab w:val="left" w:pos="1269"/>
      </w:tabs>
      <w:spacing w:line="360" w:lineRule="auto"/>
      <w:ind w:left="1269" w:hanging="720"/>
      <w:jc w:val="center"/>
    </w:pPr>
    <w:rPr>
      <w:rFonts w:ascii="黑体" w:hAnsi="Times New Roman" w:eastAsia="黑体" w:cs="Times New Roman"/>
      <w:kern w:val="2"/>
      <w:sz w:val="21"/>
      <w:szCs w:val="24"/>
      <w:lang w:val="en-US" w:eastAsia="zh-CN" w:bidi="ar-SA"/>
    </w:rPr>
  </w:style>
  <w:style w:type="paragraph" w:customStyle="1" w:styleId="1301">
    <w:name w:val="公司名"/>
    <w:basedOn w:val="3"/>
    <w:qFormat/>
    <w:uiPriority w:val="0"/>
    <w:pPr>
      <w:keepLines/>
      <w:framePr w:w="8640" w:h="1440" w:wrap="notBeside" w:vAnchor="page" w:hAnchor="margin" w:xAlign="center" w:y="889" w:anchorLock="1"/>
      <w:widowControl/>
      <w:spacing w:after="80" w:line="240" w:lineRule="atLeast"/>
      <w:jc w:val="center"/>
    </w:pPr>
    <w:rPr>
      <w:rFonts w:ascii="Garamond" w:hAnsi="Garamond" w:eastAsia="隶书"/>
      <w:caps/>
      <w:spacing w:val="75"/>
      <w:kern w:val="0"/>
      <w:sz w:val="32"/>
      <w:szCs w:val="20"/>
    </w:rPr>
  </w:style>
  <w:style w:type="paragraph" w:customStyle="1" w:styleId="1302">
    <w:name w:val="xl8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楷体_GB2312" w:hAnsi="宋体" w:eastAsia="楷体_GB2312"/>
      <w:color w:val="FF0000"/>
      <w:kern w:val="0"/>
      <w:sz w:val="28"/>
      <w:szCs w:val="28"/>
    </w:rPr>
  </w:style>
  <w:style w:type="paragraph" w:customStyle="1" w:styleId="1303">
    <w:name w:val="文档标签"/>
    <w:next w:val="681"/>
    <w:qFormat/>
    <w:uiPriority w:val="0"/>
    <w:pPr>
      <w:pBdr>
        <w:top w:val="double" w:color="auto" w:sz="6" w:space="8"/>
        <w:bottom w:val="double" w:color="auto" w:sz="6" w:space="8"/>
      </w:pBdr>
      <w:spacing w:after="40" w:line="240" w:lineRule="atLeast"/>
      <w:jc w:val="center"/>
    </w:pPr>
    <w:rPr>
      <w:rFonts w:ascii="Garamond" w:hAnsi="Garamond" w:eastAsia="黑体" w:cs="Times New Roman"/>
      <w:b/>
      <w:caps/>
      <w:spacing w:val="20"/>
      <w:kern w:val="2"/>
      <w:sz w:val="24"/>
      <w:szCs w:val="24"/>
      <w:lang w:val="en-US" w:eastAsia="zh-CN" w:bidi="ar-SA"/>
    </w:rPr>
  </w:style>
  <w:style w:type="paragraph" w:customStyle="1" w:styleId="1304">
    <w:name w:val="1黑体头"/>
    <w:basedOn w:val="1"/>
    <w:qFormat/>
    <w:uiPriority w:val="0"/>
    <w:pPr>
      <w:spacing w:line="360" w:lineRule="auto"/>
      <w:ind w:firstLine="479" w:firstLineChars="199"/>
      <w:jc w:val="left"/>
      <w:textAlignment w:val="center"/>
    </w:pPr>
    <w:rPr>
      <w:b/>
      <w:sz w:val="24"/>
    </w:rPr>
  </w:style>
  <w:style w:type="paragraph" w:customStyle="1" w:styleId="1305">
    <w:name w:val="环评表中文字"/>
    <w:basedOn w:val="1"/>
    <w:qFormat/>
    <w:uiPriority w:val="0"/>
    <w:pPr>
      <w:widowControl/>
      <w:spacing w:line="240" w:lineRule="auto"/>
      <w:ind w:firstLine="0" w:firstLineChars="0"/>
      <w:jc w:val="center"/>
    </w:pPr>
    <w:rPr>
      <w:rFonts w:ascii="宋体" w:hAnsi="宋体" w:cs="宋体"/>
      <w:kern w:val="0"/>
      <w:szCs w:val="22"/>
    </w:rPr>
  </w:style>
  <w:style w:type="table" w:customStyle="1" w:styleId="1306">
    <w:name w:val="网格型1"/>
    <w:basedOn w:val="8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HIT-EIA"/>
    <w:basedOn w:val="91"/>
    <w:qFormat/>
    <w:uiPriority w:val="0"/>
    <w:pPr>
      <w:jc w:val="center"/>
    </w:pPr>
    <w:rPr>
      <w:rFonts w:ascii="Times New Roman" w:hAnsi="Times New Roman"/>
      <w:szCs w:val="21"/>
    </w:rPr>
    <w:tblPr>
      <w:tblBorders>
        <w:top w:val="single" w:color="000000" w:sz="12" w:space="0"/>
        <w:bottom w:val="single" w:color="000000" w:sz="12" w:space="0"/>
        <w:insideH w:val="single" w:color="auto" w:sz="4" w:space="0"/>
        <w:insideV w:val="single" w:color="auto" w:sz="4" w:space="0"/>
      </w:tblBorders>
    </w:tblPr>
    <w:tcPr>
      <w:vAlign w:val="center"/>
    </w:tcPr>
    <w:tblStylePr w:type="firstRow">
      <w:rPr>
        <w:i/>
        <w:iCs/>
      </w:rPr>
      <w:tcPr>
        <w:tcBorders>
          <w:top w:val="nil"/>
          <w:left w:val="single" w:color="000000" w:sz="6" w:space="0"/>
          <w:bottom w:val="nil"/>
          <w:right w:val="nil"/>
          <w:insideH w:val="nil"/>
          <w:insideV w:val="nil"/>
          <w:tl2br w:val="nil"/>
          <w:tr2bl w:val="nil"/>
        </w:tcBorders>
      </w:tcPr>
    </w:tblStylePr>
    <w:tblStylePr w:type="lastRow">
      <w:rPr>
        <w:color w:val="auto"/>
      </w:rPr>
      <w:tcPr>
        <w:tcBorders>
          <w:top w:val="single" w:color="000000" w:sz="6" w:space="0"/>
          <w:left w:val="nil"/>
          <w:bottom w:val="nil"/>
          <w:right w:val="nil"/>
          <w:insideH w:val="nil"/>
          <w:insideV w:val="nil"/>
          <w:tl2br w:val="nil"/>
          <w:tr2bl w:val="nil"/>
        </w:tcBorders>
      </w:tcPr>
    </w:tblStylePr>
    <w:tblStylePr w:type="firstCol">
      <w:tcPr>
        <w:tcBorders>
          <w:top w:val="nil"/>
          <w:left w:val="nil"/>
          <w:bottom w:val="nil"/>
          <w:right w:val="single" w:color="000000" w:sz="6" w:space="0"/>
          <w:insideH w:val="nil"/>
          <w:insideV w:val="nil"/>
          <w:tl2br w:val="nil"/>
          <w:tr2bl w:val="nil"/>
        </w:tcBorders>
      </w:tcPr>
    </w:tblStylePr>
    <w:tblStylePr w:type="neCell">
      <w:rPr>
        <w:b/>
        <w:bCs/>
        <w:i w:val="0"/>
        <w:iCs w:val="0"/>
      </w:rPr>
      <w:tcPr>
        <w:tcBorders>
          <w:top w:val="nil"/>
          <w:left w:val="nil"/>
          <w:bottom w:val="nil"/>
          <w:right w:val="nil"/>
          <w:insideH w:val="nil"/>
          <w:insideV w:val="nil"/>
          <w:tl2br w:val="nil"/>
          <w:tr2bl w:val="nil"/>
        </w:tcBorders>
      </w:tcPr>
    </w:tblStylePr>
    <w:tblStylePr w:type="swCell">
      <w:rPr>
        <w:b/>
        <w:bCs/>
      </w:rPr>
      <w:tcPr>
        <w:tcBorders>
          <w:top w:val="nil"/>
          <w:left w:val="nil"/>
          <w:bottom w:val="nil"/>
          <w:right w:val="nil"/>
          <w:insideH w:val="nil"/>
          <w:insideV w:val="nil"/>
          <w:tl2br w:val="nil"/>
          <w:tr2bl w:val="nil"/>
        </w:tcBorders>
      </w:tcPr>
    </w:tblStylePr>
  </w:style>
  <w:style w:type="table" w:customStyle="1" w:styleId="1308">
    <w:name w:val="[表格样式]61"/>
    <w:basedOn w:val="84"/>
    <w:qFormat/>
    <w:uiPriority w:val="0"/>
    <w:pPr>
      <w:jc w:val="center"/>
    </w:pPr>
    <w:rPr>
      <w:sz w:val="21"/>
      <w:szCs w:val="21"/>
    </w:rPr>
    <w:tblPr>
      <w:tblBorders>
        <w:top w:val="single" w:color="auto" w:sz="12" w:space="0"/>
        <w:bottom w:val="single" w:color="auto" w:sz="12" w:space="0"/>
        <w:insideH w:val="single" w:color="auto" w:sz="4" w:space="0"/>
        <w:insideV w:val="single" w:color="auto" w:sz="4" w:space="0"/>
      </w:tblBorders>
    </w:tblPr>
  </w:style>
  <w:style w:type="table" w:customStyle="1" w:styleId="1309">
    <w:name w:val="浅色底纹 - 强调文字颜色 31"/>
    <w:basedOn w:val="84"/>
    <w:qFormat/>
    <w:uiPriority w:val="0"/>
    <w:rPr>
      <w:rFonts w:ascii="Calibri" w:hAnsi="Calibri"/>
      <w:color w:val="76923C"/>
    </w:rPr>
    <w:tblPr>
      <w:tblBorders>
        <w:top w:val="single" w:color="9BBB59" w:sz="8" w:space="0"/>
        <w:bottom w:val="single" w:color="9BBB59" w:sz="8" w:space="0"/>
      </w:tblBorders>
    </w:tblPr>
    <w:tblStylePr w:type="firstRow">
      <w:pPr>
        <w:spacing w:before="0" w:after="0" w:line="240" w:lineRule="auto"/>
      </w:pPr>
      <w:rPr>
        <w:b/>
        <w:bCs/>
      </w:rPr>
      <w:tcPr>
        <w:tcBorders>
          <w:top w:val="single" w:color="9BBB59" w:sz="8" w:space="0"/>
          <w:left w:val="single" w:color="9BBB59" w:sz="8" w:space="0"/>
          <w:bottom w:val="nil"/>
          <w:right w:val="nil"/>
          <w:insideH w:val="nil"/>
          <w:insideV w:val="nil"/>
          <w:tl2br w:val="nil"/>
          <w:tr2bl w:val="nil"/>
        </w:tcBorders>
      </w:tcPr>
    </w:tblStylePr>
    <w:tblStylePr w:type="lastRow">
      <w:pPr>
        <w:spacing w:before="0" w:after="0" w:line="240" w:lineRule="auto"/>
      </w:pPr>
      <w:rPr>
        <w:b/>
        <w:bCs/>
      </w:rPr>
      <w:tcPr>
        <w:tcBorders>
          <w:top w:val="single" w:color="9BBB59" w:sz="8" w:space="0"/>
          <w:left w:val="single" w:color="9BBB59" w:sz="8" w:space="0"/>
          <w:bottom w:val="nil"/>
          <w:right w:val="nil"/>
          <w:insideH w:val="nil"/>
          <w:insideV w:val="nil"/>
          <w:tl2br w:val="nil"/>
          <w:tr2bl w:val="nil"/>
        </w:tcBorders>
      </w:tcPr>
    </w:tblStylePr>
    <w:tblStylePr w:type="firstCol">
      <w:rPr>
        <w:b/>
        <w:bCs/>
      </w:rPr>
    </w:tblStylePr>
    <w:tblStylePr w:type="lastCol">
      <w:rPr>
        <w:b/>
        <w:bCs/>
      </w:rPr>
    </w:tblStylePr>
    <w:tblStylePr w:type="band1Vert">
      <w:tcPr>
        <w:tcBorders>
          <w:top w:val="nil"/>
          <w:left w:val="nil"/>
          <w:bottom w:val="nil"/>
          <w:right w:val="nil"/>
          <w:insideH w:val="nil"/>
          <w:insideV w:val="nil"/>
          <w:tl2br w:val="nil"/>
          <w:tr2bl w:val="nil"/>
        </w:tcBorders>
        <w:shd w:val="clear" w:color="auto" w:fill="E6EED5"/>
      </w:tcPr>
    </w:tblStylePr>
    <w:tblStylePr w:type="band1Horz">
      <w:tcPr>
        <w:tcBorders>
          <w:top w:val="nil"/>
          <w:left w:val="nil"/>
          <w:bottom w:val="nil"/>
          <w:right w:val="nil"/>
          <w:insideH w:val="nil"/>
          <w:insideV w:val="nil"/>
          <w:tl2br w:val="nil"/>
          <w:tr2bl w:val="nil"/>
        </w:tcBorders>
        <w:shd w:val="clear" w:color="auto" w:fill="E6EED5"/>
      </w:tcPr>
    </w:tblStylePr>
  </w:style>
  <w:style w:type="table" w:customStyle="1" w:styleId="1310">
    <w:name w:val="[表格样式]"/>
    <w:basedOn w:val="84"/>
    <w:qFormat/>
    <w:uiPriority w:val="99"/>
    <w:pPr>
      <w:adjustRightInd w:val="0"/>
      <w:snapToGrid w:val="0"/>
      <w:jc w:val="center"/>
    </w:pPr>
    <w:rPr>
      <w:rFonts w:ascii="Times New Roman" w:hAnsi="Times New Roman" w:eastAsia="宋体"/>
      <w:snapToGrid w:val="0"/>
      <w:kern w:val="0"/>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1311">
    <w:name w:val="t表格 样式"/>
    <w:basedOn w:val="84"/>
    <w:qFormat/>
    <w:uiPriority w:val="0"/>
    <w:rPr>
      <w:rFonts w:eastAsia="仿宋_GB2312"/>
    </w:rPr>
    <w:tblPr>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
    <w:trPr>
      <w:jc w:val="center"/>
    </w:trPr>
    <w:tcPr>
      <w:vAlign w:val="center"/>
    </w:tcPr>
  </w:style>
  <w:style w:type="table" w:customStyle="1" w:styleId="1312">
    <w:name w:val="[表格样式]7"/>
    <w:basedOn w:val="84"/>
    <w:qFormat/>
    <w:uiPriority w:val="0"/>
    <w:pPr>
      <w:jc w:val="center"/>
    </w:pPr>
    <w:rPr>
      <w:sz w:val="21"/>
      <w:szCs w:val="21"/>
    </w:rPr>
    <w:tblPr>
      <w:tblBorders>
        <w:top w:val="single" w:color="auto" w:sz="12" w:space="0"/>
        <w:bottom w:val="single" w:color="auto" w:sz="12" w:space="0"/>
        <w:insideH w:val="single" w:color="auto" w:sz="4" w:space="0"/>
        <w:insideV w:val="single" w:color="auto" w:sz="4" w:space="0"/>
      </w:tblBorders>
    </w:tblPr>
  </w:style>
  <w:style w:type="table" w:customStyle="1" w:styleId="1313">
    <w:name w:val="普通表格1"/>
    <w:semiHidden/>
    <w:qFormat/>
    <w:uiPriority w:val="0"/>
    <w:rPr>
      <w:rFonts w:eastAsia="Times New Roman"/>
      <w:kern w:val="2"/>
      <w:sz w:val="24"/>
      <w:szCs w:val="24"/>
      <w:lang w:val="en-US" w:eastAsia="zh-CN" w:bidi="ar-SA"/>
    </w:rPr>
    <w:tblPr>
      <w:tblCellMar>
        <w:top w:w="0" w:type="dxa"/>
        <w:left w:w="108" w:type="dxa"/>
        <w:bottom w:w="0" w:type="dxa"/>
        <w:right w:w="108" w:type="dxa"/>
      </w:tblCellMar>
    </w:tblPr>
  </w:style>
  <w:style w:type="table" w:customStyle="1" w:styleId="1314">
    <w:name w:val="网格型2"/>
    <w:basedOn w:val="8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表格标题行"/>
    <w:basedOn w:val="84"/>
    <w:qFormat/>
    <w:uiPriority w:val="0"/>
    <w:rPr>
      <w:rFonts w:eastAsia="仿宋_GB2312"/>
      <w:szCs w:val="21"/>
    </w:rPr>
    <w:tblPr>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
    <w:trPr>
      <w:jc w:val="center"/>
    </w:trPr>
    <w:tcPr>
      <w:vAlign w:val="center"/>
    </w:tcPr>
    <w:tblStylePr w:type="firstRow">
      <w:pPr>
        <w:wordWrap/>
        <w:spacing w:before="0" w:beforeLines="0" w:beforeAutospacing="0" w:after="0" w:afterLines="0" w:afterAutospacing="0" w:line="240" w:lineRule="auto"/>
        <w:ind w:left="0" w:leftChars="0" w:right="0" w:rightChars="0" w:firstLine="0" w:firstLineChars="0"/>
        <w:jc w:val="center"/>
        <w:textAlignment w:val="center"/>
        <w:outlineLvl w:val="9"/>
      </w:pPr>
      <w:rPr>
        <w:rFonts w:ascii="Times New Roman" w:hAnsi="Times New Roman" w:eastAsia="3"/>
        <w:b w:val="0"/>
        <w:i w:val="0"/>
        <w:sz w:val="21"/>
        <w:szCs w:val="21"/>
      </w:rPr>
      <w:tblPr/>
      <w:trPr>
        <w:tblHeader/>
      </w:trPr>
    </w:tblStylePr>
  </w:style>
  <w:style w:type="table" w:customStyle="1" w:styleId="1316">
    <w:name w:val="Table Normal"/>
    <w:unhideWhenUsed/>
    <w:qFormat/>
    <w:uiPriority w:val="0"/>
    <w:rPr>
      <w:lang w:val="en-US" w:eastAsia="zh-CN" w:bidi="ar-SA"/>
    </w:rPr>
    <w:tblPr>
      <w:tblCellMar>
        <w:top w:w="0" w:type="dxa"/>
        <w:left w:w="0" w:type="dxa"/>
        <w:bottom w:w="0" w:type="dxa"/>
        <w:right w:w="0" w:type="dxa"/>
      </w:tblCellMar>
    </w:tblPr>
  </w:style>
  <w:style w:type="table" w:customStyle="1" w:styleId="1317">
    <w:name w:val="MD表格样式"/>
    <w:basedOn w:val="84"/>
    <w:qFormat/>
    <w:uiPriority w:val="0"/>
    <w:rPr>
      <w:rFonts w:eastAsia="仿宋_GB2312"/>
    </w:rPr>
    <w:tblPr>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
    <w:trPr>
      <w:jc w:val="center"/>
    </w:trPr>
    <w:tcPr>
      <w:vAlign w:val="center"/>
    </w:tcPr>
  </w:style>
  <w:style w:type="table" w:customStyle="1" w:styleId="1318">
    <w:name w:val="[表格样式]5"/>
    <w:basedOn w:val="84"/>
    <w:qFormat/>
    <w:uiPriority w:val="99"/>
    <w:pPr>
      <w:adjustRightInd w:val="0"/>
      <w:snapToGrid w:val="0"/>
      <w:jc w:val="center"/>
    </w:pPr>
    <w:rPr>
      <w:snapToGrid w:val="0"/>
    </w:r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1319">
    <w:name w:val="报告表正文"/>
    <w:basedOn w:val="735"/>
    <w:qFormat/>
    <w:uiPriority w:val="0"/>
    <w:pPr>
      <w:ind w:firstLine="420" w:firstLineChars="200"/>
    </w:pPr>
    <w:rPr>
      <w:lang w:val="zh-CN"/>
    </w:rPr>
  </w:style>
  <w:style w:type="paragraph" w:customStyle="1" w:styleId="1320">
    <w:name w:val="0正文"/>
    <w:basedOn w:val="33"/>
    <w:qFormat/>
    <w:uiPriority w:val="0"/>
    <w:pPr>
      <w:spacing w:line="360" w:lineRule="auto"/>
      <w:ind w:firstLine="200"/>
    </w:pPr>
    <w:rPr>
      <w:kern w:val="0"/>
      <w:sz w:val="24"/>
      <w:szCs w:val="20"/>
    </w:rPr>
  </w:style>
  <w:style w:type="paragraph" w:customStyle="1" w:styleId="1321">
    <w:name w:val="表居中（中文）"/>
    <w:basedOn w:val="1"/>
    <w:qFormat/>
    <w:uiPriority w:val="0"/>
    <w:pPr>
      <w:adjustRightInd w:val="0"/>
      <w:spacing w:line="380" w:lineRule="atLeast"/>
      <w:jc w:val="center"/>
    </w:pPr>
    <w:rPr>
      <w:rFonts w:eastAsia="楷体_GB2312"/>
      <w:kern w:val="0"/>
      <w:szCs w:val="21"/>
    </w:rPr>
  </w:style>
  <w:style w:type="paragraph" w:customStyle="1" w:styleId="1322">
    <w:name w:val="样式 博士论文标题2 + 段前: 0.2 行 段后: 0.2 行"/>
    <w:basedOn w:val="1323"/>
    <w:qFormat/>
    <w:uiPriority w:val="0"/>
    <w:pPr>
      <w:widowControl/>
      <w:tabs>
        <w:tab w:val="left" w:pos="425"/>
      </w:tabs>
      <w:spacing w:before="20" w:after="20"/>
      <w:jc w:val="left"/>
    </w:pPr>
    <w:rPr>
      <w:rFonts w:ascii="宋体" w:hAnsi="宋体" w:cs="宋体"/>
      <w:kern w:val="0"/>
    </w:rPr>
  </w:style>
  <w:style w:type="paragraph" w:customStyle="1" w:styleId="1323">
    <w:name w:val="博士论文标题2"/>
    <w:basedOn w:val="1"/>
    <w:qFormat/>
    <w:uiPriority w:val="0"/>
    <w:pPr>
      <w:numPr>
        <w:ilvl w:val="1"/>
        <w:numId w:val="12"/>
      </w:numPr>
      <w:spacing w:beforeLines="20" w:afterLines="20"/>
    </w:pPr>
    <w:rPr>
      <w:rFonts w:eastAsia="黑体"/>
      <w:sz w:val="28"/>
      <w:szCs w:val="28"/>
    </w:rPr>
  </w:style>
  <w:style w:type="paragraph" w:customStyle="1" w:styleId="1324">
    <w:name w:val="表格文字-书"/>
    <w:qFormat/>
    <w:uiPriority w:val="0"/>
    <w:pPr>
      <w:jc w:val="center"/>
    </w:pPr>
    <w:rPr>
      <w:rFonts w:ascii="Times New Roman" w:hAnsi="Times New Roman" w:eastAsia="仿宋_GB2312" w:cs="Times New Roman"/>
      <w:kern w:val="0"/>
      <w:sz w:val="21"/>
      <w:szCs w:val="22"/>
      <w:lang w:val="en-US" w:eastAsia="zh-CN" w:bidi="ar-SA"/>
    </w:rPr>
  </w:style>
  <w:style w:type="paragraph" w:customStyle="1" w:styleId="1325">
    <w:name w:val="正文 New New"/>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1326">
    <w:name w:val="font71"/>
    <w:basedOn w:val="129"/>
    <w:qFormat/>
    <w:uiPriority w:val="0"/>
    <w:rPr>
      <w:rFonts w:hint="eastAsia" w:ascii="黑体" w:hAnsi="宋体" w:eastAsia="黑体" w:cs="黑体"/>
      <w:color w:val="000000"/>
      <w:sz w:val="18"/>
      <w:szCs w:val="18"/>
      <w:u w:val="none"/>
    </w:rPr>
  </w:style>
  <w:style w:type="character" w:customStyle="1" w:styleId="1327">
    <w:name w:val="font131"/>
    <w:basedOn w:val="129"/>
    <w:qFormat/>
    <w:uiPriority w:val="0"/>
    <w:rPr>
      <w:rFonts w:hint="eastAsia" w:ascii="黑体" w:hAnsi="宋体" w:eastAsia="黑体" w:cs="黑体"/>
      <w:color w:val="000000"/>
      <w:sz w:val="18"/>
      <w:szCs w:val="18"/>
      <w:u w:val="none"/>
      <w:vertAlign w:val="superscript"/>
    </w:rPr>
  </w:style>
  <w:style w:type="paragraph" w:customStyle="1" w:styleId="1328">
    <w:name w:val="表文"/>
    <w:basedOn w:val="1"/>
    <w:next w:val="1"/>
    <w:qFormat/>
    <w:uiPriority w:val="0"/>
    <w:pPr>
      <w:jc w:val="center"/>
    </w:pPr>
    <w:rPr>
      <w:rFonts w:hAnsi="宋体" w:cs="宋体"/>
      <w:kern w:val="2"/>
      <w:sz w:val="21"/>
      <w:szCs w:val="24"/>
    </w:rPr>
  </w:style>
  <w:style w:type="paragraph" w:customStyle="1" w:styleId="1329">
    <w:name w:val="[1]正文"/>
    <w:basedOn w:val="1"/>
    <w:qFormat/>
    <w:uiPriority w:val="0"/>
    <w:pPr>
      <w:widowControl w:val="0"/>
      <w:tabs>
        <w:tab w:val="left" w:pos="8773"/>
      </w:tabs>
      <w:spacing w:line="560" w:lineRule="exact"/>
      <w:ind w:firstLine="200" w:firstLineChars="200"/>
    </w:pPr>
    <w:rPr>
      <w:rFonts w:ascii="Calibri" w:hAnsi="Calibri" w:eastAsia="黑体"/>
      <w:sz w:val="28"/>
      <w:szCs w:val="28"/>
      <w:lang w:val="en-GB"/>
    </w:rPr>
  </w:style>
  <w:style w:type="character" w:customStyle="1" w:styleId="1330">
    <w:name w:val="【正文】 Char Char"/>
    <w:qFormat/>
    <w:uiPriority w:val="0"/>
    <w:rPr>
      <w:rFonts w:eastAsia="宋体" w:cs="宋体"/>
      <w:sz w:val="24"/>
    </w:rPr>
  </w:style>
  <w:style w:type="paragraph" w:customStyle="1" w:styleId="1331">
    <w:name w:val="表头和图片"/>
    <w:basedOn w:val="43"/>
    <w:next w:val="1"/>
    <w:qFormat/>
    <w:uiPriority w:val="0"/>
    <w:pPr>
      <w:jc w:val="center"/>
    </w:pPr>
    <w:rPr>
      <w:rFonts w:ascii="Times New Roman" w:hAnsi="宋体"/>
      <w:b/>
      <w:kern w:val="0"/>
      <w:sz w:val="20"/>
      <w:szCs w:val="20"/>
    </w:rPr>
  </w:style>
  <w:style w:type="paragraph" w:customStyle="1" w:styleId="1332">
    <w:name w:val="表字"/>
    <w:basedOn w:val="318"/>
    <w:qFormat/>
    <w:uiPriority w:val="0"/>
    <w:pPr>
      <w:spacing w:line="240" w:lineRule="auto"/>
    </w:pPr>
    <w:rPr>
      <w:rFonts w:eastAsia="新宋体"/>
      <w:sz w:val="21"/>
    </w:rPr>
  </w:style>
  <w:style w:type="character" w:customStyle="1" w:styleId="1333">
    <w:name w:val="markedcontent"/>
    <w:qFormat/>
    <w:uiPriority w:val="0"/>
  </w:style>
  <w:style w:type="paragraph" w:customStyle="1" w:styleId="1334">
    <w:name w:val="表中文字（工大）"/>
    <w:basedOn w:val="1"/>
    <w:qFormat/>
    <w:uiPriority w:val="0"/>
    <w:pPr>
      <w:spacing w:line="360" w:lineRule="exact"/>
      <w:jc w:val="center"/>
    </w:pPr>
    <w:rPr>
      <w:sz w:val="21"/>
    </w:rPr>
  </w:style>
  <w:style w:type="paragraph" w:customStyle="1" w:styleId="1335">
    <w:name w:val="正文13"/>
    <w:qFormat/>
    <w:uiPriority w:val="0"/>
    <w:pPr>
      <w:widowControl w:val="0"/>
      <w:adjustRightInd w:val="0"/>
      <w:spacing w:line="360" w:lineRule="atLeast"/>
    </w:pPr>
    <w:rPr>
      <w:rFonts w:ascii="宋体" w:hAnsi="Times New Roman" w:eastAsia="Calibri" w:cs="Times New Roman"/>
      <w:sz w:val="24"/>
      <w:lang w:val="en-US" w:eastAsia="zh-CN" w:bidi="ar-SA"/>
    </w:rPr>
  </w:style>
  <w:style w:type="paragraph" w:customStyle="1" w:styleId="1336">
    <w:name w:val="正本文字"/>
    <w:basedOn w:val="1"/>
    <w:qFormat/>
    <w:uiPriority w:val="0"/>
    <w:pPr>
      <w:adjustRightInd w:val="0"/>
      <w:snapToGrid w:val="0"/>
      <w:spacing w:line="360" w:lineRule="auto"/>
      <w:ind w:firstLine="480"/>
    </w:pPr>
    <w:rPr>
      <w:rFonts w:ascii="Times New Roman"/>
      <w:kern w:val="18"/>
    </w:rPr>
  </w:style>
  <w:style w:type="paragraph" w:customStyle="1" w:styleId="1337">
    <w:name w:val="正文12"/>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character" w:customStyle="1" w:styleId="1338">
    <w:name w:val="text_o3fq3"/>
    <w:basedOn w:val="129"/>
    <w:qFormat/>
    <w:uiPriority w:val="0"/>
  </w:style>
  <w:style w:type="character" w:customStyle="1" w:styleId="1339">
    <w:name w:val="3zw"/>
    <w:basedOn w:val="129"/>
    <w:qFormat/>
    <w:uiPriority w:val="0"/>
  </w:style>
  <w:style w:type="paragraph" w:customStyle="1" w:styleId="1340">
    <w:name w:val="Char Char Char Char Char Char Char6"/>
    <w:basedOn w:val="1"/>
    <w:qFormat/>
    <w:uiPriority w:val="0"/>
    <w:pPr>
      <w:spacing w:line="360" w:lineRule="auto"/>
      <w:ind w:firstLine="200" w:firstLineChars="200"/>
    </w:pPr>
    <w:rPr>
      <w:rFonts w:hAnsi="宋体" w:cs="宋体"/>
    </w:rPr>
  </w:style>
  <w:style w:type="table" w:customStyle="1" w:styleId="1341">
    <w:name w:val="[表格样式]51"/>
    <w:basedOn w:val="84"/>
    <w:qFormat/>
    <w:uiPriority w:val="99"/>
    <w:pPr>
      <w:adjustRightInd w:val="0"/>
      <w:snapToGrid w:val="0"/>
      <w:jc w:val="center"/>
    </w:pPr>
    <w:rPr>
      <w:snapToGrid w:val="0"/>
    </w:rPr>
    <w:tblPr>
      <w:tblBorders>
        <w:top w:val="single" w:color="auto" w:sz="12" w:space="0"/>
        <w:bottom w:val="single" w:color="auto" w:sz="12" w:space="0"/>
        <w:insideH w:val="single" w:color="auto" w:sz="4" w:space="0"/>
        <w:insideV w:val="single" w:color="auto" w:sz="4" w:space="0"/>
      </w:tblBorders>
      <w:tblCellMar>
        <w:top w:w="0" w:type="dxa"/>
        <w:left w:w="108" w:type="dxa"/>
        <w:bottom w:w="0" w:type="dxa"/>
        <w:right w:w="108" w:type="dxa"/>
      </w:tblCellMar>
    </w:tblPr>
    <w:tcPr>
      <w:vAlign w:val="center"/>
    </w:tcPr>
  </w:style>
  <w:style w:type="paragraph" w:customStyle="1" w:styleId="1342">
    <w:name w:val="正文（首行缩进两字） Char"/>
    <w:basedOn w:val="1"/>
    <w:qFormat/>
    <w:uiPriority w:val="0"/>
    <w:pPr>
      <w:spacing w:line="360" w:lineRule="auto"/>
      <w:ind w:firstLine="420"/>
    </w:pPr>
    <w:rPr>
      <w:rFonts w:ascii="Times New Roman"/>
    </w:rPr>
  </w:style>
  <w:style w:type="character" w:customStyle="1" w:styleId="1343">
    <w:name w:val="【正文】 Char1"/>
    <w:qFormat/>
    <w:locked/>
    <w:uiPriority w:val="0"/>
    <w:rPr>
      <w:kern w:val="2"/>
      <w:sz w:val="24"/>
      <w:szCs w:val="24"/>
    </w:rPr>
  </w:style>
  <w:style w:type="table" w:customStyle="1" w:styleId="1344">
    <w:name w:val="[表格样式]42"/>
    <w:basedOn w:val="84"/>
    <w:qFormat/>
    <w:uiPriority w:val="99"/>
    <w:pPr>
      <w:adjustRightInd w:val="0"/>
      <w:snapToGrid w:val="0"/>
      <w:jc w:val="center"/>
    </w:pPr>
    <w:rPr>
      <w:rFonts w:ascii="Times New Roman" w:hAnsi="Times New Roman"/>
      <w:snapToGrid w:val="0"/>
    </w:r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1345">
    <w:name w:val="网格型111"/>
    <w:basedOn w:val="84"/>
    <w:qFormat/>
    <w:uiPriority w:val="59"/>
    <w:pPr>
      <w:jc w:val="center"/>
    </w:pPr>
    <w:tblPr>
      <w:tblBorders>
        <w:top w:val="single" w:color="auto" w:sz="12" w:space="0"/>
        <w:bottom w:val="single" w:color="auto" w:sz="12" w:space="0"/>
        <w:insideH w:val="single" w:color="auto" w:sz="4" w:space="0"/>
        <w:insideV w:val="single" w:color="auto" w:sz="4" w:space="0"/>
      </w:tblBorders>
    </w:tblPr>
    <w:tcPr>
      <w:vAlign w:val="center"/>
    </w:tcPr>
  </w:style>
  <w:style w:type="table" w:customStyle="1" w:styleId="1346">
    <w:name w:val="[表格样式]32"/>
    <w:basedOn w:val="84"/>
    <w:qFormat/>
    <w:uiPriority w:val="99"/>
    <w:pPr>
      <w:adjustRightInd w:val="0"/>
      <w:snapToGrid w:val="0"/>
      <w:jc w:val="center"/>
    </w:pPr>
    <w:rPr>
      <w:rFonts w:ascii="Times New Roman" w:hAnsi="Times New Roman"/>
      <w:snapToGrid w:val="0"/>
    </w:rPr>
    <w:tblPr>
      <w:tblBorders>
        <w:top w:val="single" w:color="auto" w:sz="12" w:space="0"/>
        <w:bottom w:val="single" w:color="auto" w:sz="12" w:space="0"/>
        <w:insideH w:val="single" w:color="auto" w:sz="4" w:space="0"/>
        <w:insideV w:val="single" w:color="auto" w:sz="4" w:space="0"/>
      </w:tblBorders>
    </w:tblPr>
    <w:tcPr>
      <w:vAlign w:val="center"/>
    </w:tcPr>
  </w:style>
  <w:style w:type="character" w:customStyle="1" w:styleId="1347">
    <w:name w:val="font112"/>
    <w:basedOn w:val="129"/>
    <w:qFormat/>
    <w:uiPriority w:val="0"/>
    <w:rPr>
      <w:rFonts w:hint="eastAsia" w:ascii="宋体" w:hAnsi="宋体" w:eastAsia="宋体" w:cs="宋体"/>
      <w:color w:val="000000"/>
      <w:sz w:val="20"/>
      <w:szCs w:val="20"/>
      <w:u w:val="none"/>
    </w:rPr>
  </w:style>
  <w:style w:type="character" w:customStyle="1" w:styleId="1348">
    <w:name w:val="font141"/>
    <w:basedOn w:val="129"/>
    <w:qFormat/>
    <w:uiPriority w:val="0"/>
    <w:rPr>
      <w:rFonts w:hint="eastAsia" w:ascii="宋体" w:hAnsi="宋体" w:eastAsia="宋体" w:cs="宋体"/>
      <w:color w:val="000000"/>
      <w:sz w:val="18"/>
      <w:szCs w:val="18"/>
      <w:u w:val="none"/>
    </w:rPr>
  </w:style>
  <w:style w:type="paragraph" w:customStyle="1" w:styleId="1349">
    <w:name w:val="f【正文】"/>
    <w:basedOn w:val="1"/>
    <w:qFormat/>
    <w:uiPriority w:val="0"/>
    <w:pPr>
      <w:widowControl/>
      <w:adjustRightInd w:val="0"/>
      <w:snapToGrid w:val="0"/>
      <w:spacing w:line="360" w:lineRule="auto"/>
      <w:ind w:firstLine="200" w:firstLineChars="200"/>
    </w:pPr>
    <w:rPr>
      <w:rFonts w:cstheme="minorBidi"/>
    </w:rPr>
  </w:style>
  <w:style w:type="paragraph" w:customStyle="1" w:styleId="1350">
    <w:name w:val="f-表头"/>
    <w:basedOn w:val="1"/>
    <w:next w:val="1"/>
    <w:qFormat/>
    <w:uiPriority w:val="0"/>
    <w:pPr>
      <w:adjustRightInd w:val="0"/>
      <w:jc w:val="center"/>
    </w:pPr>
    <w:rPr>
      <w:b/>
      <w:kern w:val="0"/>
      <w:sz w:val="21"/>
      <w:szCs w:val="20"/>
    </w:rPr>
  </w:style>
  <w:style w:type="paragraph" w:customStyle="1" w:styleId="1351">
    <w:name w:val="f-表内"/>
    <w:basedOn w:val="1"/>
    <w:qFormat/>
    <w:uiPriority w:val="0"/>
    <w:pPr>
      <w:adjustRightInd w:val="0"/>
      <w:spacing w:line="240" w:lineRule="auto"/>
      <w:ind w:firstLine="0" w:firstLineChars="0"/>
      <w:jc w:val="center"/>
    </w:pPr>
    <w:rPr>
      <w:kern w:val="0"/>
      <w:sz w:val="21"/>
      <w:szCs w:val="20"/>
    </w:rPr>
  </w:style>
  <w:style w:type="paragraph" w:customStyle="1" w:styleId="1352">
    <w:name w:val="表文字居中"/>
    <w:qFormat/>
    <w:uiPriority w:val="0"/>
    <w:pPr>
      <w:adjustRightInd w:val="0"/>
      <w:spacing w:line="360" w:lineRule="auto"/>
      <w:jc w:val="center"/>
    </w:pPr>
    <w:rPr>
      <w:rFonts w:ascii="Arial" w:hAnsi="Arial" w:eastAsia="Times New Roman" w:cs="Times New Roman"/>
      <w:kern w:val="2"/>
      <w:sz w:val="21"/>
      <w:szCs w:val="24"/>
      <w:lang w:val="en-US" w:eastAsia="zh-CN" w:bidi="ar-SA"/>
    </w:rPr>
  </w:style>
  <w:style w:type="paragraph" w:customStyle="1" w:styleId="1353">
    <w:name w:val="f【标题3】"/>
    <w:basedOn w:val="7"/>
    <w:next w:val="1"/>
    <w:qFormat/>
    <w:uiPriority w:val="0"/>
    <w:pPr>
      <w:keepNext w:val="0"/>
      <w:adjustRightInd w:val="0"/>
      <w:snapToGrid w:val="0"/>
      <w:spacing w:before="0" w:after="200" w:line="500" w:lineRule="exact"/>
      <w:ind w:firstLine="640" w:firstLineChars="200"/>
    </w:pPr>
    <w:rPr>
      <w:rFonts w:ascii="Times New Roman" w:hAnsi="Times New Roman" w:eastAsia="宋体" w:cstheme="minorBidi"/>
      <w:sz w:val="24"/>
      <w:szCs w:val="22"/>
    </w:rPr>
  </w:style>
  <w:style w:type="paragraph" w:customStyle="1" w:styleId="1354">
    <w:name w:val="样式 标题 1 + 首行缩进:  2 字符"/>
    <w:basedOn w:val="3"/>
    <w:next w:val="1"/>
    <w:qFormat/>
    <w:uiPriority w:val="0"/>
    <w:pPr>
      <w:ind w:firstLine="200" w:firstLineChars="200"/>
    </w:pPr>
    <w:rPr>
      <w:rFonts w:cs="宋体"/>
      <w:szCs w:val="20"/>
    </w:rPr>
  </w:style>
  <w:style w:type="paragraph" w:customStyle="1" w:styleId="1355">
    <w:name w:val="图注"/>
    <w:qFormat/>
    <w:uiPriority w:val="0"/>
    <w:pPr>
      <w:widowControl w:val="0"/>
      <w:spacing w:line="360" w:lineRule="auto"/>
      <w:ind w:firstLine="602" w:firstLineChars="200"/>
      <w:jc w:val="center"/>
    </w:pPr>
    <w:rPr>
      <w:rFonts w:ascii="Times New Roman" w:hAnsi="Times New Roman" w:eastAsia="黑体" w:cs="Times New Roman"/>
      <w:sz w:val="24"/>
      <w:szCs w:val="24"/>
      <w:lang w:val="en-US" w:eastAsia="zh-CN" w:bidi="ar-SA"/>
    </w:rPr>
  </w:style>
  <w:style w:type="table" w:customStyle="1" w:styleId="1356">
    <w:name w:val="[表格样式]421"/>
    <w:basedOn w:val="84"/>
    <w:qFormat/>
    <w:uiPriority w:val="99"/>
    <w:pPr>
      <w:adjustRightInd w:val="0"/>
      <w:snapToGrid w:val="0"/>
      <w:jc w:val="center"/>
    </w:pPr>
    <w:rPr>
      <w:snapToGrid w:val="0"/>
    </w:rPr>
    <w:tblPr>
      <w:tblBorders>
        <w:top w:val="single" w:color="auto" w:sz="12" w:space="0"/>
        <w:bottom w:val="single" w:color="auto" w:sz="12" w:space="0"/>
        <w:insideH w:val="single" w:color="auto" w:sz="4" w:space="0"/>
        <w:insideV w:val="single" w:color="auto" w:sz="4" w:space="0"/>
      </w:tblBorders>
    </w:tblPr>
    <w:tcPr>
      <w:vAlign w:val="center"/>
    </w:tcPr>
  </w:style>
  <w:style w:type="character" w:customStyle="1" w:styleId="1357">
    <w:name w:val="【表中文字】 Char"/>
    <w:qFormat/>
    <w:locked/>
    <w:uiPriority w:val="0"/>
    <w:rPr>
      <w:rFonts w:ascii="Times New Roman" w:hAnsi="Times New Roman" w:cs="Times New Roman"/>
    </w:rPr>
  </w:style>
  <w:style w:type="paragraph" w:customStyle="1" w:styleId="1358">
    <w:name w:val="【表中表】居中"/>
    <w:basedOn w:val="1"/>
    <w:qFormat/>
    <w:uiPriority w:val="0"/>
    <w:pPr>
      <w:autoSpaceDE w:val="0"/>
      <w:autoSpaceDN w:val="0"/>
      <w:adjustRightInd w:val="0"/>
      <w:snapToGrid w:val="0"/>
      <w:jc w:val="center"/>
    </w:pPr>
    <w:rPr>
      <w:rFonts w:eastAsia="仿宋"/>
      <w:color w:val="4F81BD" w:themeColor="accent1"/>
      <w14:textFill>
        <w14:solidFill>
          <w14:schemeClr w14:val="accent1"/>
        </w14:solidFill>
      </w14:textFill>
    </w:rPr>
  </w:style>
  <w:style w:type="paragraph" w:customStyle="1" w:styleId="1359">
    <w:name w:val="正文6"/>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1360">
    <w:name w:val="Default1"/>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1361">
    <w:name w:val="00"/>
    <w:basedOn w:val="1"/>
    <w:qFormat/>
    <w:uiPriority w:val="0"/>
    <w:pPr>
      <w:spacing w:line="520" w:lineRule="exact"/>
      <w:ind w:firstLine="480"/>
    </w:pPr>
    <w:rPr>
      <w:rFonts w:hAnsi="宋体" w:eastAsia="宋体"/>
      <w:kern w:val="2"/>
      <w:sz w:val="24"/>
      <w:szCs w:val="24"/>
      <w:lang w:val="en-US" w:eastAsia="zh-CN" w:bidi="ar-SA"/>
    </w:rPr>
  </w:style>
  <w:style w:type="paragraph" w:customStyle="1" w:styleId="1362">
    <w:name w:val="表格图文"/>
    <w:basedOn w:val="1"/>
    <w:qFormat/>
    <w:uiPriority w:val="0"/>
    <w:pPr>
      <w:spacing w:line="240" w:lineRule="auto"/>
      <w:jc w:val="center"/>
    </w:pPr>
    <w:rPr>
      <w:rFonts w:ascii="Arial" w:hAnsi="Arial"/>
      <w:sz w:val="21"/>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45.jpeg"/><Relationship Id="rId64" Type="http://schemas.openxmlformats.org/officeDocument/2006/relationships/image" Target="media/image44.png"/><Relationship Id="rId63" Type="http://schemas.openxmlformats.org/officeDocument/2006/relationships/image" Target="media/image43.png"/><Relationship Id="rId62" Type="http://schemas.openxmlformats.org/officeDocument/2006/relationships/image" Target="media/image42.png"/><Relationship Id="rId61" Type="http://schemas.openxmlformats.org/officeDocument/2006/relationships/image" Target="media/image41.png"/><Relationship Id="rId60" Type="http://schemas.openxmlformats.org/officeDocument/2006/relationships/image" Target="media/image40.png"/><Relationship Id="rId6" Type="http://schemas.openxmlformats.org/officeDocument/2006/relationships/footer" Target="footer3.xml"/><Relationship Id="rId59" Type="http://schemas.openxmlformats.org/officeDocument/2006/relationships/image" Target="media/image39.png"/><Relationship Id="rId58" Type="http://schemas.openxmlformats.org/officeDocument/2006/relationships/image" Target="media/image38.png"/><Relationship Id="rId57" Type="http://schemas.openxmlformats.org/officeDocument/2006/relationships/image" Target="media/image37.jpeg"/><Relationship Id="rId56" Type="http://schemas.openxmlformats.org/officeDocument/2006/relationships/image" Target="media/image36.wmf"/><Relationship Id="rId55" Type="http://schemas.openxmlformats.org/officeDocument/2006/relationships/oleObject" Target="embeddings/oleObject5.bin"/><Relationship Id="rId54" Type="http://schemas.openxmlformats.org/officeDocument/2006/relationships/image" Target="media/image35.png"/><Relationship Id="rId53" Type="http://schemas.openxmlformats.org/officeDocument/2006/relationships/image" Target="media/image34.png"/><Relationship Id="rId52" Type="http://schemas.openxmlformats.org/officeDocument/2006/relationships/image" Target="media/image33.png"/><Relationship Id="rId51" Type="http://schemas.openxmlformats.org/officeDocument/2006/relationships/image" Target="media/image32.png"/><Relationship Id="rId50" Type="http://schemas.openxmlformats.org/officeDocument/2006/relationships/image" Target="media/image31.wmf"/><Relationship Id="rId5" Type="http://schemas.openxmlformats.org/officeDocument/2006/relationships/header" Target="header1.xml"/><Relationship Id="rId49" Type="http://schemas.openxmlformats.org/officeDocument/2006/relationships/image" Target="media/image30.wmf"/><Relationship Id="rId48" Type="http://schemas.openxmlformats.org/officeDocument/2006/relationships/oleObject" Target="embeddings/oleObject4.bin"/><Relationship Id="rId47" Type="http://schemas.openxmlformats.org/officeDocument/2006/relationships/image" Target="media/image29.wmf"/><Relationship Id="rId46" Type="http://schemas.openxmlformats.org/officeDocument/2006/relationships/image" Target="media/image28.wmf"/><Relationship Id="rId45" Type="http://schemas.openxmlformats.org/officeDocument/2006/relationships/oleObject" Target="embeddings/oleObject3.bin"/><Relationship Id="rId44" Type="http://schemas.openxmlformats.org/officeDocument/2006/relationships/image" Target="media/image27.wmf"/><Relationship Id="rId43" Type="http://schemas.openxmlformats.org/officeDocument/2006/relationships/oleObject" Target="embeddings/oleObject2.bin"/><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footer" Target="footer2.xml"/><Relationship Id="rId39" Type="http://schemas.openxmlformats.org/officeDocument/2006/relationships/image" Target="media/image23.png"/><Relationship Id="rId38" Type="http://schemas.openxmlformats.org/officeDocument/2006/relationships/image" Target="media/image22.jpeg"/><Relationship Id="rId37" Type="http://schemas.openxmlformats.org/officeDocument/2006/relationships/image" Target="media/image21.jpeg"/><Relationship Id="rId36" Type="http://schemas.openxmlformats.org/officeDocument/2006/relationships/image" Target="media/image20.jpeg"/><Relationship Id="rId35" Type="http://schemas.openxmlformats.org/officeDocument/2006/relationships/image" Target="media/image19.jpeg"/><Relationship Id="rId34" Type="http://schemas.openxmlformats.org/officeDocument/2006/relationships/image" Target="media/image18.jpeg"/><Relationship Id="rId33" Type="http://schemas.openxmlformats.org/officeDocument/2006/relationships/image" Target="media/image17.png"/><Relationship Id="rId32" Type="http://schemas.openxmlformats.org/officeDocument/2006/relationships/image" Target="media/image16.wmf"/><Relationship Id="rId31" Type="http://schemas.openxmlformats.org/officeDocument/2006/relationships/oleObject" Target="embeddings/oleObject1.bin"/><Relationship Id="rId30" Type="http://schemas.openxmlformats.org/officeDocument/2006/relationships/image" Target="media/image15.png"/><Relationship Id="rId3" Type="http://schemas.openxmlformats.org/officeDocument/2006/relationships/footer" Target="foot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jpe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jpe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8.xml"/><Relationship Id="rId13" Type="http://schemas.openxmlformats.org/officeDocument/2006/relationships/footer" Target="footer7.xml"/><Relationship Id="rId12" Type="http://schemas.openxmlformats.org/officeDocument/2006/relationships/header" Target="header4.xml"/><Relationship Id="rId11" Type="http://schemas.openxmlformats.org/officeDocument/2006/relationships/footer" Target="footer6.xml"/><Relationship Id="rId10" Type="http://schemas.openxmlformats.org/officeDocument/2006/relationships/header" Target="head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174</Pages>
  <Words>10718</Words>
  <Characters>11650</Characters>
  <Lines>1364</Lines>
  <Paragraphs>384</Paragraphs>
  <TotalTime>0</TotalTime>
  <ScaleCrop>false</ScaleCrop>
  <LinksUpToDate>false</LinksUpToDate>
  <CharactersWithSpaces>11877</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2021-08-02T04:24:00Z</dcterms:created>
  <dc:creator>han</dc:creator>
  <cp:lastModifiedBy>A~K</cp:lastModifiedBy>
  <cp:lastPrinted>2026-01-10T05:06:00Z</cp:lastPrinted>
  <dcterms:modified xsi:type="dcterms:W3CDTF">2026-07-07T06:08:57Z</dcterms:modified>
  <dc:title>1总论</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C6EE9F8D3A274BDDAA2AE0F9A1422E8C_13</vt:lpwstr>
  </property>
  <property fmtid="{D5CDD505-2E9C-101B-9397-08002B2CF9AE}" pid="4" name="KSOTemplateDocerSaveRecord">
    <vt:lpwstr>eyJoZGlkIjoiNDk2NjJhYWIwZjFjZGE3ZjcxNjY4ZDliOGVlMTEyMDkiLCJ1c2VySWQiOiI1ODUzNTY1MTYifQ==</vt:lpwstr>
  </property>
</Properties>
</file>